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26.10.2022</w:t>
      </w:r>
      <w:r>
        <w:br/>
      </w:r>
      <w:r>
        <w:t xml:space="preserve">SWD(2022) 545 final</w:t>
      </w:r>
      <w:r>
        <w:t xml:space="preserve"> </w:t>
      </w:r>
      <w:r>
        <w:t xml:space="preserve">PART 4/4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Directive of the European Parliament and of the Council</w:t>
      </w:r>
      <w:r>
        <w:t xml:space="preserve"> </w:t>
      </w:r>
      <w:r>
        <w:t xml:space="preserve">on ambient air quality and cleaner air for Europe (recast)</w:t>
      </w:r>
    </w:p>
    <w:p>
      <w:pPr>
        <w:pStyle w:val="BodyText"/>
      </w:pPr>
      <w:r>
        <w:t xml:space="preserve">{COM(2022) 542 final} - {SEC(2022) 542 final} - {SWD(2022) 345 final} -</w:t>
      </w:r>
      <w:r>
        <w:t xml:space="preserve"> </w:t>
      </w:r>
      <w:r>
        <w:t xml:space="preserve">{SWD(2022) 542 final}</w:t>
      </w:r>
    </w:p>
    <w:p>
      <w:pPr>
        <w:pStyle w:val="BodyText"/>
      </w:pPr>
      <w:r>
        <w:t xml:space="preserve">264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TABLE OF CONTENTS ……………………………………………………………………………………………………………. 264</w:t>
      </w:r>
      <w:r>
        <w:t xml:space="preserve"> </w:t>
      </w:r>
      <w:r>
        <w:t xml:space="preserve">ANNEX 7: NON–LEGISLATIVE MEASURES TO STRENGTHEN AIR QUALITY MONITORING</w:t>
      </w:r>
      <w:r>
        <w:t xml:space="preserve"> </w:t>
      </w:r>
      <w:r>
        <w:t xml:space="preserve">AND MODELLING, AND AIR QUALITY PLANS ……………………………………………………………… 266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…………………………………………………………………………………………………………….. 266</w:t>
      </w:r>
      <w:r>
        <w:t xml:space="preserve"> </w:t>
      </w:r>
      <w:r>
        <w:t xml:space="preserve">2.</w:t>
      </w:r>
      <w:r>
        <w:t xml:space="preserve"> </w:t>
      </w:r>
      <w:r>
        <w:t xml:space="preserve">METHODOLOGY…………………………………………………………………………………………………………….. 267</w:t>
      </w:r>
      <w:r>
        <w:t xml:space="preserve"> </w:t>
      </w:r>
      <w:r>
        <w:t xml:space="preserve">3.</w:t>
      </w:r>
      <w:r>
        <w:t xml:space="preserve"> </w:t>
      </w:r>
      <w:r>
        <w:t xml:space="preserve">TECHNICAL GUIDANCE DOCUMENTS………………………………………………………………………….. 270</w:t>
      </w:r>
      <w:r>
        <w:t xml:space="preserve"> </w:t>
      </w:r>
      <w:r>
        <w:t xml:space="preserve">4.</w:t>
      </w:r>
      <w:r>
        <w:t xml:space="preserve"> </w:t>
      </w:r>
      <w:r>
        <w:t xml:space="preserve">CONCLUSIONS ……………………………………………………………………………………………………………….. 275</w:t>
      </w:r>
      <w:r>
        <w:t xml:space="preserve"> </w:t>
      </w:r>
      <w:r>
        <w:t xml:space="preserve">ANNEX 8: EU CLEAN AIR POLICY …………………………………………………………………………………………. 276</w:t>
      </w:r>
      <w:r>
        <w:t xml:space="preserve"> </w:t>
      </w:r>
      <w:r>
        <w:t xml:space="preserve">1.</w:t>
      </w:r>
      <w:r>
        <w:t xml:space="preserve"> </w:t>
      </w:r>
      <w:r>
        <w:t xml:space="preserve">OVERVIEW …………………………………………………………………………………………………………………….. 276</w:t>
      </w:r>
      <w:r>
        <w:t xml:space="preserve"> </w:t>
      </w:r>
      <w:r>
        <w:t xml:space="preserve">2.</w:t>
      </w:r>
      <w:r>
        <w:t xml:space="preserve"> </w:t>
      </w:r>
      <w:r>
        <w:t xml:space="preserve">AIR QUALITY MANAGEMENT ………………………………………………………………………………………. 276</w:t>
      </w:r>
      <w:r>
        <w:t xml:space="preserve"> </w:t>
      </w:r>
      <w:r>
        <w:t xml:space="preserve">3.</w:t>
      </w:r>
      <w:r>
        <w:t xml:space="preserve"> </w:t>
      </w:r>
      <w:r>
        <w:t xml:space="preserve">AIR POLLUTION CONTROL ……………………………………………………………………………………………. 279</w:t>
      </w:r>
      <w:r>
        <w:t xml:space="preserve"> </w:t>
      </w:r>
      <w:r>
        <w:t xml:space="preserve">4.</w:t>
      </w:r>
      <w:r>
        <w:t xml:space="preserve"> </w:t>
      </w:r>
      <w:r>
        <w:t xml:space="preserve">LINKS TO OTHER POLICIES …………………………………………………………………………………………… 282</w:t>
      </w:r>
      <w:r>
        <w:t xml:space="preserve"> </w:t>
      </w:r>
      <w:r>
        <w:t xml:space="preserve">ANNEX 9: FITNESS CHECK OF THE AMBIENT AIR QUALITY DIRECTIVES IN 2019 …………….. 287</w:t>
      </w:r>
      <w:r>
        <w:t xml:space="preserve"> </w:t>
      </w:r>
      <w:r>
        <w:t xml:space="preserve">1.</w:t>
      </w:r>
      <w:r>
        <w:t xml:space="preserve"> </w:t>
      </w:r>
      <w:r>
        <w:t xml:space="preserve">SCOPE AND METHODOLOGY ………………………………………………………………………………………… 287</w:t>
      </w:r>
      <w:r>
        <w:t xml:space="preserve"> </w:t>
      </w:r>
      <w:r>
        <w:t xml:space="preserve">2.</w:t>
      </w:r>
      <w:r>
        <w:t xml:space="preserve"> </w:t>
      </w:r>
      <w:r>
        <w:t xml:space="preserve">EXECUTIVE SUMMARY OF THE FITNESS CHECK ………………………………………………………… 287</w:t>
      </w:r>
      <w:r>
        <w:t xml:space="preserve"> </w:t>
      </w:r>
      <w:r>
        <w:t xml:space="preserve">3.</w:t>
      </w:r>
      <w:r>
        <w:t xml:space="preserve"> </w:t>
      </w:r>
      <w:r>
        <w:t xml:space="preserve">SOME LESSONS LEARNT AS HIGHLIGHTED BY THE FITNESS CHECK ……………………….. 290</w:t>
      </w:r>
      <w:r>
        <w:t xml:space="preserve"> </w:t>
      </w:r>
      <w:r>
        <w:t xml:space="preserve">4.</w:t>
      </w:r>
      <w:r>
        <w:t xml:space="preserve"> </w:t>
      </w:r>
      <w:r>
        <w:t xml:space="preserve">PROVISIONS OF THE AMBIENT AIR QUALITY DIRECTIVES THAT HAVE BECOME</w:t>
      </w:r>
      <w:r>
        <w:t xml:space="preserve"> </w:t>
      </w:r>
      <w:r>
        <w:t xml:space="preserve">REDUNDANT ………………………………………………………………………………………………………………….. 291</w:t>
      </w:r>
      <w:r>
        <w:t xml:space="preserve"> </w:t>
      </w:r>
      <w:r>
        <w:t xml:space="preserve">ANNEX 10: WHO RECOMMENDATIONS AND EU AIR QUALITY STANDARDS …………………….. 292</w:t>
      </w:r>
      <w:r>
        <w:t xml:space="preserve"> </w:t>
      </w:r>
      <w:r>
        <w:t xml:space="preserve">1.</w:t>
      </w:r>
      <w:r>
        <w:t xml:space="preserve"> </w:t>
      </w:r>
      <w:r>
        <w:t xml:space="preserve">WORLD HEALTH ORGANIZATION RECOMMENDATIONS …………………………………………… 292</w:t>
      </w:r>
      <w:r>
        <w:t xml:space="preserve"> </w:t>
      </w:r>
      <w:r>
        <w:t xml:space="preserve">2.</w:t>
      </w:r>
      <w:r>
        <w:t xml:space="preserve"> </w:t>
      </w:r>
      <w:r>
        <w:t xml:space="preserve">EU AIR QUALITY STANDARDS AS SET BY THE AMBIENT AIR QUALITY</w:t>
      </w:r>
      <w:r>
        <w:t xml:space="preserve"> </w:t>
      </w:r>
      <w:r>
        <w:t xml:space="preserve">DIRECTIVES …………………………………………………………………………………………………………………… 296</w:t>
      </w:r>
      <w:r>
        <w:t xml:space="preserve"> </w:t>
      </w:r>
      <w:r>
        <w:t xml:space="preserve">3.</w:t>
      </w:r>
      <w:r>
        <w:t xml:space="preserve"> </w:t>
      </w:r>
      <w:r>
        <w:t xml:space="preserve">HEALTH IMPACTS OF AIR POLLUTANTS IN THE AMBIENT AIR QUALITY</w:t>
      </w:r>
      <w:r>
        <w:t xml:space="preserve"> </w:t>
      </w:r>
      <w:r>
        <w:t xml:space="preserve">DIRECTIVES …………………………………………………………………………………………………………………… 297</w:t>
      </w:r>
      <w:r>
        <w:t xml:space="preserve"> </w:t>
      </w:r>
      <w:r>
        <w:t xml:space="preserve">3.1</w:t>
      </w:r>
      <w:r>
        <w:t xml:space="preserve"> </w:t>
      </w:r>
      <w:r>
        <w:t xml:space="preserve">Fine Particulate Matter (PM2.5) and Particulate Matter (PM10) ………………………………………. 298</w:t>
      </w:r>
      <w:r>
        <w:t xml:space="preserve"> </w:t>
      </w:r>
      <w:r>
        <w:t xml:space="preserve">3.2</w:t>
      </w:r>
      <w:r>
        <w:t xml:space="preserve"> </w:t>
      </w:r>
      <w:r>
        <w:t xml:space="preserve">Nitrogen Dioxide (NO2) …………………………………………………………………………………………… 299</w:t>
      </w:r>
      <w:r>
        <w:t xml:space="preserve"> </w:t>
      </w:r>
      <w:r>
        <w:t xml:space="preserve">3.3</w:t>
      </w:r>
      <w:r>
        <w:t xml:space="preserve"> </w:t>
      </w:r>
      <w:r>
        <w:t xml:space="preserve">Ozone (O3) …………………………………………………………………………………………………………….. 300</w:t>
      </w:r>
      <w:r>
        <w:t xml:space="preserve"> </w:t>
      </w:r>
      <w:r>
        <w:t xml:space="preserve">3.4</w:t>
      </w:r>
      <w:r>
        <w:t xml:space="preserve"> </w:t>
      </w:r>
      <w:r>
        <w:t xml:space="preserve">Benzene (C6H6) ………………………………………………………………………………………………………. 301</w:t>
      </w:r>
      <w:r>
        <w:t xml:space="preserve"> </w:t>
      </w:r>
      <w:r>
        <w:t xml:space="preserve">3.5</w:t>
      </w:r>
      <w:r>
        <w:t xml:space="preserve"> </w:t>
      </w:r>
      <w:r>
        <w:t xml:space="preserve">Sulphur Dioxide (SO2) …………………………………………………………………………………………….. 302</w:t>
      </w:r>
      <w:r>
        <w:t xml:space="preserve"> </w:t>
      </w:r>
      <w:r>
        <w:t xml:space="preserve">3.6</w:t>
      </w:r>
      <w:r>
        <w:t xml:space="preserve"> </w:t>
      </w:r>
      <w:r>
        <w:t xml:space="preserve">Carbon Monoxide (CO) …………………………………………………………………………………………… 303</w:t>
      </w:r>
      <w:r>
        <w:t xml:space="preserve"> </w:t>
      </w:r>
      <w:r>
        <w:t xml:space="preserve">3.7</w:t>
      </w:r>
      <w:r>
        <w:t xml:space="preserve"> </w:t>
      </w:r>
      <w:r>
        <w:t xml:space="preserve">Benzo(a)Pyrene (BaP) ……………………………………………………………………………………………… 303</w:t>
      </w:r>
      <w:r>
        <w:t xml:space="preserve"> </w:t>
      </w:r>
      <w:r>
        <w:t xml:space="preserve">3.8</w:t>
      </w:r>
      <w:r>
        <w:t xml:space="preserve"> </w:t>
      </w:r>
      <w:r>
        <w:t xml:space="preserve">Lead (Pb) ……………………………………………………………………………………………………………….. 304</w:t>
      </w:r>
      <w:r>
        <w:t xml:space="preserve"> </w:t>
      </w:r>
      <w:r>
        <w:t xml:space="preserve">3.9</w:t>
      </w:r>
      <w:r>
        <w:t xml:space="preserve"> </w:t>
      </w:r>
      <w:r>
        <w:t xml:space="preserve">Arsenic (As) …………………………………………………………………………………………………………… 305</w:t>
      </w:r>
      <w:r>
        <w:t xml:space="preserve"> </w:t>
      </w:r>
      <w:r>
        <w:t xml:space="preserve">3.10</w:t>
      </w:r>
      <w:r>
        <w:t xml:space="preserve"> </w:t>
      </w:r>
      <w:r>
        <w:t xml:space="preserve">Cadmium (Cd) ………………………………………………………………………………………………………… 306</w:t>
      </w:r>
      <w:r>
        <w:t xml:space="preserve"> </w:t>
      </w:r>
      <w:r>
        <w:t xml:space="preserve">3.11</w:t>
      </w:r>
      <w:r>
        <w:t xml:space="preserve"> </w:t>
      </w:r>
      <w:r>
        <w:t xml:space="preserve">Nickel (Ni) …………………………………………………………………………………………………………….. 307</w:t>
      </w:r>
      <w:r>
        <w:t xml:space="preserve"> </w:t>
      </w:r>
      <w:r>
        <w:t xml:space="preserve">4.</w:t>
      </w:r>
      <w:r>
        <w:t xml:space="preserve"> </w:t>
      </w:r>
      <w:r>
        <w:t xml:space="preserve">REFERENCES …………………………………………………………………………………………………………………. 309</w:t>
      </w:r>
      <w:r>
        <w:t xml:space="preserve"> </w:t>
      </w:r>
      <w:r>
        <w:t xml:space="preserve">ANNEX 11: AIR QUALITY IN EUROPE IN 2020 ……………………………………………………………………….. 310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…………………………………………………………………………………………………………….. 310</w:t>
      </w:r>
    </w:p>
    <w:p>
      <w:pPr>
        <w:pStyle w:val="BodyText"/>
      </w:pPr>
      <w:r>
        <w:t xml:space="preserve">265</w:t>
      </w:r>
    </w:p>
    <w:p>
      <w:pPr>
        <w:pStyle w:val="Compact"/>
        <w:numPr>
          <w:ilvl w:val="0"/>
          <w:numId w:val="1001"/>
        </w:numPr>
      </w:pPr>
      <w:r>
        <w:t xml:space="preserve">OVERVIEW OF MONITORING STATIONS IN THE EU ……………………………………………………. 310</w:t>
      </w:r>
    </w:p>
    <w:p>
      <w:pPr>
        <w:pStyle w:val="Compact"/>
        <w:numPr>
          <w:ilvl w:val="0"/>
          <w:numId w:val="1001"/>
        </w:numPr>
      </w:pPr>
      <w:r>
        <w:t xml:space="preserve">CONCENTRATION LEVELS FOR KEY AIR POLLUTANTS IN THE EU …………………………… 312</w:t>
      </w:r>
      <w:r>
        <w:t xml:space="preserve"> </w:t>
      </w:r>
      <w:r>
        <w:t xml:space="preserve">3.1</w:t>
      </w:r>
      <w:r>
        <w:t xml:space="preserve"> </w:t>
      </w:r>
      <w:r>
        <w:t xml:space="preserve">Fine particulate matter (PM2.5) and particulate matter (PM10)………………………………………… 312</w:t>
      </w:r>
    </w:p>
    <w:p>
      <w:pPr>
        <w:pStyle w:val="Compact"/>
        <w:numPr>
          <w:ilvl w:val="0"/>
          <w:numId w:val="1002"/>
        </w:numPr>
      </w:pPr>
      <w:r>
        <w:t xml:space="preserve">PM2.5 annual mean concentration ………………………………………………………………………………. 312</w:t>
      </w:r>
    </w:p>
    <w:p>
      <w:pPr>
        <w:pStyle w:val="Compact"/>
        <w:numPr>
          <w:ilvl w:val="0"/>
          <w:numId w:val="1002"/>
        </w:numPr>
      </w:pPr>
      <w:r>
        <w:t xml:space="preserve">PM2.5 daily mean concentration ………………………………………………………………………………… 314</w:t>
      </w:r>
    </w:p>
    <w:p>
      <w:pPr>
        <w:pStyle w:val="Compact"/>
        <w:numPr>
          <w:ilvl w:val="0"/>
          <w:numId w:val="1002"/>
        </w:numPr>
      </w:pPr>
      <w:r>
        <w:t xml:space="preserve">PM10 annual mean concentration……………………………………………………………………………….. 315</w:t>
      </w:r>
    </w:p>
    <w:p>
      <w:pPr>
        <w:pStyle w:val="Compact"/>
        <w:numPr>
          <w:ilvl w:val="0"/>
          <w:numId w:val="1002"/>
        </w:numPr>
      </w:pPr>
      <w:r>
        <w:t xml:space="preserve">PM10 daily mean concentration …………………………………………………………………………………. 318</w:t>
      </w:r>
      <w:r>
        <w:t xml:space="preserve"> </w:t>
      </w:r>
      <w:r>
        <w:t xml:space="preserve">3.2</w:t>
      </w:r>
      <w:r>
        <w:t xml:space="preserve"> </w:t>
      </w:r>
      <w:r>
        <w:t xml:space="preserve">Nitrogen dioxide (NO2) ……………………………………………………………………………………………. 319</w:t>
      </w:r>
    </w:p>
    <w:p>
      <w:pPr>
        <w:pStyle w:val="Compact"/>
        <w:numPr>
          <w:ilvl w:val="0"/>
          <w:numId w:val="1002"/>
        </w:numPr>
      </w:pPr>
      <w:r>
        <w:t xml:space="preserve">NO2 annual mean concentration ………………………………………………………………………………… 319</w:t>
      </w:r>
    </w:p>
    <w:p>
      <w:pPr>
        <w:pStyle w:val="Compact"/>
        <w:numPr>
          <w:ilvl w:val="0"/>
          <w:numId w:val="1002"/>
        </w:numPr>
      </w:pPr>
      <w:r>
        <w:t xml:space="preserve">NO2 daily and hourly mean concentration ………………………………………………………………….. 321</w:t>
      </w:r>
      <w:r>
        <w:t xml:space="preserve"> </w:t>
      </w:r>
      <w:r>
        <w:t xml:space="preserve">3.3</w:t>
      </w:r>
      <w:r>
        <w:t xml:space="preserve"> </w:t>
      </w:r>
      <w:r>
        <w:t xml:space="preserve">Tropospheric ozone (O3) ………………………………………………………………………………………….. 322</w:t>
      </w:r>
    </w:p>
    <w:p>
      <w:pPr>
        <w:pStyle w:val="Compact"/>
        <w:numPr>
          <w:ilvl w:val="0"/>
          <w:numId w:val="1002"/>
        </w:numPr>
      </w:pPr>
      <w:r>
        <w:t xml:space="preserve">O3 peak season concentration ……………………………………………………………………………………. 322</w:t>
      </w:r>
    </w:p>
    <w:p>
      <w:pPr>
        <w:pStyle w:val="Compact"/>
        <w:numPr>
          <w:ilvl w:val="0"/>
          <w:numId w:val="1002"/>
        </w:numPr>
      </w:pPr>
      <w:r>
        <w:t xml:space="preserve">O3 8-hour mean concentration …………………………………………………………………………………… 323</w:t>
      </w:r>
      <w:r>
        <w:t xml:space="preserve"> </w:t>
      </w:r>
      <w:r>
        <w:t xml:space="preserve">3.4</w:t>
      </w:r>
      <w:r>
        <w:t xml:space="preserve"> </w:t>
      </w:r>
      <w:r>
        <w:t xml:space="preserve">Sulphur dioxide (SO2) ……………………………………………………………………………………………… 325</w:t>
      </w:r>
    </w:p>
    <w:p>
      <w:pPr>
        <w:pStyle w:val="Compact"/>
        <w:numPr>
          <w:ilvl w:val="0"/>
          <w:numId w:val="1002"/>
        </w:numPr>
      </w:pPr>
      <w:r>
        <w:t xml:space="preserve">SO2 daily and hourly concentration ……………………………………………………………………………. 325</w:t>
      </w:r>
      <w:r>
        <w:t xml:space="preserve"> </w:t>
      </w:r>
      <w:r>
        <w:t xml:space="preserve">3.5</w:t>
      </w:r>
      <w:r>
        <w:t xml:space="preserve"> </w:t>
      </w:r>
      <w:r>
        <w:t xml:space="preserve">Carbon monoxide (CO) ……………………………………………………………………………………………. 326</w:t>
      </w:r>
    </w:p>
    <w:p>
      <w:pPr>
        <w:pStyle w:val="Compact"/>
        <w:numPr>
          <w:ilvl w:val="0"/>
          <w:numId w:val="1002"/>
        </w:numPr>
      </w:pPr>
      <w:r>
        <w:t xml:space="preserve">CO 8-hour mean concentration …………………………………………………………………………………. 326</w:t>
      </w:r>
      <w:r>
        <w:t xml:space="preserve"> </w:t>
      </w:r>
      <w:r>
        <w:t xml:space="preserve">3.6</w:t>
      </w:r>
      <w:r>
        <w:t xml:space="preserve"> </w:t>
      </w:r>
      <w:r>
        <w:t xml:space="preserve">Benzo(a)pyrene (BaP) ……………………………………………………………………………………………… 328</w:t>
      </w:r>
    </w:p>
    <w:p>
      <w:pPr>
        <w:pStyle w:val="Compact"/>
        <w:numPr>
          <w:ilvl w:val="0"/>
          <w:numId w:val="1002"/>
        </w:numPr>
      </w:pPr>
      <w:r>
        <w:t xml:space="preserve">BaP annual mean concentration ………………………………………………………………………………… 328</w:t>
      </w:r>
      <w:r>
        <w:t xml:space="preserve"> </w:t>
      </w:r>
      <w:r>
        <w:t xml:space="preserve">3.7</w:t>
      </w:r>
      <w:r>
        <w:t xml:space="preserve"> </w:t>
      </w:r>
      <w:r>
        <w:t xml:space="preserve">Benzene (C6H6) ………………………………………………………………………………………………………. 330</w:t>
      </w:r>
    </w:p>
    <w:p>
      <w:pPr>
        <w:pStyle w:val="Compact"/>
        <w:numPr>
          <w:ilvl w:val="0"/>
          <w:numId w:val="1002"/>
        </w:numPr>
      </w:pPr>
      <w:r>
        <w:t xml:space="preserve">C6H6 annual mean concentration ……………………………………………………………………………….. 330</w:t>
      </w:r>
      <w:r>
        <w:t xml:space="preserve"> </w:t>
      </w:r>
      <w:r>
        <w:t xml:space="preserve">3.8</w:t>
      </w:r>
      <w:r>
        <w:t xml:space="preserve"> </w:t>
      </w:r>
      <w:r>
        <w:t xml:space="preserve">Lead (Pb) ……………………………………………………………………………………………………………….. 331</w:t>
      </w:r>
    </w:p>
    <w:p>
      <w:pPr>
        <w:pStyle w:val="Compact"/>
        <w:numPr>
          <w:ilvl w:val="0"/>
          <w:numId w:val="1002"/>
        </w:numPr>
      </w:pPr>
      <w:r>
        <w:t xml:space="preserve">Pb annual mean concentration …………………………………………………………………………………… 331</w:t>
      </w:r>
      <w:r>
        <w:t xml:space="preserve"> </w:t>
      </w:r>
      <w:r>
        <w:t xml:space="preserve">3.9</w:t>
      </w:r>
      <w:r>
        <w:t xml:space="preserve"> </w:t>
      </w:r>
      <w:r>
        <w:t xml:space="preserve">Arsenic (As) …………………………………………………………………………………………………………… 332</w:t>
      </w:r>
    </w:p>
    <w:p>
      <w:pPr>
        <w:pStyle w:val="Compact"/>
        <w:numPr>
          <w:ilvl w:val="0"/>
          <w:numId w:val="1002"/>
        </w:numPr>
      </w:pPr>
      <w:r>
        <w:t xml:space="preserve">As annual mean concentration ………………………………………………………………………………….. 332</w:t>
      </w:r>
      <w:r>
        <w:t xml:space="preserve"> </w:t>
      </w:r>
      <w:r>
        <w:t xml:space="preserve">3.10</w:t>
      </w:r>
      <w:r>
        <w:t xml:space="preserve"> </w:t>
      </w:r>
      <w:r>
        <w:t xml:space="preserve">Cadmium (Cd) ………………………………………………………………………………………………………… 333</w:t>
      </w:r>
    </w:p>
    <w:p>
      <w:pPr>
        <w:pStyle w:val="Compact"/>
        <w:numPr>
          <w:ilvl w:val="0"/>
          <w:numId w:val="1002"/>
        </w:numPr>
      </w:pPr>
      <w:r>
        <w:t xml:space="preserve">Cd annual mean concentration ………………………………………………………………………………….. 333</w:t>
      </w:r>
      <w:r>
        <w:t xml:space="preserve"> </w:t>
      </w:r>
      <w:r>
        <w:t xml:space="preserve">3.11</w:t>
      </w:r>
      <w:r>
        <w:t xml:space="preserve"> </w:t>
      </w:r>
      <w:r>
        <w:t xml:space="preserve">Nickel (Ni) …………………………………………………………………………………………………………….. 334</w:t>
      </w:r>
    </w:p>
    <w:p>
      <w:pPr>
        <w:pStyle w:val="Compact"/>
        <w:numPr>
          <w:ilvl w:val="0"/>
          <w:numId w:val="1002"/>
        </w:numPr>
      </w:pPr>
      <w:r>
        <w:t xml:space="preserve">Ni annual mean concentration …………………………………………………………………………………… 334</w:t>
      </w:r>
    </w:p>
    <w:p>
      <w:pPr>
        <w:pStyle w:val="Compact"/>
        <w:numPr>
          <w:ilvl w:val="0"/>
          <w:numId w:val="1003"/>
        </w:numPr>
      </w:pPr>
      <w:r>
        <w:t xml:space="preserve">EXPOSURE TO AIR POLLUTION IN THE EU ………………………………………………………………….. 335</w:t>
      </w:r>
      <w:r>
        <w:t xml:space="preserve"> </w:t>
      </w:r>
      <w:r>
        <w:t xml:space="preserve">ANNEX 12: INFRINGEMENT CASES AND LITIGATION UNDER THE AMBIENT AIR</w:t>
      </w:r>
      <w:r>
        <w:t xml:space="preserve"> </w:t>
      </w:r>
      <w:r>
        <w:t xml:space="preserve">QUALITY DIRECTIVES …………………………………………………………………………………………………… 336</w:t>
      </w:r>
    </w:p>
    <w:p>
      <w:pPr>
        <w:pStyle w:val="Compact"/>
        <w:numPr>
          <w:ilvl w:val="0"/>
          <w:numId w:val="1003"/>
        </w:numPr>
      </w:pPr>
      <w:r>
        <w:t xml:space="preserve">EU COURT PROCEEDINGS AGAINST MEMBER STATES FOR FAILURE TO FULFIL</w:t>
      </w:r>
      <w:r>
        <w:t xml:space="preserve"> </w:t>
      </w:r>
      <w:r>
        <w:t xml:space="preserve">OBLIGATIONS UNDER AMBIENT AIR QUALITY LEGISLATION (2008 TO MAY 2022)….. 336</w:t>
      </w:r>
    </w:p>
    <w:p>
      <w:pPr>
        <w:pStyle w:val="Compact"/>
        <w:numPr>
          <w:ilvl w:val="0"/>
          <w:numId w:val="1003"/>
        </w:numPr>
      </w:pPr>
      <w:r>
        <w:t xml:space="preserve">INFRINGEMENT CASES INITIATED BY THE COMMISSION FOR NON-COMPLIANCE</w:t>
      </w:r>
      <w:r>
        <w:t xml:space="preserve"> </w:t>
      </w:r>
      <w:r>
        <w:t xml:space="preserve">WITH AMBIENT AIR QUALITY LEGISLATION (2008 TO MAY 2022) …………………………….. 337</w:t>
      </w:r>
    </w:p>
    <w:p>
      <w:pPr>
        <w:pStyle w:val="Compact"/>
        <w:numPr>
          <w:ilvl w:val="0"/>
          <w:numId w:val="1003"/>
        </w:numPr>
      </w:pPr>
      <w:r>
        <w:t xml:space="preserve">SELECTED CASE LAW OF THE COURT OF JUSTICE OF THE EU RELATED TO THE</w:t>
      </w:r>
      <w:r>
        <w:t xml:space="preserve"> </w:t>
      </w:r>
      <w:r>
        <w:t xml:space="preserve">IMPLEMENTATION OF THE AMBIENT AIR QUALITY DIRECTIVES …………………………….. 340</w:t>
      </w:r>
    </w:p>
    <w:p>
      <w:pPr>
        <w:pStyle w:val="Compact"/>
        <w:numPr>
          <w:ilvl w:val="0"/>
          <w:numId w:val="1003"/>
        </w:numPr>
      </w:pPr>
      <w:r>
        <w:t xml:space="preserve">ILLUSTRATIVE OVERVIEW OF CLEAN AIR CASES BEFORE NATIONAL COURTS ……… 344</w:t>
      </w:r>
    </w:p>
    <w:p>
      <w:pPr>
        <w:pStyle w:val="FirstParagraph"/>
      </w:pPr>
      <w:r>
        <w:t xml:space="preserve">266</w:t>
      </w:r>
    </w:p>
    <w:p>
      <w:pPr>
        <w:pStyle w:val="BodyText"/>
      </w:pPr>
      <w:r>
        <w:t xml:space="preserve">ANNEX 7: NON–LEGISLATIVE MEASURES TO STRENGTHEN AIR</w:t>
      </w:r>
      <w:r>
        <w:t xml:space="preserve"> </w:t>
      </w:r>
      <w:r>
        <w:t xml:space="preserve">QUALITY MONITORING AND MODELLING, AND AIR QUALITY PLANS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</w:t>
      </w:r>
      <w:r>
        <w:t xml:space="preserve"> </w:t>
      </w:r>
      <w:r>
        <w:t xml:space="preserve">Following the publication of the results of the Fitness Check of the Ambient Air Quality</w:t>
      </w:r>
      <w:r>
        <w:t xml:space="preserve"> </w:t>
      </w:r>
      <w:r>
        <w:t xml:space="preserve">Directives, in November 2019, the European Commission launched an exercise to address the</w:t>
      </w:r>
      <w:r>
        <w:t xml:space="preserve"> </w:t>
      </w:r>
      <w:r>
        <w:t xml:space="preserve">issues identified as needing additional technical support documents and/or guidance</w:t>
      </w:r>
      <w:r>
        <w:t xml:space="preserve"> </w:t>
      </w:r>
      <w:r>
        <w:t xml:space="preserve">documents (below referred to as ‘technical guidance documents’) to support the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Ambient</w:t>
      </w:r>
      <w:r>
        <w:t xml:space="preserve"> </w:t>
      </w:r>
      <w:r>
        <w:t xml:space="preserve">Air</w:t>
      </w:r>
      <w:r>
        <w:t xml:space="preserve"> </w:t>
      </w:r>
      <w:r>
        <w:t xml:space="preserve">Quality</w:t>
      </w:r>
      <w:r>
        <w:t xml:space="preserve"> </w:t>
      </w:r>
      <w:r>
        <w:t xml:space="preserve">Directives.</w:t>
      </w:r>
      <w:r>
        <w:t xml:space="preserve"> </w:t>
      </w:r>
      <w:r>
        <w:t xml:space="preserve">80/81 The focus of this exercise was on making air quality monitoring and modelling, and air</w:t>
      </w:r>
      <w:r>
        <w:t xml:space="preserve"> </w:t>
      </w:r>
      <w:r>
        <w:t xml:space="preserve">quality plans, more effective and efficient and is complementary to any changes to be done to</w:t>
      </w:r>
      <w:r>
        <w:t xml:space="preserve"> </w:t>
      </w:r>
      <w:r>
        <w:t xml:space="preserve">the legal provisions:</w:t>
      </w:r>
      <w:r>
        <w:t xml:space="preserve"> </w:t>
      </w:r>
      <w:r>
        <w:t xml:space="preserve">(1) Improve and further specify air quality monitoring requirements: additional precision on</w:t>
      </w:r>
      <w:r>
        <w:t xml:space="preserve"> </w:t>
      </w:r>
      <w:r>
        <w:t xml:space="preserve">monitoring requirements would consolidate the representativeness of, and confidence in,</w:t>
      </w:r>
      <w:r>
        <w:t xml:space="preserve"> </w:t>
      </w:r>
      <w:r>
        <w:t xml:space="preserve">monitored data, as well as provide increased comparability of air quality data across the EU.</w:t>
      </w:r>
      <w:r>
        <w:t xml:space="preserve"> </w:t>
      </w:r>
      <w:r>
        <w:t xml:space="preserve">This would include streamlining, simplifying, and increasing precision and coherence of</w:t>
      </w:r>
      <w:r>
        <w:t xml:space="preserve"> </w:t>
      </w:r>
      <w:r>
        <w:t xml:space="preserve">monitoring requirements, as well as providing further technical guidance documents as</w:t>
      </w:r>
      <w:r>
        <w:t xml:space="preserve"> </w:t>
      </w:r>
      <w:r>
        <w:t xml:space="preserve">necessary, in relation to assessment regimes, micro- and macro-scale siting criteria of</w:t>
      </w:r>
      <w:r>
        <w:t xml:space="preserve"> </w:t>
      </w:r>
      <w:r>
        <w:t xml:space="preserve">sampling points, data quality objectives for measurements and reference measurement</w:t>
      </w:r>
      <w:r>
        <w:t xml:space="preserve"> </w:t>
      </w:r>
      <w:r>
        <w:t xml:space="preserve">methods, continuity of measurements in the same location, and provision of air quality data to</w:t>
      </w:r>
      <w:r>
        <w:t xml:space="preserve"> </w:t>
      </w:r>
      <w:r>
        <w:t xml:space="preserve">the public.</w:t>
      </w:r>
      <w:r>
        <w:t xml:space="preserve"> </w:t>
      </w:r>
      <w:r>
        <w:t xml:space="preserve">(2) Improve the use of complementary air quality assessment methods: common rules on</w:t>
      </w:r>
      <w:r>
        <w:t xml:space="preserve"> </w:t>
      </w:r>
      <w:r>
        <w:t xml:space="preserve">other air quality assessment methods to complement air quality monitoring (such as air</w:t>
      </w:r>
      <w:r>
        <w:t xml:space="preserve"> </w:t>
      </w:r>
      <w:r>
        <w:t xml:space="preserve">quality modelling, indicative measurements, and objective estimation), would improve the</w:t>
      </w:r>
      <w:r>
        <w:t xml:space="preserve"> </w:t>
      </w:r>
      <w:r>
        <w:t xml:space="preserve">representativeness, comparability, coverage and timelines of air quality assessments. The</w:t>
      </w:r>
      <w:r>
        <w:t xml:space="preserve"> </w:t>
      </w:r>
      <w:r>
        <w:t xml:space="preserve">further use of these methods may also significantly reduce the costs of air quality assessment.</w:t>
      </w:r>
      <w:r>
        <w:t xml:space="preserve"> </w:t>
      </w:r>
      <w:r>
        <w:t xml:space="preserve">More concretely, the European Commission explored an enhanced role of modelling in air</w:t>
      </w:r>
      <w:r>
        <w:t xml:space="preserve"> </w:t>
      </w:r>
      <w:r>
        <w:t xml:space="preserve">quality assessment, further improving the quality of modelling, the use of complementary air</w:t>
      </w:r>
      <w:r>
        <w:t xml:space="preserve"> </w:t>
      </w:r>
      <w:r>
        <w:t xml:space="preserve">quality assessment methods in informing air quality network design and the needs for further</w:t>
      </w:r>
      <w:r>
        <w:t xml:space="preserve"> </w:t>
      </w:r>
      <w:r>
        <w:t xml:space="preserve">guidance on indicative measurements, objective estimation and low-cost sensors.</w:t>
      </w:r>
    </w:p>
    <w:p>
      <w:pPr>
        <w:pStyle w:val="BodyText"/>
      </w:pPr>
      <w:r>
        <w:t xml:space="preserve">80 The European Green Deal (COM(2019) 640 final) announced as the framework of a zero pollution ambition</w:t>
      </w:r>
      <w:r>
        <w:t xml:space="preserve"> </w:t>
      </w:r>
      <w:r>
        <w:t xml:space="preserve">for a toxic-free environment that the Commission would draw on the lessons learnt from the Fitness Check of</w:t>
      </w:r>
      <w:r>
        <w:t xml:space="preserve"> </w:t>
      </w:r>
      <w:r>
        <w:t xml:space="preserve">the Ambient Air Quality Directives and strengthen the provisions for air quality monitoring, modelling, and</w:t>
      </w:r>
      <w:r>
        <w:t xml:space="preserve"> </w:t>
      </w:r>
      <w:r>
        <w:t xml:space="preserve">plans.</w:t>
      </w:r>
      <w:r>
        <w:t xml:space="preserve"> </w:t>
      </w:r>
      <w:r>
        <w:t xml:space="preserve">81 COM (2022), Strengthening of air quality monitoring, modelling and plans under the Ambient Air Quality</w:t>
      </w:r>
      <w:r>
        <w:t xml:space="preserve"> </w:t>
      </w:r>
      <w:r>
        <w:t xml:space="preserve">Directives - final (accessed: 04.08.2022)</w:t>
      </w:r>
    </w:p>
    <w:p>
      <w:pPr>
        <w:pStyle w:val="BodyText"/>
      </w:pPr>
      <w:r>
        <w:t xml:space="preserve">267</w:t>
      </w:r>
    </w:p>
    <w:p>
      <w:pPr>
        <w:pStyle w:val="Compact"/>
        <w:numPr>
          <w:ilvl w:val="0"/>
          <w:numId w:val="1004"/>
        </w:numPr>
      </w:pPr>
      <w:r>
        <w:t xml:space="preserve">Improve effectiveness of air quality plans: it is essential to consider ways to address the</w:t>
      </w:r>
      <w:r>
        <w:t xml:space="preserve"> </w:t>
      </w:r>
      <w:r>
        <w:t xml:space="preserve">need for more precise requirements, complemented with technical guidance documents as</w:t>
      </w:r>
      <w:r>
        <w:t xml:space="preserve"> </w:t>
      </w:r>
      <w:r>
        <w:t xml:space="preserve">appropriate, to ensure that air quality plans and their implementation by competent authorities</w:t>
      </w:r>
      <w:r>
        <w:t xml:space="preserve"> </w:t>
      </w:r>
      <w:r>
        <w:t xml:space="preserve">result in air quality standards being respected in the shortest time possible. This may be</w:t>
      </w:r>
      <w:r>
        <w:t xml:space="preserve"> </w:t>
      </w:r>
      <w:r>
        <w:t xml:space="preserve">achieved by looking at inter alia, minimum elements required for an effective air quality plan,</w:t>
      </w:r>
      <w:r>
        <w:t xml:space="preserve"> </w:t>
      </w:r>
      <w:r>
        <w:t xml:space="preserve">the process of elaboration of air quality plans, the methods used to estimate the impact of</w:t>
      </w:r>
      <w:r>
        <w:t xml:space="preserve"> </w:t>
      </w:r>
      <w:r>
        <w:t xml:space="preserve">measures (including their costs and benefits) and support for the implementation of air</w:t>
      </w:r>
      <w:r>
        <w:t xml:space="preserve"> </w:t>
      </w:r>
      <w:r>
        <w:t xml:space="preserve">quality plans and assessing of their impacts and effectiveness.</w:t>
      </w:r>
    </w:p>
    <w:p>
      <w:pPr>
        <w:pStyle w:val="Compact"/>
        <w:numPr>
          <w:ilvl w:val="0"/>
          <w:numId w:val="1005"/>
        </w:numPr>
      </w:pPr>
      <w:r>
        <w:t xml:space="preserve">METHODOLOGY</w:t>
      </w:r>
      <w:r>
        <w:t xml:space="preserve"> </w:t>
      </w:r>
      <w:r>
        <w:t xml:space="preserve">To identify, analyse and recommend the issues needing of additional guidance for</w:t>
      </w:r>
      <w:r>
        <w:t xml:space="preserve"> </w:t>
      </w:r>
      <w:r>
        <w:t xml:space="preserve">strengthening air quality monitoring, modelling and plans, a set of 15 specific questions were</w:t>
      </w:r>
      <w:r>
        <w:t xml:space="preserve"> </w:t>
      </w:r>
      <w:r>
        <w:t xml:space="preserve">defined which guided the whole exercise. The questions were grouped into four topic areas:</w:t>
      </w:r>
      <w:r>
        <w:t xml:space="preserve"> </w:t>
      </w:r>
      <w:r>
        <w:t xml:space="preserve">monitoring, modelling, planning, and general aspects as follows:</w:t>
      </w:r>
      <w:r>
        <w:t xml:space="preserve"> </w:t>
      </w:r>
      <w:r>
        <w:t xml:space="preserve">[Q1 - (general) administrative burden] What scope is there to reduce the administrative</w:t>
      </w:r>
      <w:r>
        <w:t xml:space="preserve"> </w:t>
      </w:r>
      <w:r>
        <w:t xml:space="preserve">burden and improve the efficiency of air quality assessments, thus addressing the instances</w:t>
      </w:r>
      <w:r>
        <w:t xml:space="preserve"> </w:t>
      </w:r>
      <w:r>
        <w:t xml:space="preserve">with scope for simplification and burden reduction potential as identified in the Fitness</w:t>
      </w:r>
      <w:r>
        <w:t xml:space="preserve"> </w:t>
      </w:r>
      <w:r>
        <w:t xml:space="preserve">Check? What specific changes are needed for this?</w:t>
      </w:r>
      <w:r>
        <w:t xml:space="preserve"> </w:t>
      </w:r>
      <w:r>
        <w:t xml:space="preserve">[Q2 - (general) air quality assessment regimes] In view of how Member States establish,</w:t>
      </w:r>
      <w:r>
        <w:t xml:space="preserve"> </w:t>
      </w:r>
      <w:r>
        <w:t xml:space="preserve">review and update air quality zoning, applicable assessment regimes, as well as classification</w:t>
      </w:r>
      <w:r>
        <w:t xml:space="preserve"> </w:t>
      </w:r>
      <w:r>
        <w:t xml:space="preserve">of zones, what scope is there to make this more transparent, especially in air quality zones</w:t>
      </w:r>
      <w:r>
        <w:t xml:space="preserve"> </w:t>
      </w:r>
      <w:r>
        <w:t xml:space="preserve">with a limited number of monitoring stations?</w:t>
      </w:r>
      <w:r>
        <w:t xml:space="preserve"> </w:t>
      </w:r>
      <w:r>
        <w:t xml:space="preserve">[Q3 - (monitoring) micro- and macro-scale siting of sampling points] In view of how Member</w:t>
      </w:r>
      <w:r>
        <w:t xml:space="preserve"> </w:t>
      </w:r>
      <w:r>
        <w:t xml:space="preserve">States ensure adequate monitoring in areas within zones and agglomerations where the</w:t>
      </w:r>
      <w:r>
        <w:t xml:space="preserve"> </w:t>
      </w:r>
      <w:r>
        <w:t xml:space="preserve">highest concentrations occur, especially around, close to or downwind from key point</w:t>
      </w:r>
      <w:r>
        <w:t xml:space="preserve"> </w:t>
      </w:r>
      <w:r>
        <w:t xml:space="preserve">sources, are there significant assessment gaps related to these and what can be done?</w:t>
      </w:r>
      <w:r>
        <w:t xml:space="preserve"> </w:t>
      </w:r>
      <w:r>
        <w:t xml:space="preserve">[Q4 - (monitoring) representativeness and continuity of monitoring] In view of how Member</w:t>
      </w:r>
      <w:r>
        <w:t xml:space="preserve"> </w:t>
      </w:r>
      <w:r>
        <w:t xml:space="preserve">States ensure adequate monitoring to reliably assess average exposure indicators (for fine</w:t>
      </w:r>
      <w:r>
        <w:t xml:space="preserve"> </w:t>
      </w:r>
      <w:r>
        <w:t xml:space="preserve">particulate matter), how can the representativeness of sampling points and continuity of</w:t>
      </w:r>
      <w:r>
        <w:t xml:space="preserve"> </w:t>
      </w:r>
      <w:r>
        <w:t xml:space="preserve">monitoring be ensured for particulate matter and would aligned requirements improve the</w:t>
      </w:r>
      <w:r>
        <w:t xml:space="preserve"> </w:t>
      </w:r>
      <w:r>
        <w:t xml:space="preserve">assessment of other air pollutants with exceedances?</w:t>
      </w:r>
      <w:r>
        <w:t xml:space="preserve"> </w:t>
      </w:r>
      <w:r>
        <w:t xml:space="preserve">[Q5 - (monitoring) monitoring other air pollutants] Are Member States monitoring the</w:t>
      </w:r>
      <w:r>
        <w:t xml:space="preserve"> </w:t>
      </w:r>
      <w:r>
        <w:t xml:space="preserve">concentration levels of air pollutants not covered by the AAQ Directives? If so, how, where,</w:t>
      </w:r>
      <w:r>
        <w:t xml:space="preserve"> </w:t>
      </w:r>
      <w:r>
        <w:t xml:space="preserve">against which data quality objectives – and what is the scope to harmonise this?</w:t>
      </w:r>
      <w:r>
        <w:t xml:space="preserve"> </w:t>
      </w:r>
      <w:r>
        <w:t xml:space="preserve">[Q6 - (monitoring / modelling) air quality assessment methods)] What role do</w:t>
      </w:r>
      <w:r>
        <w:t xml:space="preserve"> </w:t>
      </w:r>
      <w:r>
        <w:t xml:space="preserve">complementary assessment methods (i.e. modelling, indicative measurements, objective</w:t>
      </w:r>
      <w:r>
        <w:t xml:space="preserve"> </w:t>
      </w:r>
      <w:r>
        <w:t xml:space="preserve">estimation, satellite measurements and low-cost sensors) play in the air quality assessment</w:t>
      </w:r>
      <w:r>
        <w:t xml:space="preserve"> </w:t>
      </w:r>
      <w:r>
        <w:t xml:space="preserve">regimes applied in different Member States? Is there a need for more guidance?</w:t>
      </w:r>
    </w:p>
    <w:p>
      <w:pPr>
        <w:pStyle w:val="FirstParagraph"/>
      </w:pPr>
      <w:r>
        <w:t xml:space="preserve">268</w:t>
      </w:r>
    </w:p>
    <w:p>
      <w:pPr>
        <w:pStyle w:val="BodyText"/>
      </w:pPr>
      <w:r>
        <w:t xml:space="preserve">[Q7 - (modelling) enhanced role of air quality modelling] What role does modelling play in</w:t>
      </w:r>
      <w:r>
        <w:t xml:space="preserve"> </w:t>
      </w:r>
      <w:r>
        <w:t xml:space="preserve">the air quality assessment regimes applied in different Member States? Is there a need for</w:t>
      </w:r>
      <w:r>
        <w:t xml:space="preserve"> </w:t>
      </w:r>
      <w:r>
        <w:t xml:space="preserve">guidance and for further harmonisation?</w:t>
      </w:r>
      <w:r>
        <w:t xml:space="preserve"> </w:t>
      </w:r>
      <w:r>
        <w:t xml:space="preserve">[Q8 - (modelling) improving quality of air quality modelling] Where air quality modelling is</w:t>
      </w:r>
      <w:r>
        <w:t xml:space="preserve"> </w:t>
      </w:r>
      <w:r>
        <w:t xml:space="preserve">used in air quality assessment regimes, which modelling quality objectives are applied? Is</w:t>
      </w:r>
      <w:r>
        <w:t xml:space="preserve"> </w:t>
      </w:r>
      <w:r>
        <w:t xml:space="preserve">there a need for, and scope to specify these further? Is more comprehensive guidance on the</w:t>
      </w:r>
      <w:r>
        <w:t xml:space="preserve"> </w:t>
      </w:r>
      <w:r>
        <w:t xml:space="preserve">use of modelling (for example on fitness-for purpose, on, on modelling data quality</w:t>
      </w:r>
      <w:r>
        <w:t xml:space="preserve"> </w:t>
      </w:r>
      <w:r>
        <w:t xml:space="preserve">objectives) needed and, if so, what should such guidance cover?</w:t>
      </w:r>
      <w:r>
        <w:t xml:space="preserve"> </w:t>
      </w:r>
      <w:r>
        <w:t xml:space="preserve">[Q9 - (air quality plans) elements of air quality plans] In view of how do competent</w:t>
      </w:r>
      <w:r>
        <w:t xml:space="preserve"> </w:t>
      </w:r>
      <w:r>
        <w:t xml:space="preserve">authorities in Member States fulfil the requirements for an air quality plan as per Annex XV</w:t>
      </w:r>
      <w:r>
        <w:t xml:space="preserve"> </w:t>
      </w:r>
      <w:r>
        <w:t xml:space="preserve">of Directive 2008/50/EC, which elements are considered essential, less essential or missing</w:t>
      </w:r>
      <w:r>
        <w:t xml:space="preserve"> </w:t>
      </w:r>
      <w:r>
        <w:t xml:space="preserve">to ensure an effective air quality plan?</w:t>
      </w:r>
      <w:r>
        <w:br/>
      </w:r>
      <w:r>
        <w:t xml:space="preserve">[Q10 - (air quality plans) role of modelling to support air quality plans] Where air quality</w:t>
      </w:r>
      <w:r>
        <w:t xml:space="preserve"> </w:t>
      </w:r>
      <w:r>
        <w:t xml:space="preserve">modelling is used to support plans which approaches are applied? Is there a need for more</w:t>
      </w:r>
      <w:r>
        <w:t xml:space="preserve"> </w:t>
      </w:r>
      <w:r>
        <w:t xml:space="preserve">guidance on the use of such approaches? Is there a need for, and scope to specify quality</w:t>
      </w:r>
      <w:r>
        <w:t xml:space="preserve"> </w:t>
      </w:r>
      <w:r>
        <w:t xml:space="preserve">objectives (or benchmarks) for these approaches?</w:t>
      </w:r>
      <w:r>
        <w:t xml:space="preserve"> </w:t>
      </w:r>
      <w:r>
        <w:t xml:space="preserve">[Q11 - (air quality plans) air quality plan development process and engagement] Who are</w:t>
      </w:r>
      <w:r>
        <w:t xml:space="preserve"> </w:t>
      </w:r>
      <w:r>
        <w:t xml:space="preserve">the main actors and stakeholders during the process of setting up an air quality plan in</w:t>
      </w:r>
      <w:r>
        <w:t xml:space="preserve"> </w:t>
      </w:r>
      <w:r>
        <w:t xml:space="preserve">different Member States, and to what extent have they control and enforcement powers to</w:t>
      </w:r>
      <w:r>
        <w:t xml:space="preserve"> </w:t>
      </w:r>
      <w:r>
        <w:t xml:space="preserve">ensure implementation? What further requirements would be effective?</w:t>
      </w:r>
      <w:r>
        <w:br/>
      </w:r>
      <w:r>
        <w:t xml:space="preserve">[Q12 - (air quality plans) ex-ante impact, costs and effectiveness of air quality plans] How do</w:t>
      </w:r>
      <w:r>
        <w:t xml:space="preserve"> </w:t>
      </w:r>
      <w:r>
        <w:t xml:space="preserve">competent authorities in Member States estimate the improvements in air quality expected</w:t>
      </w:r>
      <w:r>
        <w:t xml:space="preserve"> </w:t>
      </w:r>
      <w:r>
        <w:t xml:space="preserve">due to air quality plans? Is there scope for further requirements in relation to ex-ante</w:t>
      </w:r>
      <w:r>
        <w:t xml:space="preserve"> </w:t>
      </w:r>
      <w:r>
        <w:t xml:space="preserve">impacts and cost estimates to increase effectiveness of air quality plans?</w:t>
      </w:r>
      <w:r>
        <w:t xml:space="preserve"> </w:t>
      </w:r>
      <w:r>
        <w:t xml:space="preserve">[Q13 - (air quality plans) ex-post assessments of impacts and costs of air quality plans] Do</w:t>
      </w:r>
      <w:r>
        <w:t xml:space="preserve"> </w:t>
      </w:r>
      <w:r>
        <w:t xml:space="preserve">competent authorities in Member States monitor and evaluate the effects and costs of air</w:t>
      </w:r>
      <w:r>
        <w:t xml:space="preserve"> </w:t>
      </w:r>
      <w:r>
        <w:t xml:space="preserve">quality plans during and after their implementation? Is there scope for further requirements</w:t>
      </w:r>
      <w:r>
        <w:t xml:space="preserve"> </w:t>
      </w:r>
      <w:r>
        <w:t xml:space="preserve">in relation to ex-post assessment of impacts and costs to increase effectiveness of air quality</w:t>
      </w:r>
      <w:r>
        <w:t xml:space="preserve"> </w:t>
      </w:r>
      <w:r>
        <w:t xml:space="preserve">plans?</w:t>
      </w:r>
      <w:r>
        <w:br/>
      </w:r>
      <w:r>
        <w:t xml:space="preserve">[Q14 - (general) public access to air quality data] How do competent authorities in Member</w:t>
      </w:r>
      <w:r>
        <w:t xml:space="preserve"> </w:t>
      </w:r>
      <w:r>
        <w:t xml:space="preserve">States communicate with the public on and involve them in air quality matters, and</w:t>
      </w:r>
      <w:r>
        <w:t xml:space="preserve"> </w:t>
      </w:r>
      <w:r>
        <w:t xml:space="preserve">specifically: how do they provide access to air quality data? How is the public informed</w:t>
      </w:r>
      <w:r>
        <w:t xml:space="preserve"> </w:t>
      </w:r>
      <w:r>
        <w:t xml:space="preserve">about long and short term health risks of air pollution? Is there need for good practice</w:t>
      </w:r>
      <w:r>
        <w:t xml:space="preserve"> </w:t>
      </w:r>
      <w:r>
        <w:t xml:space="preserve">guidance?</w:t>
      </w:r>
      <w:r>
        <w:t xml:space="preserve"> </w:t>
      </w:r>
      <w:r>
        <w:t xml:space="preserve">Q15 - (general) External factors. How do competent authorities in Member States calculate</w:t>
      </w:r>
      <w:r>
        <w:t xml:space="preserve"> </w:t>
      </w:r>
      <w:r>
        <w:t xml:space="preserve">external factors contributing to the worsening of air quality in their monitoring, modelling</w:t>
      </w:r>
      <w:r>
        <w:t xml:space="preserve"> </w:t>
      </w:r>
      <w:r>
        <w:t xml:space="preserve">and planning activities? How do they facto these sources into air quality planning processes?</w:t>
      </w:r>
    </w:p>
    <w:p>
      <w:pPr>
        <w:pStyle w:val="BodyText"/>
      </w:pPr>
      <w:r>
        <w:t xml:space="preserve">269</w:t>
      </w:r>
    </w:p>
    <w:p>
      <w:pPr>
        <w:pStyle w:val="BodyText"/>
      </w:pPr>
      <w:r>
        <w:t xml:space="preserve">To analyse the above-mentioned topics and be able to propose solutions for strengthening air</w:t>
      </w:r>
      <w:r>
        <w:t xml:space="preserve"> </w:t>
      </w:r>
      <w:r>
        <w:t xml:space="preserve">quality monitoring, modelling and plans, the following steps were taken divided in two</w:t>
      </w:r>
      <w:r>
        <w:t xml:space="preserve"> </w:t>
      </w:r>
      <w:r>
        <w:t xml:space="preserve">phases with the following activities included:</w:t>
      </w:r>
      <w:r>
        <w:t xml:space="preserve"> </w:t>
      </w:r>
      <w:r>
        <w:t xml:space="preserve">Phase 1: Scoping, mapping and analysis</w:t>
      </w:r>
      <w:r>
        <w:t xml:space="preserve"> </w:t>
      </w:r>
      <w:r>
        <w:t xml:space="preserve">1. Identification of key issues related to implementation of the provisions for air quality</w:t>
      </w:r>
      <w:r>
        <w:t xml:space="preserve"> </w:t>
      </w:r>
      <w:r>
        <w:t xml:space="preserve">monitoring, modelling and air quality plans that would benefit from a further technical</w:t>
      </w:r>
      <w:r>
        <w:t xml:space="preserve"> </w:t>
      </w:r>
      <w:r>
        <w:t xml:space="preserve">guidance document: a total of 271 literature sources were reviewed, of which 84 were</w:t>
      </w:r>
      <w:r>
        <w:t xml:space="preserve"> </w:t>
      </w:r>
      <w:r>
        <w:t xml:space="preserve">ranked of potential relevance to the task at hand.</w:t>
      </w:r>
      <w:r>
        <w:t xml:space="preserve"> </w:t>
      </w:r>
      <w:r>
        <w:t xml:space="preserve">2. Consultation with experts, practitioners and other stakeholders on how the provisions on</w:t>
      </w:r>
      <w:r>
        <w:t xml:space="preserve"> </w:t>
      </w:r>
      <w:r>
        <w:t xml:space="preserve">air quality monitoring, modelling and air quality plans have been implemented, where</w:t>
      </w:r>
      <w:r>
        <w:t xml:space="preserve"> </w:t>
      </w:r>
      <w:r>
        <w:t xml:space="preserve">they are subject to interpretation and how their implementation could be further</w:t>
      </w:r>
      <w:r>
        <w:t xml:space="preserve"> </w:t>
      </w:r>
      <w:r>
        <w:t xml:space="preserve">improved. This included an expert consultation that received 107 responses representing</w:t>
      </w:r>
      <w:r>
        <w:t xml:space="preserve"> </w:t>
      </w:r>
      <w:r>
        <w:t xml:space="preserve">23 Member States, four interviews of those Member States that had not responded to the</w:t>
      </w:r>
      <w:r>
        <w:t xml:space="preserve"> </w:t>
      </w:r>
      <w:r>
        <w:t xml:space="preserve">expert consultation and the organisation of focus groups to deepen on the understanding</w:t>
      </w:r>
      <w:r>
        <w:t xml:space="preserve"> </w:t>
      </w:r>
      <w:r>
        <w:t xml:space="preserve">of the issues identified as well as receiving feedback on the first solutions proposed.</w:t>
      </w:r>
      <w:r>
        <w:t xml:space="preserve"> </w:t>
      </w:r>
      <w:r>
        <w:t xml:space="preserve">Additional inputs to the evidence base were also considered, such as those coming from a</w:t>
      </w:r>
      <w:r>
        <w:t xml:space="preserve"> </w:t>
      </w:r>
      <w:r>
        <w:t xml:space="preserve">workshop hosted by the Commission on 20 April 2021. The workshop engaged the</w:t>
      </w:r>
      <w:r>
        <w:t xml:space="preserve"> </w:t>
      </w:r>
      <w:r>
        <w:t xml:space="preserve">members of the Ambient Air Quality Expert Group to specifically discuss air quality</w:t>
      </w:r>
      <w:r>
        <w:t xml:space="preserve"> </w:t>
      </w:r>
      <w:r>
        <w:t xml:space="preserve">assessments and assessment regimes highlighting guidance needs, and improvement</w:t>
      </w:r>
      <w:r>
        <w:t xml:space="preserve"> </w:t>
      </w:r>
      <w:r>
        <w:t xml:space="preserve">potential.82</w:t>
      </w:r>
      <w:r>
        <w:t xml:space="preserve"> </w:t>
      </w:r>
      <w:r>
        <w:t xml:space="preserve">3. Mapping and analysis of established practice across Member States for several specific</w:t>
      </w:r>
      <w:r>
        <w:t xml:space="preserve"> </w:t>
      </w:r>
      <w:r>
        <w:t xml:space="preserve">issues related to the implementation of provisions for air quality monitoring, modelling,</w:t>
      </w:r>
      <w:r>
        <w:t xml:space="preserve"> </w:t>
      </w:r>
      <w:r>
        <w:t xml:space="preserve">and air quality plans.</w:t>
      </w:r>
      <w:r>
        <w:t xml:space="preserve"> </w:t>
      </w:r>
      <w:r>
        <w:t xml:space="preserve">The stakeholder engagement activities of phase 1 concluded with the identification of</w:t>
      </w:r>
      <w:r>
        <w:t xml:space="preserve"> </w:t>
      </w:r>
      <w:r>
        <w:t xml:space="preserve">72 technical issues that stakeholders are currently facing when implementing the Ambient Air</w:t>
      </w:r>
      <w:r>
        <w:t xml:space="preserve"> </w:t>
      </w:r>
      <w:r>
        <w:t xml:space="preserve">Quality Directives.</w:t>
      </w:r>
      <w:r>
        <w:br/>
      </w:r>
      <w:r>
        <w:t xml:space="preserve">Phase 2: Assessing the impacts of technical suggestions and recommendations for future</w:t>
      </w:r>
      <w:r>
        <w:t xml:space="preserve"> </w:t>
      </w:r>
      <w:r>
        <w:t xml:space="preserve">1. To address these 72 technical issues, 42 potential technical solutions were formulated,</w:t>
      </w:r>
      <w:r>
        <w:t xml:space="preserve"> </w:t>
      </w:r>
      <w:r>
        <w:t xml:space="preserve">which could subsequently take the form of elements for technical guidance documents.</w:t>
      </w:r>
      <w:r>
        <w:t xml:space="preserve"> </w:t>
      </w:r>
      <w:r>
        <w:t xml:space="preserve">The technical solutions were elaborated considering their respective consequences, their</w:t>
      </w:r>
      <w:r>
        <w:t xml:space="preserve"> </w:t>
      </w:r>
      <w:r>
        <w:t xml:space="preserve">relevance, effectiveness, efficiency and coherence, as well as estimates of how long it</w:t>
      </w:r>
      <w:r>
        <w:t xml:space="preserve"> </w:t>
      </w:r>
      <w:r>
        <w:t xml:space="preserve">would take to implement the possible modifications and the likelihood of their success</w:t>
      </w:r>
      <w:r>
        <w:t xml:space="preserve"> </w:t>
      </w:r>
      <w:r>
        <w:t xml:space="preserve">(including in the absence of legislative changes).</w:t>
      </w:r>
      <w:r>
        <w:br/>
      </w:r>
      <w:r>
        <w:t xml:space="preserve">2. The impacts of the different technical suggestions (including costs and efficiency gains)</w:t>
      </w:r>
      <w:r>
        <w:t xml:space="preserve"> </w:t>
      </w:r>
      <w:r>
        <w:t xml:space="preserve">to strengthen the monitoring, modelling and air quality plans’ provisions were assessed,</w:t>
      </w:r>
      <w:r>
        <w:t xml:space="preserve"> </w:t>
      </w:r>
      <w:r>
        <w:t xml:space="preserve">as well as a quantification of any reduction potential for the administrative burden. To</w:t>
      </w:r>
      <w:r>
        <w:t xml:space="preserve"> </w:t>
      </w:r>
      <w:r>
        <w:t xml:space="preserve">undertake this, a logic framework was developed to compare the evidence gathered for</w:t>
      </w:r>
    </w:p>
    <w:p>
      <w:pPr>
        <w:pStyle w:val="BodyText"/>
      </w:pPr>
      <w:r>
        <w:t xml:space="preserve">82 The workshop was attended by 40 experts from 25 Member States and from DG ENV (6), JRC (2), EEA (3)</w:t>
      </w:r>
      <w:r>
        <w:t xml:space="preserve"> </w:t>
      </w:r>
      <w:r>
        <w:t xml:space="preserve">and ETC (1), plus 4 invited external experts.</w:t>
      </w:r>
    </w:p>
    <w:p>
      <w:pPr>
        <w:pStyle w:val="BodyText"/>
      </w:pPr>
      <w:r>
        <w:t xml:space="preserve">270</w:t>
      </w:r>
    </w:p>
    <w:p>
      <w:pPr>
        <w:pStyle w:val="BodyText"/>
      </w:pPr>
      <w:r>
        <w:t xml:space="preserve">each of the potential technical solutions. The result allowed for a comparative assessment</w:t>
      </w:r>
      <w:r>
        <w:t xml:space="preserve"> </w:t>
      </w:r>
      <w:r>
        <w:t xml:space="preserve">of the 42 potential technical solutions.</w:t>
      </w:r>
      <w:r>
        <w:t xml:space="preserve"> </w:t>
      </w:r>
      <w:r>
        <w:t xml:space="preserve">3. As the last step a thorough review of existing technical guidance documents was done to</w:t>
      </w:r>
      <w:r>
        <w:t xml:space="preserve"> </w:t>
      </w:r>
      <w:r>
        <w:t xml:space="preserve">identify those that would need to be replaced or reviewed; and which new technical</w:t>
      </w:r>
      <w:r>
        <w:t xml:space="preserve"> </w:t>
      </w:r>
      <w:r>
        <w:t xml:space="preserve">guidance documents would need to be elaborated to allow the implementation of the</w:t>
      </w:r>
      <w:r>
        <w:t xml:space="preserve"> </w:t>
      </w:r>
      <w:r>
        <w:t xml:space="preserve">technical solutions. Potential technical solutions deemed to have a low likelihood of</w:t>
      </w:r>
      <w:r>
        <w:t xml:space="preserve"> </w:t>
      </w:r>
      <w:r>
        <w:t xml:space="preserve">success without changes to existing provisions were not considered in this last step.</w:t>
      </w:r>
      <w:r>
        <w:t xml:space="preserve"> </w:t>
      </w:r>
      <w:r>
        <w:t xml:space="preserve">3.</w:t>
      </w:r>
      <w:r>
        <w:t xml:space="preserve"> </w:t>
      </w:r>
      <w:r>
        <w:t xml:space="preserve">TECHNICAL GUIDANCE DOCUMENTS</w:t>
      </w:r>
      <w:r>
        <w:t xml:space="preserve"> </w:t>
      </w:r>
      <w:r>
        <w:t xml:space="preserve">Most of the currently available technical guidance documents require updates to bring them</w:t>
      </w:r>
      <w:r>
        <w:t xml:space="preserve"> </w:t>
      </w:r>
      <w:r>
        <w:t xml:space="preserve">in line with the current practice and knowledge, and to allow implementation of the technical</w:t>
      </w:r>
      <w:r>
        <w:t xml:space="preserve"> </w:t>
      </w:r>
      <w:r>
        <w:t xml:space="preserve">solutions; or require the full replacement by new technical guidance documents.</w:t>
      </w:r>
      <w:r>
        <w:br/>
      </w:r>
      <w:r>
        <w:t xml:space="preserve">Eight core technical guidance documents are recommended for future development by the</w:t>
      </w:r>
      <w:r>
        <w:t xml:space="preserve"> </w:t>
      </w:r>
      <w:r>
        <w:t xml:space="preserve">European Commission in close cooperation with experts from AQUILA (for monitoring</w:t>
      </w:r>
      <w:r>
        <w:t xml:space="preserve"> </w:t>
      </w:r>
      <w:r>
        <w:t xml:space="preserve">related guidance), FAIRMODE (for modelling related guidance) and the members of the</w:t>
      </w:r>
      <w:r>
        <w:t xml:space="preserve"> </w:t>
      </w:r>
      <w:r>
        <w:t xml:space="preserve">Ambient Air Quality Expert Group:</w:t>
      </w:r>
      <w:r>
        <w:br/>
      </w:r>
      <w:r>
        <w:t xml:space="preserve">A. Technical guidance document on air quality assessment in air quality zones.</w:t>
      </w:r>
      <w:r>
        <w:br/>
      </w:r>
      <w:r>
        <w:t xml:space="preserve">EU air quality legislation requires Member States to designate air quality zones and report</w:t>
      </w:r>
      <w:r>
        <w:t xml:space="preserve"> </w:t>
      </w:r>
      <w:r>
        <w:t xml:space="preserve">their corresponding air quality data to the European Commission. The Commission’s</w:t>
      </w:r>
      <w:r>
        <w:t xml:space="preserve"> </w:t>
      </w:r>
      <w:r>
        <w:t xml:space="preserve">Implementing Decision 2011/850/EU stipulates in Article 6 the information on zones and</w:t>
      </w:r>
      <w:r>
        <w:t xml:space="preserve"> </w:t>
      </w:r>
      <w:r>
        <w:t xml:space="preserve">agglomerations that need to be made available by the Member States. The available guidance</w:t>
      </w:r>
      <w:r>
        <w:t xml:space="preserve"> </w:t>
      </w:r>
      <w:r>
        <w:t xml:space="preserve">on the Commission’s Implementing Decision specifies how and when air quality zones are to</w:t>
      </w:r>
      <w:r>
        <w:t xml:space="preserve"> </w:t>
      </w:r>
      <w:r>
        <w:t xml:space="preserve">be reported while the guidance on their definition and the methods to be used in their</w:t>
      </w:r>
      <w:r>
        <w:t xml:space="preserve"> </w:t>
      </w:r>
      <w:r>
        <w:t xml:space="preserve">identification is provided in the Guidance on the Assessment under EU Air Quality</w:t>
      </w:r>
      <w:r>
        <w:t xml:space="preserve"> </w:t>
      </w:r>
      <w:r>
        <w:t xml:space="preserve">Directives.83</w:t>
      </w:r>
      <w:r>
        <w:br/>
      </w:r>
      <w:r>
        <w:t xml:space="preserve">The proposal is to develop a technical guidance document to replace the current and outdated</w:t>
      </w:r>
      <w:r>
        <w:t xml:space="preserve"> </w:t>
      </w:r>
      <w:r>
        <w:t xml:space="preserve">Guidance on the Assessment under EU Air Quality Directives.</w:t>
      </w:r>
      <w:r>
        <w:br/>
      </w:r>
      <w:r>
        <w:t xml:space="preserve">Such new technical guidance document should focus on air quality zones and methodologies</w:t>
      </w:r>
      <w:r>
        <w:t xml:space="preserve"> </w:t>
      </w:r>
      <w:r>
        <w:t xml:space="preserve">used for their determination - identifying the additional requirements necessary for their</w:t>
      </w:r>
      <w:r>
        <w:t xml:space="preserve"> </w:t>
      </w:r>
      <w:r>
        <w:t xml:space="preserve">application for different air quality management purposes. This technical guidance document</w:t>
      </w:r>
      <w:r>
        <w:t xml:space="preserve"> </w:t>
      </w:r>
      <w:r>
        <w:t xml:space="preserve">could specify that the definition of air quality zones applies for all assessment purposes</w:t>
      </w:r>
      <w:r>
        <w:t xml:space="preserve"> </w:t>
      </w:r>
      <w:r>
        <w:t xml:space="preserve">concerning monitoring, modelling, and air quality plans. It could also identify methods to be</w:t>
      </w:r>
      <w:r>
        <w:t xml:space="preserve"> </w:t>
      </w:r>
      <w:r>
        <w:t xml:space="preserve">applied so that the zones can be used for all assessment purposes. Such technical guidance</w:t>
      </w:r>
      <w:r>
        <w:t xml:space="preserve"> </w:t>
      </w:r>
      <w:r>
        <w:t xml:space="preserve">document could clarify whether air quality modelling and plans are needed for a whole air</w:t>
      </w:r>
      <w:r>
        <w:t xml:space="preserve"> </w:t>
      </w:r>
      <w:r>
        <w:t xml:space="preserve">quality zone or only at hot spot areas within the air quality zone, thus addressing the technical</w:t>
      </w:r>
      <w:r>
        <w:t xml:space="preserve"> </w:t>
      </w:r>
      <w:r>
        <w:t xml:space="preserve">issues identified.</w:t>
      </w:r>
    </w:p>
    <w:p>
      <w:pPr>
        <w:pStyle w:val="BodyText"/>
      </w:pPr>
      <w:r>
        <w:t xml:space="preserve">83 COM (2022), Guidance on Assessment under the EU Air Quality Directives Final (accessed: 04.08.2022)</w:t>
      </w:r>
    </w:p>
    <w:p>
      <w:pPr>
        <w:pStyle w:val="BodyText"/>
      </w:pPr>
      <w:r>
        <w:t xml:space="preserve">271</w:t>
      </w:r>
    </w:p>
    <w:p>
      <w:pPr>
        <w:pStyle w:val="BodyText"/>
      </w:pPr>
      <w:r>
        <w:t xml:space="preserve">This new technical guidance on air quality assessment in air quality zones encompasses most</w:t>
      </w:r>
      <w:r>
        <w:t xml:space="preserve"> </w:t>
      </w:r>
      <w:r>
        <w:t xml:space="preserve">guidance topics identified as necessary to support assessment purposes concerning</w:t>
      </w:r>
      <w:r>
        <w:t xml:space="preserve"> </w:t>
      </w:r>
      <w:r>
        <w:t xml:space="preserve">monitoring, modelling, and air quality plans, which description follows.</w:t>
      </w:r>
      <w:r>
        <w:br/>
      </w:r>
      <w:r>
        <w:t xml:space="preserve">B. Technical guidance document on exceedance and exposure indicators.</w:t>
      </w:r>
      <w:r>
        <w:br/>
      </w:r>
      <w:r>
        <w:t xml:space="preserve">The document should provide a clear and transparent outline of how to derive and report the</w:t>
      </w:r>
      <w:r>
        <w:t xml:space="preserve"> </w:t>
      </w:r>
      <w:r>
        <w:t xml:space="preserve">relevant exceedance and exposure situation indicators (ESI) and the type of input data to be</w:t>
      </w:r>
      <w:r>
        <w:t xml:space="preserve"> </w:t>
      </w:r>
      <w:r>
        <w:t xml:space="preserve">used in the process to harmonise these indicators for different air quality zones, regions and at</w:t>
      </w:r>
      <w:r>
        <w:t xml:space="preserve"> </w:t>
      </w:r>
      <w:r>
        <w:t xml:space="preserve">Member State level.</w:t>
      </w:r>
      <w:r>
        <w:t xml:space="preserve"> </w:t>
      </w:r>
      <w:r>
        <w:t xml:space="preserve">This proposed new technical guidance document may rely on a tiered approach that allows</w:t>
      </w:r>
      <w:r>
        <w:t xml:space="preserve"> </w:t>
      </w:r>
      <w:r>
        <w:t xml:space="preserve">the combination of fixed measurements, modelling results and indicative measurements to</w:t>
      </w:r>
      <w:r>
        <w:t xml:space="preserve"> </w:t>
      </w:r>
      <w:r>
        <w:t xml:space="preserve">calculate different exceedance and exposure situation indicators (see also E. Technical</w:t>
      </w:r>
      <w:r>
        <w:t xml:space="preserve"> </w:t>
      </w:r>
      <w:r>
        <w:t xml:space="preserve">guidance document on the tiered approach of assessment methods), as well as on the by</w:t>
      </w:r>
      <w:r>
        <w:t xml:space="preserve"> </w:t>
      </w:r>
      <w:r>
        <w:t xml:space="preserve">FAIRMODE suggested two-stage assessment and reporting process.</w:t>
      </w:r>
      <w:r>
        <w:br/>
      </w:r>
      <w:r>
        <w:t xml:space="preserve">This new technical guidance document should therefore consider FAIRMODE activities in</w:t>
      </w:r>
      <w:r>
        <w:t xml:space="preserve"> </w:t>
      </w:r>
      <w:r>
        <w:t xml:space="preserve">relation to the calculation of exceedance and exposure indicators and their benchmarking</w:t>
      </w:r>
      <w:r>
        <w:t xml:space="preserve"> </w:t>
      </w:r>
      <w:r>
        <w:t xml:space="preserve">activities to identify best practices.</w:t>
      </w:r>
      <w:r>
        <w:t xml:space="preserve"> </w:t>
      </w:r>
      <w:r>
        <w:t xml:space="preserve">C. Technical guidance document on reference methods and data quality objectives for new</w:t>
      </w:r>
      <w:r>
        <w:t xml:space="preserve"> </w:t>
      </w:r>
      <w:r>
        <w:t xml:space="preserve">pollutants.</w:t>
      </w:r>
      <w:r>
        <w:br/>
      </w:r>
      <w:r>
        <w:t xml:space="preserve">This new technical guidance document would identify the methodologies recommended for</w:t>
      </w:r>
      <w:r>
        <w:t xml:space="preserve"> </w:t>
      </w:r>
      <w:r>
        <w:t xml:space="preserve">the measurement of additional pollutants that may be included in a revised Ambient Air</w:t>
      </w:r>
      <w:r>
        <w:t xml:space="preserve"> </w:t>
      </w:r>
      <w:r>
        <w:t xml:space="preserve">Quality Directive, specifying for each of the pollutants recommended reference methods,</w:t>
      </w:r>
      <w:r>
        <w:t xml:space="preserve"> </w:t>
      </w:r>
      <w:r>
        <w:t xml:space="preserve">equivalence methods and methods to establish compliance with their given data quality</w:t>
      </w:r>
      <w:r>
        <w:t xml:space="preserve"> </w:t>
      </w:r>
      <w:r>
        <w:t xml:space="preserve">objective. It would explain the purpose of monitoring the additional pollutants with respect to</w:t>
      </w:r>
      <w:r>
        <w:t xml:space="preserve"> </w:t>
      </w:r>
      <w:r>
        <w:t xml:space="preserve">health, ecosystems and climate impacts and explain the link with the legal monitoring and</w:t>
      </w:r>
      <w:r>
        <w:t xml:space="preserve"> </w:t>
      </w:r>
      <w:r>
        <w:t xml:space="preserve">reporting requirements.</w:t>
      </w:r>
      <w:r>
        <w:br/>
      </w:r>
      <w:r>
        <w:t xml:space="preserve">This new technical guidance document would also update the currently available Guidance</w:t>
      </w:r>
      <w:r>
        <w:t xml:space="preserve"> </w:t>
      </w:r>
      <w:r>
        <w:t xml:space="preserve">report on demonstration of equivalence of ambient air monitoring methods (2010)84 by</w:t>
      </w:r>
      <w:r>
        <w:t xml:space="preserve"> </w:t>
      </w:r>
      <w:r>
        <w:t xml:space="preserve">updating the reference methods of for the currently monitored pollutants, and addressing also</w:t>
      </w:r>
      <w:r>
        <w:t xml:space="preserve"> </w:t>
      </w:r>
      <w:r>
        <w:t xml:space="preserve">the methods needed for the use of indicative measurements.</w:t>
      </w:r>
      <w:r>
        <w:t xml:space="preserve"> </w:t>
      </w:r>
      <w:r>
        <w:t xml:space="preserve">This new technical guidance document would provide examples on good practices to reduce</w:t>
      </w:r>
      <w:r>
        <w:t xml:space="preserve"> </w:t>
      </w:r>
      <w:r>
        <w:t xml:space="preserve">the uncertainties related to variability and the representativeness of measurements and</w:t>
      </w:r>
      <w:r>
        <w:t xml:space="preserve"> </w:t>
      </w:r>
      <w:r>
        <w:t xml:space="preserve">provide direct support to fulfilling legal monitoring and reporting requirements.</w:t>
      </w:r>
    </w:p>
    <w:p>
      <w:pPr>
        <w:pStyle w:val="BodyText"/>
      </w:pPr>
      <w:r>
        <w:t xml:space="preserve">84 COM (2010), Guidance report on demonstration of equivalence of ambient air monitoring methods</w:t>
      </w:r>
      <w:r>
        <w:t xml:space="preserve"> </w:t>
      </w:r>
      <w:r>
        <w:t xml:space="preserve">(accessed: 04.08.2022)</w:t>
      </w:r>
    </w:p>
    <w:p>
      <w:pPr>
        <w:pStyle w:val="BodyText"/>
      </w:pPr>
      <w:r>
        <w:t xml:space="preserve">272</w:t>
      </w:r>
    </w:p>
    <w:p>
      <w:pPr>
        <w:pStyle w:val="BodyText"/>
      </w:pPr>
      <w:r>
        <w:t xml:space="preserve">It would enable monitoring experts in Member States to undertake comparable measurements</w:t>
      </w:r>
      <w:r>
        <w:t xml:space="preserve"> </w:t>
      </w:r>
      <w:r>
        <w:t xml:space="preserve">with specific data quality objectives in support for improved health, climate and ecosystem</w:t>
      </w:r>
      <w:r>
        <w:t xml:space="preserve"> </w:t>
      </w:r>
      <w:r>
        <w:t xml:space="preserve">impact assessments. This would lead to a harmonisation of additional monitoring</w:t>
      </w:r>
      <w:r>
        <w:t xml:space="preserve"> </w:t>
      </w:r>
      <w:r>
        <w:t xml:space="preserve">requirements and ensure a good standard of monitoring.</w:t>
      </w:r>
      <w:r>
        <w:t xml:space="preserve"> </w:t>
      </w:r>
      <w:r>
        <w:t xml:space="preserve">This new technical guidance document should consider other parallel activities ongoing such</w:t>
      </w:r>
      <w:r>
        <w:t xml:space="preserve"> </w:t>
      </w:r>
      <w:r>
        <w:t xml:space="preserve">as AQUILA’s position paper from Working Group 6 on additional pollutants and reference</w:t>
      </w:r>
      <w:r>
        <w:t xml:space="preserve"> </w:t>
      </w:r>
      <w:r>
        <w:t xml:space="preserve">methods, the outcome of the support contract on “Systematic assessment of monitoring of</w:t>
      </w:r>
      <w:r>
        <w:t xml:space="preserve"> </w:t>
      </w:r>
      <w:r>
        <w:t xml:space="preserve">other air pollutants not covered under Directives 2004/107/EC and 2008/50/EC (with a focus</w:t>
      </w:r>
      <w:r>
        <w:t xml:space="preserve"> </w:t>
      </w:r>
      <w:r>
        <w:t xml:space="preserve">on ultrafine particles, black carbon and ammonia)”, as well as various current activities</w:t>
      </w:r>
      <w:r>
        <w:t xml:space="preserve"> </w:t>
      </w:r>
      <w:r>
        <w:t xml:space="preserve">undertaken by the European Monitoring and Evaluation programme (EMEP), the Global</w:t>
      </w:r>
      <w:r>
        <w:t xml:space="preserve"> </w:t>
      </w:r>
      <w:r>
        <w:t xml:space="preserve">Atmosphere Watch Programme (GAW), the Aerosol, Clouds, and Trace Gases Research</w:t>
      </w:r>
      <w:r>
        <w:t xml:space="preserve"> </w:t>
      </w:r>
      <w:r>
        <w:t xml:space="preserve">Institute (ACTRIS) and the European Committee for Standardisation (CEN).</w:t>
      </w:r>
      <w:r>
        <w:t xml:space="preserve"> </w:t>
      </w:r>
      <w:r>
        <w:t xml:space="preserve">D. Technical guidance document on use of indicative measurements/low-cost sensors.</w:t>
      </w:r>
      <w:r>
        <w:br/>
      </w:r>
      <w:r>
        <w:t xml:space="preserve">This new technical guidance document would be designed for competent authorities involved</w:t>
      </w:r>
      <w:r>
        <w:t xml:space="preserve"> </w:t>
      </w:r>
      <w:r>
        <w:t xml:space="preserve">in the setup of monitoring campaigns to complement the fixed monitoring network or</w:t>
      </w:r>
      <w:r>
        <w:t xml:space="preserve"> </w:t>
      </w:r>
      <w:r>
        <w:t xml:space="preserve">validate model applications. The document would focus on the capabilities of various</w:t>
      </w:r>
      <w:r>
        <w:t xml:space="preserve"> </w:t>
      </w:r>
      <w:r>
        <w:t xml:space="preserve">complementary assessment methods, including indicative measurements and objective</w:t>
      </w:r>
      <w:r>
        <w:t xml:space="preserve"> </w:t>
      </w:r>
      <w:r>
        <w:t xml:space="preserve">estimation, and would clarify what method is fit for what purpose. An additional specific</w:t>
      </w:r>
      <w:r>
        <w:t xml:space="preserve"> </w:t>
      </w:r>
      <w:r>
        <w:t xml:space="preserve">technical advice document should be developed for the use of modelling systems in the</w:t>
      </w:r>
      <w:r>
        <w:t xml:space="preserve"> </w:t>
      </w:r>
      <w:r>
        <w:t xml:space="preserve">context of the Ambient Air Quality Directives. This technical guidance document would</w:t>
      </w:r>
      <w:r>
        <w:t xml:space="preserve"> </w:t>
      </w:r>
      <w:r>
        <w:t xml:space="preserve">primarily focus on measurement techniques.</w:t>
      </w:r>
      <w:r>
        <w:t xml:space="preserve"> </w:t>
      </w:r>
      <w:r>
        <w:t xml:space="preserve">From a monitoring perspective there is special interest in indicative measurements as robust,</w:t>
      </w:r>
      <w:r>
        <w:t xml:space="preserve"> </w:t>
      </w:r>
      <w:r>
        <w:t xml:space="preserve">reliable and rather low-cost complementary assessment method. Given the strong uptake of</w:t>
      </w:r>
      <w:r>
        <w:t xml:space="preserve"> </w:t>
      </w:r>
      <w:r>
        <w:t xml:space="preserve">low-cost sensors by society as well as by academia and environmental experts there is also a</w:t>
      </w:r>
      <w:r>
        <w:t xml:space="preserve"> </w:t>
      </w:r>
      <w:r>
        <w:t xml:space="preserve">need for additional guidance with respect to the deployment, characterisation of accuracy and</w:t>
      </w:r>
      <w:r>
        <w:t xml:space="preserve"> </w:t>
      </w:r>
      <w:r>
        <w:t xml:space="preserve">the use of low-cost sensors, sensor networks as a whole and its integration in modelling</w:t>
      </w:r>
      <w:r>
        <w:t xml:space="preserve"> </w:t>
      </w:r>
      <w:r>
        <w:t xml:space="preserve">applications.</w:t>
      </w:r>
      <w:r>
        <w:t xml:space="preserve"> </w:t>
      </w:r>
      <w:r>
        <w:t xml:space="preserve">Topics to include would be how to characterise and evaluate the accuracy of indicative</w:t>
      </w:r>
      <w:r>
        <w:t xml:space="preserve"> </w:t>
      </w:r>
      <w:r>
        <w:t xml:space="preserve">measurements and low-cost sensors, how to setup, deploy and maintain an effective network</w:t>
      </w:r>
      <w:r>
        <w:t xml:space="preserve"> </w:t>
      </w:r>
      <w:r>
        <w:t xml:space="preserve">of indicative measurements or low-cost sensors, and how to integrate sensor data in air</w:t>
      </w:r>
      <w:r>
        <w:t xml:space="preserve"> </w:t>
      </w:r>
      <w:r>
        <w:t xml:space="preserve">quality models to improve overall quality of the assessment maps.</w:t>
      </w:r>
      <w:r>
        <w:t xml:space="preserve"> </w:t>
      </w:r>
      <w:r>
        <w:t xml:space="preserve">The proposed technical guidance document should consider current ongoing activities</w:t>
      </w:r>
      <w:r>
        <w:t xml:space="preserve"> </w:t>
      </w:r>
      <w:r>
        <w:t xml:space="preserve">performed by the European Commission’s Joint Research Centre as regards low cost sensors,</w:t>
      </w:r>
      <w:r>
        <w:t xml:space="preserve"> </w:t>
      </w:r>
      <w:r>
        <w:t xml:space="preserve">FAIRMODE´s work under cross-cutting task (CT) 6 and AQUILA´s input to the revision</w:t>
      </w:r>
      <w:r>
        <w:t xml:space="preserve"> </w:t>
      </w:r>
      <w:r>
        <w:t xml:space="preserve">process under Working Group 4 on indicative measurements and objective estimation.</w:t>
      </w:r>
      <w:r>
        <w:t xml:space="preserve"> </w:t>
      </w:r>
      <w:r>
        <w:t xml:space="preserve">E. Technical guidance document on the tiered approach of assessment methods.</w:t>
      </w:r>
      <w:r>
        <w:br/>
      </w:r>
      <w:r>
        <w:t xml:space="preserve">In general, compliance checking under the Ambient Air Quality Directive is performed on the</w:t>
      </w:r>
      <w:r>
        <w:t xml:space="preserve"> </w:t>
      </w:r>
      <w:r>
        <w:t xml:space="preserve">basis of data collected in the fixed monitoring networks. Fixed measurements are the basis of</w:t>
      </w:r>
    </w:p>
    <w:p>
      <w:pPr>
        <w:pStyle w:val="BodyText"/>
      </w:pPr>
      <w:r>
        <w:t xml:space="preserve">273</w:t>
      </w:r>
    </w:p>
    <w:p>
      <w:pPr>
        <w:pStyle w:val="BodyText"/>
      </w:pPr>
      <w:r>
        <w:t xml:space="preserve">every monitoring network, installed following the requirements of the Ambient Air Quality</w:t>
      </w:r>
      <w:r>
        <w:t xml:space="preserve"> </w:t>
      </w:r>
      <w:r>
        <w:t xml:space="preserve">Directives. However, the use of additional methods such as indicative measurements,</w:t>
      </w:r>
      <w:r>
        <w:t xml:space="preserve"> </w:t>
      </w:r>
      <w:r>
        <w:t xml:space="preserve">modelling or objective estimation are used by competent authorities to complement fixed</w:t>
      </w:r>
      <w:r>
        <w:t xml:space="preserve"> </w:t>
      </w:r>
      <w:r>
        <w:t xml:space="preserve">monitoring data. This allows for a better understanding of air quality, and may have different</w:t>
      </w:r>
      <w:r>
        <w:t xml:space="preserve"> </w:t>
      </w:r>
      <w:r>
        <w:t xml:space="preserve">uses such as for the evaluation of the monitoring network in assessing air pollution or</w:t>
      </w:r>
      <w:r>
        <w:t xml:space="preserve"> </w:t>
      </w:r>
      <w:r>
        <w:t xml:space="preserve">sampling point representativeness. These data may also be reported to the European</w:t>
      </w:r>
      <w:r>
        <w:t xml:space="preserve"> </w:t>
      </w:r>
      <w:r>
        <w:t xml:space="preserve">Commission via the e-Reporting system for compliance purposes.</w:t>
      </w:r>
      <w:r>
        <w:t xml:space="preserve"> </w:t>
      </w:r>
      <w:r>
        <w:t xml:space="preserve">Such technical guidance document would clarify the tiered approach that is recommended for</w:t>
      </w:r>
      <w:r>
        <w:t xml:space="preserve"> </w:t>
      </w:r>
      <w:r>
        <w:t xml:space="preserve">use for these assessment purposes. The tiered approach ranges from:</w:t>
      </w:r>
      <w:r>
        <w:t xml:space="preserve"> </w:t>
      </w:r>
      <w:r>
        <w:t xml:space="preserve">-</w:t>
      </w:r>
      <w:r>
        <w:t xml:space="preserve"> </w:t>
      </w:r>
      <w:r>
        <w:t xml:space="preserve">Tier 1: the use of expert opinion;</w:t>
      </w:r>
      <w:r>
        <w:br/>
      </w:r>
      <w:r>
        <w:t xml:space="preserve">-</w:t>
      </w:r>
      <w:r>
        <w:t xml:space="preserve"> </w:t>
      </w:r>
      <w:r>
        <w:t xml:space="preserve">Tier 2: the use of proxy data or specific measurement campaign data;</w:t>
      </w:r>
      <w:r>
        <w:br/>
      </w:r>
      <w:r>
        <w:t xml:space="preserve">-</w:t>
      </w:r>
      <w:r>
        <w:t xml:space="preserve"> </w:t>
      </w:r>
      <w:r>
        <w:t xml:space="preserve">Tier 3: the application of fit-for-purpose modelling systems;</w:t>
      </w:r>
      <w:r>
        <w:br/>
      </w:r>
      <w:r>
        <w:t xml:space="preserve">-</w:t>
      </w:r>
      <w:r>
        <w:t xml:space="preserve"> </w:t>
      </w:r>
      <w:r>
        <w:t xml:space="preserve">Tier 4: the application of modelling systems complemented with additional measurement</w:t>
      </w:r>
      <w:r>
        <w:t xml:space="preserve"> </w:t>
      </w:r>
      <w:r>
        <w:t xml:space="preserve">data to further improve the quality of the assessment results.</w:t>
      </w:r>
      <w:r>
        <w:t xml:space="preserve"> </w:t>
      </w:r>
      <w:r>
        <w:t xml:space="preserve">For each of the tiers a proper description of its complexity level and the added value would</w:t>
      </w:r>
      <w:r>
        <w:t xml:space="preserve"> </w:t>
      </w:r>
      <w:r>
        <w:t xml:space="preserve">be described together with a related quality assurance/quality control (QA/QC) process.</w:t>
      </w:r>
      <w:r>
        <w:t xml:space="preserve"> </w:t>
      </w:r>
      <w:r>
        <w:t xml:space="preserve">For the elaboration of this technical guidance document the results of the European</w:t>
      </w:r>
      <w:r>
        <w:t xml:space="preserve"> </w:t>
      </w:r>
      <w:r>
        <w:t xml:space="preserve">Commission’s support contract ‘SR5 Sensitivity and feasibility tests for a tiered approach -</w:t>
      </w:r>
      <w:r>
        <w:t xml:space="preserve"> </w:t>
      </w:r>
      <w:r>
        <w:t xml:space="preserve">Assessing the spatial representativeness of air quality sampling points’, as well as</w:t>
      </w:r>
      <w:r>
        <w:t xml:space="preserve"> </w:t>
      </w:r>
      <w:r>
        <w:t xml:space="preserve">FAIRMODE´s work under CT8 on monitoring design and AQUILA´s position paper for the</w:t>
      </w:r>
      <w:r>
        <w:t xml:space="preserve"> </w:t>
      </w:r>
      <w:r>
        <w:t xml:space="preserve">revision under Working Group 3 should be considered.</w:t>
      </w:r>
      <w:r>
        <w:t xml:space="preserve"> </w:t>
      </w:r>
      <w:r>
        <w:t xml:space="preserve">F. Technical guidance document on the use of models.</w:t>
      </w:r>
      <w:r>
        <w:br/>
      </w:r>
      <w:r>
        <w:t xml:space="preserve">This technical guidance document would clarify the purpose and the role of modelling for its</w:t>
      </w:r>
      <w:r>
        <w:t xml:space="preserve"> </w:t>
      </w:r>
      <w:r>
        <w:t xml:space="preserve">various application domains under the Ambient Air Quality Directive such as for</w:t>
      </w:r>
      <w:r>
        <w:t xml:space="preserve"> </w:t>
      </w:r>
      <w:r>
        <w:t xml:space="preserve">complementary assessment; estimation of exceedance situation indicators; estimation of</w:t>
      </w:r>
      <w:r>
        <w:t xml:space="preserve"> </w:t>
      </w:r>
      <w:r>
        <w:t xml:space="preserve">spatial representativeness of monitoring stations; evaluation of monitoring network design,</w:t>
      </w:r>
      <w:r>
        <w:t xml:space="preserve"> </w:t>
      </w:r>
      <w:r>
        <w:t xml:space="preserve">estimation of population exposure; short term forecasting; near real time mapping; source</w:t>
      </w:r>
      <w:r>
        <w:t xml:space="preserve"> </w:t>
      </w:r>
      <w:r>
        <w:t xml:space="preserve">apportionment and assessment of natural and long range transport contributions or air quality</w:t>
      </w:r>
      <w:r>
        <w:t xml:space="preserve"> </w:t>
      </w:r>
      <w:r>
        <w:t xml:space="preserve">planning.</w:t>
      </w:r>
      <w:r>
        <w:t xml:space="preserve"> </w:t>
      </w:r>
      <w:r>
        <w:t xml:space="preserve">This technical guidance document would cover topics such as how to apply modelling</w:t>
      </w:r>
      <w:r>
        <w:t xml:space="preserve"> </w:t>
      </w:r>
      <w:r>
        <w:t xml:space="preserve">systems in the various contexts of the Ambient Air Quality Directive, an QA/QC Protocol</w:t>
      </w:r>
      <w:r>
        <w:t xml:space="preserve"> </w:t>
      </w:r>
      <w:r>
        <w:t xml:space="preserve">with recommendations to guarantee overall quality of modelling applications, including the</w:t>
      </w:r>
      <w:r>
        <w:t xml:space="preserve"> </w:t>
      </w:r>
      <w:r>
        <w:t xml:space="preserve">minimum number of stations for robust model validation, criteria to evaluate the overall</w:t>
      </w:r>
      <w:r>
        <w:t xml:space="preserve"> </w:t>
      </w:r>
      <w:r>
        <w:t xml:space="preserve">fitness-for-purpose of modelling applications in the context of the Ambient Air Quality</w:t>
      </w:r>
      <w:r>
        <w:t xml:space="preserve"> </w:t>
      </w:r>
      <w:r>
        <w:t xml:space="preserve">Directives, information on the appropriate spatial resolution of models for the various</w:t>
      </w:r>
      <w:r>
        <w:t xml:space="preserve"> </w:t>
      </w:r>
      <w:r>
        <w:t xml:space="preserve">purposes, and information on the fitness-for-purpose of modelling tools for source</w:t>
      </w:r>
      <w:r>
        <w:t xml:space="preserve"> </w:t>
      </w:r>
      <w:r>
        <w:t xml:space="preserve">apportionment.</w:t>
      </w:r>
      <w:r>
        <w:t xml:space="preserve"> </w:t>
      </w:r>
      <w:r>
        <w:t xml:space="preserve">For the elaboration of this document, the following activities and reports should be</w:t>
      </w:r>
      <w:r>
        <w:t xml:space="preserve"> </w:t>
      </w:r>
      <w:r>
        <w:t xml:space="preserve">considered: FAIRMODE´s work under CT2 for recommendations for QA/QC Protocol,</w:t>
      </w:r>
      <w:r>
        <w:t xml:space="preserve"> </w:t>
      </w:r>
      <w:r>
        <w:t xml:space="preserve">recommendations regarding modelling applications within the scope of the Ambient Air</w:t>
      </w:r>
    </w:p>
    <w:p>
      <w:pPr>
        <w:pStyle w:val="BodyText"/>
      </w:pPr>
      <w:r>
        <w:t xml:space="preserve">274</w:t>
      </w:r>
    </w:p>
    <w:p>
      <w:pPr>
        <w:pStyle w:val="BodyText"/>
      </w:pPr>
      <w:r>
        <w:t xml:space="preserve">Quality Directives report on ‘Source apportionment to support air quality management</w:t>
      </w:r>
      <w:r>
        <w:t xml:space="preserve"> </w:t>
      </w:r>
      <w:r>
        <w:t xml:space="preserve">practices’,85 and the ‘Guidance Document on Modelling Quality Objectives and</w:t>
      </w:r>
      <w:r>
        <w:t xml:space="preserve"> </w:t>
      </w:r>
      <w:r>
        <w:t xml:space="preserve">Benchmarking’.86</w:t>
      </w:r>
      <w:r>
        <w:br/>
      </w:r>
      <w:r>
        <w:t xml:space="preserve">It is to be noted as well that there is currently no consensus in the modelling community</w:t>
      </w:r>
      <w:r>
        <w:t xml:space="preserve"> </w:t>
      </w:r>
      <w:r>
        <w:t xml:space="preserve">regarding the definition of fitness-for-purpose, the modelling setup for planning and</w:t>
      </w:r>
      <w:r>
        <w:t xml:space="preserve"> </w:t>
      </w:r>
      <w:r>
        <w:t xml:space="preserve">validation of models in planning modus. This presents a challenge and may require</w:t>
      </w:r>
      <w:r>
        <w:t xml:space="preserve"> </w:t>
      </w:r>
      <w:r>
        <w:t xml:space="preserve">intensified discussions in the modelling community to solve these issues as soon as possible.</w:t>
      </w:r>
      <w:r>
        <w:t xml:space="preserve"> </w:t>
      </w:r>
      <w:r>
        <w:t xml:space="preserve">G. Technical guidance document on preparing air quality plans.</w:t>
      </w:r>
      <w:r>
        <w:br/>
      </w:r>
      <w:r>
        <w:t xml:space="preserve">This technical guidance document would be designed for competent authorities responsible</w:t>
      </w:r>
      <w:r>
        <w:t xml:space="preserve"> </w:t>
      </w:r>
      <w:r>
        <w:t xml:space="preserve">for preparing and updating air quality plans either at a national or local level, or both. It</w:t>
      </w:r>
      <w:r>
        <w:t xml:space="preserve"> </w:t>
      </w:r>
      <w:r>
        <w:t xml:space="preserve">would aim to provide information for a successful preparation of air quality plans to increase</w:t>
      </w:r>
      <w:r>
        <w:t xml:space="preserve"> </w:t>
      </w:r>
      <w:r>
        <w:t xml:space="preserve">the effectiveness, efficiency and coherence of air quality plans and ultimately result in air</w:t>
      </w:r>
      <w:r>
        <w:t xml:space="preserve"> </w:t>
      </w:r>
      <w:r>
        <w:t xml:space="preserve">quality standards being respected in the shortest time possible.</w:t>
      </w:r>
      <w:r>
        <w:t xml:space="preserve"> </w:t>
      </w:r>
      <w:r>
        <w:t xml:space="preserve">The topics addressed would be governance and coordination, policy linkages to ensure policy</w:t>
      </w:r>
      <w:r>
        <w:t xml:space="preserve"> </w:t>
      </w:r>
      <w:r>
        <w:t xml:space="preserve">coherence, the process of plan development from the analysis of the exceedance situation,</w:t>
      </w:r>
      <w:r>
        <w:t xml:space="preserve"> </w:t>
      </w:r>
      <w:r>
        <w:t xml:space="preserve">source apportionment, developing a long list of possible measures to improve air quality in</w:t>
      </w:r>
      <w:r>
        <w:t xml:space="preserve"> </w:t>
      </w:r>
      <w:r>
        <w:t xml:space="preserve">consultation with stakeholders, screening to a short list of measures and assessing their</w:t>
      </w:r>
      <w:r>
        <w:t xml:space="preserve"> </w:t>
      </w:r>
      <w:r>
        <w:t xml:space="preserve">impact to develop a preferred policy option to implement. This technical guidance document</w:t>
      </w:r>
      <w:r>
        <w:t xml:space="preserve"> </w:t>
      </w:r>
      <w:r>
        <w:t xml:space="preserve">would assist competent authorities on technical aspects of assessment and elaborate the</w:t>
      </w:r>
      <w:r>
        <w:t xml:space="preserve"> </w:t>
      </w:r>
      <w:r>
        <w:t xml:space="preserve">importance of consultation and communication during the preparation and implementation</w:t>
      </w:r>
      <w:r>
        <w:t xml:space="preserve"> </w:t>
      </w:r>
      <w:r>
        <w:t xml:space="preserve">phase. The technical guidance document would also elaborate post implementation</w:t>
      </w:r>
      <w:r>
        <w:t xml:space="preserve"> </w:t>
      </w:r>
      <w:r>
        <w:t xml:space="preserve">assessment of the realised impacts under a monitoring and evaluation phase.</w:t>
      </w:r>
      <w:r>
        <w:t xml:space="preserve"> </w:t>
      </w:r>
      <w:r>
        <w:t xml:space="preserve">This technical guidance document should consider the current work by FAIRMODE CT5</w:t>
      </w:r>
      <w:r>
        <w:t xml:space="preserve"> </w:t>
      </w:r>
      <w:r>
        <w:t xml:space="preserve">working group preparing a best practice guide for local and regional air quality management,</w:t>
      </w:r>
      <w:r>
        <w:t xml:space="preserve"> </w:t>
      </w:r>
      <w:r>
        <w:t xml:space="preserve">and the ‘Catalogue of Air Quality Measures’87 being hosted and managed by the European</w:t>
      </w:r>
      <w:r>
        <w:t xml:space="preserve"> </w:t>
      </w:r>
      <w:r>
        <w:t xml:space="preserve">Commission’s Joint Research Centre.</w:t>
      </w:r>
      <w:r>
        <w:t xml:space="preserve"> </w:t>
      </w:r>
      <w:r>
        <w:t xml:space="preserve">H. Technical guidance document on air quality management best practice (governance</w:t>
      </w:r>
      <w:r>
        <w:t xml:space="preserve"> </w:t>
      </w:r>
      <w:r>
        <w:t xml:space="preserve">and communication).</w:t>
      </w:r>
      <w:r>
        <w:br/>
      </w:r>
      <w:r>
        <w:t xml:space="preserve">This technical guidance document would target the problematics concerning governance</w:t>
      </w:r>
      <w:r>
        <w:t xml:space="preserve"> </w:t>
      </w:r>
      <w:r>
        <w:t xml:space="preserve">levels and responsibilities, and communication to the public. The main topics addressed</w:t>
      </w:r>
      <w:r>
        <w:t xml:space="preserve"> </w:t>
      </w:r>
      <w:r>
        <w:t xml:space="preserve">would be the responsibilities at various government levels regarding the implementation of</w:t>
      </w:r>
      <w:r>
        <w:t xml:space="preserve"> </w:t>
      </w:r>
      <w:r>
        <w:t xml:space="preserve">the Ambient Air Quality Directives, how to effectively communicate between national and</w:t>
      </w:r>
      <w:r>
        <w:t xml:space="preserve"> </w:t>
      </w:r>
      <w:r>
        <w:t xml:space="preserve">lower levels of government for an effective implementation, how to communicate to the</w:t>
      </w:r>
    </w:p>
    <w:p>
      <w:pPr>
        <w:pStyle w:val="BodyText"/>
      </w:pPr>
      <w:r>
        <w:t xml:space="preserve">85 Fairmode (2019), Source apportionment to support air quality management practices (accessed 01.06.2022)</w:t>
      </w:r>
      <w:r>
        <w:t xml:space="preserve"> </w:t>
      </w:r>
      <w:r>
        <w:t xml:space="preserve">86 Fairmode (2020), Guidance Document on Modelling Quality Objectives and Benchmarking (accessed</w:t>
      </w:r>
      <w:r>
        <w:t xml:space="preserve"> </w:t>
      </w:r>
      <w:r>
        <w:t xml:space="preserve">01.06.2022)</w:t>
      </w:r>
      <w:r>
        <w:t xml:space="preserve"> </w:t>
      </w:r>
      <w:r>
        <w:t xml:space="preserve">87 JRC (2022), Catalogue of Air Quality Measures (accessed 01.06.2022)</w:t>
      </w:r>
    </w:p>
    <w:p>
      <w:pPr>
        <w:pStyle w:val="BodyText"/>
      </w:pPr>
      <w:r>
        <w:t xml:space="preserve">275</w:t>
      </w:r>
    </w:p>
    <w:p>
      <w:pPr>
        <w:pStyle w:val="BodyText"/>
      </w:pPr>
      <w:r>
        <w:t xml:space="preserve">public on the most critical air quality information, how to engage the general public in air</w:t>
      </w:r>
      <w:r>
        <w:t xml:space="preserve"> </w:t>
      </w:r>
      <w:r>
        <w:t xml:space="preserve">quality planning, how to share information among municipalities / regions within a country</w:t>
      </w:r>
      <w:r>
        <w:t xml:space="preserve"> </w:t>
      </w:r>
      <w:r>
        <w:t xml:space="preserve">and with other Member States, and how to cooperate with health authorities.</w:t>
      </w:r>
      <w:r>
        <w:t xml:space="preserve"> </w:t>
      </w:r>
      <w:r>
        <w:t xml:space="preserve">4.</w:t>
      </w:r>
      <w:r>
        <w:t xml:space="preserve"> </w:t>
      </w:r>
      <w:r>
        <w:t xml:space="preserve">CONCLUSIONS</w:t>
      </w:r>
      <w:r>
        <w:br/>
      </w:r>
      <w:r>
        <w:t xml:space="preserve">To summarise, these eight core technical guidance documents described previously would</w:t>
      </w:r>
      <w:r>
        <w:t xml:space="preserve"> </w:t>
      </w:r>
      <w:r>
        <w:t xml:space="preserve">replace the existing documents as follows:</w:t>
      </w:r>
      <w:r>
        <w:t xml:space="preserve"> </w:t>
      </w:r>
      <w:r>
        <w:t xml:space="preserve"> Guidance report on preliminary assessment under EC air quality directives (1998) -</w:t>
      </w:r>
      <w:r>
        <w:t xml:space="preserve"> </w:t>
      </w:r>
      <w:r>
        <w:t xml:space="preserve">replaced by new technical guidance document under A.</w:t>
      </w:r>
      <w:r>
        <w:t xml:space="preserve"> </w:t>
      </w:r>
      <w:r>
        <w:t xml:space="preserve"> Guidance on Assessment under the EU Ambient Air Quality Directive - replaced by new</w:t>
      </w:r>
      <w:r>
        <w:t xml:space="preserve"> </w:t>
      </w:r>
      <w:r>
        <w:t xml:space="preserve">technical guidance document under A, plus embedded linkages to technical guidance</w:t>
      </w:r>
      <w:r>
        <w:t xml:space="preserve"> </w:t>
      </w:r>
      <w:r>
        <w:t xml:space="preserve">document under B, D, E, F, G and H.</w:t>
      </w:r>
      <w:r>
        <w:t xml:space="preserve"> </w:t>
      </w:r>
      <w:r>
        <w:t xml:space="preserve"> Necessity to prepare action plans to reduce the duration of exceedances of alert thresholds</w:t>
      </w:r>
      <w:r>
        <w:t xml:space="preserve"> </w:t>
      </w:r>
      <w:r>
        <w:t xml:space="preserve">(Art 7(3), 96/62/EC) - Note by the CAFE-Working group on Implementation Nr. 2003/1 -</w:t>
      </w:r>
      <w:r>
        <w:t xml:space="preserve"> </w:t>
      </w:r>
      <w:r>
        <w:t xml:space="preserve">replaced by new technical guidance document under G.</w:t>
      </w:r>
      <w:r>
        <w:t xml:space="preserve"> </w:t>
      </w:r>
      <w:r>
        <w:t xml:space="preserve">In addition to these eight core technical guidance document, several existing guidance are</w:t>
      </w:r>
      <w:r>
        <w:t xml:space="preserve"> </w:t>
      </w:r>
      <w:r>
        <w:t xml:space="preserve">recommended for review:</w:t>
      </w:r>
      <w:r>
        <w:br/>
      </w:r>
      <w:r>
        <w:t xml:space="preserve"> Guidance on the Commission Implementing Decision laying down rules for Directives</w:t>
      </w:r>
      <w:r>
        <w:t xml:space="preserve"> </w:t>
      </w:r>
      <w:r>
        <w:t xml:space="preserve">2004/107/EC and 2008/50/EC of the European Parliament and of the Council as regards</w:t>
      </w:r>
      <w:r>
        <w:t xml:space="preserve"> </w:t>
      </w:r>
      <w:r>
        <w:t xml:space="preserve">the reciprocal exchange of information and reporting on ambient air.</w:t>
      </w:r>
      <w:r>
        <w:t xml:space="preserve"> </w:t>
      </w:r>
      <w:r>
        <w:t xml:space="preserve"> Guidance on air quality assessment around point sources under the under the EU Air</w:t>
      </w:r>
      <w:r>
        <w:t xml:space="preserve"> </w:t>
      </w:r>
      <w:r>
        <w:t xml:space="preserve">Quality Directive 2008/50/EC.</w:t>
      </w:r>
      <w:r>
        <w:t xml:space="preserve"> </w:t>
      </w:r>
      <w:r>
        <w:t xml:space="preserve"> Guidance report on demonstration of equivalence of ambient air monitoring methods</w:t>
      </w:r>
      <w:r>
        <w:t xml:space="preserve"> </w:t>
      </w:r>
      <w:r>
        <w:t xml:space="preserve">(2010). This may also be included under the new suggested technical guidance document</w:t>
      </w:r>
      <w:r>
        <w:t xml:space="preserve"> </w:t>
      </w:r>
      <w:r>
        <w:t xml:space="preserve">under B.</w:t>
      </w:r>
      <w:r>
        <w:t xml:space="preserve"> </w:t>
      </w:r>
      <w:r>
        <w:t xml:space="preserve"> Commission Staff Working Paper - Guidelines for the agreements on setting up common</w:t>
      </w:r>
      <w:r>
        <w:t xml:space="preserve"> </w:t>
      </w:r>
      <w:r>
        <w:t xml:space="preserve">measuring stations for PM2.5, SEC(2011) 77.</w:t>
      </w:r>
      <w:r>
        <w:t xml:space="preserve"> </w:t>
      </w:r>
      <w:r>
        <w:t xml:space="preserve"> Commission Staff Working Paper - Guidelines for determination of contributions from</w:t>
      </w:r>
      <w:r>
        <w:t xml:space="preserve"> </w:t>
      </w:r>
      <w:r>
        <w:t xml:space="preserve">the re-suspension of particulates following winter sanding or salting of roads,</w:t>
      </w:r>
      <w:r>
        <w:t xml:space="preserve"> </w:t>
      </w:r>
      <w:r>
        <w:t xml:space="preserve">SEC(2011) 207.</w:t>
      </w:r>
      <w:r>
        <w:t xml:space="preserve"> </w:t>
      </w:r>
      <w:r>
        <w:t xml:space="preserve"> Commission Staff Working Paper - Guidelines for demonstration and subtraction of</w:t>
      </w:r>
      <w:r>
        <w:t xml:space="preserve"> </w:t>
      </w:r>
      <w:r>
        <w:t xml:space="preserve">exceedances attributable to natural, SEC(2011) 208 final.</w:t>
      </w:r>
    </w:p>
    <w:p>
      <w:pPr>
        <w:pStyle w:val="BodyText"/>
      </w:pPr>
      <w:r>
        <w:t xml:space="preserve">276</w:t>
      </w:r>
    </w:p>
    <w:p>
      <w:pPr>
        <w:pStyle w:val="BodyText"/>
      </w:pPr>
      <w:r>
        <w:t xml:space="preserve">ANNEX 8: EU CLEAN AIR POLICY</w:t>
      </w:r>
      <w:r>
        <w:t xml:space="preserve"> </w:t>
      </w:r>
      <w:r>
        <w:t xml:space="preserve">1.</w:t>
      </w:r>
      <w:r>
        <w:t xml:space="preserve"> </w:t>
      </w:r>
      <w:r>
        <w:t xml:space="preserve">OVERVIEW</w:t>
      </w:r>
      <w:r>
        <w:t xml:space="preserve"> </w:t>
      </w:r>
      <w:r>
        <w:t xml:space="preserve">EU clean air policy rests on three main pillars.</w:t>
      </w:r>
      <w:r>
        <w:t xml:space="preserve"> </w:t>
      </w:r>
      <w:r>
        <w:t xml:space="preserve">The first pillar comprises air quality management as regulated by the Ambient Air Quality</w:t>
      </w:r>
      <w:r>
        <w:t xml:space="preserve"> </w:t>
      </w:r>
      <w:r>
        <w:t xml:space="preserve">Directives (2008/50/EC and 2004/107/EC), which contain standards for the concentration</w:t>
      </w:r>
      <w:r>
        <w:t xml:space="preserve"> </w:t>
      </w:r>
      <w:r>
        <w:t xml:space="preserve">levels of 12 air pollutants88 in ambient air and the obligation for Member States to adopt</w:t>
      </w:r>
      <w:r>
        <w:t xml:space="preserve"> </w:t>
      </w:r>
      <w:r>
        <w:t xml:space="preserve">effective air quality plans if limits are exceeded. As per the European Green Deal, the</w:t>
      </w:r>
      <w:r>
        <w:t xml:space="preserve"> </w:t>
      </w:r>
      <w:r>
        <w:t xml:space="preserve">European Commission will propose a revised Ambient Air Quality Directive in 2022.</w:t>
      </w:r>
      <w:r>
        <w:t xml:space="preserve"> </w:t>
      </w:r>
      <w:r>
        <w:t xml:space="preserve">The second pillar consists of air pollution control through emission reduction obligations</w:t>
      </w:r>
      <w:r>
        <w:t xml:space="preserve"> </w:t>
      </w:r>
      <w:r>
        <w:t xml:space="preserve">established in Directive (EU) 2016/2284 on the reduction of national emissions of certain</w:t>
      </w:r>
      <w:r>
        <w:t xml:space="preserve"> </w:t>
      </w:r>
      <w:r>
        <w:t xml:space="preserve">atmospheric pollutants (the NEC Directive) for five air pollutants89 that contribute to</w:t>
      </w:r>
      <w:r>
        <w:t xml:space="preserve"> </w:t>
      </w:r>
      <w:r>
        <w:t xml:space="preserve">transboundary air pollution in particular. The NEC Directive establishes national emission</w:t>
      </w:r>
      <w:r>
        <w:t xml:space="preserve"> </w:t>
      </w:r>
      <w:r>
        <w:t xml:space="preserve">reduction obligations for 2020 to 2029, and more ambitious ones from 2030 onward, and</w:t>
      </w:r>
      <w:r>
        <w:t xml:space="preserve"> </w:t>
      </w:r>
      <w:r>
        <w:t xml:space="preserve">obliges Member States to adopt and regularly update National Air Pollution Control</w:t>
      </w:r>
      <w:r>
        <w:t xml:space="preserve"> </w:t>
      </w:r>
      <w:r>
        <w:t xml:space="preserve">Programmes (NAPCPs).</w:t>
      </w:r>
      <w:r>
        <w:t xml:space="preserve"> </w:t>
      </w:r>
      <w:r>
        <w:t xml:space="preserve">The third pillar comprises emission standards for key sources of pollution, from vehicle and</w:t>
      </w:r>
      <w:r>
        <w:t xml:space="preserve"> </w:t>
      </w:r>
      <w:r>
        <w:t xml:space="preserve">ship emissions to energy and industry, agricultural practices and consumer products. The</w:t>
      </w:r>
      <w:r>
        <w:t xml:space="preserve"> </w:t>
      </w:r>
      <w:r>
        <w:t xml:space="preserve">European Green Deal has proposed making source policies more ambitious, including in the</w:t>
      </w:r>
      <w:r>
        <w:t xml:space="preserve"> </w:t>
      </w:r>
      <w:r>
        <w:t xml:space="preserve">context of the “Fit for 55” package, the proposal for a revised Industrial Emissions</w:t>
      </w:r>
      <w:r>
        <w:t xml:space="preserve"> </w:t>
      </w:r>
      <w:r>
        <w:t xml:space="preserve">Directive90 and the upcoming one for a Euro 7 emission standard for road vehicles91, as well</w:t>
      </w:r>
      <w:r>
        <w:t xml:space="preserve"> </w:t>
      </w:r>
      <w:r>
        <w:t xml:space="preserve">as the Zero Pollution Action Plan.</w:t>
      </w:r>
      <w:r>
        <w:br/>
      </w:r>
      <w:r>
        <w:t xml:space="preserve">2.</w:t>
      </w:r>
      <w:r>
        <w:t xml:space="preserve"> </w:t>
      </w:r>
      <w:r>
        <w:t xml:space="preserve">AIR QUALITY MANAGEMENT</w:t>
      </w:r>
      <w:r>
        <w:br/>
      </w:r>
      <w:r>
        <w:t xml:space="preserve">The Ambient Air Quality Directives regulate air quality management along four main</w:t>
      </w:r>
      <w:r>
        <w:t xml:space="preserve"> </w:t>
      </w:r>
      <w:r>
        <w:t xml:space="preserve">strands.</w:t>
      </w:r>
      <w:r>
        <w:br/>
      </w:r>
      <w:r>
        <w:t xml:space="preserve">First, the Directives define common methods and criteria to assess air quality in all Member</w:t>
      </w:r>
      <w:r>
        <w:t xml:space="preserve"> </w:t>
      </w:r>
      <w:r>
        <w:t xml:space="preserve">States in a comparable and reliable manner: Member States must designate zones and</w:t>
      </w:r>
      <w:r>
        <w:t xml:space="preserve"> </w:t>
      </w:r>
      <w:r>
        <w:t xml:space="preserve">agglomerations throughout their territory, classify them according to prescribed assessment</w:t>
      </w:r>
    </w:p>
    <w:p>
      <w:pPr>
        <w:pStyle w:val="BodyText"/>
      </w:pPr>
      <w:r>
        <w:t xml:space="preserve">88 These are: particulate matter (PM2.5 and PM10), nitrogen dioxide (NO2, including NOx), ozone (O3), sulphur</w:t>
      </w:r>
      <w:r>
        <w:t xml:space="preserve"> </w:t>
      </w:r>
      <w:r>
        <w:t xml:space="preserve">dioxide (SO2), carbon monoxide (CO), benzene (C6H6), benzo(a)pyrene (BaP), lead (Pb), arsenic (As),</w:t>
      </w:r>
      <w:r>
        <w:t xml:space="preserve"> </w:t>
      </w:r>
      <w:r>
        <w:t xml:space="preserve">cadmium (Cd), nickel (Ni).</w:t>
      </w:r>
      <w:r>
        <w:t xml:space="preserve"> </w:t>
      </w:r>
      <w:r>
        <w:t xml:space="preserve">89 These are: sulphur dioxide (SO2), nitrogen oxides (NOx), non-methane volatile organic compounds</w:t>
      </w:r>
      <w:r>
        <w:t xml:space="preserve"> </w:t>
      </w:r>
      <w:r>
        <w:t xml:space="preserve">(NMVOC), ammonia (NH3) and fine particulate matter (PM2.5)</w:t>
      </w:r>
      <w:r>
        <w:t xml:space="preserve"> </w:t>
      </w:r>
      <w:r>
        <w:t xml:space="preserve">90 COM (2022), Proposal for a Directive amending Directive 2010/75/EU (accessed 04.08.2022)</w:t>
      </w:r>
      <w:r>
        <w:t xml:space="preserve"> </w:t>
      </w:r>
      <w:r>
        <w:t xml:space="preserve">91 COM (2022), European vehicle emissions standards – Euro 7 for cars, vans, lorries and buses (accessed</w:t>
      </w:r>
      <w:r>
        <w:t xml:space="preserve"> </w:t>
      </w:r>
      <w:r>
        <w:t xml:space="preserve">04.08.2022)</w:t>
      </w:r>
    </w:p>
    <w:p>
      <w:pPr>
        <w:pStyle w:val="BodyText"/>
      </w:pPr>
      <w:r>
        <w:t xml:space="preserve">277</w:t>
      </w:r>
    </w:p>
    <w:p>
      <w:pPr>
        <w:pStyle w:val="BodyText"/>
      </w:pPr>
      <w:r>
        <w:t xml:space="preserve">thresholds, and provide air quality assessments underpinned by (fixed or indicative)</w:t>
      </w:r>
      <w:r>
        <w:t xml:space="preserve"> </w:t>
      </w:r>
      <w:r>
        <w:t xml:space="preserve">measurement, modelling and/or objective estimation, or a combination of these.</w:t>
      </w:r>
      <w:r>
        <w:t xml:space="preserve"> </w:t>
      </w:r>
      <w:r>
        <w:t xml:space="preserve">Second, the Directives establish objectives and standards for ambient air quality for 12 air</w:t>
      </w:r>
      <w:r>
        <w:t xml:space="preserve"> </w:t>
      </w:r>
      <w:r>
        <w:t xml:space="preserve">pollutants to be attained by all Member States across their territories against timelines laid out</w:t>
      </w:r>
      <w:r>
        <w:t xml:space="preserve"> </w:t>
      </w:r>
      <w:r>
        <w:t xml:space="preserve">in the Directives. These are: particulate matter (PM2.5 and PM10), nitrogen dioxide (NO2,</w:t>
      </w:r>
      <w:r>
        <w:t xml:space="preserve"> </w:t>
      </w:r>
      <w:r>
        <w:t xml:space="preserve">including NOx), ozone (O3), sulphur dioxide (SO2), carbon monoxide (CO), benzene (C6H6),</w:t>
      </w:r>
      <w:r>
        <w:t xml:space="preserve"> </w:t>
      </w:r>
      <w:r>
        <w:t xml:space="preserve">benzo(a)pyrene (BaP), lead (Pb), arsenic (As), cadmium (Cd), nickel (Ni) (see Table 8.1).92</w:t>
      </w:r>
      <w:r>
        <w:br/>
      </w:r>
      <w:r>
        <w:t xml:space="preserve">Table A8.1 – EU air quality standards for different pollutants according to the Ambient Air Quality Directives</w:t>
      </w:r>
      <w:r>
        <w:t xml:space="preserve"> </w:t>
      </w:r>
      <w:r>
        <w:t xml:space="preserve">Pollutant</w:t>
      </w:r>
      <w:r>
        <w:t xml:space="preserve"> </w:t>
      </w:r>
      <w:r>
        <w:t xml:space="preserve">Concentration</w:t>
      </w:r>
      <w:r>
        <w:t xml:space="preserve"> </w:t>
      </w:r>
      <w:r>
        <w:t xml:space="preserve">Averaging</w:t>
      </w:r>
      <w:r>
        <w:t xml:space="preserve"> </w:t>
      </w:r>
      <w:r>
        <w:t xml:space="preserve">period</w:t>
      </w:r>
      <w:r>
        <w:t xml:space="preserve"> </w:t>
      </w:r>
      <w:r>
        <w:t xml:space="preserve">Legal nature</w:t>
      </w:r>
      <w:r>
        <w:br/>
      </w:r>
      <w:r>
        <w:t xml:space="preserve">Date entering</w:t>
      </w:r>
      <w:r>
        <w:t xml:space="preserve"> </w:t>
      </w:r>
      <w:r>
        <w:t xml:space="preserve">into force</w:t>
      </w:r>
      <w:r>
        <w:t xml:space="preserve"> </w:t>
      </w:r>
      <w:r>
        <w:t xml:space="preserve">Permitted</w:t>
      </w:r>
      <w:r>
        <w:t xml:space="preserve"> </w:t>
      </w:r>
      <w:r>
        <w:t xml:space="preserve">exceedances</w:t>
      </w:r>
      <w:r>
        <w:t xml:space="preserve"> </w:t>
      </w:r>
      <w:r>
        <w:t xml:space="preserve">each year</w:t>
      </w:r>
      <w:r>
        <w:t xml:space="preserve"> </w:t>
      </w:r>
      <w:r>
        <w:t xml:space="preserve">Sulphur</w:t>
      </w:r>
      <w:r>
        <w:t xml:space="preserve"> </w:t>
      </w:r>
      <w:r>
        <w:t xml:space="preserve">dioxide (SO2)</w:t>
      </w:r>
      <w:r>
        <w:t xml:space="preserve"> </w:t>
      </w:r>
      <w:r>
        <w:t xml:space="preserve">350 µg/m3</w:t>
      </w:r>
      <w:r>
        <w:t xml:space="preserve"> </w:t>
      </w:r>
      <w:r>
        <w:t xml:space="preserve">1 hour</w:t>
      </w:r>
      <w:r>
        <w:t xml:space="preserve"> </w:t>
      </w:r>
      <w:r>
        <w:t xml:space="preserve">Limit value</w:t>
      </w:r>
      <w:r>
        <w:t xml:space="preserve"> </w:t>
      </w:r>
      <w:r>
        <w:t xml:space="preserve">1.1.2005</w:t>
      </w:r>
      <w:r>
        <w:t xml:space="preserve"> </w:t>
      </w:r>
      <w:r>
        <w:t xml:space="preserve">24</w:t>
      </w:r>
      <w:r>
        <w:t xml:space="preserve"> </w:t>
      </w:r>
      <w:r>
        <w:t xml:space="preserve">125 µg/m³</w:t>
      </w:r>
      <w:r>
        <w:t xml:space="preserve"> </w:t>
      </w:r>
      <w:r>
        <w:t xml:space="preserve">24 hours</w:t>
      </w:r>
      <w:r>
        <w:t xml:space="preserve"> </w:t>
      </w:r>
      <w:r>
        <w:t xml:space="preserve">Limit value</w:t>
      </w:r>
      <w:r>
        <w:br/>
      </w:r>
      <w:r>
        <w:t xml:space="preserve">1.1.2005</w:t>
      </w:r>
      <w:r>
        <w:t xml:space="preserve"> </w:t>
      </w:r>
      <w:r>
        <w:t xml:space="preserve">3</w:t>
      </w:r>
      <w:r>
        <w:t xml:space="preserve"> </w:t>
      </w:r>
      <w:r>
        <w:t xml:space="preserve">Particulate</w:t>
      </w:r>
      <w:r>
        <w:t xml:space="preserve"> </w:t>
      </w:r>
      <w:r>
        <w:t xml:space="preserve">matte (PM10)</w:t>
      </w:r>
      <w:r>
        <w:t xml:space="preserve"> </w:t>
      </w:r>
      <w:r>
        <w:t xml:space="preserve">50 µg/m3</w:t>
      </w:r>
      <w:r>
        <w:t xml:space="preserve"> </w:t>
      </w:r>
      <w:r>
        <w:t xml:space="preserve">24 hours</w:t>
      </w:r>
      <w:r>
        <w:t xml:space="preserve"> </w:t>
      </w:r>
      <w:r>
        <w:t xml:space="preserve">Limit value</w:t>
      </w:r>
      <w:r>
        <w:br/>
      </w:r>
      <w:r>
        <w:t xml:space="preserve">1.1.2005 **</w:t>
      </w:r>
      <w:r>
        <w:t xml:space="preserve"> </w:t>
      </w:r>
      <w:r>
        <w:t xml:space="preserve">35</w:t>
      </w:r>
      <w:r>
        <w:t xml:space="preserve"> </w:t>
      </w:r>
      <w:r>
        <w:t xml:space="preserve">40 µg/m3</w:t>
      </w:r>
      <w:r>
        <w:t xml:space="preserve"> </w:t>
      </w:r>
      <w:r>
        <w:t xml:space="preserve">1 year</w:t>
      </w:r>
      <w:r>
        <w:t xml:space="preserve"> </w:t>
      </w:r>
      <w:r>
        <w:t xml:space="preserve">Limit value</w:t>
      </w:r>
      <w:r>
        <w:br/>
      </w:r>
      <w:r>
        <w:t xml:space="preserve">1.1.2005 **</w:t>
      </w:r>
      <w:r>
        <w:t xml:space="preserve"> </w:t>
      </w:r>
      <w:r>
        <w:t xml:space="preserve">n/a</w:t>
      </w:r>
      <w:r>
        <w:t xml:space="preserve"> </w:t>
      </w:r>
      <w:r>
        <w:t xml:space="preserve">Fine particulate</w:t>
      </w:r>
      <w:r>
        <w:t xml:space="preserve"> </w:t>
      </w:r>
      <w:r>
        <w:t xml:space="preserve">matter (PM2.5)</w:t>
      </w:r>
      <w:r>
        <w:t xml:space="preserve"> </w:t>
      </w:r>
      <w:r>
        <w:t xml:space="preserve">25 µg/m3</w:t>
      </w:r>
      <w:r>
        <w:t xml:space="preserve"> </w:t>
      </w:r>
      <w:r>
        <w:t xml:space="preserve">1 year</w:t>
      </w:r>
      <w:r>
        <w:t xml:space="preserve"> </w:t>
      </w:r>
      <w:r>
        <w:t xml:space="preserve">Target value</w:t>
      </w:r>
      <w:r>
        <w:br/>
      </w:r>
      <w:r>
        <w:t xml:space="preserve">Limit value</w:t>
      </w:r>
      <w:r>
        <w:br/>
      </w:r>
      <w:r>
        <w:t xml:space="preserve">1.1.2010</w:t>
      </w:r>
      <w:r>
        <w:t xml:space="preserve"> </w:t>
      </w:r>
      <w:r>
        <w:t xml:space="preserve">1.1.2015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Nitrogen</w:t>
      </w:r>
      <w:r>
        <w:t xml:space="preserve"> </w:t>
      </w:r>
      <w:r>
        <w:t xml:space="preserve">dioxide (NO2)</w:t>
      </w:r>
      <w:r>
        <w:t xml:space="preserve"> </w:t>
      </w:r>
      <w:r>
        <w:t xml:space="preserve">200 µg/m3</w:t>
      </w:r>
      <w:r>
        <w:t xml:space="preserve"> </w:t>
      </w:r>
      <w:r>
        <w:t xml:space="preserve">1 hour</w:t>
      </w:r>
      <w:r>
        <w:t xml:space="preserve"> </w:t>
      </w:r>
      <w:r>
        <w:t xml:space="preserve">Limit value</w:t>
      </w:r>
      <w:r>
        <w:br/>
      </w:r>
      <w:r>
        <w:t xml:space="preserve">1.1.2010 *</w:t>
      </w:r>
      <w:r>
        <w:t xml:space="preserve"> </w:t>
      </w:r>
      <w:r>
        <w:t xml:space="preserve">18</w:t>
      </w:r>
      <w:r>
        <w:t xml:space="preserve"> </w:t>
      </w:r>
      <w:r>
        <w:t xml:space="preserve">40 µg/m3</w:t>
      </w:r>
      <w:r>
        <w:t xml:space="preserve"> </w:t>
      </w:r>
      <w:r>
        <w:t xml:space="preserve">1 year</w:t>
      </w:r>
      <w:r>
        <w:t xml:space="preserve"> </w:t>
      </w:r>
      <w:r>
        <w:t xml:space="preserve">Limit value</w:t>
      </w:r>
      <w:r>
        <w:br/>
      </w:r>
      <w:r>
        <w:t xml:space="preserve">1.1.2010 *</w:t>
      </w:r>
      <w:r>
        <w:t xml:space="preserve"> </w:t>
      </w:r>
      <w:r>
        <w:t xml:space="preserve">n/a</w:t>
      </w:r>
      <w:r>
        <w:t xml:space="preserve"> </w:t>
      </w:r>
      <w:r>
        <w:t xml:space="preserve">Lead (Pb)</w:t>
      </w:r>
    </w:p>
    <w:p>
      <w:pPr>
        <w:pStyle w:val="BodyText"/>
      </w:pPr>
      <w:r>
        <w:t xml:space="preserve">0.5 µg/m3</w:t>
      </w:r>
      <w:r>
        <w:t xml:space="preserve"> </w:t>
      </w:r>
      <w:r>
        <w:t xml:space="preserve">1 year</w:t>
      </w:r>
      <w:r>
        <w:t xml:space="preserve"> </w:t>
      </w:r>
      <w:r>
        <w:t xml:space="preserve">Limit value</w:t>
      </w:r>
      <w:r>
        <w:br/>
      </w:r>
      <w:r>
        <w:t xml:space="preserve">1.1.2005 ***</w:t>
      </w:r>
      <w:r>
        <w:t xml:space="preserve"> </w:t>
      </w:r>
      <w:r>
        <w:t xml:space="preserve">n/a</w:t>
      </w:r>
      <w:r>
        <w:t xml:space="preserve"> </w:t>
      </w:r>
      <w:r>
        <w:t xml:space="preserve">Carbon</w:t>
      </w:r>
      <w:r>
        <w:t xml:space="preserve"> </w:t>
      </w:r>
      <w:r>
        <w:t xml:space="preserve">monoxide (CO)</w:t>
      </w:r>
      <w:r>
        <w:t xml:space="preserve"> </w:t>
      </w:r>
      <w:r>
        <w:t xml:space="preserve">10 mg/m3</w:t>
      </w:r>
      <w:r>
        <w:t xml:space="preserve"> </w:t>
      </w:r>
      <w:r>
        <w:t xml:space="preserve">Max daily 8</w:t>
      </w:r>
      <w:r>
        <w:t xml:space="preserve"> </w:t>
      </w:r>
      <w:r>
        <w:t xml:space="preserve">hour mean</w:t>
      </w:r>
      <w:r>
        <w:t xml:space="preserve"> </w:t>
      </w:r>
      <w:r>
        <w:t xml:space="preserve">Limit value</w:t>
      </w:r>
      <w:r>
        <w:br/>
      </w:r>
      <w:r>
        <w:t xml:space="preserve">1.1.2005</w:t>
      </w:r>
      <w:r>
        <w:t xml:space="preserve"> </w:t>
      </w:r>
      <w:r>
        <w:t xml:space="preserve">n/a</w:t>
      </w:r>
      <w:r>
        <w:t xml:space="preserve"> </w:t>
      </w:r>
      <w:r>
        <w:t xml:space="preserve">Ozone</w:t>
      </w:r>
      <w:r>
        <w:t xml:space="preserve"> </w:t>
      </w:r>
      <w:r>
        <w:t xml:space="preserve">120 µg/m3</w:t>
      </w:r>
      <w:r>
        <w:t xml:space="preserve"> </w:t>
      </w:r>
      <w:r>
        <w:t xml:space="preserve">Max daily 8</w:t>
      </w:r>
      <w:r>
        <w:t xml:space="preserve"> </w:t>
      </w:r>
      <w:r>
        <w:t xml:space="preserve">hour mean</w:t>
      </w:r>
      <w:r>
        <w:t xml:space="preserve"> </w:t>
      </w:r>
      <w:r>
        <w:t xml:space="preserve">Target value</w:t>
      </w:r>
      <w:r>
        <w:br/>
      </w:r>
      <w:r>
        <w:t xml:space="preserve">1.1.2010</w:t>
      </w:r>
      <w:r>
        <w:t xml:space="preserve"> </w:t>
      </w:r>
      <w:r>
        <w:t xml:space="preserve">25 averaged</w:t>
      </w:r>
      <w:r>
        <w:t xml:space="preserve"> </w:t>
      </w:r>
      <w:r>
        <w:t xml:space="preserve">over 3 years</w:t>
      </w:r>
      <w:r>
        <w:t xml:space="preserve"> </w:t>
      </w:r>
      <w:r>
        <w:t xml:space="preserve">Benzene</w:t>
      </w:r>
    </w:p>
    <w:p>
      <w:pPr>
        <w:pStyle w:val="BodyText"/>
      </w:pPr>
      <w:r>
        <w:t xml:space="preserve">5 µg/m3</w:t>
      </w:r>
      <w:r>
        <w:t xml:space="preserve"> </w:t>
      </w:r>
      <w:r>
        <w:t xml:space="preserve">1 year</w:t>
      </w:r>
      <w:r>
        <w:t xml:space="preserve"> </w:t>
      </w:r>
      <w:r>
        <w:t xml:space="preserve">Limit value</w:t>
      </w:r>
      <w:r>
        <w:br/>
      </w:r>
      <w:r>
        <w:t xml:space="preserve">1.1.2010 **</w:t>
      </w:r>
      <w:r>
        <w:t xml:space="preserve"> </w:t>
      </w:r>
      <w:r>
        <w:t xml:space="preserve">n/a</w:t>
      </w:r>
      <w:r>
        <w:t xml:space="preserve"> </w:t>
      </w:r>
      <w:r>
        <w:t xml:space="preserve">Arsenic (As)</w:t>
      </w:r>
    </w:p>
    <w:p>
      <w:pPr>
        <w:pStyle w:val="BodyText"/>
      </w:pPr>
      <w:r>
        <w:t xml:space="preserve">6 ng/m3</w:t>
      </w:r>
      <w:r>
        <w:t xml:space="preserve"> </w:t>
      </w:r>
      <w:r>
        <w:t xml:space="preserve">1 year</w:t>
      </w:r>
      <w:r>
        <w:t xml:space="preserve"> </w:t>
      </w:r>
      <w:r>
        <w:t xml:space="preserve">Target value</w:t>
      </w:r>
      <w:r>
        <w:br/>
      </w:r>
      <w:r>
        <w:t xml:space="preserve">31.12.2012</w:t>
      </w:r>
      <w:r>
        <w:t xml:space="preserve"> </w:t>
      </w:r>
      <w:r>
        <w:t xml:space="preserve">n/a</w:t>
      </w:r>
      <w:r>
        <w:t xml:space="preserve"> </w:t>
      </w:r>
      <w:r>
        <w:t xml:space="preserve">Cadmium (Cd)</w:t>
      </w:r>
    </w:p>
    <w:p>
      <w:pPr>
        <w:pStyle w:val="BodyText"/>
      </w:pPr>
      <w:r>
        <w:t xml:space="preserve">5 ng/m3</w:t>
      </w:r>
      <w:r>
        <w:t xml:space="preserve"> </w:t>
      </w:r>
      <w:r>
        <w:t xml:space="preserve">1 year</w:t>
      </w:r>
      <w:r>
        <w:t xml:space="preserve"> </w:t>
      </w:r>
      <w:r>
        <w:t xml:space="preserve">Target value</w:t>
      </w:r>
      <w:r>
        <w:br/>
      </w:r>
      <w:r>
        <w:t xml:space="preserve">31.12.2012</w:t>
      </w:r>
      <w:r>
        <w:t xml:space="preserve"> </w:t>
      </w:r>
      <w:r>
        <w:t xml:space="preserve">n/a</w:t>
      </w:r>
      <w:r>
        <w:t xml:space="preserve"> </w:t>
      </w:r>
      <w:r>
        <w:t xml:space="preserve">Nickel (Ni)</w:t>
      </w:r>
    </w:p>
    <w:p>
      <w:pPr>
        <w:pStyle w:val="BodyText"/>
      </w:pPr>
      <w:r>
        <w:t xml:space="preserve">20 ng/m3</w:t>
      </w:r>
      <w:r>
        <w:t xml:space="preserve"> </w:t>
      </w:r>
      <w:r>
        <w:t xml:space="preserve">1 year</w:t>
      </w:r>
      <w:r>
        <w:t xml:space="preserve"> </w:t>
      </w:r>
      <w:r>
        <w:t xml:space="preserve">Target value</w:t>
      </w:r>
      <w:r>
        <w:br/>
      </w:r>
      <w:r>
        <w:t xml:space="preserve">31.12.2012</w:t>
      </w:r>
      <w:r>
        <w:t xml:space="preserve"> </w:t>
      </w:r>
      <w:r>
        <w:t xml:space="preserve">n/a</w:t>
      </w:r>
      <w:r>
        <w:t xml:space="preserve"> </w:t>
      </w:r>
      <w:r>
        <w:t xml:space="preserve">Benzo(a)pyrene</w:t>
      </w:r>
      <w:r>
        <w:t xml:space="preserve"> </w:t>
      </w:r>
      <w:r>
        <w:t xml:space="preserve">(BaP)</w:t>
      </w:r>
      <w:r>
        <w:t xml:space="preserve"> </w:t>
      </w:r>
      <w:r>
        <w:t xml:space="preserve">1 ng/m3</w:t>
      </w:r>
    </w:p>
    <w:p>
      <w:pPr>
        <w:pStyle w:val="BodyText"/>
      </w:pPr>
      <w:r>
        <w:t xml:space="preserve">1 year</w:t>
      </w:r>
      <w:r>
        <w:t xml:space="preserve"> </w:t>
      </w:r>
      <w:r>
        <w:t xml:space="preserve">Target value</w:t>
      </w:r>
      <w:r>
        <w:br/>
      </w:r>
      <w:r>
        <w:t xml:space="preserve">31.12.2012</w:t>
      </w:r>
      <w:r>
        <w:t xml:space="preserve"> </w:t>
      </w:r>
      <w:r>
        <w:t xml:space="preserve">n/a</w:t>
      </w:r>
      <w:r>
        <w:t xml:space="preserve"> </w:t>
      </w:r>
      <w:r>
        <w:rPr>
          <w:i/>
          <w:iCs/>
        </w:rPr>
        <w:t xml:space="preserve">Under Directive 2008/50/EU, the Member States could apply for a postponement of a maximum of five years</w:t>
      </w:r>
      <w:r>
        <w:rPr>
          <w:i/>
          <w:iCs/>
        </w:rPr>
        <w:t xml:space="preserve"> </w:t>
      </w:r>
      <w:r>
        <w:rPr>
          <w:i/>
          <w:iCs/>
        </w:rPr>
        <w:t xml:space="preserve">(i.e. maximum up to 2015) in specific zones; subject to an assessment by the Commission.</w:t>
      </w:r>
      <w:r>
        <w:br/>
      </w:r>
      <w:r>
        <w:rPr>
          <w:b/>
          <w:bCs/>
          <w:i/>
          <w:iCs/>
        </w:rPr>
        <w:t xml:space="preserve">Under Directive 2008/50/EU, Member States were able to apply for an exemption to apply these limits until 11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June 2011 in specific zones; subject to assessment by the Commission.</w:t>
      </w:r>
      <w:r>
        <w:br/>
      </w:r>
      <w:r>
        <w:t xml:space="preserve"> </w:t>
      </w:r>
      <w:r>
        <w:t xml:space="preserve">Or 1.1.2010 in the immediate vicinity of specific, notified industrial sources; and a 1.0 µg/m3 limit value</w:t>
      </w:r>
      <w:r>
        <w:t xml:space="preserve"> </w:t>
      </w:r>
      <w:r>
        <w:t xml:space="preserve">applied from 1.1.2005 to 31.12.2009.</w:t>
      </w:r>
    </w:p>
    <w:p>
      <w:pPr>
        <w:pStyle w:val="BodyText"/>
      </w:pPr>
      <w:r>
        <w:t xml:space="preserve">92 In addition to limit values and target values, other types of air quality standards have been established in the</w:t>
      </w:r>
      <w:r>
        <w:t xml:space="preserve"> </w:t>
      </w:r>
      <w:r>
        <w:t xml:space="preserve">form of critical levels, long-term objectives, alert thresholds and information thresholds, depending on the</w:t>
      </w:r>
      <w:r>
        <w:t xml:space="preserve"> </w:t>
      </w:r>
      <w:r>
        <w:t xml:space="preserve">pollutant. The differences between these types of air quality standards are described in further detail below,</w:t>
      </w:r>
      <w:r>
        <w:t xml:space="preserve"> </w:t>
      </w:r>
      <w:r>
        <w:t xml:space="preserve">see Table A8.1 and Box A8.1</w:t>
      </w:r>
    </w:p>
    <w:p>
      <w:pPr>
        <w:pStyle w:val="BodyText"/>
      </w:pPr>
      <w:r>
        <w:t xml:space="preserve">278</w:t>
      </w:r>
    </w:p>
    <w:p>
      <w:pPr>
        <w:pStyle w:val="BodyText"/>
      </w:pPr>
      <w:r>
        <w:t xml:space="preserve">Box A8.1 – A typology of EU Air Quality Standards</w:t>
      </w:r>
      <w:r>
        <w:t xml:space="preserve"> </w:t>
      </w:r>
      <w:r>
        <w:t xml:space="preserve">The Ambient Air Quality Directives deploy a number of different types of air quality standards for the</w:t>
      </w:r>
      <w:r>
        <w:t xml:space="preserve"> </w:t>
      </w:r>
      <w:r>
        <w:t xml:space="preserve">different pollutants they cover. All these standards have been set on the basis of scientific knowledge,</w:t>
      </w:r>
      <w:r>
        <w:t xml:space="preserve"> </w:t>
      </w:r>
      <w:r>
        <w:t xml:space="preserve">with the aim of avoiding, preventing or reducing harmful effects on human health and/or the</w:t>
      </w:r>
      <w:r>
        <w:t xml:space="preserve"> </w:t>
      </w:r>
      <w:r>
        <w:t xml:space="preserve">environment as a whole, but their formats and purposes differ. These differences were motivated in</w:t>
      </w:r>
      <w:r>
        <w:t xml:space="preserve"> </w:t>
      </w:r>
      <w:r>
        <w:t xml:space="preserve">part by different levels to which Member States were deemed to be able to address the respective air</w:t>
      </w:r>
      <w:r>
        <w:t xml:space="preserve"> </w:t>
      </w:r>
      <w:r>
        <w:t xml:space="preserve">pollutants and their underlying emissions on their own territories.</w:t>
      </w:r>
      <w:r>
        <w:t xml:space="preserve"> </w:t>
      </w:r>
      <w:r>
        <w:t xml:space="preserve">Limit values are to be attained within a given period and not to be exceeded once attained – set for</w:t>
      </w:r>
      <w:r>
        <w:t xml:space="preserve"> </w:t>
      </w:r>
      <w:r>
        <w:t xml:space="preserve">particulate matter, sulphur dioxide, nitrogen dioxide, benzene, carbon monoxide, and lead.</w:t>
      </w:r>
      <w:r>
        <w:br/>
      </w:r>
      <w:r>
        <w:t xml:space="preserve">Target values are to be attained where possible over a given period by taking all necessary measures</w:t>
      </w:r>
      <w:r>
        <w:t xml:space="preserve"> </w:t>
      </w:r>
      <w:r>
        <w:t xml:space="preserve">not entailing disproportionate costs – set for ozone, benzo(a)pyrene, arsenic, cadmium, nickel (also</w:t>
      </w:r>
      <w:r>
        <w:t xml:space="preserve"> </w:t>
      </w:r>
      <w:r>
        <w:t xml:space="preserve">for fine particulate matter standards were initially established as target values before becoming limit</w:t>
      </w:r>
      <w:r>
        <w:t xml:space="preserve"> </w:t>
      </w:r>
      <w:r>
        <w:t xml:space="preserve">values). One reason for setting target values rather than limit values can be to take account of specific</w:t>
      </w:r>
      <w:r>
        <w:t xml:space="preserve"> </w:t>
      </w:r>
      <w:r>
        <w:t xml:space="preserve">formation mechanisms of the pollutant, for example in the case of ozone (also due to a strong role of</w:t>
      </w:r>
      <w:r>
        <w:t xml:space="preserve"> </w:t>
      </w:r>
      <w:r>
        <w:t xml:space="preserve">transboundary sources and annual variations in meteorology for this air pollutant).</w:t>
      </w:r>
      <w:r>
        <w:br/>
      </w:r>
      <w:r>
        <w:t xml:space="preserve">Critical Levels refer to concentrations above which direct adverse effects may occur on some</w:t>
      </w:r>
      <w:r>
        <w:t xml:space="preserve"> </w:t>
      </w:r>
      <w:r>
        <w:t xml:space="preserve">receptors, such as trees, other plants or natural ecosystems but not on humans – set for sulphur oxides</w:t>
      </w:r>
      <w:r>
        <w:t xml:space="preserve"> </w:t>
      </w:r>
      <w:r>
        <w:t xml:space="preserve">and for oxides of nitrogen.</w:t>
      </w:r>
      <w:r>
        <w:t xml:space="preserve"> </w:t>
      </w:r>
      <w:r>
        <w:t xml:space="preserve">Long-Term Objectives are set to be attained in the long term, save where not achievable through</w:t>
      </w:r>
      <w:r>
        <w:t xml:space="preserve"> </w:t>
      </w:r>
      <w:r>
        <w:t xml:space="preserve">proportionate measures – set for ozone only.</w:t>
      </w:r>
      <w:r>
        <w:t xml:space="preserve"> </w:t>
      </w:r>
      <w:r>
        <w:t xml:space="preserve">Alert thresholds are levels beyond which there is a risk to human health from brief exposure for the</w:t>
      </w:r>
      <w:r>
        <w:t xml:space="preserve"> </w:t>
      </w:r>
      <w:r>
        <w:t xml:space="preserve">population as a whole and at which immediate steps are to be taken by the Member States – set for</w:t>
      </w:r>
      <w:r>
        <w:t xml:space="preserve"> </w:t>
      </w:r>
      <w:r>
        <w:t xml:space="preserve">sulphur dioxide, nitrogen dioxide, and ozone. And for ozone only, information thresholds set a level</w:t>
      </w:r>
      <w:r>
        <w:t xml:space="preserve"> </w:t>
      </w:r>
      <w:r>
        <w:t xml:space="preserve">lower than the alert threshold beyond which there is a risk for particularly sensitive persons and for</w:t>
      </w:r>
      <w:r>
        <w:t xml:space="preserve"> </w:t>
      </w:r>
      <w:r>
        <w:t xml:space="preserve">which immediate and appropriate information is necessary.</w:t>
      </w:r>
      <w:r>
        <w:t xml:space="preserve"> </w:t>
      </w:r>
      <w:r>
        <w:t xml:space="preserve">In addition, the Average Exposure Indicator provides an average level determined on the basis of</w:t>
      </w:r>
      <w:r>
        <w:t xml:space="preserve"> </w:t>
      </w:r>
      <w:r>
        <w:t xml:space="preserve">measurements at urban background locations which reflects population exposure. It is used to</w:t>
      </w:r>
      <w:r>
        <w:t xml:space="preserve"> </w:t>
      </w:r>
      <w:r>
        <w:t xml:space="preserve">calculate national exposure reduction targets (in percent) for each Member State.</w:t>
      </w:r>
      <w:r>
        <w:br/>
      </w:r>
      <w:r>
        <w:t xml:space="preserve">Third, the Directives require Member States to monitor air quality in their territory. Member</w:t>
      </w:r>
      <w:r>
        <w:t xml:space="preserve"> </w:t>
      </w:r>
      <w:r>
        <w:t xml:space="preserve">States need to report to the Commission, as well as to the general public, the results of air</w:t>
      </w:r>
      <w:r>
        <w:t xml:space="preserve"> </w:t>
      </w:r>
      <w:r>
        <w:t xml:space="preserve">quality assessment on an annual basis, ‘up-to-date’ air quality measurements, as well as</w:t>
      </w:r>
      <w:r>
        <w:t xml:space="preserve"> </w:t>
      </w:r>
      <w:r>
        <w:t xml:space="preserve">information on the plans and programmes they establish. It is the responsibility of Member</w:t>
      </w:r>
      <w:r>
        <w:t xml:space="preserve"> </w:t>
      </w:r>
      <w:r>
        <w:t xml:space="preserve">States to approve the measurement systems required and ensure the accuracy of</w:t>
      </w:r>
      <w:r>
        <w:t xml:space="preserve"> </w:t>
      </w:r>
      <w:r>
        <w:t xml:space="preserve">measurements.</w:t>
      </w:r>
      <w:r>
        <w:t xml:space="preserve"> </w:t>
      </w:r>
      <w:r>
        <w:t xml:space="preserve">Fourth, where the established standards for ambient air quality are not met, the Directives</w:t>
      </w:r>
      <w:r>
        <w:t xml:space="preserve"> </w:t>
      </w:r>
      <w:r>
        <w:t xml:space="preserve">require Member States to prepare and implement air quality plans and measures (for the</w:t>
      </w:r>
      <w:r>
        <w:t xml:space="preserve"> </w:t>
      </w:r>
      <w:r>
        <w:t xml:space="preserve">pollutants exceeding the standards). These air quality plans need to identify the main</w:t>
      </w:r>
      <w:r>
        <w:t xml:space="preserve"> </w:t>
      </w:r>
      <w:r>
        <w:t xml:space="preserve">emission sources responsible for pollution, detail the factors responsible for exceedances, and</w:t>
      </w:r>
      <w:r>
        <w:t xml:space="preserve"> </w:t>
      </w:r>
      <w:r>
        <w:t xml:space="preserve">spell out abatement measures adopted to reduce pollution. Abatement measures can include,</w:t>
      </w:r>
      <w:r>
        <w:t xml:space="preserve"> </w:t>
      </w:r>
      <w:r>
        <w:t xml:space="preserve">for example: measures to reduce emissions from stationary sources (such as industrial</w:t>
      </w:r>
      <w:r>
        <w:t xml:space="preserve"> </w:t>
      </w:r>
      <w:r>
        <w:t xml:space="preserve">installations or power plants, as well as medium and small size combustion sources, including</w:t>
      </w:r>
    </w:p>
    <w:p>
      <w:pPr>
        <w:pStyle w:val="BodyText"/>
      </w:pPr>
      <w:r>
        <w:t xml:space="preserve">279</w:t>
      </w:r>
    </w:p>
    <w:p>
      <w:pPr>
        <w:pStyle w:val="BodyText"/>
      </w:pPr>
      <w:r>
        <w:t xml:space="preserve">those using biomass) or from mobile sources and vehicles (including through retrofitting with</w:t>
      </w:r>
      <w:r>
        <w:t xml:space="preserve"> </w:t>
      </w:r>
      <w:r>
        <w:t xml:space="preserve">emission control equipment); measures to limit transport emissions through traffic planning</w:t>
      </w:r>
      <w:r>
        <w:t xml:space="preserve"> </w:t>
      </w:r>
      <w:r>
        <w:t xml:space="preserve">or encouraging shifts towards less polluting modes (including congestion pricing or low</w:t>
      </w:r>
      <w:r>
        <w:t xml:space="preserve"> </w:t>
      </w:r>
      <w:r>
        <w:t xml:space="preserve">emission zones); promoting the use of low emission fuels, or using economic and fiscal</w:t>
      </w:r>
      <w:r>
        <w:t xml:space="preserve"> </w:t>
      </w:r>
      <w:r>
        <w:t xml:space="preserve">instruments to discourage activities that generate high emissions.</w:t>
      </w:r>
      <w:r>
        <w:t xml:space="preserve"> </w:t>
      </w:r>
      <w:r>
        <w:t xml:space="preserve">3.</w:t>
      </w:r>
      <w:r>
        <w:t xml:space="preserve"> </w:t>
      </w:r>
      <w:r>
        <w:t xml:space="preserve">AIR POLLUTION CONTROL</w:t>
      </w:r>
      <w:r>
        <w:t xml:space="preserve"> </w:t>
      </w:r>
      <w:r>
        <w:t xml:space="preserve">Directive (EU) 2016/2284 on the reduction of national emissions of certain atmospheric</w:t>
      </w:r>
      <w:r>
        <w:t xml:space="preserve"> </w:t>
      </w:r>
      <w:r>
        <w:t xml:space="preserve">pollutants (“the NEC Directive”) is one of the key legislative instruments to achieve the 2030</w:t>
      </w:r>
      <w:r>
        <w:t xml:space="preserve"> </w:t>
      </w:r>
      <w:r>
        <w:t xml:space="preserve">objectives put forward in the Zero Pollution Action Plan to reduce by more than 55% the</w:t>
      </w:r>
      <w:r>
        <w:t xml:space="preserve"> </w:t>
      </w:r>
      <w:r>
        <w:t xml:space="preserve">health impacts (premature deaths) of air pollution and by 25% the ecosystems where air</w:t>
      </w:r>
      <w:r>
        <w:t xml:space="preserve"> </w:t>
      </w:r>
      <w:r>
        <w:t xml:space="preserve">pollution threatens biodiversity in the EU93. The NEC Directive sets national emission</w:t>
      </w:r>
      <w:r>
        <w:t xml:space="preserve"> </w:t>
      </w:r>
      <w:r>
        <w:t xml:space="preserve">reduction commitments for each EU Member State for the period 2020 to 2029, as well as</w:t>
      </w:r>
      <w:r>
        <w:t xml:space="preserve"> </w:t>
      </w:r>
      <w:r>
        <w:t xml:space="preserve">more ambitious ones as of 2030, targeting five air pollutants that are responsible for</w:t>
      </w:r>
      <w:r>
        <w:t xml:space="preserve"> </w:t>
      </w:r>
      <w:r>
        <w:t xml:space="preserve">significant negative impacts on human health and the environment: sulphur dioxide (SO2),</w:t>
      </w:r>
      <w:r>
        <w:t xml:space="preserve"> </w:t>
      </w:r>
      <w:r>
        <w:t xml:space="preserve">nitrogen oxides (NOx), non-methane volatile organic compounds (NMVOC), ammonia (NH3)</w:t>
      </w:r>
      <w:r>
        <w:t xml:space="preserve"> </w:t>
      </w:r>
      <w:r>
        <w:t xml:space="preserve">and fine particulate matter (PM2.5).</w:t>
      </w:r>
      <w:r>
        <w:br/>
      </w:r>
      <w:r>
        <w:t xml:space="preserve">Table A8.2 – 2030 national emission reduction commitments of the NEC</w:t>
      </w:r>
      <w:r>
        <w:t xml:space="preserve"> </w:t>
      </w:r>
      <w:r>
        <w:t xml:space="preserve">Directive compared to 2005 levels (as per Annex II of the NEC Directive)</w:t>
      </w:r>
    </w:p>
    <w:p>
      <w:pPr>
        <w:pStyle w:val="BodyText"/>
      </w:pPr>
      <w:r>
        <w:t xml:space="preserve">SO2</w:t>
      </w:r>
      <w:r>
        <w:t xml:space="preserve"> </w:t>
      </w:r>
      <w:r>
        <w:t xml:space="preserve">NOx</w:t>
      </w:r>
      <w:r>
        <w:t xml:space="preserve"> </w:t>
      </w:r>
      <w:r>
        <w:t xml:space="preserve">NMVOC</w:t>
      </w:r>
      <w:r>
        <w:t xml:space="preserve"> </w:t>
      </w:r>
      <w:r>
        <w:t xml:space="preserve">NH3</w:t>
      </w:r>
      <w:r>
        <w:t xml:space="preserve"> </w:t>
      </w:r>
      <w:r>
        <w:t xml:space="preserve">PM2,5</w:t>
      </w:r>
      <w:r>
        <w:t xml:space="preserve"> </w:t>
      </w:r>
      <w:r>
        <w:t xml:space="preserve">Belgium</w:t>
      </w:r>
      <w:r>
        <w:t xml:space="preserve"> </w:t>
      </w:r>
      <w:r>
        <w:t xml:space="preserve">66%</w:t>
      </w:r>
      <w:r>
        <w:t xml:space="preserve"> </w:t>
      </w:r>
      <w:r>
        <w:t xml:space="preserve">59%</w:t>
      </w:r>
      <w:r>
        <w:t xml:space="preserve"> </w:t>
      </w:r>
      <w:r>
        <w:t xml:space="preserve">35%</w:t>
      </w:r>
      <w:r>
        <w:t xml:space="preserve"> </w:t>
      </w:r>
      <w:r>
        <w:t xml:space="preserve">13%</w:t>
      </w:r>
      <w:r>
        <w:t xml:space="preserve"> </w:t>
      </w:r>
      <w:r>
        <w:t xml:space="preserve">39%</w:t>
      </w:r>
      <w:r>
        <w:t xml:space="preserve"> </w:t>
      </w:r>
      <w:r>
        <w:t xml:space="preserve">Bulgaria</w:t>
      </w:r>
      <w:r>
        <w:t xml:space="preserve"> </w:t>
      </w:r>
      <w:r>
        <w:t xml:space="preserve">88%</w:t>
      </w:r>
      <w:r>
        <w:t xml:space="preserve"> </w:t>
      </w:r>
      <w:r>
        <w:t xml:space="preserve">58%</w:t>
      </w:r>
      <w:r>
        <w:t xml:space="preserve"> </w:t>
      </w:r>
      <w:r>
        <w:t xml:space="preserve">42%</w:t>
      </w:r>
      <w:r>
        <w:t xml:space="preserve"> </w:t>
      </w:r>
      <w:r>
        <w:t xml:space="preserve">12%</w:t>
      </w:r>
      <w:r>
        <w:t xml:space="preserve"> </w:t>
      </w:r>
      <w:r>
        <w:t xml:space="preserve">41%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66%</w:t>
      </w:r>
      <w:r>
        <w:t xml:space="preserve"> </w:t>
      </w:r>
      <w:r>
        <w:t xml:space="preserve">64%</w:t>
      </w:r>
      <w:r>
        <w:t xml:space="preserve"> </w:t>
      </w:r>
      <w:r>
        <w:t xml:space="preserve">50%</w:t>
      </w:r>
      <w:r>
        <w:t xml:space="preserve"> </w:t>
      </w:r>
      <w:r>
        <w:t xml:space="preserve">22%</w:t>
      </w:r>
      <w:r>
        <w:t xml:space="preserve"> </w:t>
      </w:r>
      <w:r>
        <w:t xml:space="preserve">60%</w:t>
      </w:r>
      <w:r>
        <w:t xml:space="preserve"> </w:t>
      </w:r>
      <w:r>
        <w:t xml:space="preserve">Denmark</w:t>
      </w:r>
      <w:r>
        <w:t xml:space="preserve"> </w:t>
      </w:r>
      <w:r>
        <w:t xml:space="preserve">59%</w:t>
      </w:r>
      <w:r>
        <w:t xml:space="preserve"> </w:t>
      </w:r>
      <w:r>
        <w:t xml:space="preserve">68%</w:t>
      </w:r>
      <w:r>
        <w:t xml:space="preserve"> </w:t>
      </w:r>
      <w:r>
        <w:t xml:space="preserve">37%</w:t>
      </w:r>
      <w:r>
        <w:t xml:space="preserve"> </w:t>
      </w:r>
      <w:r>
        <w:t xml:space="preserve">24%</w:t>
      </w:r>
      <w:r>
        <w:t xml:space="preserve"> </w:t>
      </w:r>
      <w:r>
        <w:t xml:space="preserve">55%</w:t>
      </w:r>
      <w:r>
        <w:t xml:space="preserve"> </w:t>
      </w:r>
      <w:r>
        <w:t xml:space="preserve">Germany</w:t>
      </w:r>
      <w:r>
        <w:t xml:space="preserve"> </w:t>
      </w:r>
      <w:r>
        <w:t xml:space="preserve">58%</w:t>
      </w:r>
      <w:r>
        <w:t xml:space="preserve"> </w:t>
      </w:r>
      <w:r>
        <w:t xml:space="preserve">65%</w:t>
      </w:r>
      <w:r>
        <w:t xml:space="preserve"> </w:t>
      </w:r>
      <w:r>
        <w:t xml:space="preserve">28%</w:t>
      </w:r>
      <w:r>
        <w:t xml:space="preserve"> </w:t>
      </w:r>
      <w:r>
        <w:t xml:space="preserve">29%</w:t>
      </w:r>
      <w:r>
        <w:t xml:space="preserve"> </w:t>
      </w:r>
      <w:r>
        <w:t xml:space="preserve">43%</w:t>
      </w:r>
      <w:r>
        <w:t xml:space="preserve"> </w:t>
      </w:r>
      <w:r>
        <w:t xml:space="preserve">Estonia</w:t>
      </w:r>
      <w:r>
        <w:t xml:space="preserve"> </w:t>
      </w:r>
      <w:r>
        <w:t xml:space="preserve">68%</w:t>
      </w:r>
      <w:r>
        <w:t xml:space="preserve"> </w:t>
      </w:r>
      <w:r>
        <w:t xml:space="preserve">30%</w:t>
      </w:r>
      <w:r>
        <w:t xml:space="preserve"> </w:t>
      </w:r>
      <w:r>
        <w:t xml:space="preserve">28%</w:t>
      </w:r>
      <w:r>
        <w:t xml:space="preserve"> </w:t>
      </w:r>
      <w:r>
        <w:t xml:space="preserve">1%</w:t>
      </w:r>
      <w:r>
        <w:t xml:space="preserve"> </w:t>
      </w:r>
      <w:r>
        <w:t xml:space="preserve">41%</w:t>
      </w:r>
      <w:r>
        <w:t xml:space="preserve"> </w:t>
      </w:r>
      <w:r>
        <w:t xml:space="preserve">Greece</w:t>
      </w:r>
      <w:r>
        <w:t xml:space="preserve"> </w:t>
      </w:r>
      <w:r>
        <w:t xml:space="preserve">88 %</w:t>
      </w:r>
      <w:r>
        <w:t xml:space="preserve"> </w:t>
      </w:r>
      <w:r>
        <w:t xml:space="preserve">55 %</w:t>
      </w:r>
      <w:r>
        <w:t xml:space="preserve"> </w:t>
      </w:r>
      <w:r>
        <w:t xml:space="preserve">62 %</w:t>
      </w:r>
      <w:r>
        <w:t xml:space="preserve"> </w:t>
      </w:r>
      <w:r>
        <w:t xml:space="preserve">10 %</w:t>
      </w:r>
      <w:r>
        <w:t xml:space="preserve"> </w:t>
      </w:r>
      <w:r>
        <w:t xml:space="preserve">50 %</w:t>
      </w:r>
      <w:r>
        <w:t xml:space="preserve"> </w:t>
      </w:r>
      <w:r>
        <w:t xml:space="preserve">Spain</w:t>
      </w:r>
      <w:r>
        <w:t xml:space="preserve"> </w:t>
      </w:r>
      <w:r>
        <w:t xml:space="preserve">88%</w:t>
      </w:r>
      <w:r>
        <w:t xml:space="preserve"> </w:t>
      </w:r>
      <w:r>
        <w:t xml:space="preserve">62%</w:t>
      </w:r>
      <w:r>
        <w:t xml:space="preserve"> </w:t>
      </w:r>
      <w:r>
        <w:t xml:space="preserve">39%</w:t>
      </w:r>
      <w:r>
        <w:t xml:space="preserve"> </w:t>
      </w:r>
      <w:r>
        <w:t xml:space="preserve">16%</w:t>
      </w:r>
      <w:r>
        <w:t xml:space="preserve"> </w:t>
      </w:r>
      <w:r>
        <w:t xml:space="preserve">50%</w:t>
      </w:r>
      <w:r>
        <w:t xml:space="preserve"> </w:t>
      </w:r>
      <w:r>
        <w:t xml:space="preserve">France</w:t>
      </w:r>
      <w:r>
        <w:t xml:space="preserve"> </w:t>
      </w:r>
      <w:r>
        <w:t xml:space="preserve">77%</w:t>
      </w:r>
      <w:r>
        <w:t xml:space="preserve"> </w:t>
      </w:r>
      <w:r>
        <w:t xml:space="preserve">69%</w:t>
      </w:r>
      <w:r>
        <w:t xml:space="preserve"> </w:t>
      </w:r>
      <w:r>
        <w:t xml:space="preserve">52%</w:t>
      </w:r>
      <w:r>
        <w:t xml:space="preserve"> </w:t>
      </w:r>
      <w:r>
        <w:t xml:space="preserve">13%</w:t>
      </w:r>
      <w:r>
        <w:t xml:space="preserve"> </w:t>
      </w:r>
      <w:r>
        <w:t xml:space="preserve">57%</w:t>
      </w:r>
      <w:r>
        <w:t xml:space="preserve"> </w:t>
      </w:r>
      <w:r>
        <w:t xml:space="preserve">Croatia</w:t>
      </w:r>
      <w:r>
        <w:t xml:space="preserve"> </w:t>
      </w:r>
      <w:r>
        <w:t xml:space="preserve">83%</w:t>
      </w:r>
      <w:r>
        <w:t xml:space="preserve"> </w:t>
      </w:r>
      <w:r>
        <w:t xml:space="preserve">57%</w:t>
      </w:r>
      <w:r>
        <w:t xml:space="preserve"> </w:t>
      </w:r>
      <w:r>
        <w:t xml:space="preserve">48%</w:t>
      </w:r>
      <w:r>
        <w:t xml:space="preserve"> </w:t>
      </w:r>
      <w:r>
        <w:t xml:space="preserve">25%</w:t>
      </w:r>
      <w:r>
        <w:t xml:space="preserve"> </w:t>
      </w:r>
      <w:r>
        <w:t xml:space="preserve">55%</w:t>
      </w:r>
      <w:r>
        <w:t xml:space="preserve"> </w:t>
      </w:r>
      <w:r>
        <w:t xml:space="preserve">Ireland</w:t>
      </w:r>
      <w:r>
        <w:t xml:space="preserve"> </w:t>
      </w:r>
      <w:r>
        <w:t xml:space="preserve">85%</w:t>
      </w:r>
      <w:r>
        <w:t xml:space="preserve"> </w:t>
      </w:r>
      <w:r>
        <w:t xml:space="preserve">69%</w:t>
      </w:r>
      <w:r>
        <w:t xml:space="preserve"> </w:t>
      </w:r>
      <w:r>
        <w:t xml:space="preserve">32%</w:t>
      </w:r>
      <w:r>
        <w:t xml:space="preserve"> </w:t>
      </w:r>
      <w:r>
        <w:t xml:space="preserve">5%</w:t>
      </w:r>
      <w:r>
        <w:t xml:space="preserve"> </w:t>
      </w:r>
      <w:r>
        <w:t xml:space="preserve">41%</w:t>
      </w:r>
      <w:r>
        <w:t xml:space="preserve"> </w:t>
      </w:r>
      <w:r>
        <w:t xml:space="preserve">Italy</w:t>
      </w:r>
      <w:r>
        <w:t xml:space="preserve"> </w:t>
      </w:r>
      <w:r>
        <w:t xml:space="preserve">71%</w:t>
      </w:r>
      <w:r>
        <w:t xml:space="preserve"> </w:t>
      </w:r>
      <w:r>
        <w:t xml:space="preserve">65%</w:t>
      </w:r>
      <w:r>
        <w:t xml:space="preserve"> </w:t>
      </w:r>
      <w:r>
        <w:t xml:space="preserve">46%</w:t>
      </w:r>
      <w:r>
        <w:t xml:space="preserve"> </w:t>
      </w:r>
      <w:r>
        <w:t xml:space="preserve">16%</w:t>
      </w:r>
      <w:r>
        <w:t xml:space="preserve"> </w:t>
      </w:r>
      <w:r>
        <w:t xml:space="preserve">40%</w:t>
      </w:r>
      <w:r>
        <w:t xml:space="preserve"> </w:t>
      </w:r>
      <w:r>
        <w:t xml:space="preserve">Cyprus</w:t>
      </w:r>
      <w:r>
        <w:t xml:space="preserve"> </w:t>
      </w:r>
      <w:r>
        <w:t xml:space="preserve">93%</w:t>
      </w:r>
      <w:r>
        <w:t xml:space="preserve"> </w:t>
      </w:r>
      <w:r>
        <w:t xml:space="preserve">55%</w:t>
      </w:r>
      <w:r>
        <w:t xml:space="preserve"> </w:t>
      </w:r>
      <w:r>
        <w:t xml:space="preserve">50%</w:t>
      </w:r>
      <w:r>
        <w:t xml:space="preserve"> </w:t>
      </w:r>
      <w:r>
        <w:t xml:space="preserve">20%</w:t>
      </w:r>
      <w:r>
        <w:t xml:space="preserve"> </w:t>
      </w:r>
      <w:r>
        <w:t xml:space="preserve">70%</w:t>
      </w:r>
      <w:r>
        <w:t xml:space="preserve"> </w:t>
      </w:r>
      <w:r>
        <w:t xml:space="preserve">Latvia</w:t>
      </w:r>
      <w:r>
        <w:t xml:space="preserve"> </w:t>
      </w:r>
      <w:r>
        <w:t xml:space="preserve">46%</w:t>
      </w:r>
      <w:r>
        <w:t xml:space="preserve"> </w:t>
      </w:r>
      <w:r>
        <w:t xml:space="preserve">34%</w:t>
      </w:r>
      <w:r>
        <w:t xml:space="preserve"> </w:t>
      </w:r>
      <w:r>
        <w:t xml:space="preserve">38%</w:t>
      </w:r>
      <w:r>
        <w:t xml:space="preserve"> </w:t>
      </w:r>
      <w:r>
        <w:t xml:space="preserve">1%</w:t>
      </w:r>
      <w:r>
        <w:t xml:space="preserve"> </w:t>
      </w:r>
      <w:r>
        <w:t xml:space="preserve">43%</w:t>
      </w:r>
      <w:r>
        <w:t xml:space="preserve"> </w:t>
      </w:r>
      <w:r>
        <w:t xml:space="preserve">Lithuania</w:t>
      </w:r>
      <w:r>
        <w:t xml:space="preserve"> </w:t>
      </w:r>
      <w:r>
        <w:t xml:space="preserve">60%</w:t>
      </w:r>
      <w:r>
        <w:t xml:space="preserve"> </w:t>
      </w:r>
      <w:r>
        <w:t xml:space="preserve">51%</w:t>
      </w:r>
      <w:r>
        <w:t xml:space="preserve"> </w:t>
      </w:r>
      <w:r>
        <w:t xml:space="preserve">47%</w:t>
      </w:r>
      <w:r>
        <w:t xml:space="preserve"> </w:t>
      </w:r>
      <w:r>
        <w:t xml:space="preserve">10%</w:t>
      </w:r>
      <w:r>
        <w:t xml:space="preserve"> </w:t>
      </w:r>
      <w:r>
        <w:t xml:space="preserve">36%</w:t>
      </w:r>
      <w:r>
        <w:t xml:space="preserve"> </w:t>
      </w:r>
      <w:r>
        <w:t xml:space="preserve">Luxembourg</w:t>
      </w:r>
      <w:r>
        <w:t xml:space="preserve"> </w:t>
      </w:r>
      <w:r>
        <w:t xml:space="preserve">50%</w:t>
      </w:r>
      <w:r>
        <w:t xml:space="preserve"> </w:t>
      </w:r>
      <w:r>
        <w:t xml:space="preserve">83%</w:t>
      </w:r>
      <w:r>
        <w:t xml:space="preserve"> </w:t>
      </w:r>
      <w:r>
        <w:t xml:space="preserve">42%</w:t>
      </w:r>
      <w:r>
        <w:t xml:space="preserve"> </w:t>
      </w:r>
      <w:r>
        <w:t xml:space="preserve">22%</w:t>
      </w:r>
      <w:r>
        <w:t xml:space="preserve"> </w:t>
      </w:r>
      <w:r>
        <w:t xml:space="preserve">40%</w:t>
      </w:r>
      <w:r>
        <w:t xml:space="preserve"> </w:t>
      </w:r>
      <w:r>
        <w:t xml:space="preserve">Hungary</w:t>
      </w:r>
      <w:r>
        <w:t xml:space="preserve"> </w:t>
      </w:r>
      <w:r>
        <w:t xml:space="preserve">73%</w:t>
      </w:r>
      <w:r>
        <w:t xml:space="preserve"> </w:t>
      </w:r>
      <w:r>
        <w:t xml:space="preserve">66%</w:t>
      </w:r>
      <w:r>
        <w:t xml:space="preserve"> </w:t>
      </w:r>
      <w:r>
        <w:t xml:space="preserve">58%</w:t>
      </w:r>
      <w:r>
        <w:t xml:space="preserve"> </w:t>
      </w:r>
      <w:r>
        <w:t xml:space="preserve">32%</w:t>
      </w:r>
      <w:r>
        <w:t xml:space="preserve"> </w:t>
      </w:r>
      <w:r>
        <w:t xml:space="preserve">55%</w:t>
      </w:r>
      <w:r>
        <w:t xml:space="preserve"> </w:t>
      </w:r>
      <w:r>
        <w:t xml:space="preserve">Malta</w:t>
      </w:r>
      <w:r>
        <w:t xml:space="preserve"> </w:t>
      </w:r>
      <w:r>
        <w:t xml:space="preserve">95%</w:t>
      </w:r>
      <w:r>
        <w:t xml:space="preserve"> </w:t>
      </w:r>
      <w:r>
        <w:t xml:space="preserve">79%</w:t>
      </w:r>
      <w:r>
        <w:t xml:space="preserve"> </w:t>
      </w:r>
      <w:r>
        <w:t xml:space="preserve">27%</w:t>
      </w:r>
      <w:r>
        <w:t xml:space="preserve"> </w:t>
      </w:r>
      <w:r>
        <w:t xml:space="preserve">24%</w:t>
      </w:r>
      <w:r>
        <w:t xml:space="preserve"> </w:t>
      </w:r>
      <w:r>
        <w:t xml:space="preserve">50%</w:t>
      </w:r>
    </w:p>
    <w:p>
      <w:pPr>
        <w:pStyle w:val="BodyText"/>
      </w:pPr>
      <w:r>
        <w:t xml:space="preserve">93 Predating the NEC Directive, the Clean Air Programme (COM (2013)918) had put forward a target to reduce</w:t>
      </w:r>
      <w:r>
        <w:t xml:space="preserve"> </w:t>
      </w:r>
      <w:r>
        <w:t xml:space="preserve">the health impacts of air pollution by half by 2030 compared to 2005.</w:t>
      </w:r>
    </w:p>
    <w:p>
      <w:pPr>
        <w:pStyle w:val="BodyText"/>
      </w:pPr>
      <w:r>
        <w:t xml:space="preserve">280</w:t>
      </w:r>
    </w:p>
    <w:p>
      <w:pPr>
        <w:pStyle w:val="BodyText"/>
      </w:pPr>
      <w:r>
        <w:t xml:space="preserve">Table A8.2 – 2030 national emission reduction commitments of the NEC</w:t>
      </w:r>
      <w:r>
        <w:t xml:space="preserve"> </w:t>
      </w:r>
      <w:r>
        <w:t xml:space="preserve">Directive compared to 2005 levels (as per Annex II of the NEC Directive)</w:t>
      </w:r>
    </w:p>
    <w:p>
      <w:pPr>
        <w:pStyle w:val="BodyText"/>
      </w:pPr>
      <w:r>
        <w:t xml:space="preserve">SO2</w:t>
      </w:r>
      <w:r>
        <w:t xml:space="preserve"> </w:t>
      </w:r>
      <w:r>
        <w:t xml:space="preserve">NOx</w:t>
      </w:r>
      <w:r>
        <w:t xml:space="preserve"> </w:t>
      </w:r>
      <w:r>
        <w:t xml:space="preserve">NMVOC</w:t>
      </w:r>
      <w:r>
        <w:t xml:space="preserve"> </w:t>
      </w:r>
      <w:r>
        <w:t xml:space="preserve">NH3</w:t>
      </w:r>
      <w:r>
        <w:t xml:space="preserve"> </w:t>
      </w:r>
      <w:r>
        <w:t xml:space="preserve">PM2,5</w:t>
      </w:r>
      <w:r>
        <w:t xml:space="preserve"> </w:t>
      </w:r>
      <w:r>
        <w:t xml:space="preserve">Netherlands</w:t>
      </w:r>
      <w:r>
        <w:t xml:space="preserve"> </w:t>
      </w:r>
      <w:r>
        <w:t xml:space="preserve">53%</w:t>
      </w:r>
      <w:r>
        <w:t xml:space="preserve"> </w:t>
      </w:r>
      <w:r>
        <w:t xml:space="preserve">61%</w:t>
      </w:r>
      <w:r>
        <w:t xml:space="preserve"> </w:t>
      </w:r>
      <w:r>
        <w:t xml:space="preserve">15%</w:t>
      </w:r>
      <w:r>
        <w:t xml:space="preserve"> </w:t>
      </w:r>
      <w:r>
        <w:t xml:space="preserve">21%</w:t>
      </w:r>
      <w:r>
        <w:t xml:space="preserve"> </w:t>
      </w:r>
      <w:r>
        <w:t xml:space="preserve">45%</w:t>
      </w:r>
      <w:r>
        <w:t xml:space="preserve"> </w:t>
      </w:r>
      <w:r>
        <w:t xml:space="preserve">Austria</w:t>
      </w:r>
      <w:r>
        <w:t xml:space="preserve"> </w:t>
      </w:r>
      <w:r>
        <w:t xml:space="preserve">41%</w:t>
      </w:r>
      <w:r>
        <w:t xml:space="preserve"> </w:t>
      </w:r>
      <w:r>
        <w:t xml:space="preserve">69%</w:t>
      </w:r>
      <w:r>
        <w:t xml:space="preserve"> </w:t>
      </w:r>
      <w:r>
        <w:t xml:space="preserve">36%</w:t>
      </w:r>
      <w:r>
        <w:t xml:space="preserve"> </w:t>
      </w:r>
      <w:r>
        <w:t xml:space="preserve">12%</w:t>
      </w:r>
      <w:r>
        <w:t xml:space="preserve"> </w:t>
      </w:r>
      <w:r>
        <w:t xml:space="preserve">46%</w:t>
      </w:r>
      <w:r>
        <w:t xml:space="preserve"> </w:t>
      </w:r>
      <w:r>
        <w:t xml:space="preserve">Poland</w:t>
      </w:r>
      <w:r>
        <w:t xml:space="preserve"> </w:t>
      </w:r>
      <w:r>
        <w:t xml:space="preserve">70%</w:t>
      </w:r>
      <w:r>
        <w:t xml:space="preserve"> </w:t>
      </w:r>
      <w:r>
        <w:t xml:space="preserve">39%</w:t>
      </w:r>
      <w:r>
        <w:t xml:space="preserve"> </w:t>
      </w:r>
      <w:r>
        <w:t xml:space="preserve">26%</w:t>
      </w:r>
      <w:r>
        <w:t xml:space="preserve"> </w:t>
      </w:r>
      <w:r>
        <w:t xml:space="preserve">17%</w:t>
      </w:r>
      <w:r>
        <w:t xml:space="preserve"> </w:t>
      </w:r>
      <w:r>
        <w:t xml:space="preserve">58%</w:t>
      </w:r>
      <w:r>
        <w:t xml:space="preserve"> </w:t>
      </w:r>
      <w:r>
        <w:t xml:space="preserve">Portugal</w:t>
      </w:r>
      <w:r>
        <w:t xml:space="preserve"> </w:t>
      </w:r>
      <w:r>
        <w:t xml:space="preserve">83%</w:t>
      </w:r>
      <w:r>
        <w:t xml:space="preserve"> </w:t>
      </w:r>
      <w:r>
        <w:t xml:space="preserve">63%</w:t>
      </w:r>
      <w:r>
        <w:t xml:space="preserve"> </w:t>
      </w:r>
      <w:r>
        <w:t xml:space="preserve">38%</w:t>
      </w:r>
      <w:r>
        <w:t xml:space="preserve"> </w:t>
      </w:r>
      <w:r>
        <w:t xml:space="preserve">15%</w:t>
      </w:r>
      <w:r>
        <w:t xml:space="preserve"> </w:t>
      </w:r>
      <w:r>
        <w:t xml:space="preserve">53%</w:t>
      </w:r>
      <w:r>
        <w:t xml:space="preserve"> </w:t>
      </w:r>
      <w:r>
        <w:t xml:space="preserve">Romania</w:t>
      </w:r>
      <w:r>
        <w:t xml:space="preserve"> </w:t>
      </w:r>
      <w:r>
        <w:t xml:space="preserve">88%</w:t>
      </w:r>
      <w:r>
        <w:t xml:space="preserve"> </w:t>
      </w:r>
      <w:r>
        <w:t xml:space="preserve">60%</w:t>
      </w:r>
      <w:r>
        <w:t xml:space="preserve"> </w:t>
      </w:r>
      <w:r>
        <w:t xml:space="preserve">45%</w:t>
      </w:r>
      <w:r>
        <w:t xml:space="preserve"> </w:t>
      </w:r>
      <w:r>
        <w:t xml:space="preserve">25%</w:t>
      </w:r>
      <w:r>
        <w:t xml:space="preserve"> </w:t>
      </w:r>
      <w:r>
        <w:t xml:space="preserve">58%</w:t>
      </w:r>
      <w:r>
        <w:t xml:space="preserve"> </w:t>
      </w:r>
      <w:r>
        <w:t xml:space="preserve">Slovenia</w:t>
      </w:r>
      <w:r>
        <w:t xml:space="preserve"> </w:t>
      </w:r>
      <w:r>
        <w:t xml:space="preserve">92%</w:t>
      </w:r>
      <w:r>
        <w:t xml:space="preserve"> </w:t>
      </w:r>
      <w:r>
        <w:t xml:space="preserve">65%</w:t>
      </w:r>
      <w:r>
        <w:t xml:space="preserve"> </w:t>
      </w:r>
      <w:r>
        <w:t xml:space="preserve">53%</w:t>
      </w:r>
      <w:r>
        <w:t xml:space="preserve"> </w:t>
      </w:r>
      <w:r>
        <w:t xml:space="preserve">15%</w:t>
      </w:r>
      <w:r>
        <w:t xml:space="preserve"> </w:t>
      </w:r>
      <w:r>
        <w:t xml:space="preserve">60%</w:t>
      </w:r>
      <w:r>
        <w:t xml:space="preserve"> </w:t>
      </w:r>
      <w:r>
        <w:t xml:space="preserve">Slovakia</w:t>
      </w:r>
      <w:r>
        <w:t xml:space="preserve"> </w:t>
      </w:r>
      <w:r>
        <w:t xml:space="preserve">82%</w:t>
      </w:r>
      <w:r>
        <w:t xml:space="preserve"> </w:t>
      </w:r>
      <w:r>
        <w:t xml:space="preserve">50%</w:t>
      </w:r>
      <w:r>
        <w:t xml:space="preserve"> </w:t>
      </w:r>
      <w:r>
        <w:t xml:space="preserve">32%</w:t>
      </w:r>
      <w:r>
        <w:t xml:space="preserve"> </w:t>
      </w:r>
      <w:r>
        <w:t xml:space="preserve">30%</w:t>
      </w:r>
      <w:r>
        <w:t xml:space="preserve"> </w:t>
      </w:r>
      <w:r>
        <w:t xml:space="preserve">49%</w:t>
      </w:r>
      <w:r>
        <w:t xml:space="preserve"> </w:t>
      </w:r>
      <w:r>
        <w:t xml:space="preserve">Finland</w:t>
      </w:r>
      <w:r>
        <w:t xml:space="preserve"> </w:t>
      </w:r>
      <w:r>
        <w:t xml:space="preserve">34%</w:t>
      </w:r>
      <w:r>
        <w:t xml:space="preserve"> </w:t>
      </w:r>
      <w:r>
        <w:t xml:space="preserve">47%</w:t>
      </w:r>
      <w:r>
        <w:t xml:space="preserve"> </w:t>
      </w:r>
      <w:r>
        <w:t xml:space="preserve">48%</w:t>
      </w:r>
      <w:r>
        <w:t xml:space="preserve"> </w:t>
      </w:r>
      <w:r>
        <w:t xml:space="preserve">20%</w:t>
      </w:r>
      <w:r>
        <w:t xml:space="preserve"> </w:t>
      </w:r>
      <w:r>
        <w:t xml:space="preserve">34%</w:t>
      </w:r>
      <w:r>
        <w:t xml:space="preserve"> </w:t>
      </w:r>
      <w:r>
        <w:t xml:space="preserve">Sweden</w:t>
      </w:r>
      <w:r>
        <w:t xml:space="preserve"> </w:t>
      </w:r>
      <w:r>
        <w:t xml:space="preserve">22%</w:t>
      </w:r>
      <w:r>
        <w:t xml:space="preserve"> </w:t>
      </w:r>
      <w:r>
        <w:t xml:space="preserve">66%</w:t>
      </w:r>
      <w:r>
        <w:t xml:space="preserve"> </w:t>
      </w:r>
      <w:r>
        <w:t xml:space="preserve">36%</w:t>
      </w:r>
      <w:r>
        <w:t xml:space="preserve"> </w:t>
      </w:r>
      <w:r>
        <w:t xml:space="preserve">17%</w:t>
      </w:r>
      <w:r>
        <w:t xml:space="preserve"> </w:t>
      </w:r>
      <w:r>
        <w:t xml:space="preserve">19%</w:t>
      </w:r>
      <w:r>
        <w:t xml:space="preserve"> </w:t>
      </w:r>
      <w:r>
        <w:t xml:space="preserve">United</w:t>
      </w:r>
      <w:r>
        <w:t xml:space="preserve"> </w:t>
      </w:r>
      <w:r>
        <w:t xml:space="preserve">Kingdom</w:t>
      </w:r>
      <w:r>
        <w:t xml:space="preserve"> </w:t>
      </w:r>
      <w:r>
        <w:t xml:space="preserve">88%</w:t>
      </w:r>
      <w:r>
        <w:t xml:space="preserve"> </w:t>
      </w:r>
      <w:r>
        <w:t xml:space="preserve">73%</w:t>
      </w:r>
      <w:r>
        <w:t xml:space="preserve"> </w:t>
      </w:r>
      <w:r>
        <w:t xml:space="preserve">39%</w:t>
      </w:r>
      <w:r>
        <w:t xml:space="preserve"> </w:t>
      </w:r>
      <w:r>
        <w:t xml:space="preserve">16%</w:t>
      </w:r>
      <w:r>
        <w:t xml:space="preserve"> </w:t>
      </w:r>
      <w:r>
        <w:t xml:space="preserve">46%</w:t>
      </w:r>
      <w:r>
        <w:t xml:space="preserve"> </w:t>
      </w:r>
      <w:r>
        <w:t xml:space="preserve">EU 27 + UK</w:t>
      </w:r>
      <w:r>
        <w:t xml:space="preserve"> </w:t>
      </w:r>
      <w:r>
        <w:t xml:space="preserve">79%</w:t>
      </w:r>
      <w:r>
        <w:t xml:space="preserve"> </w:t>
      </w:r>
      <w:r>
        <w:t xml:space="preserve">63%</w:t>
      </w:r>
      <w:r>
        <w:t xml:space="preserve"> </w:t>
      </w:r>
      <w:r>
        <w:t xml:space="preserve">40%</w:t>
      </w:r>
      <w:r>
        <w:t xml:space="preserve"> </w:t>
      </w:r>
      <w:r>
        <w:t xml:space="preserve">19%</w:t>
      </w:r>
      <w:r>
        <w:t xml:space="preserve"> </w:t>
      </w:r>
      <w:r>
        <w:t xml:space="preserve">49%</w:t>
      </w:r>
    </w:p>
    <w:p>
      <w:pPr>
        <w:pStyle w:val="BodyText"/>
      </w:pPr>
      <w:r>
        <w:t xml:space="preserve">The NEC Directive entered into force on 31 December 2016, repealing Directive</w:t>
      </w:r>
      <w:r>
        <w:t xml:space="preserve"> </w:t>
      </w:r>
      <w:r>
        <w:t xml:space="preserve">2001/81/EC94 on national emission ceilings for certain atmospheric pollutants, with effect</w:t>
      </w:r>
      <w:r>
        <w:t xml:space="preserve"> </w:t>
      </w:r>
      <w:r>
        <w:t xml:space="preserve">from 1 July 2018. Under the NEC Directive, PM2.5 was added to the pollutants for which</w:t>
      </w:r>
      <w:r>
        <w:t xml:space="preserve"> </w:t>
      </w:r>
      <w:r>
        <w:t xml:space="preserve">mandatory reductions have been set, and the list of pollutants for which reporting is</w:t>
      </w:r>
      <w:r>
        <w:t xml:space="preserve"> </w:t>
      </w:r>
      <w:r>
        <w:t xml:space="preserve">obligatory was expanded. The Directive also introduced a shift from emission ceilings, which</w:t>
      </w:r>
      <w:r>
        <w:t xml:space="preserve"> </w:t>
      </w:r>
      <w:r>
        <w:t xml:space="preserve">prescribed a fixed maximum annual amount of emissions in kilo tonnes per pollutant, to</w:t>
      </w:r>
      <w:r>
        <w:t xml:space="preserve"> </w:t>
      </w:r>
      <w:r>
        <w:t xml:space="preserve">emission reduction commitments, which set reduction obligations expressed as a percentage</w:t>
      </w:r>
      <w:r>
        <w:t xml:space="preserve"> </w:t>
      </w:r>
      <w:r>
        <w:t xml:space="preserve">of the emissions of each pollutant in the baseline year 2005.</w:t>
      </w:r>
      <w:r>
        <w:br/>
      </w:r>
      <w:r>
        <w:t xml:space="preserve">The emission reduction commitments for 2020 to 2029 under the NEC Directive correspond</w:t>
      </w:r>
      <w:r>
        <w:t xml:space="preserve"> </w:t>
      </w:r>
      <w:r>
        <w:t xml:space="preserve">to the emission reduction commitments for 2020 and onwards taken by the EU and its</w:t>
      </w:r>
      <w:r>
        <w:t xml:space="preserve"> </w:t>
      </w:r>
      <w:r>
        <w:t xml:space="preserve">Member States under the revised Gothenburg Protocol95 to the United Nations Economic</w:t>
      </w:r>
      <w:r>
        <w:t xml:space="preserve"> </w:t>
      </w:r>
      <w:r>
        <w:t xml:space="preserve">Commission for Europe (UNECE) Convention on Long-Range Transboundary Air Pollution</w:t>
      </w:r>
      <w:r>
        <w:t xml:space="preserve"> </w:t>
      </w:r>
      <w:r>
        <w:t xml:space="preserve">(LRTAP).96 The Directive thereby transposes those international obligations, catering for the</w:t>
      </w:r>
      <w:r>
        <w:t xml:space="preserve"> </w:t>
      </w:r>
      <w:r>
        <w:t xml:space="preserve">transboundary feature of air pollution. Pollution from all countries neighbouring the EU</w:t>
      </w:r>
      <w:r>
        <w:t xml:space="preserve"> </w:t>
      </w:r>
      <w:r>
        <w:t xml:space="preserve">should be sought to be reduced in order to further increase synergies. Western Balkans</w:t>
      </w:r>
      <w:r>
        <w:t xml:space="preserve"> </w:t>
      </w:r>
      <w:r>
        <w:t xml:space="preserve">countries (candidate and potential candidate for EU accession) are in the front line of this</w:t>
      </w:r>
      <w:r>
        <w:t xml:space="preserve"> </w:t>
      </w:r>
      <w:r>
        <w:t xml:space="preserve">objective and the EU is working with them (in particular through capacity building) in order</w:t>
      </w:r>
      <w:r>
        <w:t xml:space="preserve"> </w:t>
      </w:r>
      <w:r>
        <w:t xml:space="preserve">to reduce air pollution emitted in those countries. To track progress towards the reduction</w:t>
      </w:r>
      <w:r>
        <w:t xml:space="preserve"> </w:t>
      </w:r>
      <w:r>
        <w:t xml:space="preserve">commitments under the Directive, Member States report annual emission inventories (as per</w:t>
      </w:r>
      <w:r>
        <w:t xml:space="preserve"> </w:t>
      </w:r>
      <w:r>
        <w:t xml:space="preserve">Article 10(2) of the NEC Directive). These inventories, which report actual emissions with a</w:t>
      </w:r>
      <w:r>
        <w:t xml:space="preserve"> </w:t>
      </w:r>
      <w:r>
        <w:t xml:space="preserve">two-year time lag, are used to check compliance with the emission reduction commitments.</w:t>
      </w:r>
    </w:p>
    <w:p>
      <w:pPr>
        <w:pStyle w:val="BodyText"/>
      </w:pPr>
      <w:r>
        <w:t xml:space="preserve">94 Directive 2001/81/EC of the European Parliament and of the Council of 23 October 2001 on national</w:t>
      </w:r>
      <w:r>
        <w:t xml:space="preserve"> </w:t>
      </w:r>
      <w:r>
        <w:t xml:space="preserve">emission ceilings for certain atmospheric pollutants, OJ L 309, 27.11.2001, p. 22.</w:t>
      </w:r>
      <w:r>
        <w:br/>
      </w:r>
      <w:r>
        <w:t xml:space="preserve">95 UNECE, 1999 Protocol to Abate Acidification, Eutrophication and Ground-level Ozone to the Convention</w:t>
      </w:r>
      <w:r>
        <w:t xml:space="preserve"> </w:t>
      </w:r>
      <w:r>
        <w:t xml:space="preserve">on Lang-range Transboundary Air Pollution (accessed: 10.06.2022)</w:t>
      </w:r>
      <w:r>
        <w:t xml:space="preserve"> </w:t>
      </w:r>
      <w:r>
        <w:t xml:space="preserve">96 UNECE (2022), The Convention and its achievements, 1979 Convention on Long-Range Transboundary Air</w:t>
      </w:r>
      <w:r>
        <w:t xml:space="preserve"> </w:t>
      </w:r>
      <w:r>
        <w:t xml:space="preserve">Pollution (accessed: 10.06.2022)</w:t>
      </w:r>
    </w:p>
    <w:p>
      <w:pPr>
        <w:pStyle w:val="BodyText"/>
      </w:pPr>
      <w:r>
        <w:t xml:space="preserve">281</w:t>
      </w:r>
    </w:p>
    <w:p>
      <w:pPr>
        <w:pStyle w:val="BodyText"/>
      </w:pPr>
      <w:r>
        <w:t xml:space="preserve">The year 2022 is hence the first year for the Commission to check compliance against the</w:t>
      </w:r>
      <w:r>
        <w:t xml:space="preserve"> </w:t>
      </w:r>
      <w:r>
        <w:t xml:space="preserve">emission reduction commitments for the year 2020-29 of the NEC Directive. Member States</w:t>
      </w:r>
      <w:r>
        <w:t xml:space="preserve"> </w:t>
      </w:r>
      <w:r>
        <w:t xml:space="preserve">also have the obligation to report every two years their projected emissions (as per Article</w:t>
      </w:r>
      <w:r>
        <w:t xml:space="preserve"> </w:t>
      </w:r>
      <w:r>
        <w:t xml:space="preserve">10(2) of the NEC Directive), which are compared to reduction commitments for 2020-29 and</w:t>
      </w:r>
      <w:r>
        <w:t xml:space="preserve"> </w:t>
      </w:r>
      <w:r>
        <w:t xml:space="preserve">2030 onwards to assess whether the Member State is on track to reach them.</w:t>
      </w:r>
      <w:r>
        <w:br/>
      </w:r>
      <w:r>
        <w:t xml:space="preserve">Member States also have to draw up, adopt and implement national air pollution control</w:t>
      </w:r>
      <w:r>
        <w:t xml:space="preserve"> </w:t>
      </w:r>
      <w:r>
        <w:t xml:space="preserve">programmes (NAPCP),97 as per Article 6(1) of the NEC Directive. These should show how</w:t>
      </w:r>
      <w:r>
        <w:t xml:space="preserve"> </w:t>
      </w:r>
      <w:r>
        <w:t xml:space="preserve">they will meet their emission reduction commitments for 2020-2029, and how they will reach</w:t>
      </w:r>
      <w:r>
        <w:t xml:space="preserve"> </w:t>
      </w:r>
      <w:r>
        <w:t xml:space="preserve">the more ambitious commitments by 2030 and beyond.98 The NAPCP constitutes a central</w:t>
      </w:r>
      <w:r>
        <w:t xml:space="preserve"> </w:t>
      </w:r>
      <w:r>
        <w:t xml:space="preserve">governance instrument that allows Member States to coordinate and agree their policies and</w:t>
      </w:r>
      <w:r>
        <w:t xml:space="preserve"> </w:t>
      </w:r>
      <w:r>
        <w:t xml:space="preserve">measures (PaMs) to ensure national emission reduction commitments are met. Its preparation</w:t>
      </w:r>
      <w:r>
        <w:t xml:space="preserve"> </w:t>
      </w:r>
      <w:r>
        <w:t xml:space="preserve">requires consultation and involvement of competent authorities at different levels and of</w:t>
      </w:r>
      <w:r>
        <w:t xml:space="preserve"> </w:t>
      </w:r>
      <w:r>
        <w:t xml:space="preserve">several different sectors, such as environment, agriculture, energy, climate, transport, industry</w:t>
      </w:r>
      <w:r>
        <w:t xml:space="preserve"> </w:t>
      </w:r>
      <w:r>
        <w:t xml:space="preserve">or finance. A particular emphasis is put on coherence with plans and programmes developed</w:t>
      </w:r>
      <w:r>
        <w:t xml:space="preserve"> </w:t>
      </w:r>
      <w:r>
        <w:t xml:space="preserve">under other, related policy areas. Furthermore, the NAPCP is a tool to communicate a</w:t>
      </w:r>
      <w:r>
        <w:t xml:space="preserve"> </w:t>
      </w:r>
      <w:r>
        <w:t xml:space="preserve">Member State’s pollution control policies and to involve the public in the process of policy-</w:t>
      </w:r>
      <w:r>
        <w:t xml:space="preserve"> </w:t>
      </w:r>
      <w:r>
        <w:t xml:space="preserve">making. The first NAPCPs were due by 1 April 2019. NAPCPs must be updated at least</w:t>
      </w:r>
      <w:r>
        <w:t xml:space="preserve"> </w:t>
      </w:r>
      <w:r>
        <w:t xml:space="preserve">every four years and earlier if new data so requires.</w:t>
      </w:r>
      <w:r>
        <w:t xml:space="preserve"> </w:t>
      </w:r>
      <w:r>
        <w:t xml:space="preserve">Member States which do not project to achieve their emission reduction commitments with</w:t>
      </w:r>
      <w:r>
        <w:t xml:space="preserve"> </w:t>
      </w:r>
      <w:r>
        <w:t xml:space="preserve">current policies have to report in their NAPCPs the additional policies and measures that they</w:t>
      </w:r>
      <w:r>
        <w:t xml:space="preserve"> </w:t>
      </w:r>
      <w:r>
        <w:t xml:space="preserve">considered for adoption and those actually selected in order to fulfil their commitments.99</w:t>
      </w:r>
      <w:r>
        <w:br/>
      </w:r>
      <w:r>
        <w:t xml:space="preserve">The first implementation report prepared by the Commission according to Article 11(1) of the</w:t>
      </w:r>
      <w:r>
        <w:t xml:space="preserve"> </w:t>
      </w:r>
      <w:r>
        <w:t xml:space="preserve">NEC Directive presented the progress made in the implementation of the Directive, including</w:t>
      </w:r>
      <w:r>
        <w:t xml:space="preserve"> </w:t>
      </w:r>
      <w:r>
        <w:t xml:space="preserve">its transposition and early assessment of the efforts made by Member States towards attaining</w:t>
      </w:r>
      <w:r>
        <w:t xml:space="preserve"> </w:t>
      </w:r>
      <w:r>
        <w:t xml:space="preserve">national emission reduction commitments.100 Subsequently, the Second Clean Air Outlook</w:t>
      </w:r>
      <w:r>
        <w:t xml:space="preserve"> </w:t>
      </w:r>
      <w:r>
        <w:t xml:space="preserve">presented an analysis of the prospects for achieving the emission reduction commitments</w:t>
      </w:r>
      <w:r>
        <w:t xml:space="preserve"> </w:t>
      </w:r>
      <w:r>
        <w:t xml:space="preserve">under the NEC Directive up to 2030, the related contribution to improving air quality, health</w:t>
      </w:r>
      <w:r>
        <w:t xml:space="preserve"> </w:t>
      </w:r>
      <w:r>
        <w:t xml:space="preserve">and the environment, and of the costs and benefits of the needed measures and expected</w:t>
      </w:r>
      <w:r>
        <w:t xml:space="preserve"> </w:t>
      </w:r>
      <w:r>
        <w:t xml:space="preserve">impacts. The third edition of the Clean Air Outlook is currently being prepared for</w:t>
      </w:r>
      <w:r>
        <w:t xml:space="preserve"> </w:t>
      </w:r>
      <w:r>
        <w:t xml:space="preserve">publication towards the end of 2022 and will update the assessment of compliance prospects.</w:t>
      </w:r>
      <w:r>
        <w:t xml:space="preserve"> </w:t>
      </w:r>
      <w:r>
        <w:t xml:space="preserve">The modelling work underlying the Outlook is developed in coherence with this impact</w:t>
      </w:r>
      <w:r>
        <w:t xml:space="preserve"> </w:t>
      </w:r>
      <w:r>
        <w:t xml:space="preserve">assessment. The third Clean Air Outlook will be part of the Zero-Pollution Outlook and will</w:t>
      </w:r>
      <w:r>
        <w:t xml:space="preserve"> </w:t>
      </w:r>
      <w:r>
        <w:t xml:space="preserve">also provide early inputs that will feed into the preparation of the review of the NEC</w:t>
      </w:r>
      <w:r>
        <w:t xml:space="preserve"> </w:t>
      </w:r>
      <w:r>
        <w:t xml:space="preserve">Directive due by 2025.</w:t>
      </w:r>
    </w:p>
    <w:p>
      <w:pPr>
        <w:pStyle w:val="BodyText"/>
      </w:pPr>
      <w:r>
        <w:t xml:space="preserve">97 The Commission has specified the format of the NAPCP, setting out mandatory and optional content, in</w:t>
      </w:r>
      <w:r>
        <w:t xml:space="preserve"> </w:t>
      </w:r>
      <w:r>
        <w:t xml:space="preserve">Commission Implementing Decision (EU) 2018/1522 of 11 October 2018 laying down a common format for</w:t>
      </w:r>
      <w:r>
        <w:t xml:space="preserve"> </w:t>
      </w:r>
      <w:r>
        <w:t xml:space="preserve">national air pollution control programmes under Directive (EU) 2016/2284 of the European Parliament and</w:t>
      </w:r>
      <w:r>
        <w:t xml:space="preserve"> </w:t>
      </w:r>
      <w:r>
        <w:t xml:space="preserve">of the Council on the reduction of national emissions of certain atmospheric pollutants.</w:t>
      </w:r>
      <w:r>
        <w:t xml:space="preserve"> </w:t>
      </w:r>
      <w:r>
        <w:t xml:space="preserve">98 The Commission has also prepared guidance for the development of NAPCPs: OJ C 77, 1.3.2019, p. 1.</w:t>
      </w:r>
      <w:r>
        <w:br/>
      </w:r>
      <w:r>
        <w:t xml:space="preserve">99 This reporting had to be done via the (EEA PaM Tool) a web-tool developed by the EEA.</w:t>
      </w:r>
      <w:r>
        <w:t xml:space="preserve"> </w:t>
      </w:r>
      <w:r>
        <w:t xml:space="preserve">100 COM/2020/266 final</w:t>
      </w:r>
    </w:p>
    <w:p>
      <w:pPr>
        <w:pStyle w:val="BodyText"/>
      </w:pPr>
      <w:r>
        <w:t xml:space="preserve">282</w:t>
      </w:r>
    </w:p>
    <w:p>
      <w:pPr>
        <w:pStyle w:val="Compact"/>
        <w:numPr>
          <w:ilvl w:val="0"/>
          <w:numId w:val="1006"/>
        </w:numPr>
      </w:pPr>
      <w:r>
        <w:t xml:space="preserve">LINKS TO OTHER POLICIES</w:t>
      </w:r>
      <w:r>
        <w:br/>
      </w:r>
      <w:r>
        <w:t xml:space="preserve">The following table maps European Green Deal policies and priorities that are of relevance</w:t>
      </w:r>
      <w:r>
        <w:t xml:space="preserve"> </w:t>
      </w:r>
      <w:r>
        <w:t xml:space="preserve">for the successful implementation of the Ambient Air Quality Directives and which in turn</w:t>
      </w:r>
      <w:r>
        <w:t xml:space="preserve"> </w:t>
      </w:r>
      <w:r>
        <w:t xml:space="preserve">are likely to be influenced by increased ambition under the Ambient Air Quality Directives.</w:t>
      </w:r>
      <w:r>
        <w:br/>
      </w:r>
      <w:r>
        <w:t xml:space="preserve">Table A8.2 – Mapping of European Green Deal policies and priorities relevant for the implementation of the</w:t>
      </w:r>
      <w:r>
        <w:t xml:space="preserve"> </w:t>
      </w:r>
      <w:r>
        <w:t xml:space="preserve">Ambient Air Quality Directives and vice versa</w:t>
      </w:r>
      <w:r>
        <w:t xml:space="preserve"> </w:t>
      </w:r>
      <w:r>
        <w:t xml:space="preserve">Policy domains</w:t>
      </w:r>
      <w:r>
        <w:t xml:space="preserve"> </w:t>
      </w:r>
      <w:r>
        <w:t xml:space="preserve">Links to Ambient Air Quality Directives</w:t>
      </w:r>
      <w:r>
        <w:t xml:space="preserve"> </w:t>
      </w:r>
      <w:r>
        <w:t xml:space="preserve">Climate Ambition</w:t>
      </w:r>
      <w:r>
        <w:t xml:space="preserve"> </w:t>
      </w:r>
      <w:r>
        <w:t xml:space="preserve">Fit for 55 legislative proposals</w:t>
      </w:r>
      <w:r>
        <w:t xml:space="preserve"> </w:t>
      </w:r>
      <w:r>
        <w:t xml:space="preserve">to deliver the increased</w:t>
      </w:r>
      <w:r>
        <w:t xml:space="preserve"> </w:t>
      </w:r>
      <w:r>
        <w:t xml:space="preserve">ambition level of 55% reduction</w:t>
      </w:r>
      <w:r>
        <w:t xml:space="preserve"> </w:t>
      </w:r>
      <w:r>
        <w:t xml:space="preserve">of GHG emissions by 2030</w:t>
      </w:r>
      <w:r>
        <w:br/>
      </w:r>
      <w:r>
        <w:t xml:space="preserve">Increased climate ambition will foster uptake of low- or zero emission</w:t>
      </w:r>
      <w:r>
        <w:t xml:space="preserve"> </w:t>
      </w:r>
      <w:r>
        <w:t xml:space="preserve">technologies with co-benefits for air quality (such as non-combustible</w:t>
      </w:r>
      <w:r>
        <w:t xml:space="preserve"> </w:t>
      </w:r>
      <w:r>
        <w:t xml:space="preserve">renewables, energy efficiency measures, electric mobility). Proposals on</w:t>
      </w:r>
      <w:r>
        <w:t xml:space="preserve"> </w:t>
      </w:r>
      <w:r>
        <w:t xml:space="preserve">increased ambition include:</w:t>
      </w:r>
      <w:r>
        <w:t xml:space="preserve"> </w:t>
      </w:r>
      <w:r>
        <w:t xml:space="preserve"></w:t>
      </w:r>
      <w:r>
        <w:t xml:space="preserve"> </w:t>
      </w:r>
      <w:r>
        <w:t xml:space="preserve">increased ambition of the EU emission trading system (ETS)101;</w:t>
      </w:r>
      <w:r>
        <w:t xml:space="preserve"> </w:t>
      </w:r>
      <w:r>
        <w:t xml:space="preserve"></w:t>
      </w:r>
      <w:r>
        <w:t xml:space="preserve"> </w:t>
      </w:r>
      <w:r>
        <w:t xml:space="preserve">increased ambition of the EU’s Effort Sharing Regulation102;</w:t>
      </w:r>
      <w:r>
        <w:t xml:space="preserve"> </w:t>
      </w:r>
      <w:r>
        <w:t xml:space="preserve"></w:t>
      </w:r>
      <w:r>
        <w:t xml:space="preserve"> </w:t>
      </w:r>
      <w:r>
        <w:t xml:space="preserve">stricter CO₂ emission performance standards for cars and vans103</w:t>
      </w:r>
      <w:r>
        <w:t xml:space="preserve"> </w:t>
      </w:r>
      <w:r>
        <w:t xml:space="preserve">requiring all newly registered cars and vans to be zero-emission from</w:t>
      </w:r>
    </w:p>
    <w:p>
      <w:pPr>
        <w:pStyle w:val="Compact"/>
        <w:numPr>
          <w:ilvl w:val="0"/>
          <w:numId w:val="1006"/>
        </w:numPr>
      </w:pPr>
      <w:r>
        <w:t xml:space="preserve">Stricter AQ standards bring co-benefits for climate in the form of reduction of</w:t>
      </w:r>
      <w:r>
        <w:t xml:space="preserve"> </w:t>
      </w:r>
      <w:r>
        <w:t xml:space="preserve">black carbon (BC), a short-lived climate forcer (SLCF).</w:t>
      </w:r>
      <w:r>
        <w:t xml:space="preserve"> </w:t>
      </w:r>
      <w:r>
        <w:t xml:space="preserve">Clean, affordable and secure energy</w:t>
      </w:r>
      <w:r>
        <w:t xml:space="preserve"> </w:t>
      </w:r>
      <w:r>
        <w:t xml:space="preserve">RePowerEU</w:t>
      </w:r>
      <w:r>
        <w:t xml:space="preserve"> </w:t>
      </w:r>
      <w:r>
        <w:t xml:space="preserve">RePowerEU proposes actions to rapidly reducing Europe’s dependence on</w:t>
      </w:r>
      <w:r>
        <w:t xml:space="preserve"> </w:t>
      </w:r>
      <w:r>
        <w:t xml:space="preserve">Russian fossil fuels by fast forwarding the clean transition and joining forces</w:t>
      </w:r>
      <w:r>
        <w:t xml:space="preserve"> </w:t>
      </w:r>
      <w:r>
        <w:t xml:space="preserve">to achieve a more resilient energy system and a true Energy Union. Those</w:t>
      </w:r>
      <w:r>
        <w:t xml:space="preserve"> </w:t>
      </w:r>
      <w:r>
        <w:t xml:space="preserve">actions include an overall reduction of the energy consumption, diversify</w:t>
      </w:r>
      <w:r>
        <w:t xml:space="preserve"> </w:t>
      </w:r>
      <w:r>
        <w:t xml:space="preserve">energy imports, substituting fossil fuels and accelerating the transition to</w:t>
      </w:r>
      <w:r>
        <w:t xml:space="preserve"> </w:t>
      </w:r>
      <w:r>
        <w:t xml:space="preserve">renewable energy in power generation, industry, buildings and transport and</w:t>
      </w:r>
      <w:r>
        <w:t xml:space="preserve"> </w:t>
      </w:r>
      <w:r>
        <w:t xml:space="preserve">smart investments. Speeding up these actions can benefit air quality, too.</w:t>
      </w:r>
      <w:r>
        <w:t xml:space="preserve"> </w:t>
      </w:r>
      <w:r>
        <w:t xml:space="preserve">Increased ambition on</w:t>
      </w:r>
      <w:r>
        <w:t xml:space="preserve"> </w:t>
      </w:r>
      <w:r>
        <w:t xml:space="preserve">renewables</w:t>
      </w:r>
      <w:r>
        <w:t xml:space="preserve"> </w:t>
      </w:r>
      <w:r>
        <w:t xml:space="preserve">Increased uptake of non-combustible renewable energy sources will reduce</w:t>
      </w:r>
      <w:r>
        <w:t xml:space="preserve"> </w:t>
      </w:r>
      <w:r>
        <w:t xml:space="preserve">reliance on fossil fuels and hence emissions of air pollutants, improving air</w:t>
      </w:r>
      <w:r>
        <w:t xml:space="preserve"> </w:t>
      </w:r>
      <w:r>
        <w:t xml:space="preserve">quality.</w:t>
      </w:r>
    </w:p>
    <w:p>
      <w:pPr>
        <w:pStyle w:val="FirstParagraph"/>
      </w:pPr>
      <w:r>
        <w:t xml:space="preserve">Biomass burning, in inefficient and old installations, as part of renewable</w:t>
      </w:r>
      <w:r>
        <w:t xml:space="preserve"> </w:t>
      </w:r>
      <w:r>
        <w:t xml:space="preserve">energy use emits air pollutants and thus negatively affects air quality.</w:t>
      </w:r>
    </w:p>
    <w:p>
      <w:pPr>
        <w:pStyle w:val="BodyText"/>
      </w:pPr>
      <w:r>
        <w:t xml:space="preserve">Initiatives promoting renewable energy sources include the 2021 proposal to</w:t>
      </w:r>
      <w:r>
        <w:t xml:space="preserve"> </w:t>
      </w:r>
      <w:r>
        <w:t xml:space="preserve">revise the Renewable Energy Directive (RED II)104, which puts forward</w:t>
      </w:r>
      <w:r>
        <w:t xml:space="preserve"> </w:t>
      </w:r>
      <w:r>
        <w:t xml:space="preserve">more ambitious 2030 targets, as well as the 2022 Commission</w:t>
      </w:r>
      <w:r>
        <w:t xml:space="preserve"> </w:t>
      </w:r>
      <w:r>
        <w:t xml:space="preserve">Communication on RePower EU with a lot of emphasis on frontloading</w:t>
      </w:r>
    </w:p>
    <w:p>
      <w:pPr>
        <w:pStyle w:val="BodyText"/>
      </w:pPr>
      <w:r>
        <w:t xml:space="preserve">101 COM (2021) 551 final</w:t>
      </w:r>
      <w:r>
        <w:t xml:space="preserve"> </w:t>
      </w:r>
      <w:r>
        <w:t xml:space="preserve">102 COM (2021) 555 final</w:t>
      </w:r>
      <w:r>
        <w:t xml:space="preserve"> </w:t>
      </w:r>
      <w:r>
        <w:t xml:space="preserve">103 COM (2021) 556 final</w:t>
      </w:r>
      <w:r>
        <w:t xml:space="preserve"> </w:t>
      </w:r>
      <w:r>
        <w:t xml:space="preserve">104 COM (2021) 557 final</w:t>
      </w:r>
    </w:p>
    <w:p>
      <w:pPr>
        <w:pStyle w:val="BodyText"/>
      </w:pPr>
      <w:r>
        <w:t xml:space="preserve">283</w:t>
      </w:r>
    </w:p>
    <w:p>
      <w:pPr>
        <w:pStyle w:val="BodyText"/>
      </w:pPr>
      <w:r>
        <w:t xml:space="preserve">investments in renewables, notably solar power and wind, and in heat</w:t>
      </w:r>
      <w:r>
        <w:t xml:space="preserve"> </w:t>
      </w:r>
      <w:r>
        <w:t xml:space="preserve">pumps, all of which are beneficial also for air quality.</w:t>
      </w:r>
      <w:r>
        <w:br/>
      </w:r>
      <w:r>
        <w:t xml:space="preserve">Increased ambition on energy</w:t>
      </w:r>
      <w:r>
        <w:t xml:space="preserve"> </w:t>
      </w:r>
      <w:r>
        <w:t xml:space="preserve">efficiency</w:t>
      </w:r>
      <w:r>
        <w:t xml:space="preserve"> </w:t>
      </w:r>
      <w:r>
        <w:t xml:space="preserve">Increased ambition on energy efficiency and the introduction of a binding EU</w:t>
      </w:r>
      <w:r>
        <w:t xml:space="preserve"> </w:t>
      </w:r>
      <w:r>
        <w:t xml:space="preserve">energy efficiency target through the proposal on a revised Energy Efficiency</w:t>
      </w:r>
      <w:r>
        <w:t xml:space="preserve"> </w:t>
      </w:r>
      <w:r>
        <w:t xml:space="preserve">Directive105 will decrease energy needs overall, including of fossil fuels and</w:t>
      </w:r>
      <w:r>
        <w:t xml:space="preserve"> </w:t>
      </w:r>
      <w:r>
        <w:t xml:space="preserve">hence reduce emissions of air pollutants, improving air quality.</w:t>
      </w:r>
      <w:r>
        <w:br/>
      </w:r>
      <w:r>
        <w:t xml:space="preserve">Renovation wave</w:t>
      </w:r>
      <w:r>
        <w:t xml:space="preserve"> </w:t>
      </w:r>
      <w:r>
        <w:t xml:space="preserve">Deeper and more widespread uptake of energy efficiency measures and of</w:t>
      </w:r>
      <w:r>
        <w:t xml:space="preserve"> </w:t>
      </w:r>
      <w:r>
        <w:t xml:space="preserve">on-site generation from non-combustible renewable energy sources in</w:t>
      </w:r>
      <w:r>
        <w:t xml:space="preserve"> </w:t>
      </w:r>
      <w:r>
        <w:t xml:space="preserve">building renovation, such as through the proposed recast Energy</w:t>
      </w:r>
      <w:r>
        <w:t xml:space="preserve"> </w:t>
      </w:r>
      <w:r>
        <w:t xml:space="preserve">Performance of Buildings Directive106, will help reduce the use of fossil</w:t>
      </w:r>
      <w:r>
        <w:t xml:space="preserve"> </w:t>
      </w:r>
      <w:r>
        <w:t xml:space="preserve">fuels and biomass for heating107 and hence reduce emission of air pollutants,</w:t>
      </w:r>
      <w:r>
        <w:t xml:space="preserve"> </w:t>
      </w:r>
      <w:r>
        <w:t xml:space="preserve">improving air quality.</w:t>
      </w:r>
      <w:r>
        <w:t xml:space="preserve"> </w:t>
      </w:r>
      <w:r>
        <w:t xml:space="preserve">Digitalisation</w:t>
      </w:r>
    </w:p>
    <w:p>
      <w:pPr>
        <w:pStyle w:val="BodyText"/>
      </w:pPr>
      <w:r>
        <w:t xml:space="preserve">Accelerate the digital</w:t>
      </w:r>
      <w:r>
        <w:t xml:space="preserve"> </w:t>
      </w:r>
      <w:r>
        <w:t xml:space="preserve">transformation</w:t>
      </w:r>
      <w:r>
        <w:br/>
      </w:r>
      <w:r>
        <w:t xml:space="preserve">The European Environment Information and Observation Network (Eionet)</w:t>
      </w:r>
      <w:r>
        <w:t xml:space="preserve"> </w:t>
      </w:r>
      <w:r>
        <w:t xml:space="preserve">hosted by the European Environment Agency gathers and displays data as a</w:t>
      </w:r>
      <w:r>
        <w:t xml:space="preserve"> </w:t>
      </w:r>
      <w:r>
        <w:t xml:space="preserve">unique digital platform used by all Member States for their reporting of air</w:t>
      </w:r>
      <w:r>
        <w:t xml:space="preserve"> </w:t>
      </w:r>
      <w:r>
        <w:t xml:space="preserve">quality data. The digital service offered on the platform facilitates online</w:t>
      </w:r>
      <w:r>
        <w:t xml:space="preserve"> </w:t>
      </w:r>
      <w:r>
        <w:t xml:space="preserve">reporting and coordinating between National Focal Points (NFPs) in the</w:t>
      </w:r>
      <w:r>
        <w:t xml:space="preserve"> </w:t>
      </w:r>
      <w:r>
        <w:t xml:space="preserve">countries and the European Commission.</w:t>
      </w:r>
      <w:r>
        <w:br/>
      </w:r>
      <w:r>
        <w:t xml:space="preserve">Industrial strategy for a clean and circular economy</w:t>
      </w:r>
      <w:r>
        <w:t xml:space="preserve"> </w:t>
      </w:r>
      <w:r>
        <w:t xml:space="preserve">Sustainable Products Initiative</w:t>
      </w:r>
      <w:r>
        <w:t xml:space="preserve"> </w:t>
      </w:r>
      <w:r>
        <w:t xml:space="preserve">By making products that consume less energy, by using them more efficiently</w:t>
      </w:r>
      <w:r>
        <w:t xml:space="preserve"> </w:t>
      </w:r>
      <w:r>
        <w:t xml:space="preserve">and for longer, by relying on recycled materials instead of primary raw</w:t>
      </w:r>
      <w:r>
        <w:t xml:space="preserve"> </w:t>
      </w:r>
      <w:r>
        <w:t xml:space="preserve">materials, and by spreading front-runner circular economic models, indirect</w:t>
      </w:r>
      <w:r>
        <w:t xml:space="preserve"> </w:t>
      </w:r>
      <w:r>
        <w:t xml:space="preserve">co-benefits can be expected for air quality, notably through a reduction of</w:t>
      </w:r>
      <w:r>
        <w:t xml:space="preserve"> </w:t>
      </w:r>
      <w:r>
        <w:t xml:space="preserve">fossil energy and the related emissions.</w:t>
      </w:r>
      <w:r>
        <w:br/>
      </w:r>
      <w:r>
        <w:t xml:space="preserve">Sustainable and Smart Mobility</w:t>
      </w:r>
    </w:p>
    <w:p>
      <w:pPr>
        <w:pStyle w:val="BodyText"/>
      </w:pPr>
      <w:r>
        <w:t xml:space="preserve">105 COM/2021/558 final</w:t>
      </w:r>
      <w:r>
        <w:t xml:space="preserve"> </w:t>
      </w:r>
      <w:r>
        <w:t xml:space="preserve">106 COM/2021/802 final</w:t>
      </w:r>
      <w:r>
        <w:t xml:space="preserve"> </w:t>
      </w:r>
      <w:r>
        <w:t xml:space="preserve">107 The definition in the proposed recast EPBD of a zero-emission building accommodates use of biomass for</w:t>
      </w:r>
      <w:r>
        <w:t xml:space="preserve"> </w:t>
      </w:r>
      <w:r>
        <w:t xml:space="preserve">on-site energy generation, while biomass use leads to air pollutant emissions.</w:t>
      </w:r>
    </w:p>
    <w:p>
      <w:pPr>
        <w:pStyle w:val="BodyText"/>
      </w:pPr>
      <w:r>
        <w:t xml:space="preserve">284</w:t>
      </w:r>
    </w:p>
    <w:p>
      <w:pPr>
        <w:pStyle w:val="BodyText"/>
      </w:pPr>
      <w:r>
        <w:t xml:space="preserve">Sustainable and Smart Mobility</w:t>
      </w:r>
      <w:r>
        <w:t xml:space="preserve"> </w:t>
      </w:r>
      <w:r>
        <w:t xml:space="preserve">Strategy and follow-up actions</w:t>
      </w:r>
      <w:r>
        <w:t xml:space="preserve"> </w:t>
      </w:r>
      <w:r>
        <w:t xml:space="preserve">Action supporting the move towards lower-emission and public transport will</w:t>
      </w:r>
      <w:r>
        <w:t xml:space="preserve"> </w:t>
      </w:r>
      <w:r>
        <w:t xml:space="preserve">bring positive co-benefits for air quality. Some actions with particular</w:t>
      </w:r>
      <w:r>
        <w:t xml:space="preserve"> </w:t>
      </w:r>
      <w:r>
        <w:t xml:space="preserve">relevance for air quality include:</w:t>
      </w:r>
      <w:r>
        <w:t xml:space="preserve"> </w:t>
      </w:r>
      <w:r>
        <w:t xml:space="preserve"></w:t>
      </w:r>
      <w:r>
        <w:t xml:space="preserve"> </w:t>
      </w:r>
      <w:r>
        <w:t xml:space="preserve">Proposal for more stringent air pollutant emissions standards for</w:t>
      </w:r>
      <w:r>
        <w:t xml:space="preserve"> </w:t>
      </w:r>
      <w:r>
        <w:t xml:space="preserve">combustion-engine vehicles (Euro 7)108: Euro standards reduce pollutant</w:t>
      </w:r>
      <w:r>
        <w:t xml:space="preserve"> </w:t>
      </w:r>
      <w:r>
        <w:t xml:space="preserve">emissions from cars, vans, trucks and buses, improving air quality. The</w:t>
      </w:r>
      <w:r>
        <w:t xml:space="preserve"> </w:t>
      </w:r>
      <w:r>
        <w:t xml:space="preserve">introduction of Euro 7 will bring further benefits in this regard.</w:t>
      </w:r>
      <w:r>
        <w:t xml:space="preserve"> </w:t>
      </w:r>
      <w:r>
        <w:t xml:space="preserve"></w:t>
      </w:r>
      <w:r>
        <w:t xml:space="preserve"> </w:t>
      </w:r>
      <w:r>
        <w:t xml:space="preserve">Proposal for an alternative fuels infrastructure regulation109: a</w:t>
      </w:r>
      <w:r>
        <w:t xml:space="preserve"> </w:t>
      </w:r>
      <w:r>
        <w:t xml:space="preserve">comprehensive network of recharging and refuelling infrastructure is</w:t>
      </w:r>
      <w:r>
        <w:t xml:space="preserve"> </w:t>
      </w:r>
      <w:r>
        <w:t xml:space="preserve">needed to facilitate the increased uptake of renewable and low-carbon</w:t>
      </w:r>
      <w:r>
        <w:t xml:space="preserve"> </w:t>
      </w:r>
      <w:r>
        <w:t xml:space="preserve">fuels, including e-mobility, which would bring important air quality co-</w:t>
      </w:r>
      <w:r>
        <w:t xml:space="preserve"> </w:t>
      </w:r>
      <w:r>
        <w:t xml:space="preserve">benefits.</w:t>
      </w:r>
      <w:r>
        <w:br/>
      </w:r>
      <w:r>
        <w:t xml:space="preserve"></w:t>
      </w:r>
      <w:r>
        <w:t xml:space="preserve"> </w:t>
      </w:r>
      <w:r>
        <w:t xml:space="preserve">Proposals for ReFuelEU Aviation and FuelEU Maritime include</w:t>
      </w:r>
      <w:r>
        <w:t xml:space="preserve"> </w:t>
      </w:r>
      <w:r>
        <w:t xml:space="preserve">measures that promote cleaner fuels, with a potential to reduce air</w:t>
      </w:r>
      <w:r>
        <w:t xml:space="preserve"> </w:t>
      </w:r>
      <w:r>
        <w:t xml:space="preserve">pollutant emissions, and to improve air quality near ports by requiring the</w:t>
      </w:r>
      <w:r>
        <w:t xml:space="preserve"> </w:t>
      </w:r>
      <w:r>
        <w:t xml:space="preserve">use of on-shore power supply or zero-emission energy at berth for</w:t>
      </w:r>
      <w:r>
        <w:t xml:space="preserve"> </w:t>
      </w:r>
      <w:r>
        <w:t xml:space="preserve">specific ship types.</w:t>
      </w:r>
      <w:r>
        <w:br/>
      </w:r>
      <w:r>
        <w:t xml:space="preserve">In turn, the Ambient Air Quality Directives trigger increased action in urban</w:t>
      </w:r>
      <w:r>
        <w:t xml:space="preserve"> </w:t>
      </w:r>
      <w:r>
        <w:t xml:space="preserve">areas to move to lower emission mobility, introduction of low-emission zones,</w:t>
      </w:r>
      <w:r>
        <w:t xml:space="preserve"> </w:t>
      </w:r>
      <w:r>
        <w:t xml:space="preserve">increased uptake of public transport and active mobility to attain limit values.</w:t>
      </w:r>
      <w:r>
        <w:t xml:space="preserve"> </w:t>
      </w:r>
      <w:r>
        <w:t xml:space="preserve">Greening the Common Agricultural Policy / ‘Farm to Fork’ Strategy</w:t>
      </w:r>
      <w:r>
        <w:t xml:space="preserve"> </w:t>
      </w:r>
      <w:r>
        <w:t xml:space="preserve">CAP national strategic plans</w:t>
      </w:r>
      <w:r>
        <w:br/>
      </w:r>
      <w:r>
        <w:t xml:space="preserve">In December 2020, the Commission sent recommendations to all Member</w:t>
      </w:r>
      <w:r>
        <w:t xml:space="preserve"> </w:t>
      </w:r>
      <w:r>
        <w:t xml:space="preserve">States for the drafting of the national CAP SPs110. Notably, Member States</w:t>
      </w:r>
      <w:r>
        <w:t xml:space="preserve"> </w:t>
      </w:r>
      <w:r>
        <w:t xml:space="preserve">were recommended to ensure sufficient ambition level and to include and</w:t>
      </w:r>
      <w:r>
        <w:t xml:space="preserve"> </w:t>
      </w:r>
      <w:r>
        <w:t xml:space="preserve">promote ammonia reduction measures as ecoschemes or investment</w:t>
      </w:r>
      <w:r>
        <w:t xml:space="preserve"> </w:t>
      </w:r>
      <w:r>
        <w:t xml:space="preserve">interventions in their CAP SPs, thereby contributing to improved air quality</w:t>
      </w:r>
      <w:r>
        <w:t xml:space="preserve"> </w:t>
      </w:r>
      <w:r>
        <w:t xml:space="preserve">and</w:t>
      </w:r>
      <w:r>
        <w:t xml:space="preserve"> </w:t>
      </w:r>
      <w:r>
        <w:t xml:space="preserve">reduced</w:t>
      </w:r>
      <w:r>
        <w:t xml:space="preserve"> </w:t>
      </w:r>
      <w:r>
        <w:t xml:space="preserve">concentrations</w:t>
      </w:r>
      <w:r>
        <w:t xml:space="preserve"> </w:t>
      </w:r>
      <w:r>
        <w:t xml:space="preserve">of</w:t>
      </w:r>
      <w:r>
        <w:t xml:space="preserve"> </w:t>
      </w:r>
      <w:r>
        <w:t xml:space="preserve">secondary</w:t>
      </w:r>
      <w:r>
        <w:t xml:space="preserve"> </w:t>
      </w:r>
      <w:r>
        <w:t xml:space="preserve">particulate</w:t>
      </w:r>
      <w:r>
        <w:t xml:space="preserve"> </w:t>
      </w:r>
      <w:r>
        <w:t xml:space="preserve">matter.</w:t>
      </w:r>
      <w:r>
        <w:t xml:space="preserve"> </w:t>
      </w:r>
      <w:r>
        <w:t xml:space="preserve">The</w:t>
      </w:r>
      <w:r>
        <w:t xml:space="preserve"> </w:t>
      </w:r>
      <w:r>
        <w:t xml:space="preserve">Commission reviews the final CAP SPs to assess whether these</w:t>
      </w:r>
      <w:r>
        <w:t xml:space="preserve"> </w:t>
      </w:r>
      <w:r>
        <w:t xml:space="preserve">recommendations have been followed.</w:t>
      </w:r>
      <w:r>
        <w:br/>
      </w:r>
      <w:r>
        <w:t xml:space="preserve">‘Farm to Fork’ Strategy</w:t>
      </w:r>
      <w:r>
        <w:t xml:space="preserve"> </w:t>
      </w:r>
      <w:r>
        <w:t xml:space="preserve">The strategy and its action plan support the move towards more sustainable</w:t>
      </w:r>
      <w:r>
        <w:t xml:space="preserve"> </w:t>
      </w:r>
      <w:r>
        <w:t xml:space="preserve">farming practices and address improved nutrient management and excess</w:t>
      </w:r>
      <w:r>
        <w:t xml:space="preserve"> </w:t>
      </w:r>
      <w:r>
        <w:t xml:space="preserve">use of pesticides and fertilisers. This will bring positive co-benefits for air</w:t>
      </w:r>
      <w:r>
        <w:t xml:space="preserve"> </w:t>
      </w:r>
      <w:r>
        <w:t xml:space="preserve">quality, notably via reduced ammonia (an important precursor of PM2.5) and</w:t>
      </w:r>
      <w:r>
        <w:t xml:space="preserve"> </w:t>
      </w:r>
      <w:r>
        <w:t xml:space="preserve">nitrogen emissions from low-pollution manure management techniques.</w:t>
      </w:r>
      <w:r>
        <w:br/>
      </w:r>
      <w:r>
        <w:t xml:space="preserve">The Ambient Air Quality Directives improve understanding of and drive action</w:t>
      </w:r>
      <w:r>
        <w:t xml:space="preserve"> </w:t>
      </w:r>
      <w:r>
        <w:t xml:space="preserve">to address rural background levels of pollutant concentrations which harm</w:t>
      </w:r>
      <w:r>
        <w:t xml:space="preserve"> </w:t>
      </w:r>
      <w:r>
        <w:t xml:space="preserve">crop yields (in particular of SO2, NOX and O3).</w:t>
      </w:r>
      <w:r>
        <w:br/>
      </w:r>
      <w:r>
        <w:t xml:space="preserve">CAP GAEC 6 on stubble</w:t>
      </w:r>
      <w:r>
        <w:t xml:space="preserve"> </w:t>
      </w:r>
      <w:r>
        <w:t xml:space="preserve">burning</w:t>
      </w:r>
      <w:r>
        <w:t xml:space="preserve"> </w:t>
      </w:r>
      <w:r>
        <w:t xml:space="preserve">Within the Common Agricultural Policy, the Good Agricultural and</w:t>
      </w:r>
      <w:r>
        <w:t xml:space="preserve"> </w:t>
      </w:r>
      <w:r>
        <w:t xml:space="preserve">Environmental Conditions include as a cross-cutting conditionality the ban on</w:t>
      </w:r>
      <w:r>
        <w:t xml:space="preserve"> </w:t>
      </w:r>
      <w:r>
        <w:t xml:space="preserve">open burning of arable stubble (except for plant health reasons), contributing</w:t>
      </w:r>
      <w:r>
        <w:t xml:space="preserve"> </w:t>
      </w:r>
      <w:r>
        <w:t xml:space="preserve">to the reduction of particulate matter emissions and concentrations.</w:t>
      </w:r>
      <w:r>
        <w:t xml:space="preserve"> </w:t>
      </w:r>
      <w:r>
        <w:t xml:space="preserve">Preserving and protecting biodiversity</w:t>
      </w:r>
      <w:r>
        <w:t xml:space="preserve"> </w:t>
      </w:r>
      <w:r>
        <w:t xml:space="preserve">Addressing biodiversity loss</w:t>
      </w:r>
      <w:r>
        <w:t xml:space="preserve"> </w:t>
      </w:r>
      <w:r>
        <w:t xml:space="preserve">and degradation of ecosystems</w:t>
      </w:r>
      <w:r>
        <w:t xml:space="preserve"> </w:t>
      </w:r>
      <w:r>
        <w:t xml:space="preserve">Poor air quality negatively affects vegetation and ecosystems. The Ambient</w:t>
      </w:r>
      <w:r>
        <w:t xml:space="preserve"> </w:t>
      </w:r>
      <w:r>
        <w:t xml:space="preserve">Air Quality Directives define critical levels for SO2 and NOX for the protection</w:t>
      </w:r>
    </w:p>
    <w:p>
      <w:pPr>
        <w:pStyle w:val="BodyText"/>
      </w:pPr>
      <w:r>
        <w:t xml:space="preserve">108 COM 2022), European vehicle emissions standards – Euro 7 for cars, vans, lorries and buses (accessed</w:t>
      </w:r>
      <w:r>
        <w:t xml:space="preserve"> </w:t>
      </w:r>
      <w:r>
        <w:t xml:space="preserve">04.08.2022)</w:t>
      </w:r>
      <w:r>
        <w:t xml:space="preserve"> </w:t>
      </w:r>
      <w:r>
        <w:t xml:space="preserve">109 COM(2021) 559 final</w:t>
      </w:r>
      <w:r>
        <w:br/>
      </w:r>
      <w:r>
        <w:t xml:space="preserve">110 SWD C2020/846</w:t>
      </w:r>
    </w:p>
    <w:p>
      <w:pPr>
        <w:pStyle w:val="BodyText"/>
      </w:pPr>
      <w:r>
        <w:t xml:space="preserve">285</w:t>
      </w:r>
    </w:p>
    <w:p>
      <w:pPr>
        <w:pStyle w:val="BodyText"/>
      </w:pPr>
      <w:r>
        <w:t xml:space="preserve">of vegetation and natural ecosystems and requires measurements to improve</w:t>
      </w:r>
      <w:r>
        <w:t xml:space="preserve"> </w:t>
      </w:r>
      <w:r>
        <w:t xml:space="preserve">the protection of vegetation and natural ecosystems from high ozone</w:t>
      </w:r>
      <w:r>
        <w:t xml:space="preserve"> </w:t>
      </w:r>
      <w:r>
        <w:t xml:space="preserve">concentrations. In turn, policies that improve ecosystem health, such as the</w:t>
      </w:r>
      <w:r>
        <w:t xml:space="preserve"> </w:t>
      </w:r>
      <w:r>
        <w:t xml:space="preserve">proposed Nature Restoration Law can also deliver on clean air aspects.</w:t>
      </w:r>
      <w:r>
        <w:br/>
      </w:r>
      <w:r>
        <w:t xml:space="preserve">Towards a zero-pollution ambition for a toxic free environment</w:t>
      </w:r>
      <w:r>
        <w:t xml:space="preserve"> </w:t>
      </w:r>
      <w:r>
        <w:t xml:space="preserve">Zero Pollution Action Plan</w:t>
      </w:r>
      <w:r>
        <w:br/>
      </w:r>
      <w:r>
        <w:t xml:space="preserve">Stricter air quality standards are a key deliverable under the ZPAP and a key</w:t>
      </w:r>
      <w:r>
        <w:t xml:space="preserve"> </w:t>
      </w:r>
      <w:r>
        <w:t xml:space="preserve">tool to move closer to the EU’s zero pollution ambition.</w:t>
      </w:r>
    </w:p>
    <w:p>
      <w:pPr>
        <w:pStyle w:val="BodyText"/>
      </w:pPr>
      <w:r>
        <w:t xml:space="preserve">The proposed revision of the Industrial Emissions Directive111 is an</w:t>
      </w:r>
      <w:r>
        <w:t xml:space="preserve"> </w:t>
      </w:r>
      <w:r>
        <w:t xml:space="preserve">important deliverable under the ZPAP. The IED prevents and reduces</w:t>
      </w:r>
      <w:r>
        <w:t xml:space="preserve"> </w:t>
      </w:r>
      <w:r>
        <w:t xml:space="preserve">emission of pollutants to air and hence contributes to attaining air quality</w:t>
      </w:r>
      <w:r>
        <w:t xml:space="preserve"> </w:t>
      </w:r>
      <w:r>
        <w:t xml:space="preserve">standards.</w:t>
      </w:r>
      <w:r>
        <w:t xml:space="preserve"> </w:t>
      </w:r>
      <w:r>
        <w:t xml:space="preserve">Chemicals Strategy</w:t>
      </w:r>
      <w:r>
        <w:t xml:space="preserve"> </w:t>
      </w:r>
      <w:r>
        <w:t xml:space="preserve">By promoting the transition towards safe and sustainable chemicals and</w:t>
      </w:r>
      <w:r>
        <w:t xml:space="preserve"> </w:t>
      </w:r>
      <w:r>
        <w:t xml:space="preserve">moving towards cleaner chemical and material production processes can</w:t>
      </w:r>
      <w:r>
        <w:t xml:space="preserve"> </w:t>
      </w:r>
      <w:r>
        <w:t xml:space="preserve">generate indirect benefits for air quality.</w:t>
      </w:r>
      <w:r>
        <w:br/>
      </w:r>
      <w:r>
        <w:t xml:space="preserve">Ecodesign requirements</w:t>
      </w:r>
      <w:r>
        <w:t xml:space="preserve"> </w:t>
      </w:r>
      <w:r>
        <w:t xml:space="preserve">Requirements for heating appliances, in particular those for solid fuel heating,</w:t>
      </w:r>
      <w:r>
        <w:t xml:space="preserve"> </w:t>
      </w:r>
      <w:r>
        <w:t xml:space="preserve">are important for curbing pollutant emissions and hence attaining air quality</w:t>
      </w:r>
      <w:r>
        <w:t xml:space="preserve"> </w:t>
      </w:r>
      <w:r>
        <w:t xml:space="preserve">standards particularly in densely populated areas.</w:t>
      </w:r>
      <w:r>
        <w:br/>
      </w:r>
      <w:r>
        <w:t xml:space="preserve">Indoor air quality</w:t>
      </w:r>
      <w:r>
        <w:t xml:space="preserve"> </w:t>
      </w:r>
      <w:r>
        <w:t xml:space="preserve">Indoor air quality benefits from improved ambient air quality through</w:t>
      </w:r>
      <w:r>
        <w:t xml:space="preserve"> </w:t>
      </w:r>
      <w:r>
        <w:t xml:space="preserve">ventilation.</w:t>
      </w:r>
      <w:r>
        <w:t xml:space="preserve"> </w:t>
      </w:r>
      <w:r>
        <w:t xml:space="preserve">Mainstreaming sustainability in all EU policies</w:t>
      </w:r>
      <w:r>
        <w:t xml:space="preserve"> </w:t>
      </w:r>
      <w:r>
        <w:t xml:space="preserve">Various source legislation</w:t>
      </w:r>
      <w:r>
        <w:br/>
      </w:r>
      <w:r>
        <w:t xml:space="preserve">The success of EU clean air policy including the attainment of the Ambient</w:t>
      </w:r>
      <w:r>
        <w:t xml:space="preserve"> </w:t>
      </w:r>
      <w:r>
        <w:t xml:space="preserve">Air</w:t>
      </w:r>
      <w:r>
        <w:t xml:space="preserve"> </w:t>
      </w:r>
      <w:r>
        <w:t xml:space="preserve">Quality</w:t>
      </w:r>
      <w:r>
        <w:t xml:space="preserve"> </w:t>
      </w:r>
      <w:r>
        <w:t xml:space="preserve">Directives’</w:t>
      </w:r>
      <w:r>
        <w:t xml:space="preserve"> </w:t>
      </w:r>
      <w:r>
        <w:t xml:space="preserve">air</w:t>
      </w:r>
      <w:r>
        <w:t xml:space="preserve"> </w:t>
      </w:r>
      <w:r>
        <w:t xml:space="preserve">quality</w:t>
      </w:r>
      <w:r>
        <w:t xml:space="preserve"> </w:t>
      </w:r>
      <w:r>
        <w:t xml:space="preserve">standards</w:t>
      </w:r>
      <w:r>
        <w:t xml:space="preserve"> </w:t>
      </w:r>
      <w:r>
        <w:t xml:space="preserve">relies</w:t>
      </w:r>
      <w:r>
        <w:t xml:space="preserve"> </w:t>
      </w:r>
      <w:r>
        <w:t xml:space="preserve">on</w:t>
      </w:r>
      <w:r>
        <w:t xml:space="preserve"> </w:t>
      </w:r>
      <w:r>
        <w:t xml:space="preserve">successful</w:t>
      </w:r>
      <w:r>
        <w:t xml:space="preserve"> </w:t>
      </w:r>
      <w:r>
        <w:t xml:space="preserve">mainstreaming of clean air considerations into other policies, notably when it</w:t>
      </w:r>
      <w:r>
        <w:t xml:space="preserve"> </w:t>
      </w:r>
      <w:r>
        <w:t xml:space="preserve">comes to key sources of air pollution such as energy generation, transport,</w:t>
      </w:r>
      <w:r>
        <w:t xml:space="preserve"> </w:t>
      </w:r>
      <w:r>
        <w:t xml:space="preserve">industrial installations, domestic heating and agriculture.</w:t>
      </w:r>
      <w:r>
        <w:br/>
      </w:r>
      <w:r>
        <w:t xml:space="preserve">EU funding – clean air</w:t>
      </w:r>
      <w:r>
        <w:t xml:space="preserve"> </w:t>
      </w:r>
      <w:r>
        <w:t xml:space="preserve">expenditures tracking</w:t>
      </w:r>
      <w:r>
        <w:br/>
      </w:r>
      <w:r>
        <w:t xml:space="preserve">While there is no clean air spending target, clean air tracking by the</w:t>
      </w:r>
      <w:r>
        <w:t xml:space="preserve"> </w:t>
      </w:r>
      <w:r>
        <w:t xml:space="preserve">Commission is meant to monitor EU funding contributing to clean air in view</w:t>
      </w:r>
      <w:r>
        <w:t xml:space="preserve"> </w:t>
      </w:r>
      <w:r>
        <w:t xml:space="preserve">of a better implementation of the clean air policies (incl. the Ambient Air</w:t>
      </w:r>
      <w:r>
        <w:t xml:space="preserve"> </w:t>
      </w:r>
      <w:r>
        <w:t xml:space="preserve">Quality Directives) in Member States.</w:t>
      </w:r>
      <w:r>
        <w:t xml:space="preserve"> </w:t>
      </w:r>
      <w:r>
        <w:t xml:space="preserve">Socially just transition</w:t>
      </w:r>
      <w:r>
        <w:t xml:space="preserve"> </w:t>
      </w:r>
      <w:r>
        <w:t xml:space="preserve">Poor air quality disproportionally affects citizens of lower socio-economic</w:t>
      </w:r>
      <w:r>
        <w:t xml:space="preserve"> </w:t>
      </w:r>
      <w:r>
        <w:t xml:space="preserve">status, as well as those with pre-existing conditions and children112.</w:t>
      </w:r>
      <w:r>
        <w:t xml:space="preserve"> </w:t>
      </w:r>
      <w:r>
        <w:t xml:space="preserve">Consequently, these groups of society are expected to benefit most from</w:t>
      </w:r>
      <w:r>
        <w:t xml:space="preserve"> </w:t>
      </w:r>
      <w:r>
        <w:t xml:space="preserve">stricter air quality standards.</w:t>
      </w:r>
      <w:r>
        <w:br/>
      </w:r>
      <w:r>
        <w:t xml:space="preserve">The EU as a global leader</w:t>
      </w:r>
      <w:r>
        <w:t xml:space="preserve"> </w:t>
      </w:r>
      <w:r>
        <w:t xml:space="preserve">International cooperation</w:t>
      </w:r>
      <w:r>
        <w:t xml:space="preserve"> </w:t>
      </w:r>
      <w:r>
        <w:t xml:space="preserve">Air quality in the EU partly depends on clean air action in third countries, and</w:t>
      </w:r>
      <w:r>
        <w:t xml:space="preserve"> </w:t>
      </w:r>
      <w:r>
        <w:t xml:space="preserve">vice versa. International cooperation is therefore crucial and mutually</w:t>
      </w:r>
      <w:r>
        <w:t xml:space="preserve"> </w:t>
      </w:r>
      <w:r>
        <w:t xml:space="preserve">beneficial, including e.g. though the UNECE Air Convention, WHO and</w:t>
      </w:r>
      <w:r>
        <w:t xml:space="preserve"> </w:t>
      </w:r>
      <w:r>
        <w:t xml:space="preserve">United Nations Environment Programme (UNEP).</w:t>
      </w:r>
      <w:r>
        <w:t xml:space="preserve"> </w:t>
      </w:r>
      <w:r>
        <w:t xml:space="preserve">Maritime transport</w:t>
      </w:r>
      <w:r>
        <w:t xml:space="preserve"> </w:t>
      </w:r>
      <w:r>
        <w:t xml:space="preserve">Progress at international level towards stricter emissions limits on SO2</w:t>
      </w:r>
      <w:r>
        <w:t xml:space="preserve"> </w:t>
      </w:r>
      <w:r>
        <w:t xml:space="preserve">emissions, including through the introduction of emission control areas</w:t>
      </w:r>
      <w:r>
        <w:t xml:space="preserve"> </w:t>
      </w:r>
      <w:r>
        <w:t xml:space="preserve">(ECAs), contribute to improving air quality notably in coastal regions.</w:t>
      </w:r>
      <w:r>
        <w:t xml:space="preserve"> </w:t>
      </w:r>
      <w:r>
        <w:t xml:space="preserve">Working together – a European Climate Pact</w:t>
      </w:r>
    </w:p>
    <w:p>
      <w:pPr>
        <w:pStyle w:val="BodyText"/>
      </w:pPr>
      <w:r>
        <w:t xml:space="preserve">111 COM(2022) 156 final</w:t>
      </w:r>
      <w:r>
        <w:t xml:space="preserve"> </w:t>
      </w:r>
      <w:r>
        <w:t xml:space="preserve">112 EEA (2018), EEA Report No 22/2018 (accessed: 09.06.2022)</w:t>
      </w:r>
    </w:p>
    <w:p>
      <w:pPr>
        <w:pStyle w:val="BodyText"/>
      </w:pPr>
      <w:r>
        <w:t xml:space="preserve">286</w:t>
      </w:r>
    </w:p>
    <w:p>
      <w:pPr>
        <w:pStyle w:val="BodyText"/>
      </w:pPr>
      <w:r>
        <w:t xml:space="preserve">Engagement with citizens /</w:t>
      </w:r>
      <w:r>
        <w:t xml:space="preserve"> </w:t>
      </w:r>
      <w:r>
        <w:t xml:space="preserve">Citizen science</w:t>
      </w:r>
      <w:r>
        <w:t xml:space="preserve"> </w:t>
      </w:r>
      <w:r>
        <w:t xml:space="preserve">European citizens care strongly about air quality.113 Air quality is an area</w:t>
      </w:r>
      <w:r>
        <w:t xml:space="preserve"> </w:t>
      </w:r>
      <w:r>
        <w:t xml:space="preserve">where citizen science114 complements official measurements performed in</w:t>
      </w:r>
      <w:r>
        <w:t xml:space="preserve"> </w:t>
      </w:r>
      <w:r>
        <w:t xml:space="preserve">accordance with the Ambient Air Quality Directives, bringing EU policy</w:t>
      </w:r>
      <w:r>
        <w:t xml:space="preserve"> </w:t>
      </w:r>
      <w:r>
        <w:t xml:space="preserve">objectives closer to citizens.</w:t>
      </w:r>
      <w:r>
        <w:br/>
      </w:r>
      <w:r>
        <w:t xml:space="preserve">The European Environment Agency’s European Air Quality Index115 allows</w:t>
      </w:r>
      <w:r>
        <w:t xml:space="preserve"> </w:t>
      </w:r>
      <w:r>
        <w:t xml:space="preserve">users to gain insights into the air quality where they live, through a web-</w:t>
      </w:r>
      <w:r>
        <w:t xml:space="preserve"> </w:t>
      </w:r>
      <w:r>
        <w:t xml:space="preserve">based application and a new Air quality index mobile app.</w:t>
      </w:r>
      <w:r>
        <w:t xml:space="preserve"> </w:t>
      </w:r>
      <w:r>
        <w:t xml:space="preserve">UNECE Convention on Access</w:t>
      </w:r>
      <w:r>
        <w:t xml:space="preserve"> </w:t>
      </w:r>
      <w:r>
        <w:t xml:space="preserve">to Information, Public</w:t>
      </w:r>
      <w:r>
        <w:t xml:space="preserve"> </w:t>
      </w:r>
      <w:r>
        <w:t xml:space="preserve">Participation in Decision-Making</w:t>
      </w:r>
      <w:r>
        <w:t xml:space="preserve"> </w:t>
      </w:r>
      <w:r>
        <w:t xml:space="preserve">and Access to Justice in</w:t>
      </w:r>
      <w:r>
        <w:t xml:space="preserve"> </w:t>
      </w:r>
      <w:r>
        <w:t xml:space="preserve">Environmental matters (Aarhus</w:t>
      </w:r>
      <w:r>
        <w:t xml:space="preserve"> </w:t>
      </w:r>
      <w:r>
        <w:t xml:space="preserve">Convention)</w:t>
      </w:r>
      <w:r>
        <w:br/>
      </w:r>
      <w:r>
        <w:t xml:space="preserve">The EU is party to the Aarhus Convention since February 2005 and adopted</w:t>
      </w:r>
      <w:r>
        <w:t xml:space="preserve"> </w:t>
      </w:r>
      <w:r>
        <w:t xml:space="preserve">several measures since to implement the provisions therein, inter alia:</w:t>
      </w:r>
      <w:r>
        <w:br/>
      </w:r>
      <w:r>
        <w:t xml:space="preserve"> Directive 2003/4/EC on public access to environmental information116</w:t>
      </w:r>
      <w:r>
        <w:br/>
      </w:r>
      <w:r>
        <w:t xml:space="preserve"> Directive 2003/35/EC providing for public participation in respect of the</w:t>
      </w:r>
      <w:r>
        <w:t xml:space="preserve"> </w:t>
      </w:r>
      <w:r>
        <w:t xml:space="preserve">drawing up of certain plans and programmes relating to the environment117</w:t>
      </w:r>
      <w:r>
        <w:br/>
      </w:r>
      <w:r>
        <w:t xml:space="preserve"> Regulation (EC) 1367/2006 on the application of the provisions of the</w:t>
      </w:r>
      <w:r>
        <w:t xml:space="preserve"> </w:t>
      </w:r>
      <w:r>
        <w:t xml:space="preserve">Aarhus Convention on Access to Information, Public Participation in</w:t>
      </w:r>
      <w:r>
        <w:t xml:space="preserve"> </w:t>
      </w:r>
      <w:r>
        <w:t xml:space="preserve">Decision-making and Access to Justice in Environmental Matters to Union</w:t>
      </w:r>
      <w:r>
        <w:t xml:space="preserve"> </w:t>
      </w:r>
      <w:r>
        <w:t xml:space="preserve">institutions and bodies118</w:t>
      </w:r>
      <w:r>
        <w:br/>
      </w:r>
      <w:r>
        <w:t xml:space="preserve">Safeguarding compliance with air quality objectives in the EU partly depends</w:t>
      </w:r>
      <w:r>
        <w:t xml:space="preserve"> </w:t>
      </w:r>
      <w:r>
        <w:t xml:space="preserve">on European citizens having access to the right information, being able to</w:t>
      </w:r>
      <w:r>
        <w:t xml:space="preserve"> </w:t>
      </w:r>
      <w:r>
        <w:t xml:space="preserve">participate in the decision-making process and, in case of non-compliance by</w:t>
      </w:r>
      <w:r>
        <w:t xml:space="preserve"> </w:t>
      </w:r>
      <w:r>
        <w:t xml:space="preserve">Member States, having access to justice to enforce air quality objectives.</w:t>
      </w:r>
    </w:p>
    <w:p>
      <w:pPr>
        <w:pStyle w:val="BodyText"/>
      </w:pPr>
      <w:r>
        <w:t xml:space="preserve">113 COM (2019), Special Eurobarometer 497 (accessed: 09.06.2022) and COM (2021), Open Public</w:t>
      </w:r>
      <w:r>
        <w:t xml:space="preserve"> </w:t>
      </w:r>
      <w:r>
        <w:t xml:space="preserve">Consultation on “Air quality – revision of EU rules” (accessed: 04.08.2022)</w:t>
      </w:r>
      <w:r>
        <w:t xml:space="preserve"> </w:t>
      </w:r>
      <w:r>
        <w:t xml:space="preserve">114 e.g. CurieuzenAir (accessed: 09.06.2022)</w:t>
      </w:r>
      <w:r>
        <w:t xml:space="preserve"> </w:t>
      </w:r>
      <w:r>
        <w:t xml:space="preserve">115 EEA (2022), European air quality index (accessed: 09.06.2022)</w:t>
      </w:r>
      <w:r>
        <w:t xml:space="preserve"> </w:t>
      </w:r>
      <w:r>
        <w:t xml:space="preserve">116 OJ L 41, 14.2.2003, p.26.</w:t>
      </w:r>
      <w:r>
        <w:t xml:space="preserve"> </w:t>
      </w:r>
      <w:r>
        <w:t xml:space="preserve">117 OJ L 156, 25.6.2003, p.17.</w:t>
      </w:r>
      <w:r>
        <w:t xml:space="preserve"> </w:t>
      </w:r>
      <w:r>
        <w:t xml:space="preserve">118 OJ L 264, 25.9.2006, p.13.</w:t>
      </w:r>
    </w:p>
    <w:p>
      <w:pPr>
        <w:pStyle w:val="BodyText"/>
      </w:pPr>
      <w:r>
        <w:t xml:space="preserve">287</w:t>
      </w:r>
    </w:p>
    <w:p>
      <w:pPr>
        <w:pStyle w:val="BodyText"/>
      </w:pPr>
      <w:r>
        <w:t xml:space="preserve">ANNEX 9: FITNESS CHECK OF THE AMBIENT AIR QUALITY</w:t>
      </w:r>
      <w:r>
        <w:t xml:space="preserve"> </w:t>
      </w:r>
      <w:r>
        <w:t xml:space="preserve">DIRECTIVES IN 2019</w:t>
      </w:r>
      <w:r>
        <w:t xml:space="preserve"> </w:t>
      </w:r>
      <w:r>
        <w:t xml:space="preserve">1.</w:t>
      </w:r>
      <w:r>
        <w:t xml:space="preserve"> </w:t>
      </w:r>
      <w:r>
        <w:t xml:space="preserve">SCOPE AND METHODOLOGY</w:t>
      </w:r>
      <w:r>
        <w:br/>
      </w:r>
      <w:r>
        <w:t xml:space="preserve">In November 2019, the European Commission completed and published its fitness check of</w:t>
      </w:r>
      <w:r>
        <w:t xml:space="preserve"> </w:t>
      </w:r>
      <w:r>
        <w:t xml:space="preserve">the Ambient Air Quality Directives (Directives 2008/50/EC and 2004/107/EC).119 The fitness</w:t>
      </w:r>
      <w:r>
        <w:t xml:space="preserve"> </w:t>
      </w:r>
      <w:r>
        <w:t xml:space="preserve">check assessed whether the EU actions enshrined in these pieces of legislation have achieved</w:t>
      </w:r>
      <w:r>
        <w:t xml:space="preserve"> </w:t>
      </w:r>
      <w:r>
        <w:t xml:space="preserve">their objectives without entailing disproportionate costs and continue to be justified.</w:t>
      </w:r>
      <w:r>
        <w:br/>
      </w:r>
      <w:r>
        <w:t xml:space="preserve">The fitness check was guided by a roadmap120 that outlined issues, looking in particular at the</w:t>
      </w:r>
      <w:r>
        <w:t xml:space="preserve"> </w:t>
      </w:r>
      <w:r>
        <w:t xml:space="preserve">five evaluation criteria set out in the Better Regulation agenda. This translated into five</w:t>
      </w:r>
      <w:r>
        <w:t xml:space="preserve"> </w:t>
      </w:r>
      <w:r>
        <w:t xml:space="preserve">overarching evaluation questions on the criteria of relevance, effectiveness, efficiency,</w:t>
      </w:r>
      <w:r>
        <w:t xml:space="preserve"> </w:t>
      </w:r>
      <w:r>
        <w:t xml:space="preserve">coherence and EU added value. A sixth evaluation question specifically looked at the</w:t>
      </w:r>
      <w:r>
        <w:t xml:space="preserve"> </w:t>
      </w:r>
      <w:r>
        <w:t xml:space="preserve">effectiveness and efficiency of air quality monitoring.</w:t>
      </w:r>
      <w:r>
        <w:t xml:space="preserve"> </w:t>
      </w:r>
      <w:r>
        <w:t xml:space="preserve">The fitness check draws on experience in, and data from, all Member States, focusing on the</w:t>
      </w:r>
      <w:r>
        <w:t xml:space="preserve"> </w:t>
      </w:r>
      <w:r>
        <w:t xml:space="preserve">period from 2008 to 2018 as this is the period when both Directives were in force. The</w:t>
      </w:r>
      <w:r>
        <w:t xml:space="preserve"> </w:t>
      </w:r>
      <w:r>
        <w:t xml:space="preserve">analysis covers all articles and provisions of the two Ambient Air Quality Directives, looking</w:t>
      </w:r>
      <w:r>
        <w:t xml:space="preserve"> </w:t>
      </w:r>
      <w:r>
        <w:t xml:space="preserve">at the role they have played in meeting the objectives. The work was underpinned by the</w:t>
      </w:r>
      <w:r>
        <w:t xml:space="preserve"> </w:t>
      </w:r>
      <w:r>
        <w:t xml:space="preserve">evidence collected in the study ‘Supporting the fitness check of the EU Ambient Air Quality</w:t>
      </w:r>
      <w:r>
        <w:t xml:space="preserve"> </w:t>
      </w:r>
      <w:r>
        <w:t xml:space="preserve">Directives (2008/50/EC, 2004/107/EC)’. 121 The support study helped gather information</w:t>
      </w:r>
      <w:r>
        <w:t xml:space="preserve"> </w:t>
      </w:r>
      <w:r>
        <w:t xml:space="preserve">and data through different channels, including several means to solicit stakeholder views.</w:t>
      </w:r>
      <w:r>
        <w:br/>
      </w:r>
      <w:r>
        <w:t xml:space="preserve">The fitness check allowed the public to participate effectively through a comprehensive</w:t>
      </w:r>
      <w:r>
        <w:t xml:space="preserve"> </w:t>
      </w:r>
      <w:r>
        <w:t xml:space="preserve">stakeholder consultation including an open public consultation, a targeted questionnaire and</w:t>
      </w:r>
      <w:r>
        <w:t xml:space="preserve"> </w:t>
      </w:r>
      <w:r>
        <w:t xml:space="preserve">two stakeholder workshops.</w:t>
      </w:r>
      <w:r>
        <w:br/>
      </w:r>
      <w:r>
        <w:t xml:space="preserve">The findings of the fitness check are used to inform further reflections on whether the</w:t>
      </w:r>
      <w:r>
        <w:t xml:space="preserve"> </w:t>
      </w:r>
      <w:r>
        <w:t xml:space="preserve">Ambient Air Quality Directives continue to provide the appropriate legislative framework to</w:t>
      </w:r>
      <w:r>
        <w:t xml:space="preserve"> </w:t>
      </w:r>
      <w:r>
        <w:t xml:space="preserve">ensure protection from adverse impacts on, and risks to, human health and the environment.</w:t>
      </w:r>
      <w:r>
        <w:t xml:space="preserve"> </w:t>
      </w:r>
      <w:r>
        <w:t xml:space="preserve">2.</w:t>
      </w:r>
      <w:r>
        <w:t xml:space="preserve"> </w:t>
      </w:r>
      <w:r>
        <w:t xml:space="preserve">EXECUTIVE SUMMARY OF THE FITNESS CHECK122</w:t>
      </w:r>
      <w:r>
        <w:t xml:space="preserve"> </w:t>
      </w:r>
      <w:r>
        <w:t xml:space="preserve">Clean air is essential to human health. It is also essential to sustaining the environment, and</w:t>
      </w:r>
      <w:r>
        <w:t xml:space="preserve"> </w:t>
      </w:r>
      <w:r>
        <w:t xml:space="preserve">provides multiple economic and social benefits. The scientific evidence of harmful effects of</w:t>
      </w:r>
      <w:r>
        <w:t xml:space="preserve"> </w:t>
      </w:r>
      <w:r>
        <w:t xml:space="preserve">air pollution is well-established, robust and points to a clear need for action.</w:t>
      </w:r>
    </w:p>
    <w:p>
      <w:pPr>
        <w:pStyle w:val="BodyText"/>
      </w:pPr>
      <w:r>
        <w:t xml:space="preserve">119 SWD (2019) 427 final.</w:t>
      </w:r>
      <w:r>
        <w:br/>
      </w:r>
      <w:r>
        <w:t xml:space="preserve">120 COM (2019), Have your say on the fitness check of the EU Ambient Air Quality Directives (accessed:</w:t>
      </w:r>
      <w:r>
        <w:t xml:space="preserve"> </w:t>
      </w:r>
      <w:r>
        <w:t xml:space="preserve">04.08.2022)</w:t>
      </w:r>
      <w:r>
        <w:t xml:space="preserve"> </w:t>
      </w:r>
      <w:r>
        <w:t xml:space="preserve">121 COWI et al. (2019). ‘Supporting the fitness check of the EU Ambient Air Quality Directives (2008/50/EC,</w:t>
      </w:r>
      <w:r>
        <w:t xml:space="preserve"> </w:t>
      </w:r>
      <w:r>
        <w:t xml:space="preserve">2004/107/EC)’ – hereafter referred to as ‘Support study informing this Fitness Check’.</w:t>
      </w:r>
      <w:r>
        <w:t xml:space="preserve"> </w:t>
      </w:r>
      <w:r>
        <w:t xml:space="preserve">122 SWD (2019) 428 final.</w:t>
      </w:r>
    </w:p>
    <w:p>
      <w:pPr>
        <w:pStyle w:val="BodyText"/>
      </w:pPr>
      <w:r>
        <w:t xml:space="preserve">288</w:t>
      </w:r>
    </w:p>
    <w:p>
      <w:pPr>
        <w:pStyle w:val="BodyText"/>
      </w:pPr>
      <w:r>
        <w:t xml:space="preserve">The current Ambient Air Quality Directives constitute the third generation of EU level air</w:t>
      </w:r>
      <w:r>
        <w:t xml:space="preserve"> </w:t>
      </w:r>
      <w:r>
        <w:t xml:space="preserve">quality policies since the early 1980s, and have inherited many provisions, including many</w:t>
      </w:r>
      <w:r>
        <w:t xml:space="preserve"> </w:t>
      </w:r>
      <w:r>
        <w:t xml:space="preserve">air quality standards from predecessor legislation. These policies have rendered some</w:t>
      </w:r>
      <w:r>
        <w:t xml:space="preserve"> </w:t>
      </w:r>
      <w:r>
        <w:t xml:space="preserve">successes, as exemplified by the decrease of exceedances for most air pollutants over the past</w:t>
      </w:r>
      <w:r>
        <w:t xml:space="preserve"> </w:t>
      </w:r>
      <w:r>
        <w:t xml:space="preserve">decade. However, the air quality challenge is far from being solved. Although the number of</w:t>
      </w:r>
      <w:r>
        <w:t xml:space="preserve"> </w:t>
      </w:r>
      <w:r>
        <w:t xml:space="preserve">people exposed to air pollution decreased markedly during the past decade, persistent</w:t>
      </w:r>
      <w:r>
        <w:t xml:space="preserve"> </w:t>
      </w:r>
      <w:r>
        <w:t xml:space="preserve">exceedances above EU air quality standards remain for several air pollutants, and especially</w:t>
      </w:r>
      <w:r>
        <w:t xml:space="preserve"> </w:t>
      </w:r>
      <w:r>
        <w:t xml:space="preserve">for particulate matter, nitrogen dioxide, ozone and benzo(a)pyrene – with significant impacts</w:t>
      </w:r>
      <w:r>
        <w:t xml:space="preserve"> </w:t>
      </w:r>
      <w:r>
        <w:t xml:space="preserve">on human health and the environment. In 2017, for example, 8% of the EU urban population</w:t>
      </w:r>
      <w:r>
        <w:t xml:space="preserve"> </w:t>
      </w:r>
      <w:r>
        <w:t xml:space="preserve">was exposed to levels above the EU air quality standards for fine particulate matter (PM2.5);</w:t>
      </w:r>
      <w:r>
        <w:t xml:space="preserve"> </w:t>
      </w:r>
      <w:r>
        <w:t xml:space="preserve">but when measured against the more stringent recommendations by the World Health</w:t>
      </w:r>
      <w:r>
        <w:t xml:space="preserve"> </w:t>
      </w:r>
      <w:r>
        <w:t xml:space="preserve">Organization this figure increased to around 77%.</w:t>
      </w:r>
      <w:r>
        <w:t xml:space="preserve"> </w:t>
      </w:r>
      <w:r>
        <w:t xml:space="preserve">With the Ambient Air Quality Directives, and in combination with the wider EU Clean Air</w:t>
      </w:r>
      <w:r>
        <w:t xml:space="preserve"> </w:t>
      </w:r>
      <w:r>
        <w:t xml:space="preserve">Policy Framework, the European Union has the policy tools at hand to address this challenge.</w:t>
      </w:r>
      <w:r>
        <w:t xml:space="preserve"> </w:t>
      </w:r>
      <w:r>
        <w:t xml:space="preserve">The fitness check, including the analysis of its underlying evidence and stakeholder views,</w:t>
      </w:r>
      <w:r>
        <w:t xml:space="preserve"> </w:t>
      </w:r>
      <w:r>
        <w:t xml:space="preserve">concludes that the Ambient Air Quality Directives have been partially effective in improving</w:t>
      </w:r>
      <w:r>
        <w:t xml:space="preserve"> </w:t>
      </w:r>
      <w:r>
        <w:t xml:space="preserve">air quality and achieving air quality standards. It also acknowledges that they have not been</w:t>
      </w:r>
      <w:r>
        <w:t xml:space="preserve"> </w:t>
      </w:r>
      <w:r>
        <w:t xml:space="preserve">fully effective and not all its objectives have been met to date, and that the remaining gap to</w:t>
      </w:r>
      <w:r>
        <w:t xml:space="preserve"> </w:t>
      </w:r>
      <w:r>
        <w:t xml:space="preserve">achieve agreed air quality standards is too wide in certain cases.</w:t>
      </w:r>
      <w:r>
        <w:t xml:space="preserve"> </w:t>
      </w:r>
      <w:r>
        <w:t xml:space="preserve">Clear EU air quality standards – Air quality standards have been set for a total of 12 air</w:t>
      </w:r>
      <w:r>
        <w:t xml:space="preserve"> </w:t>
      </w:r>
      <w:r>
        <w:t xml:space="preserve">pollutants.123 Their relevance and the underpinning scientific evidence on their harmful</w:t>
      </w:r>
      <w:r>
        <w:t xml:space="preserve"> </w:t>
      </w:r>
      <w:r>
        <w:t xml:space="preserve">effects has been reconfirmed and reinforced. For other air pollutants, not covered by the</w:t>
      </w:r>
      <w:r>
        <w:t xml:space="preserve"> </w:t>
      </w:r>
      <w:r>
        <w:t xml:space="preserve">Ambient Air Quality Directives, such as ultrafine particles or black carbon, the current</w:t>
      </w:r>
      <w:r>
        <w:t xml:space="preserve"> </w:t>
      </w:r>
      <w:r>
        <w:t xml:space="preserve">scientific evidence on adverse health effects remains inconclusive and does not lend itself to</w:t>
      </w:r>
      <w:r>
        <w:t xml:space="preserve"> </w:t>
      </w:r>
      <w:r>
        <w:t xml:space="preserve">setting standards. The air quality standards have been instrumental in driving concentrations</w:t>
      </w:r>
      <w:r>
        <w:t xml:space="preserve"> </w:t>
      </w:r>
      <w:r>
        <w:t xml:space="preserve">downward and reducing exceedance levels. Nevertheless, two shortcomings remain: firstly,</w:t>
      </w:r>
      <w:r>
        <w:t xml:space="preserve"> </w:t>
      </w:r>
      <w:r>
        <w:t xml:space="preserve">EU air quality standards are not fully aligned with well-established health recommendations</w:t>
      </w:r>
      <w:r>
        <w:t xml:space="preserve"> </w:t>
      </w:r>
      <w:r>
        <w:t xml:space="preserve">(and they do not feature an explicit mechanism for adjusting air quality standards to the latest</w:t>
      </w:r>
      <w:r>
        <w:t xml:space="preserve"> </w:t>
      </w:r>
      <w:r>
        <w:t xml:space="preserve">technical and scientific progress); while secondly, due to insufficiently effective air quality</w:t>
      </w:r>
      <w:r>
        <w:t xml:space="preserve"> </w:t>
      </w:r>
      <w:r>
        <w:t xml:space="preserve">plans and lack of commitment to take appropriate measures by Member States, there have</w:t>
      </w:r>
      <w:r>
        <w:t xml:space="preserve"> </w:t>
      </w:r>
      <w:r>
        <w:t xml:space="preserve">been and continue to be substantial delays in taking appropriate and effective measures to</w:t>
      </w:r>
      <w:r>
        <w:t xml:space="preserve"> </w:t>
      </w:r>
      <w:r>
        <w:t xml:space="preserve">meet the air quality standards. Thus, while the number and magnitude of exceedances above</w:t>
      </w:r>
      <w:r>
        <w:t xml:space="preserve"> </w:t>
      </w:r>
      <w:r>
        <w:t xml:space="preserve">air quality standards have decreased over the past decade, it is also clear that they have not</w:t>
      </w:r>
      <w:r>
        <w:t xml:space="preserve"> </w:t>
      </w:r>
      <w:r>
        <w:t xml:space="preserve">been kept as short as possible to date.</w:t>
      </w:r>
      <w:r>
        <w:t xml:space="preserve"> </w:t>
      </w:r>
      <w:r>
        <w:t xml:space="preserve">A representative high-quality monitoring of air quality – Across the EU, Member States</w:t>
      </w:r>
      <w:r>
        <w:t xml:space="preserve"> </w:t>
      </w:r>
      <w:r>
        <w:t xml:space="preserve">have established an air quality monitoring network with some 16 000 sampling points for</w:t>
      </w:r>
      <w:r>
        <w:t xml:space="preserve"> </w:t>
      </w:r>
      <w:r>
        <w:t xml:space="preserve">specific pollutants (often grouped at more than 4 000 monitoring stations) based on common</w:t>
      </w:r>
      <w:r>
        <w:t xml:space="preserve"> </w:t>
      </w:r>
      <w:r>
        <w:t xml:space="preserve">criteria defined by the Ambient Air Quality Directives. This extensive network can be</w:t>
      </w:r>
      <w:r>
        <w:t xml:space="preserve"> </w:t>
      </w:r>
      <w:r>
        <w:t xml:space="preserve">considered a success in itself. Concerns have been raised that the criteria on monitoring offer</w:t>
      </w:r>
    </w:p>
    <w:p>
      <w:pPr>
        <w:pStyle w:val="BodyText"/>
      </w:pPr>
      <w:r>
        <w:t xml:space="preserve">123 Sulphur dioxide, nitrogen dioxide, particulate matter (PM2.5, PM10), ozone, benzene, lead, carbon monoxide,</w:t>
      </w:r>
      <w:r>
        <w:t xml:space="preserve"> </w:t>
      </w:r>
      <w:r>
        <w:t xml:space="preserve">arsenic, cadmium, nickel, and benzo(a)pyrene.</w:t>
      </w:r>
    </w:p>
    <w:p>
      <w:pPr>
        <w:pStyle w:val="BodyText"/>
      </w:pPr>
      <w:r>
        <w:t xml:space="preserve">289</w:t>
      </w:r>
    </w:p>
    <w:p>
      <w:pPr>
        <w:pStyle w:val="BodyText"/>
      </w:pPr>
      <w:r>
        <w:t xml:space="preserve">too much leeway and present some ambiguity to competent authorities, resulting in instances</w:t>
      </w:r>
      <w:r>
        <w:t xml:space="preserve"> </w:t>
      </w:r>
      <w:r>
        <w:t xml:space="preserve">where air quality monitoring does not live up to the criteria set by the Ambient Air Quality</w:t>
      </w:r>
      <w:r>
        <w:t xml:space="preserve"> </w:t>
      </w:r>
      <w:r>
        <w:t xml:space="preserve">Directives. A key challenge here is to ascertain that air quality sampling points indeed</w:t>
      </w:r>
      <w:r>
        <w:t xml:space="preserve"> </w:t>
      </w:r>
      <w:r>
        <w:t xml:space="preserve">provide information for where the highest concentrations of air pollutants occur. This,</w:t>
      </w:r>
      <w:r>
        <w:t xml:space="preserve"> </w:t>
      </w:r>
      <w:r>
        <w:t xml:space="preserve">however, does not appear to amount to systemic shortcomings in the EU-wide monitoring</w:t>
      </w:r>
      <w:r>
        <w:t xml:space="preserve"> </w:t>
      </w:r>
      <w:r>
        <w:t xml:space="preserve">network. Overall, the monitoring network by and large adheres to the provisions of the</w:t>
      </w:r>
      <w:r>
        <w:t xml:space="preserve"> </w:t>
      </w:r>
      <w:r>
        <w:t xml:space="preserve">Ambient Air Quality Directives, and ensures that reliable and representative air quality data is</w:t>
      </w:r>
      <w:r>
        <w:t xml:space="preserve"> </w:t>
      </w:r>
      <w:r>
        <w:t xml:space="preserve">available.</w:t>
      </w:r>
      <w:r>
        <w:t xml:space="preserve"> </w:t>
      </w:r>
      <w:r>
        <w:t xml:space="preserve">Reliable, objective, comparable information on air quality – The provisions on reporting</w:t>
      </w:r>
      <w:r>
        <w:t xml:space="preserve"> </w:t>
      </w:r>
      <w:r>
        <w:t xml:space="preserve">have prompted the establishment of improved and more efficient e-reporting systems to</w:t>
      </w:r>
      <w:r>
        <w:t xml:space="preserve"> </w:t>
      </w:r>
      <w:r>
        <w:t xml:space="preserve">report both validated air quality data as well as up-to-date data. The air quality data reported</w:t>
      </w:r>
      <w:r>
        <w:t xml:space="preserve"> </w:t>
      </w:r>
      <w:r>
        <w:t xml:space="preserve">by Member States is made available to the public by the European Environment Agency,</w:t>
      </w:r>
      <w:r>
        <w:t xml:space="preserve"> </w:t>
      </w:r>
      <w:r>
        <w:t xml:space="preserve">including via an European Air Quality Index based on near-real time data. The Ambient Air</w:t>
      </w:r>
      <w:r>
        <w:t xml:space="preserve"> </w:t>
      </w:r>
      <w:r>
        <w:t xml:space="preserve">Quality Directives have facilitated the availability and accessibility of objective and</w:t>
      </w:r>
      <w:r>
        <w:t xml:space="preserve"> </w:t>
      </w:r>
      <w:r>
        <w:t xml:space="preserve">comparable air quality data and information across the EU. Further harmonisation of the way</w:t>
      </w:r>
      <w:r>
        <w:t xml:space="preserve"> </w:t>
      </w:r>
      <w:r>
        <w:t xml:space="preserve">air quality information is presented, especially at Member State level, would be possible and</w:t>
      </w:r>
      <w:r>
        <w:t xml:space="preserve"> </w:t>
      </w:r>
      <w:r>
        <w:t xml:space="preserve">provide further EU added value, and help ensure even higher comparability of air quality</w:t>
      </w:r>
      <w:r>
        <w:t xml:space="preserve"> </w:t>
      </w:r>
      <w:r>
        <w:t xml:space="preserve">information across all geographical scales and all regions of the EU.</w:t>
      </w:r>
      <w:r>
        <w:t xml:space="preserve"> </w:t>
      </w:r>
      <w:r>
        <w:t xml:space="preserve">Action to avoid, prevent, and reduce impact of poor air quality – The Ambient Air Quality</w:t>
      </w:r>
      <w:r>
        <w:t xml:space="preserve"> </w:t>
      </w:r>
      <w:r>
        <w:t xml:space="preserve">Directives have been only partially, and therefore insufficiently, successful in meeting this</w:t>
      </w:r>
      <w:r>
        <w:t xml:space="preserve"> </w:t>
      </w:r>
      <w:r>
        <w:t xml:space="preserve">objective. While action to reduce the impact of air quality has been taken, resulting in a</w:t>
      </w:r>
      <w:r>
        <w:t xml:space="preserve"> </w:t>
      </w:r>
      <w:r>
        <w:t xml:space="preserve">reduced number and magnitude of exceedances, 20 Member States still report exceedances</w:t>
      </w:r>
      <w:r>
        <w:t xml:space="preserve"> </w:t>
      </w:r>
      <w:r>
        <w:t xml:space="preserve">above EU limit values for at least one pollutant, and often for several. One reason for this is</w:t>
      </w:r>
      <w:r>
        <w:t xml:space="preserve"> </w:t>
      </w:r>
      <w:r>
        <w:t xml:space="preserve">that improvements in air quality critically depend on action taken to address the sources of air</w:t>
      </w:r>
      <w:r>
        <w:t xml:space="preserve"> </w:t>
      </w:r>
      <w:r>
        <w:t xml:space="preserve">pollution, and typically require action in the transport, energy (including domestic heating)</w:t>
      </w:r>
      <w:r>
        <w:t xml:space="preserve"> </w:t>
      </w:r>
      <w:r>
        <w:t xml:space="preserve">and agricultural sectors or by industry. At national, regional and local level, this has not</w:t>
      </w:r>
      <w:r>
        <w:t xml:space="preserve"> </w:t>
      </w:r>
      <w:r>
        <w:t xml:space="preserve">translated into sufficient level of commitment. At the EU level, synergies with climate,</w:t>
      </w:r>
      <w:r>
        <w:t xml:space="preserve"> </w:t>
      </w:r>
      <w:r>
        <w:t xml:space="preserve">energy and transport policies have been strengthened over the past decade, and require</w:t>
      </w:r>
      <w:r>
        <w:t xml:space="preserve"> </w:t>
      </w:r>
      <w:r>
        <w:t xml:space="preserve">coherent action at national, regional and local levels. Notwithstanding the important</w:t>
      </w:r>
      <w:r>
        <w:t xml:space="preserve"> </w:t>
      </w:r>
      <w:r>
        <w:t xml:space="preserve">shortcoming of the remaining implementation gap to meet the air quality standards for all</w:t>
      </w:r>
      <w:r>
        <w:t xml:space="preserve"> </w:t>
      </w:r>
      <w:r>
        <w:t xml:space="preserve">pollutants and throughout the EU, the clear requirement to take remedial action when and</w:t>
      </w:r>
      <w:r>
        <w:t xml:space="preserve"> </w:t>
      </w:r>
      <w:r>
        <w:t xml:space="preserve">where exceedances are observed has been decisive in triggering improvement in air quality,</w:t>
      </w:r>
      <w:r>
        <w:t xml:space="preserve"> </w:t>
      </w:r>
      <w:r>
        <w:t xml:space="preserve">yet often with delay.</w:t>
      </w:r>
      <w:r>
        <w:br/>
      </w:r>
      <w:r>
        <w:t xml:space="preserve">Conclusions – The Ambient Air Quality Directives have guided the establishment of a</w:t>
      </w:r>
      <w:r>
        <w:t xml:space="preserve"> </w:t>
      </w:r>
      <w:r>
        <w:t xml:space="preserve">representative high-quality monitoring of air quality, set clear air quality standards, and</w:t>
      </w:r>
      <w:r>
        <w:t xml:space="preserve"> </w:t>
      </w:r>
      <w:r>
        <w:t xml:space="preserve">facilitated the exchange of reliable, objective, comparable information on air quality,</w:t>
      </w:r>
      <w:r>
        <w:t xml:space="preserve"> </w:t>
      </w:r>
      <w:r>
        <w:t xml:space="preserve">including to a wider public. They have been less successful in ensuring that sufficient action</w:t>
      </w:r>
      <w:r>
        <w:t xml:space="preserve"> </w:t>
      </w:r>
      <w:r>
        <w:t xml:space="preserve">is taken by Member States to meet air quality standards and keep exceedances as short as</w:t>
      </w:r>
      <w:r>
        <w:t xml:space="preserve"> </w:t>
      </w:r>
      <w:r>
        <w:t xml:space="preserve">possible. Nevertheless, the available evidence indicates the Ambient Air Quality Directives</w:t>
      </w:r>
      <w:r>
        <w:t xml:space="preserve"> </w:t>
      </w:r>
      <w:r>
        <w:t xml:space="preserve">have contributed to a downward trend in air pollution and reduced the number and magnitude</w:t>
      </w:r>
      <w:r>
        <w:t xml:space="preserve"> </w:t>
      </w:r>
      <w:r>
        <w:t xml:space="preserve">of exceedances. This partial delivery allows to conclude that the Ambient Air Quality</w:t>
      </w:r>
      <w:r>
        <w:t xml:space="preserve"> </w:t>
      </w:r>
      <w:r>
        <w:t xml:space="preserve">Directives have been broadly fit for purpose – while at the same time pointing to scope for</w:t>
      </w:r>
      <w:r>
        <w:t xml:space="preserve"> </w:t>
      </w:r>
      <w:r>
        <w:t xml:space="preserve">improvements to the existing framework such that good air quality be achieved across the</w:t>
      </w:r>
      <w:r>
        <w:t xml:space="preserve"> </w:t>
      </w:r>
      <w:r>
        <w:t xml:space="preserve">EU. In particular, it emerges from the fitness check that additional guidance, or clearer</w:t>
      </w:r>
    </w:p>
    <w:p>
      <w:pPr>
        <w:pStyle w:val="BodyText"/>
      </w:pPr>
      <w:r>
        <w:t xml:space="preserve">290</w:t>
      </w:r>
    </w:p>
    <w:p>
      <w:pPr>
        <w:pStyle w:val="BodyText"/>
      </w:pPr>
      <w:r>
        <w:t xml:space="preserve">requirements in the Ambient Air Quality Directives themselves, could help to make</w:t>
      </w:r>
      <w:r>
        <w:t xml:space="preserve"> </w:t>
      </w:r>
      <w:r>
        <w:t xml:space="preserve">monitoring, modelling and the provisions for plans and measures more effective and efficient.</w:t>
      </w:r>
      <w:r>
        <w:t xml:space="preserve"> </w:t>
      </w:r>
      <w:r>
        <w:t xml:space="preserve">3.</w:t>
      </w:r>
      <w:r>
        <w:t xml:space="preserve"> </w:t>
      </w:r>
      <w:r>
        <w:t xml:space="preserve">SOME LESSONS LEARNT AS HIGHLIGHTED BY THE FITNESS CHECK</w:t>
      </w:r>
      <w:r>
        <w:t xml:space="preserve"> </w:t>
      </w:r>
      <w:r>
        <w:t xml:space="preserve">The fitness check showed that over the past decade, the Ambient Air Quality Directives have</w:t>
      </w:r>
      <w:r>
        <w:t xml:space="preserve"> </w:t>
      </w:r>
      <w:r>
        <w:t xml:space="preserve">guided the establishment of a representative high-quality monitoring of air quality, set clear</w:t>
      </w:r>
      <w:r>
        <w:t xml:space="preserve"> </w:t>
      </w:r>
      <w:r>
        <w:t xml:space="preserve">air quality standards, and facilitated the exchange of reliable, objective, comparable</w:t>
      </w:r>
      <w:r>
        <w:t xml:space="preserve"> </w:t>
      </w:r>
      <w:r>
        <w:t xml:space="preserve">information on air quality, including to a wider public.</w:t>
      </w:r>
      <w:r>
        <w:br/>
      </w:r>
      <w:r>
        <w:t xml:space="preserve">At the same time, the Ambient Air Quality Directives have been less successful in ensuring</w:t>
      </w:r>
      <w:r>
        <w:t xml:space="preserve"> </w:t>
      </w:r>
      <w:r>
        <w:t xml:space="preserve">that sufficient action is taken to meet air quality standards and keep exceedances as short as</w:t>
      </w:r>
      <w:r>
        <w:t xml:space="preserve"> </w:t>
      </w:r>
      <w:r>
        <w:t xml:space="preserve">possible. Having said that, the evidence shows that they significantly contributed to a</w:t>
      </w:r>
      <w:r>
        <w:t xml:space="preserve"> </w:t>
      </w:r>
      <w:r>
        <w:t xml:space="preserve">downward trend in air pollution and reduced the number and magnitude of exceedances.</w:t>
      </w:r>
      <w:r>
        <w:br/>
      </w:r>
      <w:r>
        <w:t xml:space="preserve">This partial success allows to conclude that the Ambient Air Quality Directives have been</w:t>
      </w:r>
      <w:r>
        <w:t xml:space="preserve"> </w:t>
      </w:r>
      <w:r>
        <w:t xml:space="preserve">broadly fit for purpose, with clear shortcomings as regards achieving the overarching</w:t>
      </w:r>
      <w:r>
        <w:t xml:space="preserve"> </w:t>
      </w:r>
      <w:r>
        <w:t xml:space="preserve">ambition to fully meet all air quality standards for all pollutants and throughout the European</w:t>
      </w:r>
      <w:r>
        <w:t xml:space="preserve"> </w:t>
      </w:r>
      <w:r>
        <w:t xml:space="preserve">Union according to the timelines established in the Ambient Air Quality Directives at the</w:t>
      </w:r>
      <w:r>
        <w:t xml:space="preserve"> </w:t>
      </w:r>
      <w:r>
        <w:t xml:space="preserve">time of adoption.</w:t>
      </w:r>
      <w:r>
        <w:br/>
      </w:r>
      <w:r>
        <w:t xml:space="preserve">This points to scope for improvements to the existing framework for air quality management.</w:t>
      </w:r>
      <w:r>
        <w:t xml:space="preserve"> </w:t>
      </w:r>
      <w:r>
        <w:t xml:space="preserve">In particular, it emerges from the fitness check that additional guidance, or clearer</w:t>
      </w:r>
      <w:r>
        <w:t xml:space="preserve"> </w:t>
      </w:r>
      <w:r>
        <w:t xml:space="preserve">requirements in the Ambient Air Quality Directives themselves, could help to make</w:t>
      </w:r>
      <w:r>
        <w:t xml:space="preserve"> </w:t>
      </w:r>
      <w:r>
        <w:t xml:space="preserve">monitoring, modelling and the provisions for plans and measures more effective and efficient.</w:t>
      </w:r>
      <w:r>
        <w:br/>
      </w:r>
      <w:r>
        <w:t xml:space="preserve">Specifically, the fitness check identified several lessons learnt to be considered in the</w:t>
      </w:r>
      <w:r>
        <w:t xml:space="preserve"> </w:t>
      </w:r>
      <w:r>
        <w:t xml:space="preserve">follow-up to the fitness check, including the below:</w:t>
      </w:r>
      <w:r>
        <w:t xml:space="preserve"> </w:t>
      </w:r>
      <w:r>
        <w:t xml:space="preserve"> air pollution continues to be a major health and environmental concern to the citizens of</w:t>
      </w:r>
      <w:r>
        <w:t xml:space="preserve"> </w:t>
      </w:r>
      <w:r>
        <w:t xml:space="preserve">the EU, and surveys show it to be one of the two most important environmental issues</w:t>
      </w:r>
      <w:r>
        <w:t xml:space="preserve"> </w:t>
      </w:r>
      <w:r>
        <w:t xml:space="preserve">(the other being climate change) – a relative majority of citizens share the view that the</w:t>
      </w:r>
      <w:r>
        <w:t xml:space="preserve"> </w:t>
      </w:r>
      <w:r>
        <w:t xml:space="preserve">issue of air pollution can be best addressed at the EU level: this underlines the continued</w:t>
      </w:r>
      <w:r>
        <w:t xml:space="preserve"> </w:t>
      </w:r>
      <w:r>
        <w:t xml:space="preserve">relevance of the Ambient Air Quality Directives;</w:t>
      </w:r>
      <w:r>
        <w:br/>
      </w:r>
      <w:r>
        <w:t xml:space="preserve"> the EU air quality standards have been instrumental in driving a downward trend in</w:t>
      </w:r>
      <w:r>
        <w:t xml:space="preserve"> </w:t>
      </w:r>
      <w:r>
        <w:t xml:space="preserve">exceedances and of exposure of population to exceedances – however, the current air</w:t>
      </w:r>
      <w:r>
        <w:t xml:space="preserve"> </w:t>
      </w:r>
      <w:r>
        <w:t xml:space="preserve">quality standards are not as ambitious as established scientific advice suggests for several</w:t>
      </w:r>
      <w:r>
        <w:t xml:space="preserve"> </w:t>
      </w:r>
      <w:r>
        <w:t xml:space="preserve">pollutants, especially fine particulate matter (PM2.5); the WHO Air Quality Guidelines are</w:t>
      </w:r>
      <w:r>
        <w:t xml:space="preserve"> </w:t>
      </w:r>
      <w:r>
        <w:t xml:space="preserve">currently being reviewed, and the Commission is following this closely;</w:t>
      </w:r>
      <w:r>
        <w:t xml:space="preserve"> </w:t>
      </w:r>
      <w:r>
        <w:t xml:space="preserve"> trends in exceedance levels for fine particulate matter (PM2.5) indicate that limit values</w:t>
      </w:r>
      <w:r>
        <w:t xml:space="preserve"> </w:t>
      </w:r>
      <w:r>
        <w:t xml:space="preserve">have been more effective in facilitating downward trends than other types of air quality</w:t>
      </w:r>
      <w:r>
        <w:t xml:space="preserve"> </w:t>
      </w:r>
      <w:r>
        <w:t xml:space="preserve">standards, such as target values – especially where this has been done in conjunction with</w:t>
      </w:r>
      <w:r>
        <w:t xml:space="preserve"> </w:t>
      </w:r>
      <w:r>
        <w:t xml:space="preserve">an exposure concentration obligation requirement and national emission reduction</w:t>
      </w:r>
      <w:r>
        <w:t xml:space="preserve"> </w:t>
      </w:r>
      <w:r>
        <w:t xml:space="preserve">commitments as established under the NEC Directive;</w:t>
      </w:r>
      <w:r>
        <w:t xml:space="preserve"> </w:t>
      </w:r>
      <w:r>
        <w:t xml:space="preserve"> enforcement action by the European Commission and in particular also by civil society</w:t>
      </w:r>
      <w:r>
        <w:t xml:space="preserve"> </w:t>
      </w:r>
      <w:r>
        <w:t xml:space="preserve">actors in front of national courts (under general right to access to justice provisions, as</w:t>
      </w:r>
    </w:p>
    <w:p>
      <w:pPr>
        <w:pStyle w:val="BodyText"/>
      </w:pPr>
      <w:r>
        <w:t xml:space="preserve">291</w:t>
      </w:r>
    </w:p>
    <w:p>
      <w:pPr>
        <w:pStyle w:val="BodyText"/>
      </w:pPr>
      <w:r>
        <w:t xml:space="preserve">there are no explicit provisions in the Ambient Air Quality Directives on this) has resulted</w:t>
      </w:r>
      <w:r>
        <w:t xml:space="preserve"> </w:t>
      </w:r>
      <w:r>
        <w:t xml:space="preserve">in actionable rulings, shown that the legislation is enforceable, and proven to be important</w:t>
      </w:r>
      <w:r>
        <w:t xml:space="preserve"> </w:t>
      </w:r>
      <w:r>
        <w:t xml:space="preserve">to accelerate downward trends for air pollution;</w:t>
      </w:r>
      <w:r>
        <w:t xml:space="preserve"> </w:t>
      </w:r>
      <w:r>
        <w:t xml:space="preserve"> the Ambient Air Quality Directives have given flexibility to competent national</w:t>
      </w:r>
      <w:r>
        <w:t xml:space="preserve"> </w:t>
      </w:r>
      <w:r>
        <w:t xml:space="preserve">authorities to ensure air quality monitoring and air quality measures optimally fit local</w:t>
      </w:r>
      <w:r>
        <w:t xml:space="preserve"> </w:t>
      </w:r>
      <w:r>
        <w:t xml:space="preserve">circumstances in line with the principle of subsidiarity – yet additional guidance or</w:t>
      </w:r>
      <w:r>
        <w:t xml:space="preserve"> </w:t>
      </w:r>
      <w:r>
        <w:t xml:space="preserve">implementing acts could help to further harmonise approaches applied to monitoring,</w:t>
      </w:r>
      <w:r>
        <w:t xml:space="preserve"> </w:t>
      </w:r>
      <w:r>
        <w:t xml:space="preserve">information provisions, and air quality plans and measures;</w:t>
      </w:r>
      <w:r>
        <w:t xml:space="preserve"> </w:t>
      </w:r>
      <w:r>
        <w:t xml:space="preserve"> for air quality data, not all data reported is equally useful and the successful establishment</w:t>
      </w:r>
      <w:r>
        <w:t xml:space="preserve"> </w:t>
      </w:r>
      <w:r>
        <w:t xml:space="preserve">of an EU-wide e-reporting based on machine-readable formats now allows for further</w:t>
      </w:r>
      <w:r>
        <w:t xml:space="preserve"> </w:t>
      </w:r>
      <w:r>
        <w:t xml:space="preserve">efficiency gains – and opens the way for further up-to-date reporting of air quality data</w:t>
      </w:r>
      <w:r>
        <w:t xml:space="preserve"> </w:t>
      </w:r>
      <w:r>
        <w:t xml:space="preserve">and to make further use of air quality modelling (which is increasingly reported, but</w:t>
      </w:r>
      <w:r>
        <w:t xml:space="preserve"> </w:t>
      </w:r>
      <w:r>
        <w:t xml:space="preserve">would benefit from further guidance).</w:t>
      </w:r>
      <w:r>
        <w:t xml:space="preserve"> </w:t>
      </w:r>
      <w:r>
        <w:t xml:space="preserve">4.</w:t>
      </w:r>
      <w:r>
        <w:t xml:space="preserve"> </w:t>
      </w:r>
      <w:r>
        <w:t xml:space="preserve">PROVISIONS OF THE AMBIENT AIR QUALITY DIRECTIVES THAT HAVE BECOME</w:t>
      </w:r>
      <w:r>
        <w:t xml:space="preserve"> </w:t>
      </w:r>
      <w:r>
        <w:t xml:space="preserve">REDUNDANT</w:t>
      </w:r>
      <w:r>
        <w:t xml:space="preserve"> </w:t>
      </w:r>
      <w:r>
        <w:t xml:space="preserve">There are a number of provisions of the Ambient Air Quality Directives that have become</w:t>
      </w:r>
      <w:r>
        <w:t xml:space="preserve"> </w:t>
      </w:r>
      <w:r>
        <w:t xml:space="preserve">redundant over time. This is the case with the provisions that contain a temporal component,</w:t>
      </w:r>
      <w:r>
        <w:t xml:space="preserve"> </w:t>
      </w:r>
      <w:r>
        <w:t xml:space="preserve">prescribing the starting or the ending date of an obligation. In the meantime, they either have</w:t>
      </w:r>
      <w:r>
        <w:t xml:space="preserve"> </w:t>
      </w:r>
      <w:r>
        <w:t xml:space="preserve">been exhausted or have lost relevance:</w:t>
      </w:r>
      <w:r>
        <w:t xml:space="preserve"> </w:t>
      </w:r>
      <w:r>
        <w:t xml:space="preserve"> Article 22, in connection with Annex XV, section B, of Directive 2008/50/EC, related to</w:t>
      </w:r>
      <w:r>
        <w:t xml:space="preserve"> </w:t>
      </w:r>
      <w:r>
        <w:t xml:space="preserve">the postponement of attainment deadlines by up to five years and the exemption from the</w:t>
      </w:r>
      <w:r>
        <w:t xml:space="preserve"> </w:t>
      </w:r>
      <w:r>
        <w:t xml:space="preserve">obligation to apply certain limit values until June 2011.</w:t>
      </w:r>
      <w:r>
        <w:t xml:space="preserve"> </w:t>
      </w:r>
      <w:r>
        <w:t xml:space="preserve"> Article 32 of Directive 2008/50/EC, obliging the Commission to review in 2013</w:t>
      </w:r>
      <w:r>
        <w:t xml:space="preserve"> </w:t>
      </w:r>
      <w:r>
        <w:t xml:space="preserve">provisions related to PM2.5 and, as appropriate, other pollutants. This 2013 review has</w:t>
      </w:r>
      <w:r>
        <w:t xml:space="preserve"> </w:t>
      </w:r>
      <w:r>
        <w:t xml:space="preserve">occurred.</w:t>
      </w:r>
      <w:r>
        <w:br/>
      </w:r>
      <w:r>
        <w:t xml:space="preserve"> Article 8 of Directive 2004/107/EC requiring the Commission to report by the end of</w:t>
      </w:r>
      <w:r>
        <w:t xml:space="preserve"> </w:t>
      </w:r>
      <w:r>
        <w:t xml:space="preserve">2010 on the experience with the Directive. A corresponding analysis has been prepared as</w:t>
      </w:r>
      <w:r>
        <w:t xml:space="preserve"> </w:t>
      </w:r>
      <w:r>
        <w:t xml:space="preserve">part of the air policy review initiated in 2011.124</w:t>
      </w:r>
      <w:r>
        <w:t xml:space="preserve"> </w:t>
      </w:r>
      <w:r>
        <w:t xml:space="preserve"> Several provisions of Directive 2008/50/EC refer to margins of tolerance (allowed</w:t>
      </w:r>
      <w:r>
        <w:t xml:space="preserve"> </w:t>
      </w:r>
      <w:r>
        <w:t xml:space="preserve">exceedances of limit values expressed in percentages) that were applicable until a certain</w:t>
      </w:r>
      <w:r>
        <w:t xml:space="preserve"> </w:t>
      </w:r>
      <w:r>
        <w:t xml:space="preserve">date (e.g. until 1 January 2010 for nitrogen dioxide).</w:t>
      </w:r>
      <w:r>
        <w:t xml:space="preserve"> </w:t>
      </w:r>
      <w:r>
        <w:t xml:space="preserve">Furthermore, it is worth noting that the preamble to Directive 2008/50/EC refers to the</w:t>
      </w:r>
      <w:r>
        <w:t xml:space="preserve"> </w:t>
      </w:r>
      <w:r>
        <w:t xml:space="preserve">possible merger of the two Directives once sufficient experience is gained in the</w:t>
      </w:r>
      <w:r>
        <w:t xml:space="preserve"> </w:t>
      </w:r>
      <w:r>
        <w:t xml:space="preserve">implementation of Directive 2004/107/EC.</w:t>
      </w:r>
    </w:p>
    <w:p>
      <w:pPr>
        <w:pStyle w:val="BodyText"/>
      </w:pPr>
      <w:r>
        <w:t xml:space="preserve">124 SEC(2011)342. ‘Implementation of EU Air Quality Policy and preparing for its comprehensive review’; see</w:t>
      </w:r>
      <w:r>
        <w:t xml:space="preserve"> </w:t>
      </w:r>
      <w:r>
        <w:t xml:space="preserve">also underpinning analysis provided jointly by Environment Agency Austria, Ricardo-AEA, and TNO</w:t>
      </w:r>
      <w:r>
        <w:t xml:space="preserve"> </w:t>
      </w:r>
      <w:r>
        <w:t xml:space="preserve">(2013) ‘Review of the Air Quality Directive and the 4th Daughter Directive’.</w:t>
      </w:r>
    </w:p>
    <w:p>
      <w:pPr>
        <w:pStyle w:val="BodyText"/>
      </w:pPr>
      <w:r>
        <w:t xml:space="preserve">292</w:t>
      </w:r>
    </w:p>
    <w:p>
      <w:pPr>
        <w:pStyle w:val="BodyText"/>
      </w:pPr>
      <w:r>
        <w:t xml:space="preserve">ANNEX 10: WHO RECOMMENDATIONS AND EU AIR QUALITY</w:t>
      </w:r>
      <w:r>
        <w:t xml:space="preserve"> </w:t>
      </w:r>
      <w:r>
        <w:t xml:space="preserve">STANDARDS</w:t>
      </w:r>
      <w:r>
        <w:t xml:space="preserve"> </w:t>
      </w:r>
      <w:r>
        <w:t xml:space="preserve">1.</w:t>
      </w:r>
      <w:r>
        <w:t xml:space="preserve"> </w:t>
      </w:r>
      <w:r>
        <w:t xml:space="preserve">WORLD HEALTH ORGANIZATION RECOMMENDATIONS</w:t>
      </w:r>
      <w:r>
        <w:t xml:space="preserve"> </w:t>
      </w:r>
      <w:r>
        <w:t xml:space="preserve">EU Clean Air Policy bases itself on scientific evidence and sets appropriate objectives for</w:t>
      </w:r>
      <w:r>
        <w:t xml:space="preserve"> </w:t>
      </w:r>
      <w:r>
        <w:t xml:space="preserve">ambient air quality taking into account relevant World Health Organization (WHO)</w:t>
      </w:r>
      <w:r>
        <w:t xml:space="preserve"> </w:t>
      </w:r>
      <w:r>
        <w:t xml:space="preserve">standards, guidelines and programmes.</w:t>
      </w:r>
      <w:r>
        <w:br/>
      </w:r>
      <w:r>
        <w:t xml:space="preserve">Since 1987,172 the WHO has periodically issued health-based Air Quality Guidelines to assist</w:t>
      </w:r>
      <w:r>
        <w:t xml:space="preserve"> </w:t>
      </w:r>
      <w:r>
        <w:t xml:space="preserve">governments and civil society in reducing human exposure to air pollution and its adverse</w:t>
      </w:r>
      <w:r>
        <w:t xml:space="preserve"> </w:t>
      </w:r>
      <w:r>
        <w:t xml:space="preserve">effects. The overall objective of these Air Quality Guidelines is to offer quantitative health-</w:t>
      </w:r>
      <w:r>
        <w:t xml:space="preserve"> </w:t>
      </w:r>
      <w:r>
        <w:t xml:space="preserve">based recommendations for air quality management, expressed as long- or short-term</w:t>
      </w:r>
      <w:r>
        <w:t xml:space="preserve"> </w:t>
      </w:r>
      <w:r>
        <w:t xml:space="preserve">concentrations for several key air pollutants. Exceedance of the air quality guideline levels is</w:t>
      </w:r>
      <w:r>
        <w:t xml:space="preserve"> </w:t>
      </w:r>
      <w:r>
        <w:t xml:space="preserve">associated with important risks to public health.</w:t>
      </w:r>
      <w:r>
        <w:br/>
      </w:r>
      <w:r>
        <w:t xml:space="preserve">The WHO Air Quality Guidelines are not conceived as legally binding standards; however,</w:t>
      </w:r>
      <w:r>
        <w:t xml:space="preserve"> </w:t>
      </w:r>
      <w:r>
        <w:t xml:space="preserve">they do provide an evidence-informed reference point that public authorities can use to</w:t>
      </w:r>
      <w:r>
        <w:t xml:space="preserve"> </w:t>
      </w:r>
      <w:r>
        <w:t xml:space="preserve">inform legislation and policy. Furthermore, the WHO points out that, when translating their</w:t>
      </w:r>
      <w:r>
        <w:t xml:space="preserve"> </w:t>
      </w:r>
      <w:r>
        <w:t xml:space="preserve">recommendations into policies, other features such as legal aspects, cost-benefit or cost-</w:t>
      </w:r>
      <w:r>
        <w:t xml:space="preserve"> </w:t>
      </w:r>
      <w:r>
        <w:t xml:space="preserve">effectiveness, technological feasibility, infrastructural measures and socio-political</w:t>
      </w:r>
      <w:r>
        <w:t xml:space="preserve"> </w:t>
      </w:r>
      <w:r>
        <w:t xml:space="preserve">considerations may also need to be examined. The WHO Air Quality Guidelines are to be</w:t>
      </w:r>
      <w:r>
        <w:t xml:space="preserve"> </w:t>
      </w:r>
      <w:r>
        <w:t xml:space="preserve">seen as an input into a policy making process.</w:t>
      </w:r>
      <w:r>
        <w:t xml:space="preserve"> </w:t>
      </w:r>
      <w:r>
        <w:t xml:space="preserve">Previous versions of WHO Air Quality Guidelines were published in a 2000 edition,173 and in</w:t>
      </w:r>
      <w:r>
        <w:t xml:space="preserve"> </w:t>
      </w:r>
      <w:r>
        <w:t xml:space="preserve">a 2005 edition.174 The 2000 edition provided recommendations on a wide range of air</w:t>
      </w:r>
      <w:r>
        <w:t xml:space="preserve"> </w:t>
      </w:r>
      <w:r>
        <w:t xml:space="preserve">pollutants (including, but not limited to, all those referred to in the current versions of the</w:t>
      </w:r>
      <w:r>
        <w:t xml:space="preserve"> </w:t>
      </w:r>
      <w:r>
        <w:t xml:space="preserve">Ambient Air Quality Directives), whereas the 2005 edition indicated more refined guidelines</w:t>
      </w:r>
      <w:r>
        <w:t xml:space="preserve"> </w:t>
      </w:r>
      <w:r>
        <w:t xml:space="preserve">for the major health-damaging air pollutants, including particulate matter (PM2.5 and PM10),</w:t>
      </w:r>
      <w:r>
        <w:t xml:space="preserve"> </w:t>
      </w:r>
      <w:r>
        <w:t xml:space="preserve">ozone (O3), nitrogen dioxide (NO2) and sulphur dioxide (SO2).</w:t>
      </w:r>
      <w:r>
        <w:br/>
      </w:r>
      <w:r>
        <w:t xml:space="preserve">In September 2021, a revised edition of the WHO global Air Quality Guidelines was</w:t>
      </w:r>
      <w:r>
        <w:t xml:space="preserve"> </w:t>
      </w:r>
      <w:r>
        <w:t xml:space="preserve">published175. This revision focused on particulate matter (PM2.5 and PM10), ozone, nitrogen</w:t>
      </w:r>
      <w:r>
        <w:t xml:space="preserve"> </w:t>
      </w:r>
      <w:r>
        <w:t xml:space="preserve">dioxide, sulphur dioxide and carbon monoxide – see Table A10.1. For these air pollutants, the</w:t>
      </w:r>
      <w:r>
        <w:t xml:space="preserve"> </w:t>
      </w:r>
      <w:r>
        <w:t xml:space="preserve">WHO offers evidence-informed recommendations in the form of guideline levels, including</w:t>
      </w:r>
      <w:r>
        <w:t xml:space="preserve"> </w:t>
      </w:r>
      <w:r>
        <w:t xml:space="preserve">an indication of the shape of the concentration–response functions in relation to critical health</w:t>
      </w:r>
      <w:r>
        <w:t xml:space="preserve"> </w:t>
      </w:r>
      <w:r>
        <w:t xml:space="preserve">outcomes, as well as interim targets to guide reduction efforts.</w:t>
      </w:r>
      <w:r>
        <w:br/>
      </w:r>
      <w:r>
        <w:t xml:space="preserve">The revised WHO Air Quality Guidelines were formulated following a rigorous process</w:t>
      </w:r>
      <w:r>
        <w:t xml:space="preserve"> </w:t>
      </w:r>
      <w:r>
        <w:t xml:space="preserve">involving several groups with defined roles and responsibilities. The steps in the development</w:t>
      </w:r>
    </w:p>
    <w:p>
      <w:pPr>
        <w:pStyle w:val="BodyText"/>
      </w:pPr>
      <w:r>
        <w:t xml:space="preserve">172 WHO (1987), Air quality guidelines for Europe</w:t>
      </w:r>
      <w:r>
        <w:br/>
      </w:r>
      <w:r>
        <w:t xml:space="preserve">173 WHO (2000), Air quality guidelines for Europe, 2nd edition</w:t>
      </w:r>
      <w:r>
        <w:br/>
      </w:r>
      <w:r>
        <w:t xml:space="preserve">174 WHO (2006), Air quality guidelines – global update 2005</w:t>
      </w:r>
      <w:r>
        <w:t xml:space="preserve"> </w:t>
      </w:r>
      <w:r>
        <w:t xml:space="preserve">175 WHO (2021), WHO global Air Quality Guidelines</w:t>
      </w:r>
    </w:p>
    <w:p>
      <w:pPr>
        <w:pStyle w:val="BodyText"/>
      </w:pPr>
      <w:r>
        <w:t xml:space="preserve">293</w:t>
      </w:r>
    </w:p>
    <w:p>
      <w:pPr>
        <w:pStyle w:val="BodyText"/>
      </w:pPr>
      <w:r>
        <w:t xml:space="preserve">included a determination of which pollutants to focus on; systematic reviews176 of the</w:t>
      </w:r>
      <w:r>
        <w:t xml:space="preserve"> </w:t>
      </w:r>
      <w:r>
        <w:t xml:space="preserve">evidence and meta-analyses of quantitative effect estimates to inform updating of the</w:t>
      </w:r>
      <w:r>
        <w:t xml:space="preserve"> </w:t>
      </w:r>
      <w:r>
        <w:t xml:space="preserve">guideline levels; assessments of the level of certainty of the bodies of evidence resulting from</w:t>
      </w:r>
      <w:r>
        <w:t xml:space="preserve"> </w:t>
      </w:r>
      <w:r>
        <w:t xml:space="preserve">these systematic reviews; and the identification of guideline levels, that is, the lowest levels</w:t>
      </w:r>
      <w:r>
        <w:t xml:space="preserve"> </w:t>
      </w:r>
      <w:r>
        <w:t xml:space="preserve">of exposure for which there is evidence of adverse health effects.</w:t>
      </w:r>
      <w:r>
        <w:br/>
      </w:r>
      <w:r>
        <w:t xml:space="preserve">Table A10.1 - Recommended Air Quality Guidelines levels and interim targets</w:t>
      </w:r>
      <w:r>
        <w:br/>
      </w:r>
      <w:r>
        <w:t xml:space="preserve">– 2021 edition of the WHO Air Quality Guidelines (WHO, 2021)</w:t>
      </w:r>
    </w:p>
    <w:p>
      <w:pPr>
        <w:pStyle w:val="BodyText"/>
      </w:pPr>
      <w:r>
        <w:t xml:space="preserve">The 2021 edition of WHO Air Quality Guidelines stresses that levels recommended in</w:t>
      </w:r>
      <w:r>
        <w:t xml:space="preserve"> </w:t>
      </w:r>
      <w:r>
        <w:t xml:space="preserve">previous WHO Air Quality Guidelines for pollutants and averaging times not covered in the</w:t>
      </w:r>
      <w:r>
        <w:t xml:space="preserve"> </w:t>
      </w:r>
      <w:r>
        <w:t xml:space="preserve">most recent update remain valid. This includes the short averaging times for nitrogen dioxide,</w:t>
      </w:r>
      <w:r>
        <w:t xml:space="preserve"> </w:t>
      </w:r>
      <w:r>
        <w:t xml:space="preserve">sulphur dioxide and carbon monoxide that were included in 2005 edition. See Table A10.2.</w:t>
      </w:r>
      <w:r>
        <w:t xml:space="preserve"> </w:t>
      </w:r>
      <w:r>
        <w:t xml:space="preserve">Table A10.2 - Recommended Air Quality Guidelines levels and interim targets</w:t>
      </w:r>
      <w:r>
        <w:br/>
      </w:r>
      <w:r>
        <w:t xml:space="preserve">– not evaluated in the 2021 edition, but that remain valid (WHO, 2021)</w:t>
      </w:r>
    </w:p>
    <w:p>
      <w:pPr>
        <w:pStyle w:val="BodyText"/>
      </w:pPr>
      <w:r>
        <w:t xml:space="preserve">176 The systematic reviews that informed the formulation of WHO Air Quality Guidelines levels and other</w:t>
      </w:r>
      <w:r>
        <w:t xml:space="preserve"> </w:t>
      </w:r>
      <w:r>
        <w:t xml:space="preserve">related evidence discussed during the process are available in a special issue of Environment International</w:t>
      </w:r>
      <w:r>
        <w:t xml:space="preserve"> </w:t>
      </w:r>
      <w:r>
        <w:t xml:space="preserve">published in 2021, entitled ‘Update of the WHO global Air Quality Guidelines: systematic reviews’.</w:t>
      </w:r>
    </w:p>
    <w:p>
      <w:pPr>
        <w:pStyle w:val="BodyText"/>
      </w:pPr>
      <w:r>
        <w:t xml:space="preserve">294</w:t>
      </w:r>
    </w:p>
    <w:p>
      <w:pPr>
        <w:pStyle w:val="BodyText"/>
      </w:pPr>
      <w:r>
        <w:t xml:space="preserve">In addition, the 2021 edition also provided qualitative statements on good practices for the</w:t>
      </w:r>
      <w:r>
        <w:t xml:space="preserve"> </w:t>
      </w:r>
      <w:r>
        <w:t xml:space="preserve">management of certain types of particulate matter (i.e., black carbon or elemental carbon,</w:t>
      </w:r>
      <w:r>
        <w:t xml:space="preserve"> </w:t>
      </w:r>
      <w:r>
        <w:t xml:space="preserve">ultrafine particles, and particles originating from sand and dust storms for which the available</w:t>
      </w:r>
      <w:r>
        <w:t xml:space="preserve"> </w:t>
      </w:r>
      <w:r>
        <w:t xml:space="preserve">information is insufficient to derive guideline levels but indicates risk – see Box A10.1 and</w:t>
      </w:r>
      <w:r>
        <w:t xml:space="preserve"> </w:t>
      </w:r>
      <w:r>
        <w:t xml:space="preserve">Table A10.3).</w:t>
      </w:r>
      <w:r>
        <w:t xml:space="preserve"> </w:t>
      </w:r>
      <w:r>
        <w:t xml:space="preserve">Table A10.3 – Summary of good practice statements for black carbon or elemental carbon (BC/EC), ultrafine</w:t>
      </w:r>
      <w:r>
        <w:t xml:space="preserve"> </w:t>
      </w:r>
      <w:r>
        <w:t xml:space="preserve">particles (UFP), and particles originating from sand and dust storms (SDS), as published in the 2021 edition of</w:t>
      </w:r>
      <w:r>
        <w:t xml:space="preserve"> </w:t>
      </w:r>
      <w:r>
        <w:t xml:space="preserve">the WHO Air Quality Guidelines (WHO, 2021).</w:t>
      </w:r>
    </w:p>
    <w:p>
      <w:pPr>
        <w:pStyle w:val="BodyText"/>
      </w:pPr>
      <w:r>
        <w:t xml:space="preserve">295</w:t>
      </w:r>
    </w:p>
    <w:p>
      <w:pPr>
        <w:pStyle w:val="BodyText"/>
      </w:pPr>
      <w:r>
        <w:t xml:space="preserve">Box A10.1 - Health impacts of ultrafine particles</w:t>
      </w:r>
      <w:r>
        <w:t xml:space="preserve"> </w:t>
      </w:r>
      <w:r>
        <w:t xml:space="preserve">There is increasing, though limited epidemiological evidence of adverse health impacts of ultrafine particles</w:t>
      </w:r>
      <w:r>
        <w:t xml:space="preserve"> </w:t>
      </w:r>
      <w:r>
        <w:t xml:space="preserve">(smaller than 0.1 μm) in ambient air. Such particles have been found in several organs, and recent systematic</w:t>
      </w:r>
      <w:r>
        <w:t xml:space="preserve"> </w:t>
      </w:r>
      <w:r>
        <w:t xml:space="preserve">literature reviews point to short-term association with cardiorespiratory health, including pulmonary and</w:t>
      </w:r>
      <w:r>
        <w:t xml:space="preserve"> </w:t>
      </w:r>
      <w:r>
        <w:t xml:space="preserve">systemic inflammation, as well as the health of the central nervous system. For other adverse health outcomes,</w:t>
      </w:r>
      <w:r>
        <w:t xml:space="preserve"> </w:t>
      </w:r>
      <w:r>
        <w:t xml:space="preserve">the evidence on health effects remains inconclusive or insufficient.</w:t>
      </w:r>
      <w:r>
        <w:br/>
      </w:r>
      <w:r>
        <w:t xml:space="preserve">To establish a correlation with illnesses is difficult due to the limited availability of specific air quality</w:t>
      </w:r>
      <w:r>
        <w:t xml:space="preserve"> </w:t>
      </w:r>
      <w:r>
        <w:t xml:space="preserve">monitoring data, expressed in terms of number of particles per cubic meter or as mass of ultrafine particles</w:t>
      </w:r>
      <w:r>
        <w:t xml:space="preserve"> </w:t>
      </w:r>
      <w:r>
        <w:t xml:space="preserve">(PM0.1), which does not allow to conduct targeted epidemiological studies. The risk linked to such particles is</w:t>
      </w:r>
      <w:r>
        <w:t xml:space="preserve"> </w:t>
      </w:r>
      <w:r>
        <w:t xml:space="preserve">however potentially large, due to the evidence of several sources – notably linked to transport– emitting large</w:t>
      </w:r>
      <w:r>
        <w:t xml:space="preserve"> </w:t>
      </w:r>
      <w:r>
        <w:t xml:space="preserve">numbers of extremely small particles whose mass is extremely limited while their specific surface area is high,</w:t>
      </w:r>
      <w:r>
        <w:t xml:space="preserve"> </w:t>
      </w:r>
      <w:r>
        <w:t xml:space="preserve">as is their capacity to penetrate the circulatory and nervous systems is enhanced by their small size.</w:t>
      </w:r>
      <w:r>
        <w:br/>
      </w:r>
      <w:r>
        <w:t xml:space="preserve">World Health Organization recommendations for ultrafine particles</w:t>
      </w:r>
      <w:r>
        <w:t xml:space="preserve"> </w:t>
      </w:r>
      <w:r>
        <w:t xml:space="preserve">The 2021 WHO Air Quality Guidelines notes that “studies demonstrated short-term effects of exposure to</w:t>
      </w:r>
      <w:r>
        <w:t xml:space="preserve"> </w:t>
      </w:r>
      <w:r>
        <w:t xml:space="preserve">[ultrafine particles], including mortality, emergency department visits, hospital admissions, respiratory</w:t>
      </w:r>
      <w:r>
        <w:t xml:space="preserve"> </w:t>
      </w:r>
      <w:r>
        <w:t xml:space="preserve">symptoms, and effects on pulmonary/systemic inflammation, heart rate variability and blood pressure; and</w:t>
      </w:r>
      <w:r>
        <w:t xml:space="preserve"> </w:t>
      </w:r>
      <w:r>
        <w:t xml:space="preserve">long-term effects on mortality (all-cause, cardiovascular, [ischemic heart disease] and pulmonary) and several</w:t>
      </w:r>
      <w:r>
        <w:t xml:space="preserve"> </w:t>
      </w:r>
      <w:r>
        <w:t xml:space="preserve">types of morbidity.” However, for these studies “various [ultrafine particles] size ranges and exposure metrics</w:t>
      </w:r>
      <w:r>
        <w:t xml:space="preserve"> </w:t>
      </w:r>
      <w:r>
        <w:t xml:space="preserve">were used, preventing a thorough comparison of results across studies. Therefore, there was a consensus in the</w:t>
      </w:r>
      <w:r>
        <w:t xml:space="preserve"> </w:t>
      </w:r>
      <w:r>
        <w:t xml:space="preserve">[WHO Guideline Development Group] that the body of epidemiological evidence was not yet sufficient to</w:t>
      </w:r>
      <w:r>
        <w:t xml:space="preserve"> </w:t>
      </w:r>
      <w:r>
        <w:t xml:space="preserve">formulate an [Air Quality Guideline] level.”</w:t>
      </w:r>
      <w:r>
        <w:t xml:space="preserve"> </w:t>
      </w:r>
      <w:r>
        <w:t xml:space="preserve">“At the same time, however, there is a large body of evidence from exposure science that is sufficient to</w:t>
      </w:r>
      <w:r>
        <w:t xml:space="preserve"> </w:t>
      </w:r>
      <w:r>
        <w:t xml:space="preserve">formulate good practice advice. The most significant process generating [ultrafine particles] is combustion and,</w:t>
      </w:r>
      <w:r>
        <w:t xml:space="preserve"> </w:t>
      </w:r>
      <w:r>
        <w:t xml:space="preserve">therefore, the main sources of the [ultrafine particles] include vehicles and other forms of transportation</w:t>
      </w:r>
      <w:r>
        <w:t xml:space="preserve"> </w:t>
      </w:r>
      <w:r>
        <w:t xml:space="preserve">(aviation and shipping), industrial and power plants, and residential heating.”</w:t>
      </w:r>
      <w:r>
        <w:br/>
      </w:r>
      <w:r>
        <w:t xml:space="preserve">To address concerns about the health and environmental effects of ultrafine particles, the 2021 WHO Air</w:t>
      </w:r>
      <w:r>
        <w:t xml:space="preserve"> </w:t>
      </w:r>
      <w:r>
        <w:t xml:space="preserve">Quality Guidelines formulate four good practice statements (see Table A10.3).</w:t>
      </w:r>
    </w:p>
    <w:p>
      <w:pPr>
        <w:pStyle w:val="BodyText"/>
      </w:pPr>
      <w:r>
        <w:t xml:space="preserve">Previous editions of the WHO Air Quality Guidelines, and in particular the 2000 edition of</w:t>
      </w:r>
      <w:r>
        <w:t xml:space="preserve"> </w:t>
      </w:r>
      <w:r>
        <w:t xml:space="preserve">the WHO Air Quality Guidelines, provide additional information for additional air pollutants.</w:t>
      </w:r>
      <w:r>
        <w:t xml:space="preserve"> </w:t>
      </w:r>
      <w:r>
        <w:t xml:space="preserve">The subsequent sections summarise current understanding of the health impacts of all twelve</w:t>
      </w:r>
      <w:r>
        <w:t xml:space="preserve"> </w:t>
      </w:r>
      <w:r>
        <w:t xml:space="preserve">air pollutants covered by the Ambient Air Quality Directives, and includes reference to WHO</w:t>
      </w:r>
      <w:r>
        <w:t xml:space="preserve"> </w:t>
      </w:r>
      <w:r>
        <w:t xml:space="preserve">recommendations and guideline levels as relevant.</w:t>
      </w:r>
    </w:p>
    <w:p>
      <w:pPr>
        <w:pStyle w:val="BodyText"/>
      </w:pPr>
      <w:r>
        <w:t xml:space="preserve">296</w:t>
      </w:r>
    </w:p>
    <w:p>
      <w:pPr>
        <w:pStyle w:val="Compact"/>
        <w:numPr>
          <w:ilvl w:val="0"/>
          <w:numId w:val="1007"/>
        </w:numPr>
      </w:pPr>
      <w:r>
        <w:t xml:space="preserve">EU AIR QUALITY STANDARDS AS SET BY THE AMBIENT AIR QUALITY DIRECTIVES</w:t>
      </w:r>
      <w:r>
        <w:br/>
      </w:r>
      <w:r>
        <w:t xml:space="preserve">Tables A10.4 and A10.5 compare the current EU air quality standards with the WHO Air</w:t>
      </w:r>
      <w:r>
        <w:t xml:space="preserve"> </w:t>
      </w:r>
      <w:r>
        <w:t xml:space="preserve">Quality Guidelines of 2021 (including interim targets) and of 2000 (for pollutants for which</w:t>
      </w:r>
      <w:r>
        <w:t xml:space="preserve"> </w:t>
      </w:r>
      <w:r>
        <w:t xml:space="preserve">guideline values have not been modified since publication).</w:t>
      </w:r>
    </w:p>
    <w:p>
      <w:pPr>
        <w:pStyle w:val="FirstParagraph"/>
      </w:pPr>
      <w:r>
        <w:t xml:space="preserve">Table A10.4 – Comparison of EU air quality (AQ) standards with WHO Air Quality Guidelines levels and</w:t>
      </w:r>
      <w:r>
        <w:t xml:space="preserve"> </w:t>
      </w:r>
      <w:r>
        <w:t xml:space="preserve">interim targets covered by the 2021 edition (WHO, 2021)</w:t>
      </w:r>
    </w:p>
    <w:p>
      <w:pPr>
        <w:pStyle w:val="BodyText"/>
      </w:pPr>
      <w:r>
        <w:t xml:space="preserve">EU AQ</w:t>
      </w:r>
      <w:r>
        <w:t xml:space="preserve"> </w:t>
      </w:r>
      <w:r>
        <w:t xml:space="preserve">standard</w:t>
      </w:r>
      <w:r>
        <w:t xml:space="preserve"> </w:t>
      </w:r>
      <w:r>
        <w:t xml:space="preserve">WHO AQ</w:t>
      </w:r>
      <w:r>
        <w:t xml:space="preserve"> </w:t>
      </w:r>
      <w:r>
        <w:t xml:space="preserve">guideline</w:t>
      </w:r>
      <w:r>
        <w:t xml:space="preserve"> </w:t>
      </w:r>
      <w:r>
        <w:t xml:space="preserve">WHO</w:t>
      </w:r>
      <w:r>
        <w:t xml:space="preserve"> </w:t>
      </w:r>
      <w:r>
        <w:t xml:space="preserve">interim</w:t>
      </w:r>
      <w:r>
        <w:t xml:space="preserve"> </w:t>
      </w:r>
      <w:r>
        <w:t xml:space="preserve">target 4</w:t>
      </w:r>
      <w:r>
        <w:t xml:space="preserve"> </w:t>
      </w:r>
      <w:r>
        <w:t xml:space="preserve">WHO</w:t>
      </w:r>
      <w:r>
        <w:t xml:space="preserve"> </w:t>
      </w:r>
      <w:r>
        <w:t xml:space="preserve">interim</w:t>
      </w:r>
      <w:r>
        <w:t xml:space="preserve"> </w:t>
      </w:r>
      <w:r>
        <w:t xml:space="preserve">target 3</w:t>
      </w:r>
      <w:r>
        <w:t xml:space="preserve"> </w:t>
      </w:r>
      <w:r>
        <w:t xml:space="preserve">WHO</w:t>
      </w:r>
      <w:r>
        <w:t xml:space="preserve"> </w:t>
      </w:r>
      <w:r>
        <w:t xml:space="preserve">interim</w:t>
      </w:r>
      <w:r>
        <w:t xml:space="preserve"> </w:t>
      </w:r>
      <w:r>
        <w:t xml:space="preserve">target 2</w:t>
      </w:r>
      <w:r>
        <w:t xml:space="preserve"> </w:t>
      </w:r>
      <w:r>
        <w:t xml:space="preserve">WHO</w:t>
      </w:r>
      <w:r>
        <w:t xml:space="preserve"> </w:t>
      </w:r>
      <w:r>
        <w:t xml:space="preserve">interim</w:t>
      </w:r>
      <w:r>
        <w:t xml:space="preserve"> </w:t>
      </w:r>
      <w:r>
        <w:t xml:space="preserve">target 1</w:t>
      </w:r>
      <w:r>
        <w:t xml:space="preserve"> </w:t>
      </w:r>
      <w:r>
        <w:t xml:space="preserve">PM2.5 (annual) [µg/m3]</w:t>
      </w:r>
      <w:r>
        <w:t xml:space="preserve"> </w:t>
      </w:r>
      <w:r>
        <w:t xml:space="preserve">25 / 20</w:t>
      </w:r>
      <w:r>
        <w:br/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PM2.5 (24-hour) [µg/m3]</w:t>
      </w:r>
      <w:r>
        <w:t xml:space="preserve"> </w:t>
      </w:r>
      <w:r>
        <w:t xml:space="preserve">-</w:t>
      </w:r>
      <w:r>
        <w:t xml:space="preserve"> </w:t>
      </w:r>
      <w:r>
        <w:t xml:space="preserve">(1%) 15</w:t>
      </w:r>
      <w:r>
        <w:br/>
      </w:r>
      <w:r>
        <w:t xml:space="preserve">(1%) 25</w:t>
      </w:r>
      <w:r>
        <w:br/>
      </w:r>
      <w:r>
        <w:t xml:space="preserve">(1%) 37.5</w:t>
      </w:r>
      <w:r>
        <w:br/>
      </w:r>
      <w:r>
        <w:t xml:space="preserve">(1%) 50</w:t>
      </w:r>
      <w:r>
        <w:t xml:space="preserve"> </w:t>
      </w:r>
      <w:r>
        <w:t xml:space="preserve">(1%) 75</w:t>
      </w:r>
      <w:r>
        <w:t xml:space="preserve"> </w:t>
      </w:r>
      <w:r>
        <w:t xml:space="preserve">PM10 (annual) [µg/m3]</w:t>
      </w:r>
      <w:r>
        <w:t xml:space="preserve"> </w:t>
      </w:r>
      <w:r>
        <w:t xml:space="preserve">40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50</w:t>
      </w:r>
      <w:r>
        <w:t xml:space="preserve"> </w:t>
      </w:r>
      <w:r>
        <w:t xml:space="preserve">70</w:t>
      </w:r>
      <w:r>
        <w:t xml:space="preserve"> </w:t>
      </w:r>
      <w:r>
        <w:t xml:space="preserve">PM10 (24-hour) [µg/m3]</w:t>
      </w:r>
      <w:r>
        <w:t xml:space="preserve"> </w:t>
      </w:r>
      <w:r>
        <w:t xml:space="preserve">(35 days) 50</w:t>
      </w:r>
      <w:r>
        <w:br/>
      </w:r>
      <w:r>
        <w:t xml:space="preserve">(1%) 45</w:t>
      </w:r>
      <w:r>
        <w:br/>
      </w:r>
      <w:r>
        <w:t xml:space="preserve">(1%) 50</w:t>
      </w:r>
      <w:r>
        <w:br/>
      </w:r>
      <w:r>
        <w:t xml:space="preserve">(1%) 50</w:t>
      </w:r>
      <w:r>
        <w:br/>
      </w:r>
      <w:r>
        <w:t xml:space="preserve">(1%) 100</w:t>
      </w:r>
      <w:r>
        <w:t xml:space="preserve"> </w:t>
      </w:r>
      <w:r>
        <w:t xml:space="preserve">(1%) 150</w:t>
      </w:r>
      <w:r>
        <w:br/>
      </w:r>
      <w:r>
        <w:t xml:space="preserve">NO2 (annual) [µg/m3]</w:t>
      </w:r>
      <w:r>
        <w:t xml:space="preserve"> </w:t>
      </w:r>
      <w:r>
        <w:t xml:space="preserve">40</w:t>
      </w:r>
      <w:r>
        <w:t xml:space="preserve"> </w:t>
      </w:r>
      <w:r>
        <w:t xml:space="preserve">10</w:t>
      </w:r>
      <w:r>
        <w:t xml:space="preserve"> </w:t>
      </w:r>
      <w:r>
        <w:t xml:space="preserve">-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NO2 (24-hour) [µg/m3]</w:t>
      </w:r>
      <w:r>
        <w:t xml:space="preserve"> </w:t>
      </w:r>
      <w:r>
        <w:t xml:space="preserve">-</w:t>
      </w:r>
      <w:r>
        <w:t xml:space="preserve"> </w:t>
      </w:r>
      <w:r>
        <w:t xml:space="preserve">(1%) 25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(1%) 50</w:t>
      </w:r>
      <w:r>
        <w:br/>
      </w:r>
      <w:r>
        <w:t xml:space="preserve">(1%) 120</w:t>
      </w:r>
      <w:r>
        <w:br/>
      </w:r>
      <w:r>
        <w:t xml:space="preserve">NO2 (hourly) [µg/m3]</w:t>
      </w:r>
      <w:r>
        <w:t xml:space="preserve"> </w:t>
      </w:r>
      <w:r>
        <w:t xml:space="preserve">(18 hours) 200</w:t>
      </w:r>
      <w:r>
        <w:br/>
      </w:r>
      <w:r>
        <w:t xml:space="preserve">200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O3 (peak-season) [µg/m3]</w:t>
      </w:r>
      <w:r>
        <w:t xml:space="preserve"> </w:t>
      </w:r>
      <w:r>
        <w:t xml:space="preserve">-</w:t>
      </w:r>
      <w:r>
        <w:t xml:space="preserve"> </w:t>
      </w:r>
      <w:r>
        <w:t xml:space="preserve">60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70</w:t>
      </w:r>
      <w:r>
        <w:t xml:space="preserve"> </w:t>
      </w:r>
      <w:r>
        <w:t xml:space="preserve">100</w:t>
      </w:r>
      <w:r>
        <w:t xml:space="preserve"> </w:t>
      </w:r>
      <w:r>
        <w:t xml:space="preserve">O3 (8-hour mean) [µg/m3]</w:t>
      </w:r>
      <w:r>
        <w:t xml:space="preserve"> </w:t>
      </w:r>
      <w:r>
        <w:t xml:space="preserve">(25 days) 120</w:t>
      </w:r>
      <w:r>
        <w:br/>
      </w:r>
      <w:r>
        <w:t xml:space="preserve">(1%) 100</w:t>
      </w:r>
      <w:r>
        <w:t xml:space="preserve"> </w:t>
      </w:r>
      <w:r>
        <w:t xml:space="preserve">-</w:t>
      </w:r>
      <w:r>
        <w:br/>
      </w:r>
      <w:r>
        <w:t xml:space="preserve">-</w:t>
      </w:r>
      <w:r>
        <w:br/>
      </w:r>
      <w:r>
        <w:t xml:space="preserve">(1%) 120</w:t>
      </w:r>
      <w:r>
        <w:br/>
      </w:r>
      <w:r>
        <w:t xml:space="preserve">(1%) 160</w:t>
      </w:r>
      <w:r>
        <w:br/>
      </w:r>
      <w:r>
        <w:t xml:space="preserve">SO2 (annual) [µg/m3]</w:t>
      </w:r>
      <w:r>
        <w:t xml:space="preserve"> </w:t>
      </w:r>
      <w:r>
        <w:t xml:space="preserve">20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SO2 (24-hour) [µg/m3]</w:t>
      </w:r>
      <w:r>
        <w:t xml:space="preserve"> </w:t>
      </w:r>
      <w:r>
        <w:t xml:space="preserve">(3 days) 125</w:t>
      </w:r>
      <w:r>
        <w:br/>
      </w:r>
      <w:r>
        <w:t xml:space="preserve">(1%) 40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(1%) 50</w:t>
      </w:r>
      <w:r>
        <w:t xml:space="preserve"> </w:t>
      </w:r>
      <w:r>
        <w:t xml:space="preserve">(1%) 125</w:t>
      </w:r>
      <w:r>
        <w:t xml:space="preserve"> </w:t>
      </w:r>
      <w:r>
        <w:t xml:space="preserve">SO2 (hourly) [µg/m3]</w:t>
      </w:r>
      <w:r>
        <w:t xml:space="preserve"> </w:t>
      </w:r>
      <w:r>
        <w:t xml:space="preserve">(24 hours) 350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SO2 (10 min) [µg/m3]</w:t>
      </w:r>
      <w:r>
        <w:t xml:space="preserve"> </w:t>
      </w:r>
      <w:r>
        <w:t xml:space="preserve">-</w:t>
      </w:r>
      <w:r>
        <w:t xml:space="preserve"> </w:t>
      </w:r>
      <w:r>
        <w:t xml:space="preserve">500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CO (daily) [mg/m3]</w:t>
      </w:r>
      <w:r>
        <w:t xml:space="preserve"> </w:t>
      </w:r>
      <w:r>
        <w:t xml:space="preserve">-</w:t>
      </w:r>
      <w:r>
        <w:t xml:space="preserve"> </w:t>
      </w:r>
      <w:r>
        <w:t xml:space="preserve">(1%) 4</w:t>
      </w:r>
      <w:r>
        <w:br/>
      </w:r>
      <w:r>
        <w:t xml:space="preserve">-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(1%) 7</w:t>
      </w:r>
      <w:r>
        <w:t xml:space="preserve"> </w:t>
      </w:r>
      <w:r>
        <w:t xml:space="preserve">CO (8-hour) [mg/m3]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Note: For daily air quality standards reference is made in parentheses to allowed exceedances expressed as number of days or</w:t>
      </w:r>
      <w:r>
        <w:t xml:space="preserve"> </w:t>
      </w:r>
      <w:r>
        <w:t xml:space="preserve">percentiles. For a full year of measurements, 1% translates into the standard not to be exceeded on more than 3 days.</w:t>
      </w:r>
    </w:p>
    <w:p>
      <w:pPr>
        <w:pStyle w:val="BodyText"/>
      </w:pPr>
      <w:r>
        <w:t xml:space="preserve">Table A10.5 – Comparison of EU air quality (AQ) standards with WHO Air Quality Guidelines for pollutants</w:t>
      </w:r>
      <w:r>
        <w:t xml:space="preserve"> </w:t>
      </w:r>
      <w:r>
        <w:t xml:space="preserve">covered by the 2000 edition (WHO, 2000)</w:t>
      </w:r>
    </w:p>
    <w:p>
      <w:pPr>
        <w:pStyle w:val="BodyText"/>
      </w:pPr>
      <w:r>
        <w:t xml:space="preserve">EU AQ</w:t>
      </w:r>
      <w:r>
        <w:t xml:space="preserve"> </w:t>
      </w:r>
      <w:r>
        <w:t xml:space="preserve">standard</w:t>
      </w:r>
      <w:r>
        <w:t xml:space="preserve"> </w:t>
      </w:r>
      <w:r>
        <w:t xml:space="preserve">WHO AQ</w:t>
      </w:r>
      <w:r>
        <w:t xml:space="preserve"> </w:t>
      </w:r>
      <w:r>
        <w:t xml:space="preserve">guideline</w:t>
      </w:r>
      <w:r>
        <w:t xml:space="preserve"> </w:t>
      </w:r>
      <w:r>
        <w:t xml:space="preserve">Excess</w:t>
      </w:r>
      <w:r>
        <w:t xml:space="preserve"> </w:t>
      </w:r>
      <w:r>
        <w:t xml:space="preserve">lifetime risk</w:t>
      </w:r>
      <w:r>
        <w:t xml:space="preserve"> </w:t>
      </w:r>
      <w:r>
        <w:t xml:space="preserve">… of</w:t>
      </w:r>
      <w:r>
        <w:br/>
      </w:r>
      <w:r>
        <w:t xml:space="preserve">1/10 000</w:t>
      </w:r>
      <w:r>
        <w:t xml:space="preserve"> </w:t>
      </w:r>
      <w:r>
        <w:t xml:space="preserve">… of</w:t>
      </w:r>
      <w:r>
        <w:br/>
      </w:r>
      <w:r>
        <w:t xml:space="preserve">1/100 000</w:t>
      </w:r>
      <w:r>
        <w:t xml:space="preserve"> </w:t>
      </w:r>
      <w:r>
        <w:t xml:space="preserve">… of</w:t>
      </w:r>
      <w:r>
        <w:t xml:space="preserve"> </w:t>
      </w:r>
      <w:r>
        <w:t xml:space="preserve">1/1 000 000</w:t>
      </w:r>
      <w:r>
        <w:t xml:space="preserve"> </w:t>
      </w:r>
      <w:r>
        <w:t xml:space="preserve">Benzene (annual) [µg/m3]</w:t>
      </w:r>
      <w:r>
        <w:t xml:space="preserve"> </w:t>
      </w:r>
      <w:r>
        <w:t xml:space="preserve">5</w:t>
      </w:r>
      <w:r>
        <w:t xml:space="preserve"> </w:t>
      </w:r>
      <w:r>
        <w:t xml:space="preserve">1.7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1.7</w:t>
      </w:r>
      <w:r>
        <w:t xml:space="preserve"> </w:t>
      </w:r>
      <w:r>
        <w:t xml:space="preserve">0.17</w:t>
      </w:r>
      <w:r>
        <w:t xml:space="preserve"> </w:t>
      </w:r>
      <w:r>
        <w:t xml:space="preserve">Arsenic (annual) [ng/m3]</w:t>
      </w:r>
      <w:r>
        <w:t xml:space="preserve"> </w:t>
      </w:r>
      <w:r>
        <w:t xml:space="preserve">6</w:t>
      </w:r>
      <w:r>
        <w:t xml:space="preserve"> </w:t>
      </w:r>
      <w:r>
        <w:t xml:space="preserve">6.6</w:t>
      </w:r>
      <w:r>
        <w:t xml:space="preserve"> </w:t>
      </w:r>
      <w:r>
        <w:t xml:space="preserve">66</w:t>
      </w:r>
      <w:r>
        <w:t xml:space="preserve"> </w:t>
      </w:r>
      <w:r>
        <w:t xml:space="preserve">6.6</w:t>
      </w:r>
      <w:r>
        <w:t xml:space="preserve"> </w:t>
      </w:r>
      <w:r>
        <w:t xml:space="preserve">0.66</w:t>
      </w:r>
      <w:r>
        <w:t xml:space="preserve"> </w:t>
      </w:r>
      <w:r>
        <w:t xml:space="preserve">Nickel (annual) [ng/m3]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250</w:t>
      </w:r>
      <w:r>
        <w:t xml:space="preserve"> </w:t>
      </w:r>
      <w:r>
        <w:t xml:space="preserve">25</w:t>
      </w:r>
      <w:r>
        <w:t xml:space="preserve"> </w:t>
      </w:r>
      <w:r>
        <w:t xml:space="preserve">2.5</w:t>
      </w:r>
      <w:r>
        <w:t xml:space="preserve"> </w:t>
      </w:r>
      <w:r>
        <w:t xml:space="preserve">BaP (annual) [ng/m3]</w:t>
      </w:r>
      <w:r>
        <w:t xml:space="preserve"> </w:t>
      </w:r>
      <w:r>
        <w:t xml:space="preserve">1</w:t>
      </w:r>
      <w:r>
        <w:t xml:space="preserve"> </w:t>
      </w:r>
      <w:r>
        <w:t xml:space="preserve">0.12</w:t>
      </w:r>
      <w:r>
        <w:t xml:space="preserve"> </w:t>
      </w:r>
      <w:r>
        <w:t xml:space="preserve">1.2</w:t>
      </w:r>
      <w:r>
        <w:t xml:space="preserve"> </w:t>
      </w:r>
      <w:r>
        <w:t xml:space="preserve">0.12</w:t>
      </w:r>
      <w:r>
        <w:t xml:space="preserve"> </w:t>
      </w:r>
      <w:r>
        <w:t xml:space="preserve">0.012</w:t>
      </w:r>
      <w:r>
        <w:t xml:space="preserve"> </w:t>
      </w:r>
      <w:r>
        <w:t xml:space="preserve">Cadmium (annual) [ng/m3]</w:t>
      </w:r>
      <w:r>
        <w:t xml:space="preserve"> </w:t>
      </w:r>
      <w:r>
        <w:t xml:space="preserve">5</w:t>
      </w:r>
      <w:r>
        <w:t xml:space="preserve"> </w:t>
      </w:r>
      <w:r>
        <w:t xml:space="preserve">5.0</w:t>
      </w:r>
    </w:p>
    <w:p>
      <w:pPr>
        <w:pStyle w:val="BodyText"/>
      </w:pPr>
      <w:r>
        <w:t xml:space="preserve">Lead (annual) [µg/m3]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</w:p>
    <w:p>
      <w:pPr>
        <w:pStyle w:val="BodyText"/>
      </w:pPr>
      <w:r>
        <w:t xml:space="preserve">As part of the fitness check of the Ambient Air Quality Directives published in 2019, the</w:t>
      </w:r>
      <w:r>
        <w:t xml:space="preserve"> </w:t>
      </w:r>
      <w:r>
        <w:t xml:space="preserve">Commission compared current EU air quality standards and the standards in place in selected</w:t>
      </w:r>
      <w:r>
        <w:br/>
      </w:r>
      <w:r>
        <w:t xml:space="preserve">(non-EU) OECD countries. This showed alignment with the WHO recommendations in place at</w:t>
      </w:r>
      <w:r>
        <w:t xml:space="preserve"> </w:t>
      </w:r>
      <w:r>
        <w:t xml:space="preserve">the time (i.e. the 2005 edition WHO Air Quality Guidelines) in some cases and large differences</w:t>
      </w:r>
      <w:r>
        <w:t xml:space="preserve"> </w:t>
      </w:r>
      <w:r>
        <w:t xml:space="preserve">in other cases. For fine particulate matter, the EU air quality standards were above those set in</w:t>
      </w:r>
      <w:r>
        <w:t xml:space="preserve"> </w:t>
      </w:r>
      <w:r>
        <w:t xml:space="preserve">selected OECD countries, while for most other pollutants EU levels are within the range</w:t>
      </w:r>
      <w:r>
        <w:t xml:space="preserve"> </w:t>
      </w:r>
      <w:r>
        <w:t xml:space="preserve">established in OECD countries. Table A10.6 provides a comparison.</w:t>
      </w:r>
      <w:r>
        <w:t xml:space="preserve"> </w:t>
      </w:r>
      <w:r>
        <w:t xml:space="preserve">Consistent with the principle established in Article 193 of the Treaty on the Functioning of the</w:t>
      </w:r>
      <w:r>
        <w:t xml:space="preserve"> </w:t>
      </w:r>
      <w:r>
        <w:t xml:space="preserve">European Union, the Ambient Air Quality Directives do not prevent Member States from setting</w:t>
      </w:r>
    </w:p>
    <w:p>
      <w:pPr>
        <w:pStyle w:val="BodyText"/>
      </w:pPr>
      <w:r>
        <w:t xml:space="preserve">297</w:t>
      </w:r>
    </w:p>
    <w:p>
      <w:pPr>
        <w:pStyle w:val="BodyText"/>
      </w:pPr>
      <w:r>
        <w:t xml:space="preserve">more stringent standards in national legislation – as is the case, for example, in Austria (for</w:t>
      </w:r>
      <w:r>
        <w:t xml:space="preserve"> </w:t>
      </w:r>
      <w:r>
        <w:t xml:space="preserve">particulate matter (PM10) and nitrogen dioxide), or Sweden (most notably for nitrogen dioxide).</w:t>
      </w:r>
      <w:r>
        <w:t xml:space="preserve"> </w:t>
      </w:r>
      <w:r>
        <w:t xml:space="preserve">Table A10.6 – Comparison of EU air quality standards with WHO Guidelines and standards applicable in other</w:t>
      </w:r>
      <w:r>
        <w:t xml:space="preserve"> </w:t>
      </w:r>
      <w:r>
        <w:t xml:space="preserve">OECD countries (Based on SWD(2019) 427 final)</w:t>
      </w:r>
    </w:p>
    <w:p>
      <w:pPr>
        <w:pStyle w:val="BodyText"/>
      </w:pPr>
      <w:r>
        <w:t xml:space="preserve">EU AQ</w:t>
      </w:r>
      <w:r>
        <w:t xml:space="preserve"> </w:t>
      </w:r>
      <w:r>
        <w:t xml:space="preserve">standard</w:t>
      </w:r>
      <w:r>
        <w:t xml:space="preserve"> </w:t>
      </w:r>
      <w:r>
        <w:t xml:space="preserve">2021 WHO</w:t>
      </w:r>
      <w:r>
        <w:t xml:space="preserve"> </w:t>
      </w:r>
      <w:r>
        <w:t xml:space="preserve">AQ guideline</w:t>
      </w:r>
      <w:r>
        <w:t xml:space="preserve"> </w:t>
      </w:r>
      <w:r>
        <w:t xml:space="preserve">2005 WHO</w:t>
      </w:r>
      <w:r>
        <w:t xml:space="preserve"> </w:t>
      </w:r>
      <w:r>
        <w:t xml:space="preserve">AQ guideline</w:t>
      </w:r>
      <w:r>
        <w:t xml:space="preserve"> </w:t>
      </w:r>
      <w:r>
        <w:t xml:space="preserve">Selected standards applicable</w:t>
      </w:r>
      <w:r>
        <w:br/>
      </w:r>
      <w:r>
        <w:t xml:space="preserve">in other OECD countries</w:t>
      </w:r>
      <w:r>
        <w:br/>
      </w:r>
      <w:r>
        <w:t xml:space="preserve">PM2.5 (annual) [µg/m3]</w:t>
      </w:r>
      <w:r>
        <w:t xml:space="preserve"> </w:t>
      </w:r>
      <w:r>
        <w:t xml:space="preserve">25 / 20</w:t>
      </w:r>
      <w:r>
        <w:br/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AU: 8; CH: 10; CA: 10;</w:t>
      </w:r>
      <w:r>
        <w:br/>
      </w:r>
      <w:r>
        <w:t xml:space="preserve">US: 12; JP: 15; NO: 15</w:t>
      </w:r>
      <w:r>
        <w:t xml:space="preserve"> </w:t>
      </w:r>
      <w:r>
        <w:t xml:space="preserve">PM2.5 (24-hour) [µg/m3]</w:t>
      </w:r>
      <w:r>
        <w:t xml:space="preserve"> </w:t>
      </w:r>
      <w:r>
        <w:t xml:space="preserve">-</w:t>
      </w:r>
      <w:r>
        <w:t xml:space="preserve"> </w:t>
      </w:r>
      <w:r>
        <w:t xml:space="preserve">(1%) 15</w:t>
      </w:r>
      <w:r>
        <w:br/>
      </w:r>
      <w:r>
        <w:t xml:space="preserve">(1%) 25</w:t>
      </w:r>
      <w:r>
        <w:br/>
      </w:r>
      <w:r>
        <w:t xml:space="preserve">AU: 25; CA: 28;</w:t>
      </w:r>
      <w:r>
        <w:br/>
      </w:r>
      <w:r>
        <w:t xml:space="preserve">JP: (2%) 35; US: (2%) 35</w:t>
      </w:r>
      <w:r>
        <w:t xml:space="preserve"> </w:t>
      </w:r>
      <w:r>
        <w:t xml:space="preserve">PM10 (annual) [µg/m3]</w:t>
      </w:r>
      <w:r>
        <w:t xml:space="preserve"> </w:t>
      </w:r>
      <w:r>
        <w:t xml:space="preserve">40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CH: 20;</w:t>
      </w:r>
      <w:r>
        <w:br/>
      </w:r>
      <w:r>
        <w:t xml:space="preserve">AU: 25; NO: 25</w:t>
      </w:r>
      <w:r>
        <w:t xml:space="preserve"> </w:t>
      </w:r>
      <w:r>
        <w:t xml:space="preserve">PM10 (24-hour) [µg/m3]</w:t>
      </w:r>
      <w:r>
        <w:t xml:space="preserve"> </w:t>
      </w:r>
      <w:r>
        <w:t xml:space="preserve">(35 days) 50</w:t>
      </w:r>
      <w:r>
        <w:br/>
      </w:r>
      <w:r>
        <w:t xml:space="preserve">(1%) 45</w:t>
      </w:r>
      <w:r>
        <w:br/>
      </w:r>
      <w:r>
        <w:t xml:space="preserve">(1%) 50 NO: (30 days) 30; AU: 50; NZ: (1 day) 50;</w:t>
      </w:r>
      <w:r>
        <w:t xml:space="preserve"> </w:t>
      </w:r>
      <w:r>
        <w:t xml:space="preserve">CH: (3 days) 50; US: (1 day) 150</w:t>
      </w:r>
      <w:r>
        <w:br/>
      </w:r>
      <w:r>
        <w:t xml:space="preserve">NO2 (annual) [µg/m3]</w:t>
      </w:r>
      <w:r>
        <w:t xml:space="preserve"> </w:t>
      </w:r>
      <w:r>
        <w:t xml:space="preserve">40</w:t>
      </w:r>
      <w:r>
        <w:t xml:space="preserve"> </w:t>
      </w:r>
      <w:r>
        <w:t xml:space="preserve">10</w:t>
      </w:r>
      <w:r>
        <w:t xml:space="preserve"> </w:t>
      </w:r>
      <w:r>
        <w:t xml:space="preserve">40</w:t>
      </w:r>
      <w:r>
        <w:t xml:space="preserve"> </w:t>
      </w:r>
      <w:r>
        <w:t xml:space="preserve">CH: 30; CA: 32; NO: 40;</w:t>
      </w:r>
      <w:r>
        <w:t xml:space="preserve"> </w:t>
      </w:r>
      <w:r>
        <w:t xml:space="preserve">AU: 57; US: 101</w:t>
      </w:r>
      <w:r>
        <w:br/>
      </w:r>
      <w:r>
        <w:t xml:space="preserve">NO2 (hourly) [µg/m3]</w:t>
      </w:r>
      <w:r>
        <w:t xml:space="preserve"> </w:t>
      </w:r>
      <w:r>
        <w:t xml:space="preserve">(18 hours) 200</w:t>
      </w:r>
      <w:r>
        <w:br/>
      </w:r>
      <w:r>
        <w:t xml:space="preserve">200</w:t>
      </w:r>
      <w:r>
        <w:br/>
      </w:r>
      <w:r>
        <w:t xml:space="preserve">200</w:t>
      </w:r>
      <w:r>
        <w:t xml:space="preserve"> </w:t>
      </w:r>
      <w:r>
        <w:t xml:space="preserve">CA: 115; US: (2%) 191;</w:t>
      </w:r>
      <w:r>
        <w:br/>
      </w:r>
      <w:r>
        <w:t xml:space="preserve">NZ: (9h) 200; NO: (18h) 200; AU: 230;</w:t>
      </w:r>
      <w:r>
        <w:br/>
      </w:r>
      <w:r>
        <w:t xml:space="preserve">O3 (8-hour mean) [µg/m3]</w:t>
      </w:r>
      <w:r>
        <w:t xml:space="preserve"> </w:t>
      </w:r>
      <w:r>
        <w:t xml:space="preserve">(25 days) 120</w:t>
      </w:r>
      <w:r>
        <w:br/>
      </w:r>
      <w:r>
        <w:t xml:space="preserve">(1%) 100</w:t>
      </w:r>
      <w:r>
        <w:br/>
      </w:r>
      <w:r>
        <w:t xml:space="preserve">(1%) 100</w:t>
      </w:r>
      <w:r>
        <w:t xml:space="preserve"> </w:t>
      </w:r>
      <w:r>
        <w:t xml:space="preserve">CA: 126;</w:t>
      </w:r>
      <w:r>
        <w:br/>
      </w:r>
      <w:r>
        <w:t xml:space="preserve">US: 140</w:t>
      </w:r>
      <w:r>
        <w:t xml:space="preserve"> </w:t>
      </w:r>
      <w:r>
        <w:t xml:space="preserve">SO2 (24-hour) [µg/m3]</w:t>
      </w:r>
      <w:r>
        <w:t xml:space="preserve"> </w:t>
      </w:r>
      <w:r>
        <w:t xml:space="preserve">(3 days) 125</w:t>
      </w:r>
      <w:r>
        <w:br/>
      </w:r>
      <w:r>
        <w:t xml:space="preserve">(1%) 40</w:t>
      </w:r>
      <w:r>
        <w:br/>
      </w:r>
      <w:r>
        <w:t xml:space="preserve">(1%) 20</w:t>
      </w:r>
      <w:r>
        <w:t xml:space="preserve"> </w:t>
      </w:r>
      <w:r>
        <w:t xml:space="preserve">CH: (1 day) 100; JP: 107</w:t>
      </w:r>
      <w:r>
        <w:t xml:space="preserve"> </w:t>
      </w:r>
      <w:r>
        <w:t xml:space="preserve">NO: (3 days) 125; AU: (1 day) 213;</w:t>
      </w:r>
      <w:r>
        <w:t xml:space="preserve"> </w:t>
      </w:r>
      <w:r>
        <w:t xml:space="preserve">SO2 (hourly) [µg/m3]</w:t>
      </w:r>
      <w:r>
        <w:t xml:space="preserve"> </w:t>
      </w:r>
      <w:r>
        <w:t xml:space="preserve">(24 hours) 350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US: (1%) 200; JP: 266; NZ: (9h) 350;</w:t>
      </w:r>
      <w:r>
        <w:br/>
      </w:r>
      <w:r>
        <w:t xml:space="preserve">NO: (24h) 350; AU: (1 day) 532</w:t>
      </w:r>
      <w:r>
        <w:br/>
      </w:r>
      <w:r>
        <w:t xml:space="preserve">Note: For daily air quality standards reference is made in parentheses to allowed exceedances expressed as number of days or</w:t>
      </w:r>
      <w:r>
        <w:t xml:space="preserve"> </w:t>
      </w:r>
      <w:r>
        <w:t xml:space="preserve">percentiles. For a full year of measurements, 1% translates into the standard not to be exceeded on more than 3 days.</w:t>
      </w:r>
      <w:r>
        <w:t xml:space="preserve"> </w:t>
      </w:r>
      <w:r>
        <w:t xml:space="preserve">Note: where standards applicable in selected other OECD countries have been established as ‘ppb (parts per billion)’, this has</w:t>
      </w:r>
      <w:r>
        <w:t xml:space="preserve"> </w:t>
      </w:r>
      <w:r>
        <w:t xml:space="preserve">been converted to µg/m3 for this table.</w:t>
      </w:r>
      <w:r>
        <w:t xml:space="preserve"> </w:t>
      </w:r>
      <w:r>
        <w:t xml:space="preserve">AU (Australia): Standards and Goal established under National Environment Protection (Ambient Air Quality) Measure, status</w:t>
      </w:r>
      <w:r>
        <w:t xml:space="preserve"> </w:t>
      </w:r>
      <w:r>
        <w:t xml:space="preserve">of 25 February 2016, see https://www.legislation.gov.au/Details/F2016C00215</w:t>
      </w:r>
      <w:r>
        <w:br/>
      </w:r>
      <w:r>
        <w:t xml:space="preserve">CA (Canada): Canadian Ambient Air Quality Standards (CAAQS) established under the Canadian Environmental Protection</w:t>
      </w:r>
      <w:r>
        <w:t xml:space="preserve"> </w:t>
      </w:r>
      <w:r>
        <w:t xml:space="preserve">Act, see http://airquality-qualitedelair.ccme.ca/en/</w:t>
      </w:r>
      <w:r>
        <w:br/>
      </w:r>
      <w:r>
        <w:t xml:space="preserve">CH (Switzerland): ‚Luftreinhalte-Verordnung (vom 16 Dezember 1985, inklusive Änderung vom 11. April 2018)’, see</w:t>
      </w:r>
      <w:r>
        <w:t xml:space="preserve"> </w:t>
      </w:r>
      <w:r>
        <w:t xml:space="preserve">https://www.admin.ch/opc/de/classified-compilation/19850321/index.html</w:t>
      </w:r>
      <w:r>
        <w:br/>
      </w:r>
      <w:r>
        <w:t xml:space="preserve">JP (Japan): Environmental Quality Standards in Japan – Air Quality. http://www.env.go.jp/en/air/aq/aq.html</w:t>
      </w:r>
      <w:r>
        <w:br/>
      </w:r>
      <w:r>
        <w:t xml:space="preserve">NO (Norway): ‘Grenseverdier for tiltak’, as established in ‘forskrift om begrensning av forurensning’ see</w:t>
      </w:r>
      <w:r>
        <w:t xml:space="preserve"> </w:t>
      </w:r>
      <w:r>
        <w:t xml:space="preserve">https://lovdata.no/dokument/SF/forskrift/2004-06-01-931 (see Del 3)</w:t>
      </w:r>
      <w:r>
        <w:t xml:space="preserve"> </w:t>
      </w:r>
      <w:r>
        <w:t xml:space="preserve">NZ (New Zealand): Ambient air quality standards for contaminants under Resource Management (National Environmental</w:t>
      </w:r>
      <w:r>
        <w:t xml:space="preserve"> </w:t>
      </w:r>
      <w:r>
        <w:t xml:space="preserve">Standards for Air Quality) Regulations 2004 (SR 2004/309), see</w:t>
      </w:r>
      <w:r>
        <w:t xml:space="preserve"> </w:t>
      </w:r>
      <w:r>
        <w:t xml:space="preserve">http://www.legislation.govt.nz/regulation/public/2004/0309/latest/DLM287036.html</w:t>
      </w:r>
      <w:r>
        <w:br/>
      </w:r>
      <w:r>
        <w:t xml:space="preserve">US (United States of America): National Ambient Air Quality Standards (NAAQS) set by the Environmental Protection Agency</w:t>
      </w:r>
      <w:r>
        <w:t xml:space="preserve"> </w:t>
      </w:r>
      <w:r>
        <w:t xml:space="preserve">under the Clean Air Act, see https://www.epa.gov/criteria-air-pollutants/naaqs-table</w:t>
      </w:r>
    </w:p>
    <w:p>
      <w:pPr>
        <w:pStyle w:val="Compact"/>
        <w:numPr>
          <w:ilvl w:val="0"/>
          <w:numId w:val="1008"/>
        </w:numPr>
      </w:pPr>
      <w:r>
        <w:t xml:space="preserve">HEALTH IMPACTS OF AIR POLLUTANTS IN THE AMBIENT AIR QUALITY DIRECTIVES</w:t>
      </w:r>
      <w:r>
        <w:br/>
      </w:r>
      <w:r>
        <w:t xml:space="preserve">This section provides an overview on the health effects of and WHO recommendations for</w:t>
      </w:r>
      <w:r>
        <w:t xml:space="preserve"> </w:t>
      </w:r>
      <w:r>
        <w:t xml:space="preserve">the twelve pollutants covered by the Ambient Air Quality Directives. This is based on</w:t>
      </w:r>
      <w:r>
        <w:t xml:space="preserve"> </w:t>
      </w:r>
      <w:r>
        <w:t xml:space="preserve">reviews of existing literature and meta-studies describing the health effects of the pollutants,</w:t>
      </w:r>
      <w:r>
        <w:t xml:space="preserve"> </w:t>
      </w:r>
      <w:r>
        <w:t xml:space="preserve">focused on inhalative and outdoor air pollution exposure. Evidence from both toxicological</w:t>
      </w:r>
      <w:r>
        <w:t xml:space="preserve"> </w:t>
      </w:r>
      <w:r>
        <w:t xml:space="preserve">and</w:t>
      </w:r>
      <w:r>
        <w:t xml:space="preserve"> </w:t>
      </w:r>
      <w:r>
        <w:t xml:space="preserve">epidemiological</w:t>
      </w:r>
      <w:r>
        <w:t xml:space="preserve"> </w:t>
      </w:r>
      <w:r>
        <w:t xml:space="preserve">studies</w:t>
      </w:r>
      <w:r>
        <w:t xml:space="preserve"> </w:t>
      </w:r>
      <w:r>
        <w:t xml:space="preserve">is</w:t>
      </w:r>
      <w:r>
        <w:t xml:space="preserve"> </w:t>
      </w:r>
      <w:r>
        <w:t xml:space="preserve">considered</w:t>
      </w:r>
      <w:r>
        <w:t xml:space="preserve"> </w:t>
      </w:r>
      <w:r>
        <w:t xml:space="preserve">in</w:t>
      </w:r>
      <w:r>
        <w:t xml:space="preserve"> </w:t>
      </w:r>
      <w:r>
        <w:t xml:space="preserve">developing</w:t>
      </w:r>
      <w:r>
        <w:t xml:space="preserve"> </w:t>
      </w:r>
      <w:r>
        <w:t xml:space="preserve">health-based</w:t>
      </w:r>
      <w:r>
        <w:t xml:space="preserve"> </w:t>
      </w:r>
      <w:r>
        <w:t xml:space="preserve">WHO</w:t>
      </w:r>
      <w:r>
        <w:t xml:space="preserve"> </w:t>
      </w:r>
      <w:r>
        <w:t xml:space="preserve">recommendations.</w:t>
      </w:r>
      <w:r>
        <w:t xml:space="preserve"> </w:t>
      </w:r>
      <w:r>
        <w:t xml:space="preserve">As noted above, the WHO formulates Air Quality Guidelines, which are in form of a value</w:t>
      </w:r>
      <w:r>
        <w:t xml:space="preserve"> </w:t>
      </w:r>
      <w:r>
        <w:t xml:space="preserve">and a corresponding qualitative description. These are recommendations, and not intended to</w:t>
      </w:r>
      <w:r>
        <w:t xml:space="preserve"> </w:t>
      </w:r>
      <w:r>
        <w:t xml:space="preserve">be simply adopted as legally enforceable standards. Standards should include further factors</w:t>
      </w:r>
      <w:r>
        <w:t xml:space="preserve"> </w:t>
      </w:r>
      <w:r>
        <w:t xml:space="preserve">such as the current exposure, the mixture of air pollutants, specific social, economic and</w:t>
      </w:r>
    </w:p>
    <w:p>
      <w:pPr>
        <w:pStyle w:val="FirstParagraph"/>
      </w:pPr>
      <w:r>
        <w:t xml:space="preserve">298</w:t>
      </w:r>
    </w:p>
    <w:p>
      <w:pPr>
        <w:pStyle w:val="BodyText"/>
      </w:pPr>
      <w:r>
        <w:t xml:space="preserve">cultural conditions, legal aspects, technological feasibility and the capability of air quality</w:t>
      </w:r>
      <w:r>
        <w:t xml:space="preserve"> </w:t>
      </w:r>
      <w:r>
        <w:t xml:space="preserve">management. (WHO, 2021)</w:t>
      </w:r>
      <w:r>
        <w:br/>
      </w:r>
      <w:r>
        <w:t xml:space="preserve">3.1</w:t>
      </w:r>
      <w:r>
        <w:t xml:space="preserve"> </w:t>
      </w:r>
      <w:r>
        <w:t xml:space="preserve">Fine Particulate Matter (PM2.5) and Particulate Matter (PM10)</w:t>
      </w:r>
      <w:r>
        <w:t xml:space="preserve"> </w:t>
      </w:r>
      <w:r>
        <w:t xml:space="preserve">‘Particulate matter in urban and non-urban environments is a complex mixture with</w:t>
      </w:r>
      <w:r>
        <w:t xml:space="preserve"> </w:t>
      </w:r>
      <w:r>
        <w:t xml:space="preserve">components having diverse chemical and physical characteristics. Research on particulate</w:t>
      </w:r>
      <w:r>
        <w:t xml:space="preserve"> </w:t>
      </w:r>
      <w:r>
        <w:t xml:space="preserve">matter and the interpretation of research findings on exposure and risk are complicated by</w:t>
      </w:r>
      <w:r>
        <w:t xml:space="preserve"> </w:t>
      </w:r>
      <w:r>
        <w:t xml:space="preserve">this heterogeneity, and the possibility that the potential of particles to cause injury varies</w:t>
      </w:r>
      <w:r>
        <w:t xml:space="preserve"> </w:t>
      </w:r>
      <w:r>
        <w:t xml:space="preserve">with size and other physical characteristics, chemical composition and source(s).</w:t>
      </w:r>
      <w:r>
        <w:br/>
      </w:r>
      <w:r>
        <w:t xml:space="preserve">Different characteristics of particulate matter may be relevant to different health effects.</w:t>
      </w:r>
      <w:r>
        <w:t xml:space="preserve"> </w:t>
      </w:r>
      <w:r>
        <w:t xml:space="preserve">Newer research findings continue to highlight this complexity and the dynamic nature of</w:t>
      </w:r>
      <w:r>
        <w:t xml:space="preserve"> </w:t>
      </w:r>
      <w:r>
        <w:t xml:space="preserve">airborne particulate matter, as it is formed either primarily or secondarily and then</w:t>
      </w:r>
      <w:r>
        <w:t xml:space="preserve"> </w:t>
      </w:r>
      <w:r>
        <w:t xml:space="preserve">continues to undergo chemical and physical transformation in the atmosphere.</w:t>
      </w:r>
      <w:r>
        <w:br/>
      </w:r>
      <w:r>
        <w:t xml:space="preserve">Nonetheless, particles are still generally classified by their aerodynamic properties, because</w:t>
      </w:r>
      <w:r>
        <w:t xml:space="preserve"> </w:t>
      </w:r>
      <w:r>
        <w:t xml:space="preserve">these determine transport and removal processes in the air and deposition sites and</w:t>
      </w:r>
      <w:r>
        <w:t xml:space="preserve"> </w:t>
      </w:r>
      <w:r>
        <w:t xml:space="preserve">clearance pathways within the respiratory tract. The aerodynamic diameter is used as the</w:t>
      </w:r>
      <w:r>
        <w:t xml:space="preserve"> </w:t>
      </w:r>
      <w:r>
        <w:t xml:space="preserve">summary indicator of particle size; the aerodynamic diameter corresponds to the size of a</w:t>
      </w:r>
      <w:r>
        <w:t xml:space="preserve"> </w:t>
      </w:r>
      <w:r>
        <w:t xml:space="preserve">unit-density sphere with the same aerodynamic characteristics as the particle of interest. The</w:t>
      </w:r>
      <w:r>
        <w:t xml:space="preserve"> </w:t>
      </w:r>
      <w:r>
        <w:t xml:space="preserve">differences in aerodynamic properties among particles are exploited by many particle</w:t>
      </w:r>
      <w:r>
        <w:t xml:space="preserve"> </w:t>
      </w:r>
      <w:r>
        <w:t xml:space="preserve">sampling techniques.’ (WHO, 2006)</w:t>
      </w:r>
      <w:r>
        <w:br/>
      </w:r>
      <w:r>
        <w:t xml:space="preserve">World Health Organization recommendations for annual PM2.5</w:t>
      </w:r>
      <w:r>
        <w:t xml:space="preserve"> </w:t>
      </w:r>
      <w:r>
        <w:t xml:space="preserve">The recommendation for an annual PM2.5 in the 2021 edition of the WHO Air Quality</w:t>
      </w:r>
      <w:r>
        <w:t xml:space="preserve"> </w:t>
      </w:r>
      <w:r>
        <w:t xml:space="preserve">Guidelines is 5 µg/m3. The WHO also recommends maintaining the 2005 interim targets at</w:t>
      </w:r>
      <w:r>
        <w:t xml:space="preserve"> </w:t>
      </w:r>
      <w:r>
        <w:t xml:space="preserve">35 µg/m3, 25 µg/m3, and 15 µg/m3, and introducing an interim target 4 at the level of</w:t>
      </w:r>
      <w:r>
        <w:t xml:space="preserve"> </w:t>
      </w:r>
      <w:r>
        <w:t xml:space="preserve">10 µg/m3 (i.e., the air quality guideline level put forward in the 2005 edition). (WHO, 2021)</w:t>
      </w:r>
      <w:r>
        <w:t xml:space="preserve"> </w:t>
      </w:r>
      <w:r>
        <w:t xml:space="preserve">‘If mortality in a population exposed to PM2.5 at the WHO Air Quality Guidelines level is</w:t>
      </w:r>
      <w:r>
        <w:t xml:space="preserve"> </w:t>
      </w:r>
      <w:r>
        <w:t xml:space="preserve">arbitrarily set to 100, then it will be 124, 116, 108 and 104, respectively, in populations</w:t>
      </w:r>
      <w:r>
        <w:t xml:space="preserve"> </w:t>
      </w:r>
      <w:r>
        <w:t xml:space="preserve">exposed to PM2.5 at interim target 1, 2, 3 and 4 levels. These projections are based on the</w:t>
      </w:r>
      <w:r>
        <w:t xml:space="preserve"> </w:t>
      </w:r>
      <w:r>
        <w:t xml:space="preserve">linear hazard ratio of 1.08 per 10-µg/m³ increase in PM2.5 for all non-accidental mortality</w:t>
      </w:r>
      <w:r>
        <w:t xml:space="preserve"> </w:t>
      </w:r>
      <w:r>
        <w:t xml:space="preserve">reported in the systematic review. At higher concentrations, the CRF may no longer be</w:t>
      </w:r>
      <w:r>
        <w:t xml:space="preserve"> </w:t>
      </w:r>
      <w:r>
        <w:t xml:space="preserve">linear, which would change the numbers in this example.’ (WHO, 2021)</w:t>
      </w:r>
      <w:r>
        <w:t xml:space="preserve"> </w:t>
      </w:r>
      <w:r>
        <w:t xml:space="preserve">World Health Organization recommendations for short-term (24-hour) PM2.5</w:t>
      </w:r>
      <w:r>
        <w:t xml:space="preserve"> </w:t>
      </w:r>
      <w:r>
        <w:t xml:space="preserve">The recommendation for a short-term (24-hour) PM2.5 WHO Air Quality Guidelines level is</w:t>
      </w:r>
      <w:r>
        <w:t xml:space="preserve"> </w:t>
      </w:r>
      <w:r>
        <w:t xml:space="preserve">15 µg/m3, defined as the 99th percentile (equivalent to 3-4 exceedance days per year) of the</w:t>
      </w:r>
      <w:r>
        <w:t xml:space="preserve"> </w:t>
      </w:r>
      <w:r>
        <w:t xml:space="preserve">annual distribution of 24-hour average concentrations. The WHO also recommends</w:t>
      </w:r>
      <w:r>
        <w:t xml:space="preserve"> </w:t>
      </w:r>
      <w:r>
        <w:t xml:space="preserve">maintaining the 2005 interim targets at 75 µg/m3, 50 µg/m3, and 37.5 µg/m3, and introducing</w:t>
      </w:r>
      <w:r>
        <w:t xml:space="preserve"> </w:t>
      </w:r>
      <w:r>
        <w:t xml:space="preserve">an interim target 4 at the level of 15 µg/m3 (i.e., the air quality guideline level put forward in</w:t>
      </w:r>
      <w:r>
        <w:t xml:space="preserve"> </w:t>
      </w:r>
      <w:r>
        <w:t xml:space="preserve">the 2005 edition). (WHO, 2021)</w:t>
      </w:r>
    </w:p>
    <w:p>
      <w:pPr>
        <w:pStyle w:val="BodyText"/>
      </w:pPr>
      <w:r>
        <w:t xml:space="preserve">299</w:t>
      </w:r>
    </w:p>
    <w:p>
      <w:pPr>
        <w:pStyle w:val="BodyText"/>
      </w:pPr>
      <w:r>
        <w:t xml:space="preserve">World Health Organization recommendations for annual PM10</w:t>
      </w:r>
      <w:r>
        <w:t xml:space="preserve"> </w:t>
      </w:r>
      <w:r>
        <w:t xml:space="preserve">The recommendation for an annual PM10 WHO Air Quality Guidelines level is 15 µg/m3</w:t>
      </w:r>
      <w:r>
        <w:t xml:space="preserve"> </w:t>
      </w:r>
      <w:r>
        <w:t xml:space="preserve">(WHO, 2021). ’This is based on an evaluation of the studies on the long-term effects of PM10</w:t>
      </w:r>
      <w:r>
        <w:t xml:space="preserve"> </w:t>
      </w:r>
      <w:r>
        <w:t xml:space="preserve">on mortality only, without taking into consideration that a large proportion of PM10 is made</w:t>
      </w:r>
      <w:r>
        <w:t xml:space="preserve"> </w:t>
      </w:r>
      <w:r>
        <w:t xml:space="preserve">up of PM2.5. As in most situations PM2.5 is about 50-80% of PM10 by weight, the annual PM10</w:t>
      </w:r>
      <w:r>
        <w:t xml:space="preserve"> </w:t>
      </w:r>
      <w:r>
        <w:t xml:space="preserve">Air Quality Guidelines level of 15 µg/m3 is less protective than the annual AQG level for</w:t>
      </w:r>
      <w:r>
        <w:t xml:space="preserve"> </w:t>
      </w:r>
      <w:r>
        <w:t xml:space="preserve">PM2.5. In all situations where both PM2.5 and PM10 measurements are available, preference</w:t>
      </w:r>
      <w:r>
        <w:t xml:space="preserve"> </w:t>
      </w:r>
      <w:r>
        <w:t xml:space="preserve">should be given to the PM2.5 Air Quality Guidelines level.’ (WHO, 2021). Furthermore, the</w:t>
      </w:r>
      <w:r>
        <w:t xml:space="preserve"> </w:t>
      </w:r>
      <w:r>
        <w:t xml:space="preserve">WHO recommends maintaining the 2005 interim targets at 70 µg/m3, 50 µg/m3, and</w:t>
      </w:r>
      <w:r>
        <w:t xml:space="preserve"> </w:t>
      </w:r>
      <w:r>
        <w:t xml:space="preserve">30 µg/m3, and introducing an interim target 4 at the level of 20 µg/m3 (i.e., the air quality</w:t>
      </w:r>
      <w:r>
        <w:t xml:space="preserve"> </w:t>
      </w:r>
      <w:r>
        <w:t xml:space="preserve">guideline level put forward in the 2005 edition). (WHO, 2021)</w:t>
      </w:r>
      <w:r>
        <w:t xml:space="preserve"> </w:t>
      </w:r>
      <w:r>
        <w:t xml:space="preserve">‘If mortality in a population exposed to PM10 at the Air Quality Guidelines level were</w:t>
      </w:r>
      <w:r>
        <w:t xml:space="preserve"> </w:t>
      </w:r>
      <w:r>
        <w:t xml:space="preserve">arbitrarily set at 100, then it will be 122, 114, 106 and 102, respectively, in populations</w:t>
      </w:r>
      <w:r>
        <w:t xml:space="preserve"> </w:t>
      </w:r>
      <w:r>
        <w:t xml:space="preserve">exposed to PM10 at the interim target 1, 2, 3 and 4 levels. These projections are based on the</w:t>
      </w:r>
      <w:r>
        <w:t xml:space="preserve"> </w:t>
      </w:r>
      <w:r>
        <w:t xml:space="preserve">linear hazard ratio of 1.04 per 10-µg/m³ increase in PM10 for all non-accidental mortality</w:t>
      </w:r>
      <w:r>
        <w:t xml:space="preserve"> </w:t>
      </w:r>
      <w:r>
        <w:t xml:space="preserve">reported in the systematic review. At higher concentrations, the concentration-response</w:t>
      </w:r>
      <w:r>
        <w:t xml:space="preserve"> </w:t>
      </w:r>
      <w:r>
        <w:t xml:space="preserve">functions may no longer be linear, which would change the numbers in this example.’ (WHO,</w:t>
      </w:r>
      <w:r>
        <w:t xml:space="preserve"> </w:t>
      </w:r>
      <w:r>
        <w:t xml:space="preserve">2021)</w:t>
      </w:r>
      <w:r>
        <w:t xml:space="preserve"> </w:t>
      </w:r>
      <w:r>
        <w:t xml:space="preserve">World Health Organization recommendations for short-term (24-hour) PM10</w:t>
      </w:r>
      <w:r>
        <w:t xml:space="preserve"> </w:t>
      </w:r>
      <w:r>
        <w:t xml:space="preserve">The recommendation for a short-term (24-hour) PM10 WHO Air Quality Guidelines level is</w:t>
      </w:r>
      <w:r>
        <w:t xml:space="preserve"> </w:t>
      </w:r>
      <w:r>
        <w:t xml:space="preserve">45 µg/m3, defined as the 99th percentile (equivalent to three to four exceedance days per</w:t>
      </w:r>
      <w:r>
        <w:t xml:space="preserve"> </w:t>
      </w:r>
      <w:r>
        <w:t xml:space="preserve">year) of the annual distribution of 24-hour average concentrations. Furthermore, the WHO</w:t>
      </w:r>
      <w:r>
        <w:t xml:space="preserve"> </w:t>
      </w:r>
      <w:r>
        <w:t xml:space="preserve">recommends maintaining the 2005 interim targets at 150 µg/m3, 100 µg/m3, and 75 µg/m3,</w:t>
      </w:r>
      <w:r>
        <w:t xml:space="preserve"> </w:t>
      </w:r>
      <w:r>
        <w:t xml:space="preserve">and introducing an interim target 4 at the level of 50 µg/m3 (i.e., the air quality guideline level</w:t>
      </w:r>
      <w:r>
        <w:t xml:space="preserve"> </w:t>
      </w:r>
      <w:r>
        <w:t xml:space="preserve">put forward in the 2005 edition). (WHO, 2021)</w:t>
      </w:r>
      <w:r>
        <w:t xml:space="preserve"> </w:t>
      </w:r>
      <w:r>
        <w:t xml:space="preserve">3.2</w:t>
      </w:r>
      <w:r>
        <w:t xml:space="preserve"> </w:t>
      </w:r>
      <w:r>
        <w:t xml:space="preserve">Nitrogen Dioxide (NO2)</w:t>
      </w:r>
      <w:r>
        <w:t xml:space="preserve"> </w:t>
      </w:r>
      <w:r>
        <w:t xml:space="preserve">‘Many chemical species of nitrogen oxides exist, but the air pollutant species of most interest</w:t>
      </w:r>
      <w:r>
        <w:t xml:space="preserve"> </w:t>
      </w:r>
      <w:r>
        <w:t xml:space="preserve">from the point of view of human health is nitrogen dioxide. Nitrogen dioxide is a reddish</w:t>
      </w:r>
      <w:r>
        <w:t xml:space="preserve"> </w:t>
      </w:r>
      <w:r>
        <w:t xml:space="preserve">brown gas with a characteristic pungent odour. Nitric oxide spontaneously produces the</w:t>
      </w:r>
      <w:r>
        <w:t xml:space="preserve"> </w:t>
      </w:r>
      <w:r>
        <w:t xml:space="preserve">dioxide when exposed to air. Nitrogen dioxide gas is a strong oxidant, and reacts with water</w:t>
      </w:r>
      <w:r>
        <w:t xml:space="preserve"> </w:t>
      </w:r>
      <w:r>
        <w:t xml:space="preserve">to produce nitric acid and nitric oxide.</w:t>
      </w:r>
      <w:r>
        <w:br/>
      </w:r>
      <w:r>
        <w:t xml:space="preserve">Nitrogen dioxide is an important atmospheric trace gas not only because of its health effects</w:t>
      </w:r>
      <w:r>
        <w:t xml:space="preserve"> </w:t>
      </w:r>
      <w:r>
        <w:t xml:space="preserve">but also because: (a) it absorbs visible solar radiation and contributes to impaired</w:t>
      </w:r>
      <w:r>
        <w:t xml:space="preserve"> </w:t>
      </w:r>
      <w:r>
        <w:t xml:space="preserve">atmospheric visibility; (b) it absorbs visible radiation and has a potentially direct role in</w:t>
      </w:r>
      <w:r>
        <w:t xml:space="preserve"> </w:t>
      </w:r>
      <w:r>
        <w:t xml:space="preserve">global climate change; (c) it is, along with nitric oxide, a chief regulator of the oxidizing</w:t>
      </w:r>
      <w:r>
        <w:t xml:space="preserve"> </w:t>
      </w:r>
      <w:r>
        <w:t xml:space="preserve">capacity of the free troposphere by controlling the build-up and fate of radical species,</w:t>
      </w:r>
      <w:r>
        <w:t xml:space="preserve"> </w:t>
      </w:r>
      <w:r>
        <w:t xml:space="preserve">including hydroxyl radicals; and (d) it plays a critical role in determining ozone</w:t>
      </w:r>
      <w:r>
        <w:t xml:space="preserve"> </w:t>
      </w:r>
      <w:r>
        <w:t xml:space="preserve">concentrations in the troposphere because the photolysis of nitrogen dioxide is the only key</w:t>
      </w:r>
      <w:r>
        <w:t xml:space="preserve"> </w:t>
      </w:r>
      <w:r>
        <w:t xml:space="preserve">initiator of the photochemical formation of ozone, whether in polluted or in non-polluted</w:t>
      </w:r>
      <w:r>
        <w:t xml:space="preserve"> </w:t>
      </w:r>
      <w:r>
        <w:t xml:space="preserve">atmospheres.</w:t>
      </w:r>
      <w:r>
        <w:t xml:space="preserve"> </w:t>
      </w:r>
      <w:r>
        <w:t xml:space="preserve">Nitrogen dioxide is subject to extensive further atmospheric transformations that lead to the</w:t>
      </w:r>
      <w:r>
        <w:t xml:space="preserve"> </w:t>
      </w:r>
      <w:r>
        <w:t xml:space="preserve">formation of strong oxidants that participate in the conversion of nitrogen dioxide to nitric</w:t>
      </w:r>
    </w:p>
    <w:p>
      <w:pPr>
        <w:pStyle w:val="BodyText"/>
      </w:pPr>
      <w:r>
        <w:t xml:space="preserve">300</w:t>
      </w:r>
    </w:p>
    <w:p>
      <w:pPr>
        <w:pStyle w:val="BodyText"/>
      </w:pPr>
      <w:r>
        <w:t xml:space="preserve">acid and sulphur dioxide to sulphuric acid and subsequent conversions to their ammonium</w:t>
      </w:r>
      <w:r>
        <w:t xml:space="preserve"> </w:t>
      </w:r>
      <w:r>
        <w:t xml:space="preserve">neutralization salts. Thus, through the photochemical reaction sequence initiated by solar-</w:t>
      </w:r>
      <w:r>
        <w:t xml:space="preserve"> </w:t>
      </w:r>
      <w:r>
        <w:t xml:space="preserve">radiation-induced activation of nitrogen dioxide, the newly generated pollutants are an</w:t>
      </w:r>
      <w:r>
        <w:t xml:space="preserve"> </w:t>
      </w:r>
      <w:r>
        <w:t xml:space="preserve">important source of organic, nitrate and sulphate particles currently measured as PM10 or</w:t>
      </w:r>
      <w:r>
        <w:t xml:space="preserve"> </w:t>
      </w:r>
      <w:r>
        <w:t xml:space="preserve">PM2.5. For these reasons, nitrogen dioxide is a key precursor of a range of secondary</w:t>
      </w:r>
      <w:r>
        <w:t xml:space="preserve"> </w:t>
      </w:r>
      <w:r>
        <w:t xml:space="preserve">pollutants whose effects on human health are well-documented.’ (WHO, 2006)</w:t>
      </w:r>
      <w:r>
        <w:t xml:space="preserve"> </w:t>
      </w:r>
      <w:r>
        <w:t xml:space="preserve">World Health Organization recommendations annual NO2</w:t>
      </w:r>
      <w:r>
        <w:t xml:space="preserve"> </w:t>
      </w:r>
      <w:r>
        <w:t xml:space="preserve">The recommendation is an annual nitrogen dioxide WHO Air Quality Guidelines level of</w:t>
      </w:r>
      <w:r>
        <w:t xml:space="preserve"> </w:t>
      </w:r>
      <w:r>
        <w:t xml:space="preserve">10 µg/m3. An interim target 1 of 40 µg/m3, an interim target 2 of 30 µg/m3 and an interim</w:t>
      </w:r>
      <w:r>
        <w:t xml:space="preserve"> </w:t>
      </w:r>
      <w:r>
        <w:t xml:space="preserve">target 3 of 20µg/m3 are proposed. (WHO, 2021).</w:t>
      </w:r>
      <w:r>
        <w:t xml:space="preserve"> </w:t>
      </w:r>
      <w:r>
        <w:t xml:space="preserve">If all-cause mortality in a population exposed to nitrogen dioxide at the WHO Air Quality</w:t>
      </w:r>
      <w:r>
        <w:t xml:space="preserve"> </w:t>
      </w:r>
      <w:r>
        <w:t xml:space="preserve">Guidelines level is arbitrarily set at 100, then it will be 106, 104 and 102, respectively, in</w:t>
      </w:r>
      <w:r>
        <w:t xml:space="preserve"> </w:t>
      </w:r>
      <w:r>
        <w:t xml:space="preserve">populations exposed to nitrogen dioxide at the interim target 1, 2 and 3 levels. For</w:t>
      </w:r>
      <w:r>
        <w:t xml:space="preserve"> </w:t>
      </w:r>
      <w:r>
        <w:t xml:space="preserve">respiratory mortality, the numbers would be 109, 106 and 103, respectively, at the interim</w:t>
      </w:r>
      <w:r>
        <w:t xml:space="preserve"> </w:t>
      </w:r>
      <w:r>
        <w:t xml:space="preserve">target 1, 2 and 3 levels. These projections are based on the linear hazard ratio of 1.02 and</w:t>
      </w:r>
      <w:r>
        <w:t xml:space="preserve"> </w:t>
      </w:r>
      <w:r>
        <w:t xml:space="preserve">1.03 per 10-µg/m³ increase in nitrogen dioxide for all non-accidental and respiratory</w:t>
      </w:r>
      <w:r>
        <w:t xml:space="preserve"> </w:t>
      </w:r>
      <w:r>
        <w:t xml:space="preserve">mortality, respectively, as reported in the systematic review. At higher concentrations, the</w:t>
      </w:r>
      <w:r>
        <w:t xml:space="preserve"> </w:t>
      </w:r>
      <w:r>
        <w:t xml:space="preserve">concentration-response functions may no longer be linear, which would change the numbers</w:t>
      </w:r>
      <w:r>
        <w:t xml:space="preserve"> </w:t>
      </w:r>
      <w:r>
        <w:t xml:space="preserve">in this example. (WHO, 2021)</w:t>
      </w:r>
      <w:r>
        <w:t xml:space="preserve"> </w:t>
      </w:r>
      <w:r>
        <w:t xml:space="preserve">World Health Organization recommendations short-term (24-hour / 1 hour) NO2</w:t>
      </w:r>
      <w:r>
        <w:t xml:space="preserve"> </w:t>
      </w:r>
      <w:r>
        <w:t xml:space="preserve">The recommendation is a short-term (24-hour) nitrogen dioxide WHO Air Quality Guidelines</w:t>
      </w:r>
      <w:r>
        <w:t xml:space="preserve"> </w:t>
      </w:r>
      <w:r>
        <w:t xml:space="preserve">level of 25 µg/m3, defined as the 99th percentile (equivalent to three to four exceedance days</w:t>
      </w:r>
      <w:r>
        <w:t xml:space="preserve"> </w:t>
      </w:r>
      <w:r>
        <w:t xml:space="preserve">per year) of the annual distribution of 24-hour average concentrations. An interim target 1 of</w:t>
      </w:r>
      <w:r>
        <w:t xml:space="preserve"> </w:t>
      </w:r>
      <w:r>
        <w:t xml:space="preserve">120 µg/m3 and an interim target 2 of 50 µg/m3 are proposed. (WHO, 2021)</w:t>
      </w:r>
      <w:r>
        <w:br/>
      </w:r>
      <w:r>
        <w:t xml:space="preserve">Furthermore, the 2005 edition of the WHO Air Quality Guidelines included a</w:t>
      </w:r>
      <w:r>
        <w:t xml:space="preserve"> </w:t>
      </w:r>
      <w:r>
        <w:t xml:space="preserve">recommendation for a 1-hour nitrogen dioxide concentration below 200 µg/m3, which the</w:t>
      </w:r>
      <w:r>
        <w:t xml:space="preserve"> </w:t>
      </w:r>
      <w:r>
        <w:t xml:space="preserve">2021 edition confirms as being valid still.</w:t>
      </w:r>
      <w:r>
        <w:t xml:space="preserve"> </w:t>
      </w:r>
      <w:r>
        <w:t xml:space="preserve">3.3</w:t>
      </w:r>
      <w:r>
        <w:t xml:space="preserve"> </w:t>
      </w:r>
      <w:r>
        <w:t xml:space="preserve">Ozone (O3)</w:t>
      </w:r>
      <w:r>
        <w:t xml:space="preserve"> </w:t>
      </w:r>
      <w:r>
        <w:t xml:space="preserve">Ozone (and other photochemical oxidants) are pollutants that are not directly emitted by</w:t>
      </w:r>
      <w:r>
        <w:t xml:space="preserve"> </w:t>
      </w:r>
      <w:r>
        <w:t xml:space="preserve">primary sources, but are formed through a series of complex reactions in the atmosphere</w:t>
      </w:r>
      <w:r>
        <w:t xml:space="preserve"> </w:t>
      </w:r>
      <w:r>
        <w:t xml:space="preserve">driven by the energy transferred to nitrogen dioxide (NO2) molecules when they absorb light</w:t>
      </w:r>
      <w:r>
        <w:t xml:space="preserve"> </w:t>
      </w:r>
      <w:r>
        <w:t xml:space="preserve">from solar radiation. Outside of polluted areas ozone is mainly formed by reactions of carbon</w:t>
      </w:r>
      <w:r>
        <w:t xml:space="preserve"> </w:t>
      </w:r>
      <w:r>
        <w:t xml:space="preserve">monoxide and methane with nitrogen (US EPA, 2020a).</w:t>
      </w:r>
      <w:r>
        <w:br/>
      </w:r>
      <w:r>
        <w:t xml:space="preserve">Such emissions result from anthropogenic sources (e.g., motor vehicles and power plants)</w:t>
      </w:r>
      <w:r>
        <w:t xml:space="preserve"> </w:t>
      </w:r>
      <w:r>
        <w:t xml:space="preserve">and natural sources (e.g., vegetation and wildfires). In addition, ozone, which is created</w:t>
      </w:r>
      <w:r>
        <w:t xml:space="preserve"> </w:t>
      </w:r>
      <w:r>
        <w:t xml:space="preserve">naturally in the stratosphere, mixes with tropospheric ozone near the tropopause, and, less</w:t>
      </w:r>
      <w:r>
        <w:t xml:space="preserve"> </w:t>
      </w:r>
      <w:r>
        <w:t xml:space="preserve">frequently can mix nearer the earth’s surface. Ozone is in a constant daily flux and because it</w:t>
      </w:r>
      <w:r>
        <w:t xml:space="preserve"> </w:t>
      </w:r>
      <w:r>
        <w:t xml:space="preserve">is produced photochemically, levels are typically highest during sunny periods with reduced</w:t>
      </w:r>
      <w:r>
        <w:t xml:space="preserve"> </w:t>
      </w:r>
      <w:r>
        <w:t xml:space="preserve">atmospheric dispersion (US EPA, 2020b). Ozone can be transported long distances by wind.</w:t>
      </w:r>
      <w:r>
        <w:t xml:space="preserve"> </w:t>
      </w:r>
      <w:r>
        <w:t xml:space="preserve">‘The precursors that contribute most to the formation of oxidant species in polluted</w:t>
      </w:r>
      <w:r>
        <w:t xml:space="preserve"> </w:t>
      </w:r>
      <w:r>
        <w:t xml:space="preserve">atmospheres are nitrogen dioxide and non-methane volatile organic compounds (VOCs),</w:t>
      </w:r>
    </w:p>
    <w:p>
      <w:pPr>
        <w:pStyle w:val="BodyText"/>
      </w:pPr>
      <w:r>
        <w:t xml:space="preserve">301</w:t>
      </w:r>
    </w:p>
    <w:p>
      <w:pPr>
        <w:pStyle w:val="BodyText"/>
      </w:pPr>
      <w:r>
        <w:t xml:space="preserve">especially unsaturated VOCs. Methane is much less reactive than the other VOCs but is</w:t>
      </w:r>
      <w:r>
        <w:t xml:space="preserve"> </w:t>
      </w:r>
      <w:r>
        <w:t xml:space="preserve">present at much higher concentrations, having risen in concentration over the past 100 years</w:t>
      </w:r>
      <w:r>
        <w:t xml:space="preserve"> </w:t>
      </w:r>
      <w:r>
        <w:t xml:space="preserve">owing to its increasing use as fuel, and is released from rice fields and farm animals.</w:t>
      </w:r>
      <w:r>
        <w:t xml:space="preserve"> </w:t>
      </w:r>
      <w:r>
        <w:t xml:space="preserve">Photochemistry involving methane accounts for much of the rise in ozone over the oceans</w:t>
      </w:r>
      <w:r>
        <w:t xml:space="preserve"> </w:t>
      </w:r>
      <w:r>
        <w:t xml:space="preserve">and remote land areas, from about 30 µg/m3 to about 75 µg/m3.’ (WHO, 2006)</w:t>
      </w:r>
      <w:r>
        <w:t xml:space="preserve"> </w:t>
      </w:r>
      <w:r>
        <w:t xml:space="preserve">World Health Organization recommendations for peak season ozone</w:t>
      </w:r>
      <w:r>
        <w:t xml:space="preserve"> </w:t>
      </w:r>
      <w:r>
        <w:t xml:space="preserve">The recommendation for a peak season ozone ‘WHO Air Quality Guidelines level is 60 µg/m3</w:t>
      </w:r>
      <w:r>
        <w:t xml:space="preserve"> </w:t>
      </w:r>
      <w:r>
        <w:t xml:space="preserve">(the average of daily maximum 8-hour mean ozone concentrations). The peak season is</w:t>
      </w:r>
      <w:r>
        <w:t xml:space="preserve"> </w:t>
      </w:r>
      <w:r>
        <w:t xml:space="preserve">defined as the six consecutive months of the year with the highest six-month running-average</w:t>
      </w:r>
      <w:r>
        <w:t xml:space="preserve"> </w:t>
      </w:r>
      <w:r>
        <w:t xml:space="preserve">ozone concentration. In regions away from the equator, this period will typically be in the</w:t>
      </w:r>
      <w:r>
        <w:t xml:space="preserve"> </w:t>
      </w:r>
      <w:r>
        <w:t xml:space="preserve">warm season within a single calendar year (northern hemisphere) or spanning two calendar</w:t>
      </w:r>
      <w:r>
        <w:t xml:space="preserve"> </w:t>
      </w:r>
      <w:r>
        <w:t xml:space="preserve">years (southern hemisphere). Close to the equator, such clear seasonal patterns may not be</w:t>
      </w:r>
      <w:r>
        <w:t xml:space="preserve"> </w:t>
      </w:r>
      <w:r>
        <w:t xml:space="preserve">obvious, but a running-average six-month peak season will usually be identifiable from</w:t>
      </w:r>
      <w:r>
        <w:t xml:space="preserve"> </w:t>
      </w:r>
      <w:r>
        <w:t xml:space="preserve">existing monitoring or modelling data. An interim target 1 of 100 µg/m3 and an interim target</w:t>
      </w:r>
      <w:r>
        <w:t xml:space="preserve"> </w:t>
      </w:r>
      <w:r>
        <w:t xml:space="preserve">2 of 70 µg/m3 are proposed.’ (WHO, 2021)</w:t>
      </w:r>
      <w:r>
        <w:t xml:space="preserve"> </w:t>
      </w:r>
      <w:r>
        <w:t xml:space="preserve">‘If mortality in a population exposed to ozone at the WHO Air Quality Guidelines level is</w:t>
      </w:r>
      <w:r>
        <w:t xml:space="preserve"> </w:t>
      </w:r>
      <w:r>
        <w:t xml:space="preserve">arbitrarily set at 100, then it will be 104 and 101, respectively, in populations exposed to</w:t>
      </w:r>
      <w:r>
        <w:t xml:space="preserve"> </w:t>
      </w:r>
      <w:r>
        <w:t xml:space="preserve">ozone at the interim target 1 and 2 levels. These projections are based on the linear HR of</w:t>
      </w:r>
      <w:r>
        <w:t xml:space="preserve"> </w:t>
      </w:r>
      <w:r>
        <w:t xml:space="preserve">1.01 per 10-µg/m³ increase in ozone of all non-accidental mortality reported in the</w:t>
      </w:r>
      <w:r>
        <w:t xml:space="preserve"> </w:t>
      </w:r>
      <w:r>
        <w:t xml:space="preserve">systematic review. For respiratory mortality, the numbers will be 108 and 102, respectively,</w:t>
      </w:r>
      <w:r>
        <w:t xml:space="preserve"> </w:t>
      </w:r>
      <w:r>
        <w:t xml:space="preserve">at the interim target 1 and 2 levels, based on the linear hazard ratio of 1.02 of respiratory</w:t>
      </w:r>
      <w:r>
        <w:t xml:space="preserve"> </w:t>
      </w:r>
      <w:r>
        <w:t xml:space="preserve">mortality reported in the systematic review. At higher concentrations, the concentration-</w:t>
      </w:r>
      <w:r>
        <w:t xml:space="preserve"> </w:t>
      </w:r>
      <w:r>
        <w:t xml:space="preserve">response function may no longer be linear, which would change the numbers in this</w:t>
      </w:r>
      <w:r>
        <w:t xml:space="preserve"> </w:t>
      </w:r>
      <w:r>
        <w:t xml:space="preserve">example.’ (WHO, 2021)</w:t>
      </w:r>
      <w:r>
        <w:t xml:space="preserve"> </w:t>
      </w:r>
      <w:r>
        <w:t xml:space="preserve">World Health Organization recommendations for short-term (8-hour) ozone</w:t>
      </w:r>
      <w:r>
        <w:t xml:space="preserve"> </w:t>
      </w:r>
      <w:r>
        <w:t xml:space="preserve">The recommendation for a short-term daily maximum 8-hour ozone ‘WHO Air Quality</w:t>
      </w:r>
      <w:r>
        <w:t xml:space="preserve"> </w:t>
      </w:r>
      <w:r>
        <w:t xml:space="preserve">Guidelines level of 100 µg/m3, defined as the 99th percentile (equivalent to three to four</w:t>
      </w:r>
      <w:r>
        <w:t xml:space="preserve"> </w:t>
      </w:r>
      <w:r>
        <w:t xml:space="preserve">exceedance days per year) of the annual distribution of daily maximum 8-hour average</w:t>
      </w:r>
      <w:r>
        <w:t xml:space="preserve"> </w:t>
      </w:r>
      <w:r>
        <w:t xml:space="preserve">concentrations. An interim target 1 of 160 µg/m3 is retained from Global update 2005. An</w:t>
      </w:r>
      <w:r>
        <w:t xml:space="preserve"> </w:t>
      </w:r>
      <w:r>
        <w:t xml:space="preserve">interim target 2 of 120 µg/ m3 is also proposed’ (WHO, 2021)</w:t>
      </w:r>
      <w:r>
        <w:t xml:space="preserve"> </w:t>
      </w:r>
      <w:r>
        <w:t xml:space="preserve">3.4</w:t>
      </w:r>
      <w:r>
        <w:t xml:space="preserve"> </w:t>
      </w:r>
      <w:r>
        <w:t xml:space="preserve">Benzene (C6H6)</w:t>
      </w:r>
      <w:r>
        <w:t xml:space="preserve"> </w:t>
      </w:r>
      <w:r>
        <w:t xml:space="preserve">Benzene is highly volatile, and exposure occurs mostly through inhalation. The main sources</w:t>
      </w:r>
      <w:r>
        <w:t xml:space="preserve"> </w:t>
      </w:r>
      <w:r>
        <w:t xml:space="preserve">of benzene in outdoor air are road transport and energy use in industry, and in indoor air</w:t>
      </w:r>
      <w:r>
        <w:t xml:space="preserve"> </w:t>
      </w:r>
      <w:r>
        <w:t xml:space="preserve">smoking, and to a lesser extent building materials (WHO, 2010).</w:t>
      </w:r>
      <w:r>
        <w:br/>
      </w:r>
      <w:r>
        <w:t xml:space="preserve">The most relevant health effects of benzene are haematotoxicity, genotoxicity and</w:t>
      </w:r>
      <w:r>
        <w:t xml:space="preserve"> </w:t>
      </w:r>
      <w:r>
        <w:t xml:space="preserve">carcinogenicity. Based on sufficient evidence of its carcinogenicity in humans, sufficient</w:t>
      </w:r>
      <w:r>
        <w:t xml:space="preserve"> </w:t>
      </w:r>
      <w:r>
        <w:t xml:space="preserve">evidence of its carcinogenicity in experimental animals, and strong mechanistic evidence</w:t>
      </w:r>
      <w:r>
        <w:t xml:space="preserve"> </w:t>
      </w:r>
      <w:r>
        <w:t xml:space="preserve">benzene is classified by International Agency for Research on Cancer (IARC) as a human</w:t>
      </w:r>
      <w:r>
        <w:t xml:space="preserve"> </w:t>
      </w:r>
      <w:r>
        <w:t xml:space="preserve">carcinogen (IARC, 2019).</w:t>
      </w:r>
    </w:p>
    <w:p>
      <w:pPr>
        <w:pStyle w:val="BodyText"/>
      </w:pPr>
      <w:r>
        <w:t xml:space="preserve">302</w:t>
      </w:r>
    </w:p>
    <w:p>
      <w:pPr>
        <w:pStyle w:val="BodyText"/>
      </w:pPr>
      <w:r>
        <w:t xml:space="preserve">World Health Organization recommendations for annual benzene</w:t>
      </w:r>
      <w:r>
        <w:t xml:space="preserve"> </w:t>
      </w:r>
      <w:r>
        <w:t xml:space="preserve">In the WHO Guidelines for Indoor Air Quality a unit risk of leukaemia per 1 μg/m3 air</w:t>
      </w:r>
      <w:r>
        <w:t xml:space="preserve"> </w:t>
      </w:r>
      <w:r>
        <w:t xml:space="preserve">concentration of 6×10–6 is proposed. The concentrations of airborne benzene associated with</w:t>
      </w:r>
      <w:r>
        <w:t xml:space="preserve"> </w:t>
      </w:r>
      <w:r>
        <w:t xml:space="preserve">an excess lifetime risk of 1/10 000, 1/100 000 and 1/1 000 000 are 17, 1.7 and 0.17 μg/m3,</w:t>
      </w:r>
      <w:r>
        <w:t xml:space="preserve"> </w:t>
      </w:r>
      <w:r>
        <w:t xml:space="preserve">respectively (WHO, 2010). Which means, when exposed to 1.7 μg/m3 of benzene over a</w:t>
      </w:r>
      <w:r>
        <w:t xml:space="preserve"> </w:t>
      </w:r>
      <w:r>
        <w:t xml:space="preserve">lifetime of 70 years, the risk of developing leukemia would be 1 in a 100 000.</w:t>
      </w:r>
      <w:r>
        <w:t xml:space="preserve"> </w:t>
      </w:r>
      <w:r>
        <w:t xml:space="preserve">In the summary of the expert pollutant advice of the WHO Air Quality Guidelines</w:t>
      </w:r>
      <w:r>
        <w:t xml:space="preserve"> </w:t>
      </w:r>
      <w:r>
        <w:t xml:space="preserve">consultation noted that “Ambient air exposure is widespread and relevant worldwide.</w:t>
      </w:r>
      <w:r>
        <w:t xml:space="preserve"> </w:t>
      </w:r>
      <w:r>
        <w:t xml:space="preserve">Sources include biomass burning, the use of compressed petroleum gas and its presence in</w:t>
      </w:r>
      <w:r>
        <w:t xml:space="preserve"> </w:t>
      </w:r>
      <w:r>
        <w:t xml:space="preserve">gasoline and high emissions in several countries including China, due to high concentrations</w:t>
      </w:r>
      <w:r>
        <w:t xml:space="preserve"> </w:t>
      </w:r>
      <w:r>
        <w:t xml:space="preserve">of aromatic compounds in gasoline. (…) Experts agreed that all this body of new evidence</w:t>
      </w:r>
      <w:r>
        <w:t xml:space="preserve"> </w:t>
      </w:r>
      <w:r>
        <w:t xml:space="preserve">should be re-evaluated.” (WHO, 2016).</w:t>
      </w:r>
      <w:r>
        <w:t xml:space="preserve"> </w:t>
      </w:r>
      <w:r>
        <w:t xml:space="preserve">3.5</w:t>
      </w:r>
      <w:r>
        <w:t xml:space="preserve"> </w:t>
      </w:r>
      <w:r>
        <w:t xml:space="preserve">Sulphur Dioxide (SO2)</w:t>
      </w:r>
      <w:r>
        <w:t xml:space="preserve"> </w:t>
      </w:r>
      <w:r>
        <w:t xml:space="preserve">Sulphur dioxide is a colourless gas that is readily soluble in water. Sulphur dioxide has a</w:t>
      </w:r>
      <w:r>
        <w:t xml:space="preserve"> </w:t>
      </w:r>
      <w:r>
        <w:t xml:space="preserve">strong odour. Anthropogenic sources are combustion of sulphur-containing fossil fuels for</w:t>
      </w:r>
      <w:r>
        <w:t xml:space="preserve"> </w:t>
      </w:r>
      <w:r>
        <w:t xml:space="preserve">domestic heating, stationary power generation and motor vehicles (WHO, 2006). Natural</w:t>
      </w:r>
      <w:r>
        <w:t xml:space="preserve"> </w:t>
      </w:r>
      <w:r>
        <w:t xml:space="preserve">sources are volcanoes.</w:t>
      </w:r>
      <w:r>
        <w:br/>
      </w:r>
      <w:r>
        <w:t xml:space="preserve">In the air, it can be converted to sulphuric acid, sulphur trioxide and sulphates (ATSDR,</w:t>
      </w:r>
      <w:r>
        <w:t xml:space="preserve"> </w:t>
      </w:r>
      <w:r>
        <w:t xml:space="preserve">1999). Sulphur dioxide dissolves in water, where it forms sulphurous acid (WHO, 2006).</w:t>
      </w:r>
      <w:r>
        <w:t xml:space="preserve"> </w:t>
      </w:r>
      <w:r>
        <w:t xml:space="preserve">However, inhalation is the only route of exposure to sulphur dioxide that is of interest with</w:t>
      </w:r>
      <w:r>
        <w:t xml:space="preserve"> </w:t>
      </w:r>
      <w:r>
        <w:t xml:space="preserve">regards to its health effects (WHO, 2006).</w:t>
      </w:r>
      <w:r>
        <w:t xml:space="preserve"> </w:t>
      </w:r>
      <w:r>
        <w:t xml:space="preserve">Vulnerable groups are asthmatics, children and people exercising (heavy breathing leads</w:t>
      </w:r>
      <w:r>
        <w:t xml:space="preserve"> </w:t>
      </w:r>
      <w:r>
        <w:t xml:space="preserve">sulphur dioxide to penetrate further into the respiratory tract).</w:t>
      </w:r>
      <w:r>
        <w:br/>
      </w:r>
      <w:r>
        <w:t xml:space="preserve">World Health Organization recommendations short-term (24-hour) SO2</w:t>
      </w:r>
      <w:r>
        <w:t xml:space="preserve"> </w:t>
      </w:r>
      <w:r>
        <w:t xml:space="preserve">The recommendation for a short-term (24-hour) sulphur dioxide ‘WHO Air Quality Guideline</w:t>
      </w:r>
      <w:r>
        <w:t xml:space="preserve"> </w:t>
      </w:r>
      <w:r>
        <w:t xml:space="preserve">level of 40 µg/m3, defined as the 99th percentile (equivalent to three to four exceedance days</w:t>
      </w:r>
      <w:r>
        <w:t xml:space="preserve"> </w:t>
      </w:r>
      <w:r>
        <w:t xml:space="preserve">per year) of the annual distribution of 24-hour average concentrations. An interim target 1 of</w:t>
      </w:r>
      <w:r>
        <w:t xml:space="preserve"> </w:t>
      </w:r>
      <w:r>
        <w:t xml:space="preserve">125 µg/ m3 and an interim target 2 of 50 µg/m3 are proposed.’ (WHO, 2021).</w:t>
      </w:r>
      <w:r>
        <w:br/>
      </w:r>
      <w:r>
        <w:t xml:space="preserve">‘If mortality in a population exposed to sulphur dioxide for a day at the 24-hour WHO Air</w:t>
      </w:r>
      <w:r>
        <w:t xml:space="preserve"> </w:t>
      </w:r>
      <w:r>
        <w:t xml:space="preserve">Quality Guideline level of 40 µg/m3 is arbitrarily set at 100, then it will be 105 and 101,</w:t>
      </w:r>
      <w:r>
        <w:t xml:space="preserve"> </w:t>
      </w:r>
      <w:r>
        <w:t xml:space="preserve">respectively, in populations exposed to sulphur dioxide at the interim target 1 and 2 levels.</w:t>
      </w:r>
      <w:r>
        <w:t xml:space="preserve"> </w:t>
      </w:r>
      <w:r>
        <w:t xml:space="preserve">These projections are based on the linear hazard ratio of 1.0059 per 10-µg/ m³ increase in</w:t>
      </w:r>
      <w:r>
        <w:t xml:space="preserve"> </w:t>
      </w:r>
      <w:r>
        <w:t xml:space="preserve">sulphur dioxide of all non-accidental mortality reported in the systematic review. At higher</w:t>
      </w:r>
      <w:r>
        <w:t xml:space="preserve"> </w:t>
      </w:r>
      <w:r>
        <w:t xml:space="preserve">concentrations, the concentration-response function may no longer be linear, which would</w:t>
      </w:r>
      <w:r>
        <w:t xml:space="preserve"> </w:t>
      </w:r>
      <w:r>
        <w:t xml:space="preserve">change the numbers in this example.’ (WHO, 2021)</w:t>
      </w:r>
      <w:r>
        <w:t xml:space="preserve"> </w:t>
      </w:r>
      <w:r>
        <w:t xml:space="preserve">Based on controlled studies of exercising asthmatics experiencing changes in pulmonary</w:t>
      </w:r>
      <w:r>
        <w:t xml:space="preserve"> </w:t>
      </w:r>
      <w:r>
        <w:t xml:space="preserve">function and respiratory symptoms, a guideline value of 500 µg/m3 over an averaging period</w:t>
      </w:r>
      <w:r>
        <w:t xml:space="preserve"> </w:t>
      </w:r>
      <w:r>
        <w:t xml:space="preserve">of ten minutes was set by the WHO in 2005 (WHO, 2006). The 24-hour guideline value is</w:t>
      </w:r>
      <w:r>
        <w:t xml:space="preserve"> </w:t>
      </w:r>
      <w:r>
        <w:t xml:space="preserve">20 µg/m3 to provide according to the precautionary principle greater protection than those</w:t>
      </w:r>
      <w:r>
        <w:t xml:space="preserve"> </w:t>
      </w:r>
      <w:r>
        <w:t xml:space="preserve">provided in the previous guidelines.</w:t>
      </w:r>
    </w:p>
    <w:p>
      <w:pPr>
        <w:pStyle w:val="BodyText"/>
      </w:pPr>
      <w:r>
        <w:t xml:space="preserve">303</w:t>
      </w:r>
    </w:p>
    <w:p>
      <w:pPr>
        <w:pStyle w:val="BodyText"/>
      </w:pPr>
      <w:r>
        <w:t xml:space="preserve">3.6</w:t>
      </w:r>
      <w:r>
        <w:t xml:space="preserve"> </w:t>
      </w:r>
      <w:r>
        <w:t xml:space="preserve">Carbon Monoxide (CO)</w:t>
      </w:r>
      <w:r>
        <w:t xml:space="preserve"> </w:t>
      </w:r>
      <w:r>
        <w:t xml:space="preserve">Carbon monoxide is a colourless, odourless and toxic gas, which is predominantly produced</w:t>
      </w:r>
      <w:r>
        <w:t xml:space="preserve"> </w:t>
      </w:r>
      <w:r>
        <w:t xml:space="preserve">by incomplete combustion of carbon-containing materials (such as wood, petrol, coal, natural</w:t>
      </w:r>
      <w:r>
        <w:t xml:space="preserve"> </w:t>
      </w:r>
      <w:r>
        <w:t xml:space="preserve">gas and kerosene). Examples are vehicle exhausts, fuel burning ovens, coal burning power</w:t>
      </w:r>
      <w:r>
        <w:t xml:space="preserve"> </w:t>
      </w:r>
      <w:r>
        <w:t xml:space="preserve">plants, small gasoline engines, fires places, grills and gas heaters. (WHO, 2021).</w:t>
      </w:r>
      <w:r>
        <w:br/>
      </w:r>
      <w:r>
        <w:t xml:space="preserve">Natural sources include volcanoes and forest fires. Further, vegetation can emit carbon</w:t>
      </w:r>
      <w:r>
        <w:t xml:space="preserve"> </w:t>
      </w:r>
      <w:r>
        <w:t xml:space="preserve">monoxide directly in the atmosphere as a metabolic by-product. Carbon monoxide is also</w:t>
      </w:r>
      <w:r>
        <w:t xml:space="preserve"> </w:t>
      </w:r>
      <w:r>
        <w:t xml:space="preserve">produced indirectly from the photochemical oxidation of methane and other volatile organic</w:t>
      </w:r>
      <w:r>
        <w:t xml:space="preserve"> </w:t>
      </w:r>
      <w:r>
        <w:t xml:space="preserve">compounds in the atmosphere. Still, the biggest share of carbon monoxide emissions come</w:t>
      </w:r>
      <w:r>
        <w:t xml:space="preserve"> </w:t>
      </w:r>
      <w:r>
        <w:t xml:space="preserve">from vehicle exhaust. (ATSDR, 2012a).</w:t>
      </w:r>
      <w:r>
        <w:t xml:space="preserve"> </w:t>
      </w:r>
      <w:r>
        <w:t xml:space="preserve">Carbon monoxide mixes freely with air in any proportion and moves with air via bulk</w:t>
      </w:r>
      <w:r>
        <w:t xml:space="preserve"> </w:t>
      </w:r>
      <w:r>
        <w:t xml:space="preserve">transport (WHO, 2010). It is found indoors and outdoors. When it is released to the</w:t>
      </w:r>
      <w:r>
        <w:t xml:space="preserve"> </w:t>
      </w:r>
      <w:r>
        <w:t xml:space="preserve">environment, it remains there for an average of about two months. Human exposure occurs</w:t>
      </w:r>
      <w:r>
        <w:t xml:space="preserve"> </w:t>
      </w:r>
      <w:r>
        <w:t xml:space="preserve">through inhalation of outdoor and indoor air. Most vulnerable are people with ongoing</w:t>
      </w:r>
      <w:r>
        <w:t xml:space="preserve"> </w:t>
      </w:r>
      <w:r>
        <w:t xml:space="preserve">cardiovascular and/or respiratory disease, as well as foetuses.</w:t>
      </w:r>
      <w:r>
        <w:t xml:space="preserve"> </w:t>
      </w:r>
      <w:r>
        <w:t xml:space="preserve">World Health Organization recommendations short-term (24-hour / 8-hour) CO</w:t>
      </w:r>
      <w:r>
        <w:t xml:space="preserve"> </w:t>
      </w:r>
      <w:r>
        <w:t xml:space="preserve">The recommendation is a short-term (24-hour) carbon monoxide ‘WHO Air Quality</w:t>
      </w:r>
      <w:r>
        <w:t xml:space="preserve"> </w:t>
      </w:r>
      <w:r>
        <w:t xml:space="preserve">Guideline level of 4 mg/m3, defined as the 99th percentile (equivalent to three to four</w:t>
      </w:r>
      <w:r>
        <w:t xml:space="preserve"> </w:t>
      </w:r>
      <w:r>
        <w:t xml:space="preserve">exceedance days per year) of the annual distribution of 24-hour average concentrations. An</w:t>
      </w:r>
      <w:r>
        <w:t xml:space="preserve"> </w:t>
      </w:r>
      <w:r>
        <w:t xml:space="preserve">interim target 1 of 7 mg/m3 is proposed, as a point of reference to the existing 24-hour indoor</w:t>
      </w:r>
      <w:r>
        <w:t xml:space="preserve"> </w:t>
      </w:r>
      <w:r>
        <w:t xml:space="preserve">WHO air quality guideline.’ (WHO, 2021)</w:t>
      </w:r>
      <w:r>
        <w:t xml:space="preserve"> </w:t>
      </w:r>
      <w:r>
        <w:t xml:space="preserve">‘If the number of myocardial infarctions in a population exposed to carbon monoxide for a</w:t>
      </w:r>
      <w:r>
        <w:t xml:space="preserve"> </w:t>
      </w:r>
      <w:r>
        <w:t xml:space="preserve">day at the WHO Air Quality Guideline level of 4 mg/m3 is arbitrarily set at 100, the number</w:t>
      </w:r>
      <w:r>
        <w:t xml:space="preserve"> </w:t>
      </w:r>
      <w:r>
        <w:t xml:space="preserve">will be 106 in populations exposed to carbon monoxide at the interim target 1 level. This</w:t>
      </w:r>
      <w:r>
        <w:t xml:space="preserve"> </w:t>
      </w:r>
      <w:r>
        <w:t xml:space="preserve">projection is based on the linear hazard ratio of 1.019 per 1 mg/m³ increase in carbon</w:t>
      </w:r>
      <w:r>
        <w:t xml:space="preserve"> </w:t>
      </w:r>
      <w:r>
        <w:t xml:space="preserve">monoxide for hospital admissions due to myocardial infarction. At higher concentrations, the</w:t>
      </w:r>
      <w:r>
        <w:t xml:space="preserve"> </w:t>
      </w:r>
      <w:r>
        <w:t xml:space="preserve">concentration-response function may no longer be linear, which would change the numbers</w:t>
      </w:r>
      <w:r>
        <w:t xml:space="preserve"> </w:t>
      </w:r>
      <w:r>
        <w:t xml:space="preserve">in this example.’ (WHO, 2021)</w:t>
      </w:r>
      <w:r>
        <w:t xml:space="preserve"> </w:t>
      </w:r>
      <w:r>
        <w:t xml:space="preserve">Furthermore, the 2005 edition of the WHO Air Quality Guidelines included a</w:t>
      </w:r>
      <w:r>
        <w:t xml:space="preserve"> </w:t>
      </w:r>
      <w:r>
        <w:t xml:space="preserve">recommendation for an 8-hour carbon monoxide concentration below 10 mg/m3, a 1-hour</w:t>
      </w:r>
      <w:r>
        <w:t xml:space="preserve"> </w:t>
      </w:r>
      <w:r>
        <w:t xml:space="preserve">carbon monoxide concentration below 35 mg/m3, and ten min carbon monoxide</w:t>
      </w:r>
      <w:r>
        <w:t xml:space="preserve"> </w:t>
      </w:r>
      <w:r>
        <w:t xml:space="preserve">concentration below 100 mg/m3 which the 2021 edition confirms as being valid still.</w:t>
      </w:r>
      <w:r>
        <w:t xml:space="preserve"> </w:t>
      </w:r>
      <w:r>
        <w:t xml:space="preserve">3.7</w:t>
      </w:r>
      <w:r>
        <w:t xml:space="preserve"> </w:t>
      </w:r>
      <w:r>
        <w:t xml:space="preserve">Benzo(a)Pyrene (BaP)</w:t>
      </w:r>
      <w:r>
        <w:t xml:space="preserve"> </w:t>
      </w:r>
      <w:r>
        <w:t xml:space="preserve">Benzo[a]pyrene (BaP) is a five-ring polycyclic aromatic hydrocarbon (PAH) that results from</w:t>
      </w:r>
      <w:r>
        <w:t xml:space="preserve"> </w:t>
      </w:r>
      <w:r>
        <w:t xml:space="preserve">incomplete combustion of organic matter at temperatures between 300°C and 600°C (e.g.,</w:t>
      </w:r>
      <w:r>
        <w:t xml:space="preserve"> </w:t>
      </w:r>
      <w:r>
        <w:t xml:space="preserve">coal, oil, fossil fuels, waste, tobacco smoke and wood). It is relatively insoluble in water and</w:t>
      </w:r>
      <w:r>
        <w:t xml:space="preserve"> </w:t>
      </w:r>
      <w:r>
        <w:t xml:space="preserve">has low volatility. In air, BaP is predominantly adsorbed to particulates, but may also exist as</w:t>
      </w:r>
      <w:r>
        <w:t xml:space="preserve"> </w:t>
      </w:r>
      <w:r>
        <w:t xml:space="preserve">a vapor at high temperatures (US EPA, 2017).</w:t>
      </w:r>
      <w:r>
        <w:t xml:space="preserve"> </w:t>
      </w:r>
      <w:r>
        <w:t xml:space="preserve">BaP can be found in coal tar, tobacco smoke and many foods, especially grilled meats. It is</w:t>
      </w:r>
      <w:r>
        <w:t xml:space="preserve"> </w:t>
      </w:r>
      <w:r>
        <w:t xml:space="preserve">released to the environment via both natural sources (such as forest fires) and anthropogenic</w:t>
      </w:r>
    </w:p>
    <w:p>
      <w:pPr>
        <w:pStyle w:val="BodyText"/>
      </w:pPr>
      <w:r>
        <w:t xml:space="preserve">304</w:t>
      </w:r>
    </w:p>
    <w:p>
      <w:pPr>
        <w:pStyle w:val="BodyText"/>
      </w:pPr>
      <w:r>
        <w:t xml:space="preserve">sources including stoves burning fossil fuels (especially wood and coal), motor vehicle</w:t>
      </w:r>
      <w:r>
        <w:t xml:space="preserve"> </w:t>
      </w:r>
      <w:r>
        <w:t xml:space="preserve">exhaust, cigarettes and various industrial combustion processes (US EPA, 2017).</w:t>
      </w:r>
      <w:r>
        <w:br/>
      </w:r>
      <w:r>
        <w:t xml:space="preserve">BaP is a suitable marker due to its stability and relatively constant contribution to the</w:t>
      </w:r>
      <w:r>
        <w:t xml:space="preserve"> </w:t>
      </w:r>
      <w:r>
        <w:t xml:space="preserve">carcinogenic activity of particle-bound PAH (WHO, 2010b). BaP is measured as its total</w:t>
      </w:r>
      <w:r>
        <w:t xml:space="preserve"> </w:t>
      </w:r>
      <w:r>
        <w:t xml:space="preserve">content and its compounds in the PM10 fraction (Directive 2004/107/EC). It is further</w:t>
      </w:r>
      <w:r>
        <w:t xml:space="preserve"> </w:t>
      </w:r>
      <w:r>
        <w:t xml:space="preserve">specified: “To assess the contribution of benzo(a)pyrene in ambient air, each Member State</w:t>
      </w:r>
      <w:r>
        <w:t xml:space="preserve"> </w:t>
      </w:r>
      <w:r>
        <w:t xml:space="preserve">shall monitor other relevant polycyclic aromatic hydrocarbons at a limited number of</w:t>
      </w:r>
      <w:r>
        <w:t xml:space="preserve"> </w:t>
      </w:r>
      <w:r>
        <w:t xml:space="preserve">measurement sites. These compounds shall include at least: benzo(a)anthracene,</w:t>
      </w:r>
      <w:r>
        <w:t xml:space="preserve"> </w:t>
      </w:r>
      <w:r>
        <w:t xml:space="preserve">benzo(b)fluoranthene, benzo(j)fluoranthene, benzo(k)fluoranthene, indeno(1,2,3-cd)pyrene,</w:t>
      </w:r>
      <w:r>
        <w:t xml:space="preserve"> </w:t>
      </w:r>
      <w:r>
        <w:t xml:space="preserve">and dibenz(a,h)anthracene. Monitoring sites for these polycyclic aromatic hydrocarbons</w:t>
      </w:r>
      <w:r>
        <w:t xml:space="preserve"> </w:t>
      </w:r>
      <w:r>
        <w:t xml:space="preserve">shall be co-located with sampling sites for benzo(a)pyrene and shall be selected in such a</w:t>
      </w:r>
      <w:r>
        <w:t xml:space="preserve"> </w:t>
      </w:r>
      <w:r>
        <w:t xml:space="preserve">way that geographical variation and long-term trends can be identified.”</w:t>
      </w:r>
      <w:r>
        <w:t xml:space="preserve"> </w:t>
      </w:r>
      <w:r>
        <w:t xml:space="preserve">The International Agency for Research on Cancer (IARC) concluded about the</w:t>
      </w:r>
      <w:r>
        <w:t xml:space="preserve"> </w:t>
      </w:r>
      <w:r>
        <w:t xml:space="preserve">carcinogenicity of BaP in several assessments: “There is sufficient evidence in experimental</w:t>
      </w:r>
      <w:r>
        <w:t xml:space="preserve"> </w:t>
      </w:r>
      <w:r>
        <w:t xml:space="preserve">animals for the carcinogenicity of benzo[a]pyrene” (IARC, 2010). „Benzo[a]pyrene is</w:t>
      </w:r>
      <w:r>
        <w:t xml:space="preserve"> </w:t>
      </w:r>
      <w:r>
        <w:t xml:space="preserve">carcinogenic to humans“ (IARC, 2012b).</w:t>
      </w:r>
      <w:r>
        <w:br/>
      </w:r>
      <w:r>
        <w:t xml:space="preserve">World Health Organization recommendations for annual BaP</w:t>
      </w:r>
      <w:r>
        <w:t xml:space="preserve"> </w:t>
      </w:r>
      <w:r>
        <w:t xml:space="preserve">In the WHO Air Quality Guidelines from 2000 based on epidemiological data from studies in</w:t>
      </w:r>
      <w:r>
        <w:t xml:space="preserve"> </w:t>
      </w:r>
      <w:r>
        <w:t xml:space="preserve">coke-oven workers, a unit risk for BaP as indicator air constituent for PAHs is estimated to be</w:t>
      </w:r>
      <w:r>
        <w:t xml:space="preserve"> </w:t>
      </w:r>
      <w:r>
        <w:t xml:space="preserve">8.7×10–5 per ng/m3, which is the same as that established by WHO in 1987. The</w:t>
      </w:r>
      <w:r>
        <w:t xml:space="preserve"> </w:t>
      </w:r>
      <w:r>
        <w:t xml:space="preserve">corresponding concentrations of BaP leading to an excess life time cancer risks of 1/10 000,</w:t>
      </w:r>
      <w:r>
        <w:t xml:space="preserve"> </w:t>
      </w:r>
      <w:r>
        <w:t xml:space="preserve">1/100 000 and 1/1 000 000 are 1.2, 0.12 and 0.012 ng/m3, respectively (WHO, 2000). In</w:t>
      </w:r>
      <w:r>
        <w:t xml:space="preserve"> </w:t>
      </w:r>
      <w:r>
        <w:t xml:space="preserve">some publications the unit risk of 8.7×10–5 per ng/m3 is translated in a life time risk of</w:t>
      </w:r>
      <w:r>
        <w:t xml:space="preserve"> </w:t>
      </w:r>
      <w:r>
        <w:t xml:space="preserve">1/10 000, 1/100 000 and 1/1 000 000 for 1.0, 0.1 and 0.01 ng/m3, respectively (WHO, 2013).</w:t>
      </w:r>
      <w:r>
        <w:t xml:space="preserve"> </w:t>
      </w:r>
      <w:r>
        <w:t xml:space="preserve">In 2013, a WHO ‘review of evidence on health aspects of air pollution’ (REVIHAAP)</w:t>
      </w:r>
      <w:r>
        <w:t xml:space="preserve"> </w:t>
      </w:r>
      <w:r>
        <w:t xml:space="preserve">concluded: “Even in the absence of new evidence, the acceptability of the level of risk</w:t>
      </w:r>
      <w:r>
        <w:t xml:space="preserve"> </w:t>
      </w:r>
      <w:r>
        <w:t xml:space="preserve">associated with the current target value should be reviewed and discussed. The current</w:t>
      </w:r>
      <w:r>
        <w:t xml:space="preserve"> </w:t>
      </w:r>
      <w:r>
        <w:t xml:space="preserve">lifetime cumulative risk for benzo[a]pyrene causing cancer (1x10-4) that is associated with</w:t>
      </w:r>
      <w:r>
        <w:t xml:space="preserve"> </w:t>
      </w:r>
      <w:r>
        <w:t xml:space="preserve">the current guideline (1 ng/m3) is somewhat high.” (WHO, 2013).</w:t>
      </w:r>
      <w:r>
        <w:t xml:space="preserve"> </w:t>
      </w:r>
      <w:r>
        <w:t xml:space="preserve">In the summary of the expert pollutant advice of the WHO Air Quality Guidelines</w:t>
      </w:r>
      <w:r>
        <w:t xml:space="preserve"> </w:t>
      </w:r>
      <w:r>
        <w:t xml:space="preserve">consultation, a re-evaluation of the evidence taking BaP as a reference compound was</w:t>
      </w:r>
      <w:r>
        <w:t xml:space="preserve"> </w:t>
      </w:r>
      <w:r>
        <w:t xml:space="preserve">suggested, because “on the basis of availability of new evidence since 2010 regarding non-</w:t>
      </w:r>
      <w:r>
        <w:t xml:space="preserve"> </w:t>
      </w:r>
      <w:r>
        <w:t xml:space="preserve">cancer health endpoints (i.e. cardiovascular, neurodevelopment effects, lower birth weight</w:t>
      </w:r>
      <w:r>
        <w:t xml:space="preserve"> </w:t>
      </w:r>
      <w:r>
        <w:t xml:space="preserve">etc.) and conclusions from ongoing health risk assessments that have included non-cancer</w:t>
      </w:r>
      <w:r>
        <w:t xml:space="preserve"> </w:t>
      </w:r>
      <w:r>
        <w:t xml:space="preserve">health effects from benzo[a]pyrene and reference concentration values for inhaled PAHs</w:t>
      </w:r>
      <w:r>
        <w:t xml:space="preserve"> </w:t>
      </w:r>
      <w:r>
        <w:t xml:space="preserve">(….) experts concluded that the new health evidence should be re-evaluated.” (WHO, 2016).</w:t>
      </w:r>
      <w:r>
        <w:t xml:space="preserve"> </w:t>
      </w:r>
      <w:r>
        <w:t xml:space="preserve">3.8</w:t>
      </w:r>
      <w:r>
        <w:t xml:space="preserve"> </w:t>
      </w:r>
      <w:r>
        <w:t xml:space="preserve">Lead (Pb)</w:t>
      </w:r>
      <w:r>
        <w:t xml:space="preserve"> </w:t>
      </w:r>
      <w:r>
        <w:t xml:space="preserve">Lead exists in different forms, elemental, inorganic and organic lead, each with own chemical</w:t>
      </w:r>
      <w:r>
        <w:t xml:space="preserve"> </w:t>
      </w:r>
      <w:r>
        <w:t xml:space="preserve">and toxicological properties. Lead is a natural occurring metal, however anthropogenic</w:t>
      </w:r>
      <w:r>
        <w:t xml:space="preserve"> </w:t>
      </w:r>
      <w:r>
        <w:t xml:space="preserve">activities lead to an accumulation due to its persistency. Key anthropogenic sources are</w:t>
      </w:r>
      <w:r>
        <w:t xml:space="preserve"> </w:t>
      </w:r>
      <w:r>
        <w:t xml:space="preserve">energy use in industries, industrial processes and road transport. Smoking is another source,</w:t>
      </w:r>
    </w:p>
    <w:p>
      <w:pPr>
        <w:pStyle w:val="BodyText"/>
      </w:pPr>
      <w:r>
        <w:t xml:space="preserve">305</w:t>
      </w:r>
    </w:p>
    <w:p>
      <w:pPr>
        <w:pStyle w:val="BodyText"/>
      </w:pPr>
      <w:r>
        <w:t xml:space="preserve">while natural sources include volcanic activities, geochemical weathering and sea spray</w:t>
      </w:r>
      <w:r>
        <w:t xml:space="preserve"> </w:t>
      </w:r>
      <w:r>
        <w:t xml:space="preserve">emissions.</w:t>
      </w:r>
      <w:r>
        <w:br/>
      </w:r>
      <w:r>
        <w:t xml:space="preserve">For non-smokers, the largest contribution to the daily intake of lead is from ingestion of food,</w:t>
      </w:r>
      <w:r>
        <w:t xml:space="preserve"> </w:t>
      </w:r>
      <w:r>
        <w:t xml:space="preserve">drinking water, dirt and dust (WHO 2019c). Exposure by inhalation is mainly due to burning</w:t>
      </w:r>
      <w:r>
        <w:t xml:space="preserve"> </w:t>
      </w:r>
      <w:r>
        <w:t xml:space="preserve">materials containing lead, e.g., smelting, recycling, stripping leaded paint, leaded petrol</w:t>
      </w:r>
      <w:r>
        <w:t xml:space="preserve"> </w:t>
      </w:r>
      <w:r>
        <w:t xml:space="preserve">(HBM4EU, 2020). Dust and soil may contain high levels of lead concentrations and is</w:t>
      </w:r>
      <w:r>
        <w:t xml:space="preserve"> </w:t>
      </w:r>
      <w:r>
        <w:t xml:space="preserve">thereby an important source of children´s exposure. Children are particular vulnerable to the</w:t>
      </w:r>
      <w:r>
        <w:t xml:space="preserve"> </w:t>
      </w:r>
      <w:r>
        <w:t xml:space="preserve">neurotoxic effects of lead and even relatively low levels of exposure can cause serious and in</w:t>
      </w:r>
      <w:r>
        <w:t xml:space="preserve"> </w:t>
      </w:r>
      <w:r>
        <w:t xml:space="preserve">some cases irreversible neurological damage (WHO 2019c). Furthermore, pregnant women</w:t>
      </w:r>
      <w:r>
        <w:t xml:space="preserve"> </w:t>
      </w:r>
      <w:r>
        <w:t xml:space="preserve">and their unborn children are most susceptible to the adverse effects of lead. Blood lead level</w:t>
      </w:r>
      <w:r>
        <w:t xml:space="preserve"> </w:t>
      </w:r>
      <w:r>
        <w:t xml:space="preserve">is the best available indicator of current and recent environmental exposure: most biological</w:t>
      </w:r>
      <w:r>
        <w:t xml:space="preserve"> </w:t>
      </w:r>
      <w:r>
        <w:t xml:space="preserve">effects relate to blood lead levels (WHO, 2000).</w:t>
      </w:r>
      <w:r>
        <w:t xml:space="preserve"> </w:t>
      </w:r>
      <w:r>
        <w:t xml:space="preserve">The International Agency for Research on Cancer (IARC) concludes “that inorganic lead</w:t>
      </w:r>
      <w:r>
        <w:t xml:space="preserve"> </w:t>
      </w:r>
      <w:r>
        <w:t xml:space="preserve">compounds are probably carcinogenic to humans” while “organic lead compounds are not</w:t>
      </w:r>
      <w:r>
        <w:t xml:space="preserve"> </w:t>
      </w:r>
      <w:r>
        <w:t xml:space="preserve">classified as to their carcinogenicity to humans” (IARC, 2006).</w:t>
      </w:r>
      <w:r>
        <w:t xml:space="preserve"> </w:t>
      </w:r>
      <w:r>
        <w:t xml:space="preserve">World Health Organization recommendations for annual lead</w:t>
      </w:r>
      <w:r>
        <w:t xml:space="preserve"> </w:t>
      </w:r>
      <w:r>
        <w:t xml:space="preserve">The air lead guideline value from the WHO from 2000 is based on concentrations of lead in</w:t>
      </w:r>
      <w:r>
        <w:t xml:space="preserve"> </w:t>
      </w:r>
      <w:r>
        <w:t xml:space="preserve">blood using a conversion factor from air lead (1 μg/m3) to blood lead (50 μg/L) which</w:t>
      </w:r>
      <w:r>
        <w:t xml:space="preserve"> </w:t>
      </w:r>
      <w:r>
        <w:t xml:space="preserve">includes a direct contribution of about 19 μg/L in children and 16 μg/L in adults. It was noted</w:t>
      </w:r>
      <w:r>
        <w:t xml:space="preserve"> </w:t>
      </w:r>
      <w:r>
        <w:t xml:space="preserve">that cognitive impairment has been shown in children at blood lead levels of 100–150 μg/L</w:t>
      </w:r>
      <w:r>
        <w:t xml:space="preserve"> </w:t>
      </w:r>
      <w:r>
        <w:t xml:space="preserve">and proposed a critical level of 100 μg/l. To assure that at least 98% of children have blood</w:t>
      </w:r>
      <w:r>
        <w:t xml:space="preserve"> </w:t>
      </w:r>
      <w:r>
        <w:t xml:space="preserve">lead levels of less than 100 μg/l, the median should not exceed 54 μg/l. Further, a baseline</w:t>
      </w:r>
      <w:r>
        <w:t xml:space="preserve"> </w:t>
      </w:r>
      <w:r>
        <w:t xml:space="preserve">value of the (dietary) contribution to lead in blood of 20 μg/l in uncontaminated areas was</w:t>
      </w:r>
      <w:r>
        <w:t xml:space="preserve"> </w:t>
      </w:r>
      <w:r>
        <w:t xml:space="preserve">assumed. Aiming at a lead level in air that would not increase blood lead to a level above</w:t>
      </w:r>
      <w:r>
        <w:t xml:space="preserve"> </w:t>
      </w:r>
      <w:r>
        <w:t xml:space="preserve">50 μg/l, lead in air should contribute no more than 30 μg/l. The guideline value was therefore</w:t>
      </w:r>
      <w:r>
        <w:t xml:space="preserve"> </w:t>
      </w:r>
      <w:r>
        <w:t xml:space="preserve">set at 0.5 μg/m3 lead in ambient air (see WHO, 2000, and WHO, 2013).</w:t>
      </w:r>
      <w:r>
        <w:t xml:space="preserve"> </w:t>
      </w:r>
      <w:r>
        <w:t xml:space="preserve">In 2013, a WHO ‘review of evidence on health aspects of air pollution’ (REVIHAAP)</w:t>
      </w:r>
      <w:r>
        <w:t xml:space="preserve"> </w:t>
      </w:r>
      <w:r>
        <w:t xml:space="preserve">concluded: “Yes, there is definitely new evidence on the health effects of air emissions of lead</w:t>
      </w:r>
      <w:r>
        <w:t xml:space="preserve"> </w:t>
      </w:r>
      <w:r>
        <w:t xml:space="preserve">that would have an impact on the current limit value. This evidence shows that effects on the</w:t>
      </w:r>
      <w:r>
        <w:t xml:space="preserve"> </w:t>
      </w:r>
      <w:r>
        <w:t xml:space="preserve">central nervous system in children and on the cardiovascular system in adults occur at, or</w:t>
      </w:r>
      <w:r>
        <w:t xml:space="preserve"> </w:t>
      </w:r>
      <w:r>
        <w:t xml:space="preserve">below, the present standards in the WHO air quality guidelines and EU” (WHO, 2013).</w:t>
      </w:r>
      <w:r>
        <w:t xml:space="preserve"> </w:t>
      </w:r>
      <w:r>
        <w:t xml:space="preserve">Subsequently, in the summary of the expert pollutant advice of the WHO Air Quality</w:t>
      </w:r>
      <w:r>
        <w:t xml:space="preserve"> </w:t>
      </w:r>
      <w:r>
        <w:t xml:space="preserve">Guidelines consultation “There was a general expert consensus with the conclusions of the</w:t>
      </w:r>
      <w:r>
        <w:t xml:space="preserve"> </w:t>
      </w:r>
      <w:r>
        <w:t xml:space="preserve">REVIHAAP Project in that the current WHO AQGs for lead need to be re-evaluated. (…)</w:t>
      </w:r>
      <w:r>
        <w:t xml:space="preserve"> </w:t>
      </w:r>
      <w:r>
        <w:t xml:space="preserve">Experts pointed out the need to coordinate with other activities on lead that might be</w:t>
      </w:r>
      <w:r>
        <w:t xml:space="preserve"> </w:t>
      </w:r>
      <w:r>
        <w:t xml:space="preserve">conducted by WHO.” (WHO, 2016).</w:t>
      </w:r>
      <w:r>
        <w:t xml:space="preserve"> </w:t>
      </w:r>
      <w:r>
        <w:t xml:space="preserve">3.9</w:t>
      </w:r>
      <w:r>
        <w:t xml:space="preserve"> </w:t>
      </w:r>
      <w:r>
        <w:t xml:space="preserve">Arsenic (As)</w:t>
      </w:r>
      <w:r>
        <w:t xml:space="preserve"> </w:t>
      </w:r>
      <w:r>
        <w:t xml:space="preserve">Arsenic has chemical and physical properties intermediate between a metal and a non-metal.</w:t>
      </w:r>
      <w:r>
        <w:t xml:space="preserve"> </w:t>
      </w:r>
      <w:r>
        <w:t xml:space="preserve">It is emitted to the atmosphere from both natural and anthropogenic sources. Approximately</w:t>
      </w:r>
      <w:r>
        <w:t xml:space="preserve"> </w:t>
      </w:r>
      <w:r>
        <w:t xml:space="preserve">one-third of the global atmospheric flux of arsenic is estimated to be from natural sources</w:t>
      </w:r>
      <w:r>
        <w:t xml:space="preserve"> </w:t>
      </w:r>
      <w:r>
        <w:t xml:space="preserve">(IARC, 2012a), especially volcanic activity, followed by low-temperature volatilization,</w:t>
      </w:r>
      <w:r>
        <w:t xml:space="preserve"> </w:t>
      </w:r>
      <w:r>
        <w:t xml:space="preserve">exudates from vegetation and windblown dusts. Anthropogenic emissions arise from mining</w:t>
      </w:r>
    </w:p>
    <w:p>
      <w:pPr>
        <w:pStyle w:val="BodyText"/>
      </w:pPr>
      <w:r>
        <w:t xml:space="preserve">306</w:t>
      </w:r>
    </w:p>
    <w:p>
      <w:pPr>
        <w:pStyle w:val="BodyText"/>
      </w:pPr>
      <w:r>
        <w:t xml:space="preserve">and smelting of base metals, fuel combustion (e.g., waste and low-grade brown coal) and the</w:t>
      </w:r>
      <w:r>
        <w:t xml:space="preserve"> </w:t>
      </w:r>
      <w:r>
        <w:t xml:space="preserve">use of arsenic-based pesticide (IARC, 2012a). Arsenic released from power plants and other</w:t>
      </w:r>
      <w:r>
        <w:t xml:space="preserve"> </w:t>
      </w:r>
      <w:r>
        <w:t xml:space="preserve">combustion processes is usually attached to very small particles, and may stay in the air for</w:t>
      </w:r>
      <w:r>
        <w:t xml:space="preserve"> </w:t>
      </w:r>
      <w:r>
        <w:t xml:space="preserve">many days and travel long distances. Ultimately, most arsenic ends up in the soil, sediment or</w:t>
      </w:r>
      <w:r>
        <w:t xml:space="preserve"> </w:t>
      </w:r>
      <w:r>
        <w:t xml:space="preserve">water.</w:t>
      </w:r>
      <w:r>
        <w:br/>
      </w:r>
      <w:r>
        <w:t xml:space="preserve">The primary route of arsenic exposure for the general population is via ingestion of</w:t>
      </w:r>
      <w:r>
        <w:t xml:space="preserve"> </w:t>
      </w:r>
      <w:r>
        <w:t xml:space="preserve">contaminated food or water; inhalation of arsenic from ambient air is generally a minor</w:t>
      </w:r>
      <w:r>
        <w:t xml:space="preserve"> </w:t>
      </w:r>
      <w:r>
        <w:t xml:space="preserve">exposure route for the general population. Arsenic compounds have long residence times in</w:t>
      </w:r>
      <w:r>
        <w:t xml:space="preserve"> </w:t>
      </w:r>
      <w:r>
        <w:t xml:space="preserve">the atmosphere and are enriched in the fine particle mode about or below 1 μm and,</w:t>
      </w:r>
      <w:r>
        <w:t xml:space="preserve"> </w:t>
      </w:r>
      <w:r>
        <w:t xml:space="preserve">consequently, can penetrate deeply into the respiratory system (EC, 2001).</w:t>
      </w:r>
      <w:r>
        <w:br/>
      </w:r>
      <w:r>
        <w:t xml:space="preserve">From an epidemiological (population studies) perspective, the International Agency for</w:t>
      </w:r>
      <w:r>
        <w:t xml:space="preserve"> </w:t>
      </w:r>
      <w:r>
        <w:t xml:space="preserve">Research on Cancer (IARC) concludes: “There is sufficient evidence in humans for the</w:t>
      </w:r>
      <w:r>
        <w:t xml:space="preserve"> </w:t>
      </w:r>
      <w:r>
        <w:t xml:space="preserve">carcinogenicity of mixed exposure to inorganic arsenic compounds (…). Inorganic arsenic</w:t>
      </w:r>
      <w:r>
        <w:t xml:space="preserve"> </w:t>
      </w:r>
      <w:r>
        <w:t xml:space="preserve">compounds (…) cause cancer of the lung, urinary bladder, and skin. Also, a positive</w:t>
      </w:r>
      <w:r>
        <w:t xml:space="preserve"> </w:t>
      </w:r>
      <w:r>
        <w:t xml:space="preserve">association has been observed between exposure to arsenic and inorganic arsenic</w:t>
      </w:r>
      <w:r>
        <w:t xml:space="preserve"> </w:t>
      </w:r>
      <w:r>
        <w:t xml:space="preserve">compounds and cancer of the kidney, liver, and prostate. (…) Arsenic and inorganic arsenic</w:t>
      </w:r>
      <w:r>
        <w:t xml:space="preserve"> </w:t>
      </w:r>
      <w:r>
        <w:t xml:space="preserve">compounds are carcinogenic to humans” (IARC, 2012a).</w:t>
      </w:r>
      <w:r>
        <w:br/>
      </w:r>
      <w:r>
        <w:t xml:space="preserve">Furthermore based on available toxicology (animal and cell-studies), IARC concludes: “In</w:t>
      </w:r>
      <w:r>
        <w:t xml:space="preserve"> </w:t>
      </w:r>
      <w:r>
        <w:t xml:space="preserve">view of the overall findings in animals, there is sufficient evidence in experimental animals</w:t>
      </w:r>
      <w:r>
        <w:t xml:space="preserve"> </w:t>
      </w:r>
      <w:r>
        <w:t xml:space="preserve">for the carcinogenicity of inorganic arsenic compounds” (IARC, 2012a).</w:t>
      </w:r>
      <w:r>
        <w:t xml:space="preserve"> </w:t>
      </w:r>
      <w:r>
        <w:t xml:space="preserve">World Health Organization recommendations for annual arsenic</w:t>
      </w:r>
      <w:r>
        <w:t xml:space="preserve"> </w:t>
      </w:r>
      <w:r>
        <w:t xml:space="preserve">In the WHO Air Quality Guidelines 2000 a unit risk for lung cancer per 1 μg/m3 air</w:t>
      </w:r>
      <w:r>
        <w:t xml:space="preserve"> </w:t>
      </w:r>
      <w:r>
        <w:t xml:space="preserve">concentration of 1.5 × 10-3 is proposed. The concentrations of airborne arsenic associated</w:t>
      </w:r>
      <w:r>
        <w:t xml:space="preserve"> </w:t>
      </w:r>
      <w:r>
        <w:t xml:space="preserve">with an excess life time risk of 1/10 000, 1/100 000 and 1/1 000 000 are 66 ng/m3, 6.6 ng/m3</w:t>
      </w:r>
      <w:r>
        <w:t xml:space="preserve"> </w:t>
      </w:r>
      <w:r>
        <w:t xml:space="preserve">or 0.66 ng/m3, respectively (WHO, 2000).</w:t>
      </w:r>
      <w:r>
        <w:t xml:space="preserve"> </w:t>
      </w:r>
      <w:r>
        <w:t xml:space="preserve">In 2013, a WHO ‘review of evidence on health aspects of air pollution’ (REVIHAAP)</w:t>
      </w:r>
      <w:r>
        <w:t xml:space="preserve"> </w:t>
      </w:r>
      <w:r>
        <w:t xml:space="preserve">concluded: “Yes, there is some new evidence on the cancer risk of air emissions of arsenic,</w:t>
      </w:r>
      <w:r>
        <w:t xml:space="preserve"> </w:t>
      </w:r>
      <w:r>
        <w:t xml:space="preserve">but it is contradictory in terms of the direction of risk. This new evidence is insufficient to</w:t>
      </w:r>
      <w:r>
        <w:t xml:space="preserve"> </w:t>
      </w:r>
      <w:r>
        <w:t xml:space="preserve">have an impact on the current EU target value” (WHO, 2013)</w:t>
      </w:r>
      <w:r>
        <w:t xml:space="preserve"> </w:t>
      </w:r>
      <w:r>
        <w:t xml:space="preserve">Subsequently, in the summary of the expert pollutant advice of the WHO Air Quality</w:t>
      </w:r>
      <w:r>
        <w:t xml:space="preserve"> </w:t>
      </w:r>
      <w:r>
        <w:t xml:space="preserve">Guidelines consultation “experts agreed with the conclusions of the REVIHAAP project, in</w:t>
      </w:r>
      <w:r>
        <w:t xml:space="preserve"> </w:t>
      </w:r>
      <w:r>
        <w:t xml:space="preserve">that the new evidence available for arsenic might not lead to a substantial change to the unit</w:t>
      </w:r>
      <w:r>
        <w:t xml:space="preserve"> </w:t>
      </w:r>
      <w:r>
        <w:t xml:space="preserve">risk currently recommended in the WHO AQGs. In addition, exposure through diet (food,</w:t>
      </w:r>
      <w:r>
        <w:t xml:space="preserve"> </w:t>
      </w:r>
      <w:r>
        <w:t xml:space="preserve">water) is more relevant than air. However, non-carcinogenic effects should be looked at</w:t>
      </w:r>
      <w:r>
        <w:t xml:space="preserve"> </w:t>
      </w:r>
      <w:r>
        <w:t xml:space="preserve">(…).”(WHO, 2016).</w:t>
      </w:r>
      <w:r>
        <w:t xml:space="preserve"> </w:t>
      </w:r>
      <w:r>
        <w:t xml:space="preserve">3.10</w:t>
      </w:r>
      <w:r>
        <w:t xml:space="preserve"> </w:t>
      </w:r>
      <w:r>
        <w:t xml:space="preserve">Cadmium (Cd)</w:t>
      </w:r>
      <w:r>
        <w:t xml:space="preserve"> </w:t>
      </w:r>
      <w:r>
        <w:t xml:space="preserve">Cadmium is a silver-white solid metal. Particulate cadmium is emitted in the atmosphere</w:t>
      </w:r>
      <w:r>
        <w:t xml:space="preserve"> </w:t>
      </w:r>
      <w:r>
        <w:t xml:space="preserve">from both natural and anthropogenic sources. The main anthropogenic sources are metal</w:t>
      </w:r>
      <w:r>
        <w:t xml:space="preserve"> </w:t>
      </w:r>
      <w:r>
        <w:t xml:space="preserve">production and fossil fuel combustion, waste incineration and cement production. Cadmium</w:t>
      </w:r>
      <w:r>
        <w:t xml:space="preserve"> </w:t>
      </w:r>
      <w:r>
        <w:t xml:space="preserve">particles in air can travel long distances before falling to the ground or water.</w:t>
      </w:r>
    </w:p>
    <w:p>
      <w:pPr>
        <w:pStyle w:val="BodyText"/>
      </w:pPr>
      <w:r>
        <w:t xml:space="preserve">307</w:t>
      </w:r>
    </w:p>
    <w:p>
      <w:pPr>
        <w:pStyle w:val="BodyText"/>
      </w:pPr>
      <w:r>
        <w:t xml:space="preserve">The main human exposure sources of cadmium are diet (higher uptake at low iron stores in</w:t>
      </w:r>
      <w:r>
        <w:t xml:space="preserve"> </w:t>
      </w:r>
      <w:r>
        <w:t xml:space="preserve">the human body) and smoking (WHO, 2013). Inhalation is a minor part of total exposure</w:t>
      </w:r>
      <w:r>
        <w:t xml:space="preserve"> </w:t>
      </w:r>
      <w:r>
        <w:t xml:space="preserve">(less than 10%), but ambient air levels are important for cadmium deposition in soil and,</w:t>
      </w:r>
      <w:r>
        <w:t xml:space="preserve"> </w:t>
      </w:r>
      <w:r>
        <w:t xml:space="preserve">thereby, dietary intake. The average amount of cadmium ingested in European countries is</w:t>
      </w:r>
      <w:r>
        <w:t xml:space="preserve"> </w:t>
      </w:r>
      <w:r>
        <w:t xml:space="preserve">10-20 μg/day. The most well-known health effects of cadmium are kidney and lung damage</w:t>
      </w:r>
      <w:r>
        <w:t xml:space="preserve"> </w:t>
      </w:r>
      <w:r>
        <w:t xml:space="preserve">and toxic effects on bone tissue (osteomalacia and osteoporosis) (WHO, 2013). Population</w:t>
      </w:r>
      <w:r>
        <w:t xml:space="preserve"> </w:t>
      </w:r>
      <w:r>
        <w:t xml:space="preserve">groups at risk include elderly people, those suffering from diabetes and smokers. In addition,</w:t>
      </w:r>
      <w:r>
        <w:t xml:space="preserve"> </w:t>
      </w:r>
      <w:r>
        <w:t xml:space="preserve">women may be at increased risk because, at the same level of exposure, they absorb more</w:t>
      </w:r>
      <w:r>
        <w:t xml:space="preserve"> </w:t>
      </w:r>
      <w:r>
        <w:t xml:space="preserve">cadmium than men (WHO, 2007).</w:t>
      </w:r>
      <w:r>
        <w:t xml:space="preserve"> </w:t>
      </w:r>
      <w:r>
        <w:t xml:space="preserve">From an epidemiological (population studies) perspective, the International Agency for</w:t>
      </w:r>
      <w:r>
        <w:t xml:space="preserve"> </w:t>
      </w:r>
      <w:r>
        <w:t xml:space="preserve">Research on Cancer (IARC) concludes: “There is sufficient evidence in humans for the</w:t>
      </w:r>
      <w:r>
        <w:t xml:space="preserve"> </w:t>
      </w:r>
      <w:r>
        <w:t xml:space="preserve">carcinogenicity of cadmium and cadmium compounds. Cadmium and cadmium compounds</w:t>
      </w:r>
      <w:r>
        <w:t xml:space="preserve"> </w:t>
      </w:r>
      <w:r>
        <w:t xml:space="preserve">cause cancer of the lung. Also, positive associations have been observed between exposure to</w:t>
      </w:r>
      <w:r>
        <w:t xml:space="preserve"> </w:t>
      </w:r>
      <w:r>
        <w:t xml:space="preserve">cadmium and cadmium compounds and cancer of the kidney and of the prostate. Cadmium</w:t>
      </w:r>
      <w:r>
        <w:t xml:space="preserve"> </w:t>
      </w:r>
      <w:r>
        <w:t xml:space="preserve">and cadmium compounds are carcinogenic to humans.” (IARC, 2012a)</w:t>
      </w:r>
      <w:r>
        <w:t xml:space="preserve"> </w:t>
      </w:r>
      <w:r>
        <w:t xml:space="preserve">Furthermore based on available toxicology (animal and cell-studies), IARC concludes:</w:t>
      </w:r>
      <w:r>
        <w:t xml:space="preserve"> </w:t>
      </w:r>
      <w:r>
        <w:t xml:space="preserve">“There is sufficient evidence in experimental animals for the carcinogenicity of cadmium</w:t>
      </w:r>
      <w:r>
        <w:t xml:space="preserve"> </w:t>
      </w:r>
      <w:r>
        <w:t xml:space="preserve">compounds. There is limited evidence in experimental animals for the carcinogenicity of</w:t>
      </w:r>
      <w:r>
        <w:t xml:space="preserve"> </w:t>
      </w:r>
      <w:r>
        <w:t xml:space="preserve">cadmium metal” (IARC, 2012a).</w:t>
      </w:r>
      <w:r>
        <w:t xml:space="preserve"> </w:t>
      </w:r>
      <w:r>
        <w:t xml:space="preserve">World Health Organization recommendations for annual cadmium</w:t>
      </w:r>
      <w:r>
        <w:t xml:space="preserve"> </w:t>
      </w:r>
      <w:r>
        <w:t xml:space="preserve">For the WHO Air Quality Guidelines 2000, the data behind the derivation of a unit risk of</w:t>
      </w:r>
      <w:r>
        <w:t xml:space="preserve"> </w:t>
      </w:r>
      <w:r>
        <w:t xml:space="preserve">lung cancer was considered to be too complicated. The concomitant exposure with arsenic is</w:t>
      </w:r>
      <w:r>
        <w:t xml:space="preserve"> </w:t>
      </w:r>
      <w:r>
        <w:t xml:space="preserve">seen as an important bias. It was noted that average kidney cadmium levels in Europe are</w:t>
      </w:r>
      <w:r>
        <w:t xml:space="preserve"> </w:t>
      </w:r>
      <w:r>
        <w:t xml:space="preserve">very close to the critical level for renal effects. A further increase in dietary intake of</w:t>
      </w:r>
      <w:r>
        <w:t xml:space="preserve"> </w:t>
      </w:r>
      <w:r>
        <w:t xml:space="preserve">cadmium, due to accumulation of cadmium in agricultural soils, must be prevented.</w:t>
      </w:r>
      <w:r>
        <w:t xml:space="preserve"> </w:t>
      </w:r>
      <w:r>
        <w:t xml:space="preserve">Therefore, a guideline value of 5 ng/m3 was set for cadmium in air (WHO, 2000, 2013).</w:t>
      </w:r>
      <w:r>
        <w:br/>
      </w:r>
      <w:r>
        <w:t xml:space="preserve">New evidence and new evaluations of data were published since the WHO Air Quality</w:t>
      </w:r>
      <w:r>
        <w:t xml:space="preserve"> </w:t>
      </w:r>
      <w:r>
        <w:t xml:space="preserve">Guidelines 2000. A WHO ‘review of evidence on health aspects of air pollution’</w:t>
      </w:r>
      <w:r>
        <w:t xml:space="preserve"> </w:t>
      </w:r>
      <w:r>
        <w:t xml:space="preserve">(REVIHAAP) noted that as the current EU air quality standard is already fully aligned with</w:t>
      </w:r>
      <w:r>
        <w:t xml:space="preserve"> </w:t>
      </w:r>
      <w:r>
        <w:t xml:space="preserve">WHO recommendation, the latter do not point to a need for stricter levels. However, to</w:t>
      </w:r>
      <w:r>
        <w:t xml:space="preserve"> </w:t>
      </w:r>
      <w:r>
        <w:t xml:space="preserve">prevent the increasing cadmium levels in agricultural soil by the air deposition and the</w:t>
      </w:r>
      <w:r>
        <w:t xml:space="preserve"> </w:t>
      </w:r>
      <w:r>
        <w:t xml:space="preserve">thereby adverse health effects, more stringent standards would be needed (WHO, 2013).</w:t>
      </w:r>
      <w:r>
        <w:t xml:space="preserve"> </w:t>
      </w:r>
      <w:r>
        <w:t xml:space="preserve">Subsequently, in the summary of the expert pollutant advice of the WHO Air Quality</w:t>
      </w:r>
      <w:r>
        <w:t xml:space="preserve"> </w:t>
      </w:r>
      <w:r>
        <w:t xml:space="preserve">Guidelines consultation “experts agreed with the conclusions of the REVIHAAP project, in</w:t>
      </w:r>
      <w:r>
        <w:t xml:space="preserve"> </w:t>
      </w:r>
      <w:r>
        <w:t xml:space="preserve">that present levels of cadmium in air are too high to obtain a cadmium balance in soils</w:t>
      </w:r>
      <w:r>
        <w:t xml:space="preserve"> </w:t>
      </w:r>
      <w:r>
        <w:t xml:space="preserve">(suggesting that the cadmium dietary intake of the population will not decrease). In addition,</w:t>
      </w:r>
      <w:r>
        <w:t xml:space="preserve"> </w:t>
      </w:r>
      <w:r>
        <w:t xml:space="preserve">strong evidence is available on new health effects due to cadmium exposure in the general</w:t>
      </w:r>
      <w:r>
        <w:t xml:space="preserve"> </w:t>
      </w:r>
      <w:r>
        <w:t xml:space="preserve">population especially on bone, but also on hormone-related cancer, cardiovascular disease,</w:t>
      </w:r>
      <w:r>
        <w:t xml:space="preserve"> </w:t>
      </w:r>
      <w:r>
        <w:t xml:space="preserve">and fetal growth.” (WHO, 2016).</w:t>
      </w:r>
      <w:r>
        <w:t xml:space="preserve"> </w:t>
      </w:r>
      <w:r>
        <w:t xml:space="preserve">3.11</w:t>
      </w:r>
      <w:r>
        <w:t xml:space="preserve"> </w:t>
      </w:r>
      <w:r>
        <w:t xml:space="preserve">Nickel (Ni)</w:t>
      </w:r>
      <w:r>
        <w:t xml:space="preserve"> </w:t>
      </w:r>
      <w:r>
        <w:t xml:space="preserve">Nickel is a hard silvery-white natural element, which is ubiquitous and naturally present in</w:t>
      </w:r>
      <w:r>
        <w:t xml:space="preserve"> </w:t>
      </w:r>
      <w:r>
        <w:t xml:space="preserve">the environment, even if atmospheric nickel concentrations are higher in urban and industrial</w:t>
      </w:r>
    </w:p>
    <w:p>
      <w:pPr>
        <w:pStyle w:val="BodyText"/>
      </w:pPr>
      <w:r>
        <w:t xml:space="preserve">308</w:t>
      </w:r>
    </w:p>
    <w:p>
      <w:pPr>
        <w:pStyle w:val="BodyText"/>
      </w:pPr>
      <w:r>
        <w:t xml:space="preserve">air than in rural areas. Anthropogenic sources of nickel and it species are industries that make</w:t>
      </w:r>
      <w:r>
        <w:t xml:space="preserve"> </w:t>
      </w:r>
      <w:r>
        <w:t xml:space="preserve">or use nickel, nickel alloys, or nickel compounds. It is also released into the atmosphere by</w:t>
      </w:r>
      <w:r>
        <w:t xml:space="preserve"> </w:t>
      </w:r>
      <w:r>
        <w:t xml:space="preserve">oil- and coal-burning power plants, and trash incinerators. In the air, nickel attaches to small</w:t>
      </w:r>
      <w:r>
        <w:t xml:space="preserve"> </w:t>
      </w:r>
      <w:r>
        <w:t xml:space="preserve">particles of dust that settle to the ground or are taken out of the air in rain or snow; this</w:t>
      </w:r>
      <w:r>
        <w:t xml:space="preserve"> </w:t>
      </w:r>
      <w:r>
        <w:t xml:space="preserve">usually takes many days.</w:t>
      </w:r>
      <w:r>
        <w:t xml:space="preserve"> </w:t>
      </w:r>
      <w:r>
        <w:t xml:space="preserve">The main routes of exposure are ingestion, dermal contact and to a lesser extend inhalation.</w:t>
      </w:r>
      <w:r>
        <w:t xml:space="preserve"> </w:t>
      </w:r>
      <w:r>
        <w:t xml:space="preserve">Allergic skin reactions are the most common health effects of nickel, affecting about 2% of</w:t>
      </w:r>
      <w:r>
        <w:t xml:space="preserve"> </w:t>
      </w:r>
      <w:r>
        <w:t xml:space="preserve">the male and 11% of the female population. Nickel content in consumer products and</w:t>
      </w:r>
      <w:r>
        <w:t xml:space="preserve"> </w:t>
      </w:r>
      <w:r>
        <w:t xml:space="preserve">possibly in food and water are critical for the dermatological effect. The respiratory tract is</w:t>
      </w:r>
      <w:r>
        <w:t xml:space="preserve"> </w:t>
      </w:r>
      <w:r>
        <w:t xml:space="preserve">also a target organ for allergic manifestations of occupational nickel exposure. There is no</w:t>
      </w:r>
      <w:r>
        <w:t xml:space="preserve"> </w:t>
      </w:r>
      <w:r>
        <w:t xml:space="preserve">evidence that airborne nickel causes allergic reactions in the general population, although this</w:t>
      </w:r>
      <w:r>
        <w:t xml:space="preserve"> </w:t>
      </w:r>
      <w:r>
        <w:t xml:space="preserve">reaction is well documented in the working environment. The key criterion for assessing the</w:t>
      </w:r>
      <w:r>
        <w:t xml:space="preserve"> </w:t>
      </w:r>
      <w:r>
        <w:t xml:space="preserve">risk of airborne nickel exposure is its carcinogenic potential (WHO, 2000).</w:t>
      </w:r>
      <w:r>
        <w:t xml:space="preserve"> </w:t>
      </w:r>
      <w:r>
        <w:t xml:space="preserve">From an epidemiological (population studies) perspective, and on the basis of the underlying</w:t>
      </w:r>
      <w:r>
        <w:t xml:space="preserve"> </w:t>
      </w:r>
      <w:r>
        <w:t xml:space="preserve">concept that all nickel compounds can generate nickel ions that are transported to critical sites</w:t>
      </w:r>
      <w:r>
        <w:t xml:space="preserve"> </w:t>
      </w:r>
      <w:r>
        <w:t xml:space="preserve">in target cells, the International Agency for Research on Cancer (IARC) has classified nickel</w:t>
      </w:r>
      <w:r>
        <w:t xml:space="preserve"> </w:t>
      </w:r>
      <w:r>
        <w:t xml:space="preserve">compounds as carcinogenic to humans, and metallic nickel as possibly carcinogenic to</w:t>
      </w:r>
      <w:r>
        <w:t xml:space="preserve"> </w:t>
      </w:r>
      <w:r>
        <w:t xml:space="preserve">humans. Other than for lung cancer and nasal sinus cancer, there is currently no consistency</w:t>
      </w:r>
      <w:r>
        <w:t xml:space="preserve"> </w:t>
      </w:r>
      <w:r>
        <w:t xml:space="preserve">in the epidemiological data to suggest that nickel compounds cause cancer at other sites</w:t>
      </w:r>
      <w:r>
        <w:t xml:space="preserve"> </w:t>
      </w:r>
      <w:r>
        <w:t xml:space="preserve">(IARC, 2012a).</w:t>
      </w:r>
      <w:r>
        <w:br/>
      </w:r>
      <w:r>
        <w:t xml:space="preserve">Furthermore based on available toxicology (animal and cell-studies), IARC concludes:</w:t>
      </w:r>
      <w:r>
        <w:t xml:space="preserve"> </w:t>
      </w:r>
      <w:r>
        <w:t xml:space="preserve">“There is sufficient evidence in experimental animals for the carcinogenicity of nickel</w:t>
      </w:r>
      <w:r>
        <w:t xml:space="preserve"> </w:t>
      </w:r>
      <w:r>
        <w:t xml:space="preserve">monoxides, nickel hydroxides, nickel sulfides (including nickel subsulfide), nickel acetate,</w:t>
      </w:r>
      <w:r>
        <w:t xml:space="preserve"> </w:t>
      </w:r>
      <w:r>
        <w:t xml:space="preserve">and nickel metal. There is limited evidence in experimental animals for the carcinogenicity of</w:t>
      </w:r>
      <w:r>
        <w:t xml:space="preserve"> </w:t>
      </w:r>
      <w:r>
        <w:t xml:space="preserve">nickelocene, nickel carbonyl, nickel sulfate, nickel chloride, nickel arsenides, nickel</w:t>
      </w:r>
      <w:r>
        <w:t xml:space="preserve"> </w:t>
      </w:r>
      <w:r>
        <w:t xml:space="preserve">antimonide, nickel selenides, nickel sulfarsenide, and nickel telluride. There is inadequate</w:t>
      </w:r>
      <w:r>
        <w:t xml:space="preserve"> </w:t>
      </w:r>
      <w:r>
        <w:t xml:space="preserve">evidence in experimental animals for the carcinogenicity of nickel titanate, nickel trioxide,</w:t>
      </w:r>
      <w:r>
        <w:t xml:space="preserve"> </w:t>
      </w:r>
      <w:r>
        <w:t xml:space="preserve">and amorphous nickel sulfide. In view of the overall findings in animals, there is sufficient</w:t>
      </w:r>
      <w:r>
        <w:t xml:space="preserve"> </w:t>
      </w:r>
      <w:r>
        <w:t xml:space="preserve">evidence in experimental animals for the carcinogenicity of nickel compounds and nickel</w:t>
      </w:r>
      <w:r>
        <w:t xml:space="preserve"> </w:t>
      </w:r>
      <w:r>
        <w:t xml:space="preserve">metal.” (IARC, 2012a)</w:t>
      </w:r>
      <w:r>
        <w:t xml:space="preserve"> </w:t>
      </w:r>
      <w:r>
        <w:t xml:space="preserve">World Health Organization recommendations for nickel</w:t>
      </w:r>
      <w:r>
        <w:t xml:space="preserve"> </w:t>
      </w:r>
      <w:r>
        <w:t xml:space="preserve">The WHO propose in the Air Quality Guidelines from 2000 on the basis of a risk estimated in</w:t>
      </w:r>
      <w:r>
        <w:t xml:space="preserve"> </w:t>
      </w:r>
      <w:r>
        <w:t xml:space="preserve">industrial populations, an incremental risk of 3.8 × 10-4 per µg/m3. The concentrations</w:t>
      </w:r>
      <w:r>
        <w:t xml:space="preserve"> </w:t>
      </w:r>
      <w:r>
        <w:t xml:space="preserve">corresponding to an excess lifetime risk of 1/10 000, 1/100 000 and 1/1 000 000 are about</w:t>
      </w:r>
      <w:r>
        <w:t xml:space="preserve"> </w:t>
      </w:r>
      <w:r>
        <w:t xml:space="preserve">250, 25 and 2.5 ng/m3, respectively (WHO, 2000). The carcinogenic effect of nickel is well</w:t>
      </w:r>
      <w:r>
        <w:t xml:space="preserve"> </w:t>
      </w:r>
      <w:r>
        <w:t xml:space="preserve">researched, still different unit risks are recommended by different international organisations</w:t>
      </w:r>
      <w:r>
        <w:t xml:space="preserve"> </w:t>
      </w:r>
      <w:r>
        <w:t xml:space="preserve">as well as limit values. Most of them are around the EU target value of 20 ng/m3.</w:t>
      </w:r>
      <w:r>
        <w:br/>
      </w:r>
      <w:r>
        <w:t xml:space="preserve">A WHO ‘review of evidence on health aspects of air pollution’ (REVIHAAP) noted “there is</w:t>
      </w:r>
      <w:r>
        <w:t xml:space="preserve"> </w:t>
      </w:r>
      <w:r>
        <w:t xml:space="preserve">some updated occupational epidemiology on nickel refinery workers since the review by the</w:t>
      </w:r>
      <w:r>
        <w:t xml:space="preserve"> </w:t>
      </w:r>
      <w:r>
        <w:t xml:space="preserve">WHO Working Groupon Air Quality Guidelines for 2000. The impression is, however that</w:t>
      </w:r>
      <w:r>
        <w:t xml:space="preserve"> </w:t>
      </w:r>
      <w:r>
        <w:t xml:space="preserve">this new data will not change the previous unit risk estimate substantially. Data on the effect</w:t>
      </w:r>
      <w:r>
        <w:t xml:space="preserve"> </w:t>
      </w:r>
      <w:r>
        <w:t xml:space="preserve">of ambient nickel levels on cardiovascular risk are yet too limited to permit their use in WHO</w:t>
      </w:r>
      <w:r>
        <w:t xml:space="preserve"> </w:t>
      </w:r>
      <w:r>
        <w:t xml:space="preserve">air quality guideline standards.” (WHO, 2013)</w:t>
      </w:r>
    </w:p>
    <w:p>
      <w:pPr>
        <w:pStyle w:val="BodyText"/>
      </w:pPr>
      <w:r>
        <w:t xml:space="preserve">309</w:t>
      </w:r>
    </w:p>
    <w:p>
      <w:pPr>
        <w:pStyle w:val="BodyText"/>
      </w:pPr>
      <w:r>
        <w:t xml:space="preserve">The expert pollutant advice of the WHO Air Quality Guidelines consultation noted: “The</w:t>
      </w:r>
      <w:r>
        <w:t xml:space="preserve"> </w:t>
      </w:r>
      <w:r>
        <w:t xml:space="preserve">levels in ambient air are generally low (except for some hot spots). […] More recently,</w:t>
      </w:r>
      <w:r>
        <w:t xml:space="preserve"> </w:t>
      </w:r>
      <w:r>
        <w:t xml:space="preserve">potential associations of nickel exposure through air and cardiovascular disease and</w:t>
      </w:r>
      <w:r>
        <w:t xml:space="preserve"> </w:t>
      </w:r>
      <w:r>
        <w:t xml:space="preserve">inflammation have been described, but experts agreed with the REVIHAAP project</w:t>
      </w:r>
      <w:r>
        <w:t xml:space="preserve"> </w:t>
      </w:r>
      <w:r>
        <w:t xml:space="preserve">conclusion that more epidemiological and experimental studies are needed in this regard.”</w:t>
      </w:r>
      <w:r>
        <w:t xml:space="preserve"> </w:t>
      </w:r>
      <w:r>
        <w:t xml:space="preserve">(WHO, 2016)</w:t>
      </w:r>
      <w:r>
        <w:t xml:space="preserve"> </w:t>
      </w:r>
      <w:r>
        <w:t xml:space="preserve">4.</w:t>
      </w:r>
      <w:r>
        <w:t xml:space="preserve"> </w:t>
      </w:r>
      <w:r>
        <w:t xml:space="preserve">REFERENCES</w:t>
      </w:r>
      <w:r>
        <w:br/>
      </w:r>
      <w:r>
        <w:t xml:space="preserve">EC (European Commission), 2001. Ambient air pollution by AS, CD and NI compounds.Position Paper.</w:t>
      </w:r>
      <w:r>
        <w:br/>
      </w:r>
      <w:r>
        <w:t xml:space="preserve">IARC (International Agency for Research on Cancer), 2006. organic and organic lead compounds. IARC</w:t>
      </w:r>
      <w:r>
        <w:t xml:space="preserve"> </w:t>
      </w:r>
      <w:r>
        <w:t xml:space="preserve">Monographs on the Evaluation of Carcinogenic Risks to Humans Vol 87.</w:t>
      </w:r>
      <w:r>
        <w:t xml:space="preserve"> </w:t>
      </w:r>
      <w:r>
        <w:t xml:space="preserve">IARC, 2010. Some Non-heterocyclic Polycyclic Aromatic Hydrocarbons and Some Related Exposures. Vol 92.</w:t>
      </w:r>
      <w:r>
        <w:br/>
      </w:r>
      <w:r>
        <w:t xml:space="preserve">IARC, 2012a. Arsenic, metals, fibres, and dusts. IARC Monographs on the Evaluation of Carcinogenic Risks to</w:t>
      </w:r>
      <w:r>
        <w:t xml:space="preserve"> </w:t>
      </w:r>
      <w:r>
        <w:t xml:space="preserve">Humans Vol 100 C: A review of human carcinogens.</w:t>
      </w:r>
      <w:r>
        <w:t xml:space="preserve"> </w:t>
      </w:r>
      <w:r>
        <w:t xml:space="preserve">IARC, 2012b. IARC Monographs on the Evaluation of Carcinogenic Risks to Humans Vol 100mF.</w:t>
      </w:r>
      <w:r>
        <w:t xml:space="preserve"> </w:t>
      </w:r>
      <w:r>
        <w:t xml:space="preserve">IARC, 2019 Benzene. IARC Monographs on the Evaluation of Carcinogenic Risks to Humans.</w:t>
      </w:r>
      <w:r>
        <w:t xml:space="preserve"> </w:t>
      </w:r>
      <w:r>
        <w:t xml:space="preserve">US EPA, 2017, IRIS Toxicological Review of Benzo[A]Pyrene (Final Report).</w:t>
      </w:r>
      <w:r>
        <w:br/>
      </w:r>
      <w:r>
        <w:t xml:space="preserve">US EPA, 2020a. Integrated Science Assessment for Ozone and Related Photochemical Oxidants.</w:t>
      </w:r>
      <w:r>
        <w:br/>
      </w:r>
      <w:r>
        <w:t xml:space="preserve">US EPA, 2020b. Review of the Ozone National Ambient Air Quality Standards.</w:t>
      </w:r>
      <w:r>
        <w:br/>
      </w:r>
      <w:r>
        <w:t xml:space="preserve">WHO (World Health Organization), 1987. Air quality guidelines for Europe.</w:t>
      </w:r>
      <w:r>
        <w:br/>
      </w:r>
      <w:r>
        <w:t xml:space="preserve">WHO, 2000. Air quality guidelines for Europe, 2nd edition.</w:t>
      </w:r>
      <w:r>
        <w:br/>
      </w:r>
      <w:r>
        <w:t xml:space="preserve">WHO, 2006. Air quality guidelines – global update 2005. Particulate matter, ozone, nitrogen dioxide and sulfur</w:t>
      </w:r>
      <w:r>
        <w:t xml:space="preserve"> </w:t>
      </w:r>
      <w:r>
        <w:t xml:space="preserve">dioxide.</w:t>
      </w:r>
      <w:r>
        <w:br/>
      </w:r>
      <w:r>
        <w:t xml:space="preserve">WHO, 2007. Health risks of heavy metals from long-range transboundary air pollution.</w:t>
      </w:r>
      <w:r>
        <w:br/>
      </w:r>
      <w:r>
        <w:t xml:space="preserve">WHO, 2010. Preventing disease through healthy environments. Exposure to benzene: A major public health</w:t>
      </w:r>
      <w:r>
        <w:t xml:space="preserve"> </w:t>
      </w:r>
      <w:r>
        <w:t xml:space="preserve">concern.</w:t>
      </w:r>
      <w:r>
        <w:t xml:space="preserve"> </w:t>
      </w:r>
      <w:r>
        <w:t xml:space="preserve">WHO, 2010b, WHO Guidelines for Indoor Air Quality: Selected Pollutants.</w:t>
      </w:r>
      <w:r>
        <w:t xml:space="preserve"> </w:t>
      </w:r>
      <w:r>
        <w:t xml:space="preserve">WHO, 2013. Review of evidence on health aspects of air pollution – REVIHAAP Project Technical Report.</w:t>
      </w:r>
      <w:r>
        <w:br/>
      </w:r>
      <w:r>
        <w:t xml:space="preserve">WHO 2016. WHO Expert Consultation: Available evidence for the future update of the WHO Global Air</w:t>
      </w:r>
      <w:r>
        <w:t xml:space="preserve"> </w:t>
      </w:r>
      <w:r>
        <w:t xml:space="preserve">Quality Guidelines (AQGs). Meeting report.</w:t>
      </w:r>
      <w:r>
        <w:br/>
      </w:r>
      <w:r>
        <w:t xml:space="preserve">WHO, 2019a. Preventing disease through healthy environments. Exposure to arsenic: A major public health</w:t>
      </w:r>
      <w:r>
        <w:t xml:space="preserve"> </w:t>
      </w:r>
      <w:r>
        <w:t xml:space="preserve">concern.</w:t>
      </w:r>
      <w:r>
        <w:br/>
      </w:r>
      <w:r>
        <w:t xml:space="preserve">WHO, 2019b. Preventing disease through healthy environments. Exposure to cadmium: A major public health</w:t>
      </w:r>
      <w:r>
        <w:t xml:space="preserve"> </w:t>
      </w:r>
      <w:r>
        <w:t xml:space="preserve">concern.</w:t>
      </w:r>
      <w:r>
        <w:t xml:space="preserve"> </w:t>
      </w:r>
      <w:r>
        <w:t xml:space="preserve">WHO, 2019c. Preventing disease through healthy environments. Exposure to lead: A major public health</w:t>
      </w:r>
      <w:r>
        <w:t xml:space="preserve"> </w:t>
      </w:r>
      <w:r>
        <w:t xml:space="preserve">concern.</w:t>
      </w:r>
      <w:r>
        <w:t xml:space="preserve"> </w:t>
      </w:r>
      <w:r>
        <w:t xml:space="preserve">WHO, 2021. WHO global Air Quality Guidelines. Particulate matter (PM2.5 and PM10), ozone, nitrogen dioxide,</w:t>
      </w:r>
      <w:r>
        <w:t xml:space="preserve"> </w:t>
      </w:r>
      <w:r>
        <w:t xml:space="preserve">sulfur dioxide and carbon monoxide. Geneva: World Health Organization.</w:t>
      </w:r>
    </w:p>
    <w:p>
      <w:pPr>
        <w:pStyle w:val="BodyText"/>
      </w:pPr>
      <w:r>
        <w:t xml:space="preserve">310</w:t>
      </w:r>
    </w:p>
    <w:p>
      <w:pPr>
        <w:pStyle w:val="BodyText"/>
      </w:pPr>
      <w:r>
        <w:t xml:space="preserve">ANNEX 11: AIR QUALITY IN EUROPE IN 2020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</w:t>
      </w:r>
      <w:r>
        <w:br/>
      </w:r>
      <w:r>
        <w:t xml:space="preserve">Air pollution is the single largest environmental health risk in Europe, causing cardiovascular</w:t>
      </w:r>
      <w:r>
        <w:t xml:space="preserve"> </w:t>
      </w:r>
      <w:r>
        <w:t xml:space="preserve">and respiratory diseases that lead to the loss of healthy years of life and, in the most serious</w:t>
      </w:r>
      <w:r>
        <w:t xml:space="preserve"> </w:t>
      </w:r>
      <w:r>
        <w:t xml:space="preserve">cases, to premature deaths. This annex presents the status of concentrations of pollutants in</w:t>
      </w:r>
      <w:r>
        <w:t xml:space="preserve"> </w:t>
      </w:r>
      <w:r>
        <w:t xml:space="preserve">ambient air in 2020, in relation to both EU air quality standards and 2021 WHO Air Quality</w:t>
      </w:r>
      <w:r>
        <w:t xml:space="preserve"> </w:t>
      </w:r>
      <w:r>
        <w:t xml:space="preserve">Guidelines. Exceedances of EU air quality standards are common across the EU, with</w:t>
      </w:r>
      <w:r>
        <w:t xml:space="preserve"> </w:t>
      </w:r>
      <w:r>
        <w:t xml:space="preserve">concentrations well above the latest WHO recommendations. Nevertheless, in 2020,</w:t>
      </w:r>
      <w:r>
        <w:t xml:space="preserve"> </w:t>
      </w:r>
      <w:r>
        <w:t xml:space="preserve">lockdown measures adopted to minimise the spread of COVID-19 had a temporary impact on</w:t>
      </w:r>
      <w:r>
        <w:t xml:space="preserve"> </w:t>
      </w:r>
      <w:r>
        <w:t xml:space="preserve">emissions of air pollution from road transport and led to improved air quality.</w:t>
      </w:r>
      <w:r>
        <w:br/>
      </w:r>
      <w:r>
        <w:t xml:space="preserve">Air pollution also damages vegetation and ecosystems. It leads to several important</w:t>
      </w:r>
      <w:r>
        <w:t xml:space="preserve"> </w:t>
      </w:r>
      <w:r>
        <w:t xml:space="preserve">environmental impacts, which affect vegetation and fauna directly, as well as the quality of</w:t>
      </w:r>
      <w:r>
        <w:t xml:space="preserve"> </w:t>
      </w:r>
      <w:r>
        <w:t xml:space="preserve">water and soil and the ecosystem services they support.</w:t>
      </w:r>
      <w:r>
        <w:t xml:space="preserve"> </w:t>
      </w:r>
      <w:r>
        <w:t xml:space="preserve">Sources and acknowledgement</w:t>
      </w:r>
      <w:r>
        <w:t xml:space="preserve"> </w:t>
      </w:r>
      <w:r>
        <w:t xml:space="preserve">This annex was prepared by the European Environment Agency (EEA). The EEA compiles</w:t>
      </w:r>
      <w:r>
        <w:t xml:space="preserve"> </w:t>
      </w:r>
      <w:r>
        <w:t xml:space="preserve">information on air quality at station level reported by its member and cooperating countries,</w:t>
      </w:r>
      <w:r>
        <w:t xml:space="preserve"> </w:t>
      </w:r>
      <w:r>
        <w:t xml:space="preserve">as well as Andorra. Hence, the analysis covers the 27 EU Member States, and third countries.</w:t>
      </w:r>
      <w:r>
        <w:t xml:space="preserve"> </w:t>
      </w:r>
      <w:r>
        <w:t xml:space="preserve">The analysis of the air quality situation in Europe in 2020 is based on:</w:t>
      </w:r>
      <w:r>
        <w:br/>
      </w:r>
      <w:r>
        <w:t xml:space="preserve"> European Environment Agency briefing “Europe’s air quality status 2022” and</w:t>
      </w:r>
      <w:r>
        <w:br/>
      </w:r>
      <w:r>
        <w:t xml:space="preserve"> Eionet Report 2022/2 “Status report of air quality in Europe for year 2020” produced by</w:t>
      </w:r>
      <w:r>
        <w:t xml:space="preserve"> </w:t>
      </w:r>
      <w:r>
        <w:t xml:space="preserve">the European Topic Centre on Human Health and the Environment.</w:t>
      </w:r>
      <w:r>
        <w:br/>
      </w:r>
      <w:r>
        <w:t xml:space="preserve">Information on population exposure to air pollution is based on the EEA indicator on the</w:t>
      </w:r>
      <w:r>
        <w:t xml:space="preserve"> </w:t>
      </w:r>
      <w:r>
        <w:t xml:space="preserve">exceedance of air quality standards in Europe. Information on the health impacts of air</w:t>
      </w:r>
      <w:r>
        <w:t xml:space="preserve"> </w:t>
      </w:r>
      <w:r>
        <w:t xml:space="preserve">pollution is based on the European Environment Agency briefing on the “Health impacts of</w:t>
      </w:r>
      <w:r>
        <w:t xml:space="preserve"> </w:t>
      </w:r>
      <w:r>
        <w:t xml:space="preserve">air pollution in Europe, 2021” and refers to 2019. Data for 2020 calculations will be available</w:t>
      </w:r>
      <w:r>
        <w:t xml:space="preserve"> </w:t>
      </w:r>
      <w:r>
        <w:t xml:space="preserve">later in 2022. Information on environmental impacts of ozone is based on European</w:t>
      </w:r>
      <w:r>
        <w:t xml:space="preserve"> </w:t>
      </w:r>
      <w:r>
        <w:t xml:space="preserve">Environment Agency indicator on the exposure of Europe’s ecosystems to ozone and the</w:t>
      </w:r>
      <w:r>
        <w:t xml:space="preserve"> </w:t>
      </w:r>
      <w:r>
        <w:t xml:space="preserve">EMEP Status report 1/2021 and refers to 2019, since 2020 calculations will only be available</w:t>
      </w:r>
      <w:r>
        <w:t xml:space="preserve"> </w:t>
      </w:r>
      <w:r>
        <w:t xml:space="preserve">later in 2022.</w:t>
      </w:r>
    </w:p>
    <w:p>
      <w:pPr>
        <w:pStyle w:val="Compact"/>
        <w:numPr>
          <w:ilvl w:val="0"/>
          <w:numId w:val="1009"/>
        </w:numPr>
      </w:pPr>
      <w:r>
        <w:t xml:space="preserve">OVERVIEW OF MONITORING STATIONS IN THE EU</w:t>
      </w:r>
      <w:r>
        <w:t xml:space="preserve"> </w:t>
      </w:r>
      <w:r>
        <w:t xml:space="preserve">Data included in this report was reported to the European Environment Agency by 24 March</w:t>
      </w:r>
    </w:p>
    <w:p>
      <w:pPr>
        <w:pStyle w:val="Compact"/>
        <w:numPr>
          <w:ilvl w:val="0"/>
          <w:numId w:val="1009"/>
        </w:numPr>
      </w:pPr>
      <w:r>
        <w:t xml:space="preserve">Air quality data is reported to the European Environment Agency for a total of 39</w:t>
      </w:r>
      <w:r>
        <w:t xml:space="preserve"> </w:t>
      </w:r>
      <w:r>
        <w:t xml:space="preserve">European countries, namely for all 27 EU Member States, as well as for Albania, Andorra,</w:t>
      </w:r>
      <w:r>
        <w:t xml:space="preserve"> </w:t>
      </w:r>
      <w:r>
        <w:t xml:space="preserve">Bosnia and Herzegovina, Iceland, Kosovo, Liechtenstein, Montenegro, North Macedonia,</w:t>
      </w:r>
      <w:r>
        <w:t xml:space="preserve"> </w:t>
      </w:r>
      <w:r>
        <w:t xml:space="preserve">Norway, Serbia, Switzerland and Turkey.</w:t>
      </w:r>
    </w:p>
    <w:p>
      <w:pPr>
        <w:pStyle w:val="FirstParagraph"/>
      </w:pPr>
      <w:r>
        <w:t xml:space="preserve">311</w:t>
      </w:r>
    </w:p>
    <w:p>
      <w:pPr>
        <w:pStyle w:val="BodyText"/>
      </w:pPr>
      <w:r>
        <w:t xml:space="preserve">The number of stations that reported data for each pollutant by country for the 27 EU</w:t>
      </w:r>
      <w:r>
        <w:t xml:space="preserve"> </w:t>
      </w:r>
      <w:r>
        <w:t xml:space="preserve">Member States is provided in Table A11.1.</w:t>
      </w:r>
    </w:p>
    <w:p>
      <w:pPr>
        <w:pStyle w:val="BodyText"/>
      </w:pPr>
      <w:r>
        <w:t xml:space="preserve">Table A11.1 Number of stations reporting data for each air pollutant by country</w:t>
      </w:r>
      <w:r>
        <w:t xml:space="preserve"> </w:t>
      </w:r>
      <w:r>
        <w:t xml:space="preserve">Country</w:t>
      </w:r>
      <w:r>
        <w:t xml:space="preserve"> </w:t>
      </w:r>
      <w:r>
        <w:t xml:space="preserve">PM1O</w:t>
      </w:r>
      <w:r>
        <w:t xml:space="preserve"> </w:t>
      </w:r>
      <w:r>
        <w:t xml:space="preserve">PM2.5</w:t>
      </w:r>
      <w:r>
        <w:t xml:space="preserve"> </w:t>
      </w:r>
      <w:r>
        <w:t xml:space="preserve">O3</w:t>
      </w:r>
      <w:r>
        <w:t xml:space="preserve"> </w:t>
      </w:r>
      <w:r>
        <w:t xml:space="preserve">NO2</w:t>
      </w:r>
      <w:r>
        <w:t xml:space="preserve"> </w:t>
      </w:r>
      <w:r>
        <w:t xml:space="preserve">BaP</w:t>
      </w:r>
      <w:r>
        <w:t xml:space="preserve"> </w:t>
      </w:r>
      <w:r>
        <w:t xml:space="preserve">SO2</w:t>
      </w:r>
      <w:r>
        <w:t xml:space="preserve"> </w:t>
      </w:r>
      <w:r>
        <w:t xml:space="preserve">CO</w:t>
      </w:r>
      <w:r>
        <w:t xml:space="preserve"> </w:t>
      </w:r>
      <w:r>
        <w:t xml:space="preserve">C6H6</w:t>
      </w:r>
      <w:r>
        <w:t xml:space="preserve"> </w:t>
      </w:r>
      <w:r>
        <w:t xml:space="preserve">As</w:t>
      </w:r>
      <w:r>
        <w:t xml:space="preserve"> </w:t>
      </w:r>
      <w:r>
        <w:t xml:space="preserve">Cd</w:t>
      </w:r>
      <w:r>
        <w:t xml:space="preserve"> </w:t>
      </w:r>
      <w:r>
        <w:t xml:space="preserve">Pb</w:t>
      </w:r>
      <w:r>
        <w:t xml:space="preserve"> </w:t>
      </w:r>
      <w:r>
        <w:t xml:space="preserve">Ni</w:t>
      </w:r>
      <w:r>
        <w:t xml:space="preserve"> </w:t>
      </w:r>
      <w:r>
        <w:t xml:space="preserve">Belgium</w:t>
      </w:r>
      <w:r>
        <w:t xml:space="preserve"> </w:t>
      </w:r>
      <w:r>
        <w:t xml:space="preserve">65</w:t>
      </w:r>
      <w:r>
        <w:t xml:space="preserve"> </w:t>
      </w:r>
      <w:r>
        <w:t xml:space="preserve">70</w:t>
      </w:r>
      <w:r>
        <w:t xml:space="preserve"> </w:t>
      </w:r>
      <w:r>
        <w:t xml:space="preserve">40</w:t>
      </w:r>
      <w:r>
        <w:t xml:space="preserve"> </w:t>
      </w:r>
      <w:r>
        <w:t xml:space="preserve">121</w:t>
      </w:r>
      <w:r>
        <w:t xml:space="preserve"> </w:t>
      </w:r>
      <w:r>
        <w:t xml:space="preserve">23</w:t>
      </w:r>
      <w:r>
        <w:t xml:space="preserve"> </w:t>
      </w:r>
      <w:r>
        <w:t xml:space="preserve">25</w:t>
      </w:r>
      <w:r>
        <w:t xml:space="preserve"> </w:t>
      </w:r>
      <w:r>
        <w:t xml:space="preserve">20</w:t>
      </w:r>
      <w:r>
        <w:t xml:space="preserve"> </w:t>
      </w:r>
      <w:r>
        <w:t xml:space="preserve">20</w:t>
      </w:r>
      <w:r>
        <w:t xml:space="preserve"> </w:t>
      </w:r>
      <w:r>
        <w:t xml:space="preserve">22</w:t>
      </w:r>
      <w:r>
        <w:t xml:space="preserve"> </w:t>
      </w:r>
      <w:r>
        <w:t xml:space="preserve">22</w:t>
      </w:r>
      <w:r>
        <w:t xml:space="preserve"> </w:t>
      </w:r>
      <w:r>
        <w:t xml:space="preserve">23</w:t>
      </w:r>
      <w:r>
        <w:t xml:space="preserve"> </w:t>
      </w:r>
      <w:r>
        <w:t xml:space="preserve">22</w:t>
      </w:r>
      <w:r>
        <w:t xml:space="preserve"> </w:t>
      </w:r>
      <w:r>
        <w:t xml:space="preserve">Bulgaria</w:t>
      </w:r>
      <w:r>
        <w:t xml:space="preserve"> </w:t>
      </w:r>
      <w:r>
        <w:t xml:space="preserve">40</w:t>
      </w:r>
      <w:r>
        <w:t xml:space="preserve"> </w:t>
      </w:r>
      <w:r>
        <w:t xml:space="preserve">6</w:t>
      </w:r>
      <w:r>
        <w:t xml:space="preserve"> </w:t>
      </w:r>
      <w:r>
        <w:t xml:space="preserve">20</w:t>
      </w:r>
      <w:r>
        <w:t xml:space="preserve"> </w:t>
      </w:r>
      <w:r>
        <w:t xml:space="preserve">22</w:t>
      </w:r>
      <w:r>
        <w:t xml:space="preserve"> </w:t>
      </w:r>
      <w:r>
        <w:t xml:space="preserve">15</w:t>
      </w:r>
      <w:r>
        <w:t xml:space="preserve"> </w:t>
      </w:r>
      <w:r>
        <w:t xml:space="preserve">27</w:t>
      </w:r>
      <w:r>
        <w:t xml:space="preserve"> </w:t>
      </w:r>
      <w:r>
        <w:t xml:space="preserve">16</w:t>
      </w:r>
      <w:r>
        <w:t xml:space="preserve"> </w:t>
      </w:r>
      <w:r>
        <w:t xml:space="preserve">18</w:t>
      </w:r>
      <w:r>
        <w:t xml:space="preserve"> </w:t>
      </w:r>
      <w:r>
        <w:t xml:space="preserve">7</w:t>
      </w:r>
      <w:r>
        <w:t xml:space="preserve"> </w:t>
      </w:r>
      <w:r>
        <w:t xml:space="preserve">12</w:t>
      </w:r>
      <w:r>
        <w:t xml:space="preserve"> </w:t>
      </w:r>
      <w:r>
        <w:t xml:space="preserve">11</w:t>
      </w:r>
      <w:r>
        <w:t xml:space="preserve"> </w:t>
      </w:r>
      <w:r>
        <w:t xml:space="preserve">7</w:t>
      </w:r>
      <w:r>
        <w:t xml:space="preserve"> </w:t>
      </w:r>
      <w:r>
        <w:t xml:space="preserve">Czechia</w:t>
      </w:r>
      <w:r>
        <w:t xml:space="preserve"> </w:t>
      </w:r>
      <w:r>
        <w:t xml:space="preserve">148</w:t>
      </w:r>
      <w:r>
        <w:t xml:space="preserve"> </w:t>
      </w:r>
      <w:r>
        <w:t xml:space="preserve">91</w:t>
      </w:r>
      <w:r>
        <w:t xml:space="preserve"> </w:t>
      </w:r>
      <w:r>
        <w:t xml:space="preserve">64</w:t>
      </w:r>
      <w:r>
        <w:t xml:space="preserve"> </w:t>
      </w:r>
      <w:r>
        <w:t xml:space="preserve">96</w:t>
      </w:r>
      <w:r>
        <w:t xml:space="preserve"> </w:t>
      </w:r>
      <w:r>
        <w:t xml:space="preserve">53</w:t>
      </w:r>
      <w:r>
        <w:t xml:space="preserve"> </w:t>
      </w:r>
      <w:r>
        <w:t xml:space="preserve">57</w:t>
      </w:r>
      <w:r>
        <w:t xml:space="preserve"> </w:t>
      </w:r>
      <w:r>
        <w:t xml:space="preserve">21</w:t>
      </w:r>
      <w:r>
        <w:t xml:space="preserve"> </w:t>
      </w:r>
      <w:r>
        <w:t xml:space="preserve">31</w:t>
      </w:r>
      <w:r>
        <w:t xml:space="preserve"> </w:t>
      </w:r>
      <w:r>
        <w:t xml:space="preserve">58</w:t>
      </w:r>
      <w:r>
        <w:t xml:space="preserve"> </w:t>
      </w:r>
      <w:r>
        <w:t xml:space="preserve">59</w:t>
      </w:r>
      <w:r>
        <w:t xml:space="preserve"> </w:t>
      </w:r>
      <w:r>
        <w:t xml:space="preserve">59</w:t>
      </w:r>
      <w:r>
        <w:t xml:space="preserve"> </w:t>
      </w:r>
      <w:r>
        <w:t xml:space="preserve">59</w:t>
      </w:r>
      <w:r>
        <w:t xml:space="preserve"> </w:t>
      </w:r>
      <w:r>
        <w:t xml:space="preserve">Denmark</w:t>
      </w:r>
      <w:r>
        <w:t xml:space="preserve"> </w:t>
      </w:r>
      <w:r>
        <w:t xml:space="preserve">7</w:t>
      </w:r>
      <w:r>
        <w:t xml:space="preserve"> </w:t>
      </w:r>
      <w:r>
        <w:t xml:space="preserve">9</w:t>
      </w:r>
      <w:r>
        <w:t xml:space="preserve"> </w:t>
      </w:r>
      <w:r>
        <w:t xml:space="preserve">8</w:t>
      </w:r>
      <w:r>
        <w:t xml:space="preserve"> </w:t>
      </w:r>
      <w:r>
        <w:t xml:space="preserve">14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Germany</w:t>
      </w:r>
      <w:r>
        <w:t xml:space="preserve"> </w:t>
      </w:r>
      <w:r>
        <w:t xml:space="preserve">380</w:t>
      </w:r>
      <w:r>
        <w:t xml:space="preserve"> </w:t>
      </w:r>
      <w:r>
        <w:t xml:space="preserve">230</w:t>
      </w:r>
      <w:r>
        <w:t xml:space="preserve"> </w:t>
      </w:r>
      <w:r>
        <w:t xml:space="preserve">265</w:t>
      </w:r>
      <w:r>
        <w:t xml:space="preserve"> </w:t>
      </w:r>
      <w:r>
        <w:t xml:space="preserve">619</w:t>
      </w:r>
      <w:r>
        <w:t xml:space="preserve"> </w:t>
      </w:r>
      <w:r>
        <w:t xml:space="preserve">111</w:t>
      </w:r>
      <w:r>
        <w:t xml:space="preserve"> </w:t>
      </w:r>
      <w:r>
        <w:t xml:space="preserve">111</w:t>
      </w:r>
      <w:r>
        <w:t xml:space="preserve"> </w:t>
      </w:r>
      <w:r>
        <w:t xml:space="preserve">85</w:t>
      </w:r>
      <w:r>
        <w:t xml:space="preserve"> </w:t>
      </w:r>
      <w:r>
        <w:t xml:space="preserve">108</w:t>
      </w:r>
      <w:r>
        <w:t xml:space="preserve"> </w:t>
      </w:r>
      <w:r>
        <w:t xml:space="preserve">98</w:t>
      </w:r>
      <w:r>
        <w:t xml:space="preserve"> </w:t>
      </w:r>
      <w:r>
        <w:t xml:space="preserve">98</w:t>
      </w:r>
      <w:r>
        <w:t xml:space="preserve"> </w:t>
      </w:r>
      <w:r>
        <w:t xml:space="preserve">98</w:t>
      </w:r>
      <w:r>
        <w:t xml:space="preserve"> </w:t>
      </w:r>
      <w:r>
        <w:t xml:space="preserve">98</w:t>
      </w:r>
      <w:r>
        <w:t xml:space="preserve"> </w:t>
      </w:r>
      <w:r>
        <w:t xml:space="preserve">Estonia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5</w:t>
      </w:r>
      <w:r>
        <w:t xml:space="preserve"> </w:t>
      </w:r>
      <w:r>
        <w:t xml:space="preserve">9</w:t>
      </w:r>
      <w:r>
        <w:t xml:space="preserve"> </w:t>
      </w:r>
      <w:r>
        <w:t xml:space="preserve">7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Ireland</w:t>
      </w:r>
      <w:r>
        <w:t xml:space="preserve"> </w:t>
      </w:r>
      <w:r>
        <w:t xml:space="preserve">37</w:t>
      </w:r>
      <w:r>
        <w:t xml:space="preserve"> </w:t>
      </w:r>
      <w:r>
        <w:t xml:space="preserve">31</w:t>
      </w:r>
      <w:r>
        <w:t xml:space="preserve"> </w:t>
      </w:r>
      <w:r>
        <w:t xml:space="preserve">17</w:t>
      </w:r>
      <w:r>
        <w:t xml:space="preserve"> </w:t>
      </w:r>
      <w:r>
        <w:t xml:space="preserve">22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Greece</w:t>
      </w:r>
      <w:r>
        <w:t xml:space="preserve"> </w:t>
      </w:r>
      <w:r>
        <w:t xml:space="preserve">23</w:t>
      </w:r>
      <w:r>
        <w:t xml:space="preserve"> </w:t>
      </w:r>
      <w:r>
        <w:t xml:space="preserve">11</w:t>
      </w:r>
      <w:r>
        <w:t xml:space="preserve"> </w:t>
      </w:r>
      <w:r>
        <w:t xml:space="preserve">16</w:t>
      </w:r>
      <w:r>
        <w:t xml:space="preserve"> </w:t>
      </w:r>
      <w:r>
        <w:t xml:space="preserve">21</w:t>
      </w:r>
      <w:r>
        <w:t xml:space="preserve"> </w:t>
      </w:r>
      <w:r>
        <w:t xml:space="preserve">0</w:t>
      </w:r>
      <w:r>
        <w:t xml:space="preserve"> </w:t>
      </w:r>
      <w:r>
        <w:t xml:space="preserve">8</w:t>
      </w:r>
      <w:r>
        <w:t xml:space="preserve"> </w:t>
      </w:r>
      <w:r>
        <w:t xml:space="preserve">6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Spain</w:t>
      </w:r>
      <w:r>
        <w:t xml:space="preserve"> </w:t>
      </w:r>
      <w:r>
        <w:t xml:space="preserve">450</w:t>
      </w:r>
      <w:r>
        <w:t xml:space="preserve"> </w:t>
      </w:r>
      <w:r>
        <w:t xml:space="preserve">240</w:t>
      </w:r>
      <w:r>
        <w:t xml:space="preserve"> </w:t>
      </w:r>
      <w:r>
        <w:t xml:space="preserve">410</w:t>
      </w:r>
      <w:r>
        <w:t xml:space="preserve"> </w:t>
      </w:r>
      <w:r>
        <w:t xml:space="preserve">494</w:t>
      </w:r>
      <w:r>
        <w:t xml:space="preserve"> </w:t>
      </w:r>
      <w:r>
        <w:t xml:space="preserve">70</w:t>
      </w:r>
      <w:r>
        <w:t xml:space="preserve"> </w:t>
      </w:r>
      <w:r>
        <w:t xml:space="preserve">389</w:t>
      </w:r>
      <w:r>
        <w:t xml:space="preserve"> </w:t>
      </w:r>
      <w:r>
        <w:t xml:space="preserve">176</w:t>
      </w:r>
      <w:r>
        <w:t xml:space="preserve"> </w:t>
      </w:r>
      <w:r>
        <w:t xml:space="preserve">80</w:t>
      </w:r>
      <w:r>
        <w:t xml:space="preserve"> </w:t>
      </w:r>
      <w:r>
        <w:t xml:space="preserve">91</w:t>
      </w:r>
      <w:r>
        <w:t xml:space="preserve"> </w:t>
      </w:r>
      <w:r>
        <w:t xml:space="preserve">91</w:t>
      </w:r>
      <w:r>
        <w:t xml:space="preserve"> </w:t>
      </w:r>
      <w:r>
        <w:t xml:space="preserve">94</w:t>
      </w:r>
      <w:r>
        <w:t xml:space="preserve"> </w:t>
      </w:r>
      <w:r>
        <w:t xml:space="preserve">91</w:t>
      </w:r>
      <w:r>
        <w:t xml:space="preserve"> </w:t>
      </w:r>
      <w:r>
        <w:t xml:space="preserve">France</w:t>
      </w:r>
      <w:r>
        <w:t xml:space="preserve"> </w:t>
      </w:r>
      <w:r>
        <w:t xml:space="preserve">358</w:t>
      </w:r>
      <w:r>
        <w:t xml:space="preserve"> </w:t>
      </w:r>
      <w:r>
        <w:t xml:space="preserve">172</w:t>
      </w:r>
      <w:r>
        <w:t xml:space="preserve"> </w:t>
      </w:r>
      <w:r>
        <w:t xml:space="preserve">304</w:t>
      </w:r>
      <w:r>
        <w:t xml:space="preserve"> </w:t>
      </w:r>
      <w:r>
        <w:t xml:space="preserve">379</w:t>
      </w:r>
      <w:r>
        <w:t xml:space="preserve"> </w:t>
      </w:r>
      <w:r>
        <w:t xml:space="preserve">47</w:t>
      </w:r>
      <w:r>
        <w:t xml:space="preserve"> </w:t>
      </w:r>
      <w:r>
        <w:t xml:space="preserve">95</w:t>
      </w:r>
      <w:r>
        <w:t xml:space="preserve"> </w:t>
      </w:r>
      <w:r>
        <w:t xml:space="preserve">16</w:t>
      </w:r>
      <w:r>
        <w:t xml:space="preserve"> </w:t>
      </w:r>
      <w:r>
        <w:t xml:space="preserve">28</w:t>
      </w:r>
      <w:r>
        <w:t xml:space="preserve"> </w:t>
      </w:r>
      <w:r>
        <w:t xml:space="preserve">52</w:t>
      </w:r>
      <w:r>
        <w:t xml:space="preserve"> </w:t>
      </w:r>
      <w:r>
        <w:t xml:space="preserve">52</w:t>
      </w:r>
      <w:r>
        <w:t xml:space="preserve"> </w:t>
      </w:r>
      <w:r>
        <w:t xml:space="preserve">55</w:t>
      </w:r>
      <w:r>
        <w:t xml:space="preserve"> </w:t>
      </w:r>
      <w:r>
        <w:t xml:space="preserve">53</w:t>
      </w:r>
      <w:r>
        <w:t xml:space="preserve"> </w:t>
      </w:r>
      <w:r>
        <w:t xml:space="preserve">Croatia</w:t>
      </w:r>
      <w:r>
        <w:t xml:space="preserve"> </w:t>
      </w:r>
      <w:r>
        <w:t xml:space="preserve">11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12</w:t>
      </w:r>
      <w:r>
        <w:t xml:space="preserve"> </w:t>
      </w:r>
      <w:r>
        <w:t xml:space="preserve">3</w:t>
      </w:r>
      <w:r>
        <w:t xml:space="preserve"> </w:t>
      </w:r>
      <w:r>
        <w:t xml:space="preserve">7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Italy</w:t>
      </w:r>
      <w:r>
        <w:t xml:space="preserve"> </w:t>
      </w:r>
      <w:r>
        <w:t xml:space="preserve">540</w:t>
      </w:r>
      <w:r>
        <w:t xml:space="preserve"> </w:t>
      </w:r>
      <w:r>
        <w:t xml:space="preserve">293</w:t>
      </w:r>
      <w:r>
        <w:t xml:space="preserve"> </w:t>
      </w:r>
      <w:r>
        <w:t xml:space="preserve">339</w:t>
      </w:r>
      <w:r>
        <w:t xml:space="preserve"> </w:t>
      </w:r>
      <w:r>
        <w:t xml:space="preserve">603</w:t>
      </w:r>
      <w:r>
        <w:t xml:space="preserve"> </w:t>
      </w:r>
      <w:r>
        <w:t xml:space="preserve">161</w:t>
      </w:r>
      <w:r>
        <w:t xml:space="preserve"> </w:t>
      </w:r>
      <w:r>
        <w:t xml:space="preserve">223</w:t>
      </w:r>
      <w:r>
        <w:t xml:space="preserve"> </w:t>
      </w:r>
      <w:r>
        <w:t xml:space="preserve">204</w:t>
      </w:r>
      <w:r>
        <w:t xml:space="preserve"> </w:t>
      </w:r>
      <w:r>
        <w:t xml:space="preserve">226</w:t>
      </w:r>
      <w:r>
        <w:t xml:space="preserve"> </w:t>
      </w:r>
      <w:r>
        <w:t xml:space="preserve">140</w:t>
      </w:r>
      <w:r>
        <w:t xml:space="preserve"> </w:t>
      </w:r>
      <w:r>
        <w:t xml:space="preserve">140</w:t>
      </w:r>
      <w:r>
        <w:t xml:space="preserve"> </w:t>
      </w:r>
      <w:r>
        <w:t xml:space="preserve">135</w:t>
      </w:r>
      <w:r>
        <w:t xml:space="preserve"> </w:t>
      </w:r>
      <w:r>
        <w:t xml:space="preserve">133</w:t>
      </w:r>
      <w:r>
        <w:t xml:space="preserve"> </w:t>
      </w:r>
      <w:r>
        <w:t xml:space="preserve">Cyprus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Latvia</w:t>
      </w:r>
      <w:r>
        <w:t xml:space="preserve"> </w:t>
      </w:r>
      <w:r>
        <w:t xml:space="preserve">6</w:t>
      </w:r>
      <w:r>
        <w:t xml:space="preserve"> </w:t>
      </w:r>
      <w:r>
        <w:t xml:space="preserve">5</w:t>
      </w:r>
      <w:r>
        <w:t xml:space="preserve"> </w:t>
      </w:r>
      <w:r>
        <w:t xml:space="preserve">7</w:t>
      </w:r>
      <w:r>
        <w:t xml:space="preserve"> </w:t>
      </w:r>
      <w:r>
        <w:t xml:space="preserve">8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Lithuania</w:t>
      </w:r>
      <w:r>
        <w:t xml:space="preserve"> </w:t>
      </w:r>
      <w:r>
        <w:t xml:space="preserve">14</w:t>
      </w:r>
      <w:r>
        <w:t xml:space="preserve"> </w:t>
      </w:r>
      <w:r>
        <w:t xml:space="preserve">7</w:t>
      </w:r>
      <w:r>
        <w:t xml:space="preserve"> </w:t>
      </w:r>
      <w:r>
        <w:t xml:space="preserve">12</w:t>
      </w:r>
      <w:r>
        <w:t xml:space="preserve"> </w:t>
      </w:r>
      <w:r>
        <w:t xml:space="preserve">17</w:t>
      </w:r>
      <w:r>
        <w:t xml:space="preserve"> </w:t>
      </w:r>
      <w:r>
        <w:t xml:space="preserve">5</w:t>
      </w:r>
      <w:r>
        <w:t xml:space="preserve"> </w:t>
      </w:r>
      <w:r>
        <w:t xml:space="preserve">14</w:t>
      </w:r>
      <w:r>
        <w:t xml:space="preserve"> </w:t>
      </w:r>
      <w:r>
        <w:t xml:space="preserve">9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Luxembourg</w:t>
      </w:r>
      <w:r>
        <w:t xml:space="preserve"> </w:t>
      </w:r>
      <w:r>
        <w:t xml:space="preserve">6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8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Hungary</w:t>
      </w:r>
      <w:r>
        <w:t xml:space="preserve"> </w:t>
      </w:r>
      <w:r>
        <w:t xml:space="preserve">23</w:t>
      </w:r>
      <w:r>
        <w:t xml:space="preserve"> </w:t>
      </w:r>
      <w:r>
        <w:t xml:space="preserve">11</w:t>
      </w:r>
      <w:r>
        <w:t xml:space="preserve"> </w:t>
      </w:r>
      <w:r>
        <w:t xml:space="preserve">18</w:t>
      </w:r>
      <w:r>
        <w:t xml:space="preserve"> </w:t>
      </w:r>
      <w:r>
        <w:t xml:space="preserve">22</w:t>
      </w:r>
      <w:r>
        <w:t xml:space="preserve"> </w:t>
      </w:r>
      <w:r>
        <w:t xml:space="preserve">16</w:t>
      </w:r>
      <w:r>
        <w:t xml:space="preserve"> </w:t>
      </w:r>
      <w:r>
        <w:t xml:space="preserve">23</w:t>
      </w:r>
      <w:r>
        <w:t xml:space="preserve"> </w:t>
      </w:r>
      <w:r>
        <w:t xml:space="preserve">21</w:t>
      </w:r>
      <w:r>
        <w:t xml:space="preserve"> </w:t>
      </w:r>
      <w:r>
        <w:t xml:space="preserve">12</w:t>
      </w:r>
      <w:r>
        <w:t xml:space="preserve"> </w:t>
      </w:r>
      <w:r>
        <w:t xml:space="preserve">16</w:t>
      </w:r>
      <w:r>
        <w:t xml:space="preserve"> </w:t>
      </w:r>
      <w:r>
        <w:t xml:space="preserve">16</w:t>
      </w:r>
      <w:r>
        <w:t xml:space="preserve"> </w:t>
      </w:r>
      <w:r>
        <w:t xml:space="preserve">16</w:t>
      </w:r>
      <w:r>
        <w:t xml:space="preserve"> </w:t>
      </w:r>
      <w:r>
        <w:t xml:space="preserve">16</w:t>
      </w:r>
      <w:r>
        <w:t xml:space="preserve"> </w:t>
      </w:r>
      <w:r>
        <w:t xml:space="preserve">Malta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Netherlands</w:t>
      </w:r>
      <w:r>
        <w:t xml:space="preserve"> </w:t>
      </w:r>
      <w:r>
        <w:t xml:space="preserve">66</w:t>
      </w:r>
      <w:r>
        <w:t xml:space="preserve"> </w:t>
      </w:r>
      <w:r>
        <w:t xml:space="preserve">46</w:t>
      </w:r>
      <w:r>
        <w:t xml:space="preserve"> </w:t>
      </w:r>
      <w:r>
        <w:t xml:space="preserve">45</w:t>
      </w:r>
      <w:r>
        <w:t xml:space="preserve"> </w:t>
      </w:r>
      <w:r>
        <w:t xml:space="preserve">71</w:t>
      </w:r>
      <w:r>
        <w:t xml:space="preserve"> </w:t>
      </w:r>
      <w:r>
        <w:t xml:space="preserve">3</w:t>
      </w:r>
      <w:r>
        <w:t xml:space="preserve"> </w:t>
      </w:r>
      <w:r>
        <w:t xml:space="preserve">14</w:t>
      </w:r>
      <w:r>
        <w:t xml:space="preserve"> </w:t>
      </w:r>
      <w:r>
        <w:t xml:space="preserve">6</w:t>
      </w:r>
      <w:r>
        <w:t xml:space="preserve"> </w:t>
      </w:r>
      <w:r>
        <w:t xml:space="preserve">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Austria</w:t>
      </w:r>
      <w:r>
        <w:t xml:space="preserve"> </w:t>
      </w:r>
      <w:r>
        <w:t xml:space="preserve">123</w:t>
      </w:r>
      <w:r>
        <w:t xml:space="preserve"> </w:t>
      </w:r>
      <w:r>
        <w:t xml:space="preserve">57</w:t>
      </w:r>
      <w:r>
        <w:t xml:space="preserve"> </w:t>
      </w:r>
      <w:r>
        <w:t xml:space="preserve">102</w:t>
      </w:r>
      <w:r>
        <w:t xml:space="preserve"> </w:t>
      </w:r>
      <w:r>
        <w:t xml:space="preserve">143</w:t>
      </w:r>
      <w:r>
        <w:t xml:space="preserve"> </w:t>
      </w:r>
      <w:r>
        <w:t xml:space="preserve">34</w:t>
      </w:r>
      <w:r>
        <w:t xml:space="preserve"> </w:t>
      </w:r>
      <w:r>
        <w:t xml:space="preserve">65</w:t>
      </w:r>
      <w:r>
        <w:t xml:space="preserve"> </w:t>
      </w:r>
      <w:r>
        <w:t xml:space="preserve">27</w:t>
      </w:r>
      <w:r>
        <w:t xml:space="preserve"> </w:t>
      </w:r>
      <w:r>
        <w:t xml:space="preserve">18</w:t>
      </w:r>
      <w:r>
        <w:t xml:space="preserve"> </w:t>
      </w:r>
      <w:r>
        <w:t xml:space="preserve">12</w:t>
      </w:r>
      <w:r>
        <w:t xml:space="preserve"> </w:t>
      </w:r>
      <w:r>
        <w:t xml:space="preserve">13</w:t>
      </w:r>
      <w:r>
        <w:t xml:space="preserve"> </w:t>
      </w:r>
      <w:r>
        <w:t xml:space="preserve">12</w:t>
      </w:r>
      <w:r>
        <w:t xml:space="preserve"> </w:t>
      </w:r>
      <w:r>
        <w:t xml:space="preserve">12</w:t>
      </w:r>
      <w:r>
        <w:t xml:space="preserve"> </w:t>
      </w:r>
      <w:r>
        <w:t xml:space="preserve">Poland</w:t>
      </w:r>
      <w:r>
        <w:t xml:space="preserve"> </w:t>
      </w:r>
      <w:r>
        <w:t xml:space="preserve">242</w:t>
      </w:r>
      <w:r>
        <w:t xml:space="preserve"> </w:t>
      </w:r>
      <w:r>
        <w:t xml:space="preserve">123</w:t>
      </w:r>
      <w:r>
        <w:t xml:space="preserve"> </w:t>
      </w:r>
      <w:r>
        <w:t xml:space="preserve">101</w:t>
      </w:r>
      <w:r>
        <w:t xml:space="preserve"> </w:t>
      </w:r>
      <w:r>
        <w:t xml:space="preserve">142</w:t>
      </w:r>
      <w:r>
        <w:t xml:space="preserve"> </w:t>
      </w:r>
      <w:r>
        <w:t xml:space="preserve">157</w:t>
      </w:r>
      <w:r>
        <w:t xml:space="preserve"> </w:t>
      </w:r>
      <w:r>
        <w:t xml:space="preserve">102</w:t>
      </w:r>
      <w:r>
        <w:t xml:space="preserve"> </w:t>
      </w:r>
      <w:r>
        <w:t xml:space="preserve">68</w:t>
      </w:r>
      <w:r>
        <w:t xml:space="preserve"> </w:t>
      </w:r>
      <w:r>
        <w:t xml:space="preserve">61</w:t>
      </w:r>
      <w:r>
        <w:t xml:space="preserve"> </w:t>
      </w:r>
      <w:r>
        <w:t xml:space="preserve">72</w:t>
      </w:r>
      <w:r>
        <w:t xml:space="preserve"> </w:t>
      </w:r>
      <w:r>
        <w:t xml:space="preserve">71</w:t>
      </w:r>
      <w:r>
        <w:t xml:space="preserve"> </w:t>
      </w:r>
      <w:r>
        <w:t xml:space="preserve">73</w:t>
      </w:r>
      <w:r>
        <w:t xml:space="preserve"> </w:t>
      </w:r>
      <w:r>
        <w:t xml:space="preserve">71</w:t>
      </w:r>
      <w:r>
        <w:t xml:space="preserve"> </w:t>
      </w:r>
      <w:r>
        <w:t xml:space="preserve">Portugal</w:t>
      </w:r>
      <w:r>
        <w:t xml:space="preserve"> </w:t>
      </w:r>
      <w:r>
        <w:t xml:space="preserve">40</w:t>
      </w:r>
      <w:r>
        <w:t xml:space="preserve"> </w:t>
      </w:r>
      <w:r>
        <w:t xml:space="preserve">16</w:t>
      </w:r>
      <w:r>
        <w:t xml:space="preserve"> </w:t>
      </w:r>
      <w:r>
        <w:t xml:space="preserve">39</w:t>
      </w:r>
      <w:r>
        <w:t xml:space="preserve"> </w:t>
      </w:r>
      <w:r>
        <w:t xml:space="preserve">44</w:t>
      </w:r>
      <w:r>
        <w:t xml:space="preserve"> </w:t>
      </w:r>
      <w:r>
        <w:t xml:space="preserve">0</w:t>
      </w:r>
      <w:r>
        <w:t xml:space="preserve"> </w:t>
      </w:r>
      <w:r>
        <w:t xml:space="preserve">17</w:t>
      </w:r>
      <w:r>
        <w:t xml:space="preserve"> </w:t>
      </w:r>
      <w:r>
        <w:t xml:space="preserve">13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Romania</w:t>
      </w:r>
      <w:r>
        <w:t xml:space="preserve"> </w:t>
      </w:r>
      <w:r>
        <w:t xml:space="preserve">23</w:t>
      </w:r>
      <w:r>
        <w:t xml:space="preserve"> </w:t>
      </w:r>
      <w:r>
        <w:t xml:space="preserve">5</w:t>
      </w:r>
      <w:r>
        <w:t xml:space="preserve"> </w:t>
      </w:r>
      <w:r>
        <w:t xml:space="preserve">28</w:t>
      </w:r>
      <w:r>
        <w:t xml:space="preserve"> </w:t>
      </w:r>
      <w:r>
        <w:t xml:space="preserve">32</w:t>
      </w:r>
      <w:r>
        <w:t xml:space="preserve"> </w:t>
      </w:r>
      <w:r>
        <w:t xml:space="preserve">3</w:t>
      </w:r>
      <w:r>
        <w:t xml:space="preserve"> </w:t>
      </w:r>
      <w:r>
        <w:t xml:space="preserve">19</w:t>
      </w:r>
      <w:r>
        <w:t xml:space="preserve"> </w:t>
      </w:r>
      <w:r>
        <w:t xml:space="preserve">21</w:t>
      </w:r>
      <w:r>
        <w:t xml:space="preserve"> </w:t>
      </w:r>
      <w:r>
        <w:t xml:space="preserve">49</w:t>
      </w:r>
      <w:r>
        <w:t xml:space="preserve"> </w:t>
      </w:r>
      <w:r>
        <w:t xml:space="preserve">23</w:t>
      </w:r>
      <w:r>
        <w:t xml:space="preserve"> </w:t>
      </w:r>
      <w:r>
        <w:t xml:space="preserve">34</w:t>
      </w:r>
      <w:r>
        <w:t xml:space="preserve"> </w:t>
      </w:r>
      <w:r>
        <w:t xml:space="preserve">32</w:t>
      </w:r>
      <w:r>
        <w:t xml:space="preserve"> </w:t>
      </w:r>
      <w:r>
        <w:t xml:space="preserve">34</w:t>
      </w:r>
      <w:r>
        <w:t xml:space="preserve"> </w:t>
      </w:r>
      <w:r>
        <w:t xml:space="preserve">Slovenia</w:t>
      </w:r>
      <w:r>
        <w:t xml:space="preserve"> </w:t>
      </w:r>
      <w:r>
        <w:t xml:space="preserve">18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8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Slovakia</w:t>
      </w:r>
      <w:r>
        <w:t xml:space="preserve"> </w:t>
      </w:r>
      <w:r>
        <w:t xml:space="preserve">34</w:t>
      </w:r>
      <w:r>
        <w:t xml:space="preserve"> </w:t>
      </w:r>
      <w:r>
        <w:t xml:space="preserve">33</w:t>
      </w:r>
      <w:r>
        <w:t xml:space="preserve"> </w:t>
      </w:r>
      <w:r>
        <w:t xml:space="preserve">16</w:t>
      </w:r>
      <w:r>
        <w:t xml:space="preserve"> </w:t>
      </w:r>
      <w:r>
        <w:t xml:space="preserve">26</w:t>
      </w:r>
      <w:r>
        <w:t xml:space="preserve"> </w:t>
      </w:r>
      <w:r>
        <w:t xml:space="preserve">15</w:t>
      </w:r>
      <w:r>
        <w:t xml:space="preserve"> </w:t>
      </w:r>
      <w:r>
        <w:t xml:space="preserve">16</w:t>
      </w:r>
      <w:r>
        <w:t xml:space="preserve"> </w:t>
      </w:r>
      <w:r>
        <w:t xml:space="preserve">14</w:t>
      </w:r>
      <w:r>
        <w:t xml:space="preserve"> </w:t>
      </w:r>
      <w:r>
        <w:t xml:space="preserve">12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Finland</w:t>
      </w:r>
      <w:r>
        <w:t xml:space="preserve"> </w:t>
      </w:r>
      <w:r>
        <w:t xml:space="preserve">38</w:t>
      </w:r>
      <w:r>
        <w:t xml:space="preserve"> </w:t>
      </w:r>
      <w:r>
        <w:t xml:space="preserve">18</w:t>
      </w:r>
      <w:r>
        <w:t xml:space="preserve"> </w:t>
      </w:r>
      <w:r>
        <w:t xml:space="preserve">17</w:t>
      </w:r>
      <w:r>
        <w:t xml:space="preserve"> </w:t>
      </w:r>
      <w:r>
        <w:t xml:space="preserve">36</w:t>
      </w:r>
      <w:r>
        <w:t xml:space="preserve"> </w:t>
      </w:r>
      <w:r>
        <w:t xml:space="preserve">6</w:t>
      </w:r>
      <w:r>
        <w:t xml:space="preserve"> </w:t>
      </w:r>
      <w:r>
        <w:t xml:space="preserve">15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Sweden</w:t>
      </w:r>
      <w:r>
        <w:t xml:space="preserve"> </w:t>
      </w:r>
      <w:r>
        <w:t xml:space="preserve">56</w:t>
      </w:r>
      <w:r>
        <w:t xml:space="preserve"> </w:t>
      </w:r>
      <w:r>
        <w:t xml:space="preserve">32</w:t>
      </w:r>
      <w:r>
        <w:t xml:space="preserve"> </w:t>
      </w:r>
      <w:r>
        <w:t xml:space="preserve">27</w:t>
      </w:r>
      <w:r>
        <w:t xml:space="preserve"> </w:t>
      </w:r>
      <w:r>
        <w:t xml:space="preserve">91</w:t>
      </w:r>
      <w:r>
        <w:t xml:space="preserve"> </w:t>
      </w:r>
      <w:r>
        <w:t xml:space="preserve">3</w:t>
      </w:r>
      <w:r>
        <w:t xml:space="preserve"> </w:t>
      </w:r>
      <w:r>
        <w:t xml:space="preserve">24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EU-27</w:t>
      </w:r>
      <w:r>
        <w:t xml:space="preserve"> </w:t>
      </w:r>
      <w:r>
        <w:t xml:space="preserve">2.761</w:t>
      </w:r>
      <w:r>
        <w:t xml:space="preserve"> </w:t>
      </w:r>
      <w:r>
        <w:t xml:space="preserve">1.539</w:t>
      </w:r>
      <w:r>
        <w:t xml:space="preserve"> </w:t>
      </w:r>
      <w:r>
        <w:t xml:space="preserve">1.933</w:t>
      </w:r>
      <w:r>
        <w:t xml:space="preserve"> </w:t>
      </w:r>
      <w:r>
        <w:t xml:space="preserve">3.067</w:t>
      </w:r>
      <w:r>
        <w:t xml:space="preserve"> </w:t>
      </w:r>
      <w:r>
        <w:t xml:space="preserve">751</w:t>
      </w:r>
      <w:r>
        <w:t xml:space="preserve"> </w:t>
      </w:r>
      <w:r>
        <w:t xml:space="preserve">1.293</w:t>
      </w:r>
      <w:r>
        <w:t xml:space="preserve"> </w:t>
      </w:r>
      <w:r>
        <w:t xml:space="preserve">759</w:t>
      </w:r>
      <w:r>
        <w:t xml:space="preserve"> </w:t>
      </w:r>
      <w:r>
        <w:t xml:space="preserve">706</w:t>
      </w:r>
      <w:r>
        <w:t xml:space="preserve"> </w:t>
      </w:r>
      <w:r>
        <w:t xml:space="preserve">642</w:t>
      </w:r>
      <w:r>
        <w:t xml:space="preserve"> </w:t>
      </w:r>
      <w:r>
        <w:t xml:space="preserve">660</w:t>
      </w:r>
      <w:r>
        <w:t xml:space="preserve"> </w:t>
      </w:r>
      <w:r>
        <w:t xml:space="preserve">656</w:t>
      </w:r>
      <w:r>
        <w:t xml:space="preserve"> </w:t>
      </w:r>
      <w:r>
        <w:t xml:space="preserve">647</w:t>
      </w:r>
      <w:r>
        <w:t xml:space="preserve"> </w:t>
      </w:r>
      <w:r>
        <w:t xml:space="preserve">Total 177</w:t>
      </w:r>
      <w:r>
        <w:t xml:space="preserve"> </w:t>
      </w:r>
      <w:r>
        <w:t xml:space="preserve">3.102</w:t>
      </w:r>
      <w:r>
        <w:t xml:space="preserve"> </w:t>
      </w:r>
      <w:r>
        <w:t xml:space="preserve">1.711</w:t>
      </w:r>
      <w:r>
        <w:t xml:space="preserve"> </w:t>
      </w:r>
      <w:r>
        <w:t xml:space="preserve">2.128</w:t>
      </w:r>
      <w:r>
        <w:t xml:space="preserve"> </w:t>
      </w:r>
      <w:r>
        <w:t xml:space="preserve">3.334</w:t>
      </w:r>
      <w:r>
        <w:t xml:space="preserve"> </w:t>
      </w:r>
      <w:r>
        <w:t xml:space="preserve">767</w:t>
      </w:r>
      <w:r>
        <w:t xml:space="preserve"> </w:t>
      </w:r>
      <w:r>
        <w:t xml:space="preserve">1.574</w:t>
      </w:r>
      <w:r>
        <w:t xml:space="preserve"> </w:t>
      </w:r>
      <w:r>
        <w:t xml:space="preserve">903</w:t>
      </w:r>
      <w:r>
        <w:t xml:space="preserve"> </w:t>
      </w:r>
      <w:r>
        <w:t xml:space="preserve">718</w:t>
      </w:r>
      <w:r>
        <w:t xml:space="preserve"> </w:t>
      </w:r>
      <w:r>
        <w:t xml:space="preserve">661</w:t>
      </w:r>
      <w:r>
        <w:t xml:space="preserve"> </w:t>
      </w:r>
      <w:r>
        <w:t xml:space="preserve">680</w:t>
      </w:r>
      <w:r>
        <w:t xml:space="preserve"> </w:t>
      </w:r>
      <w:r>
        <w:t xml:space="preserve">675</w:t>
      </w:r>
      <w:r>
        <w:t xml:space="preserve"> </w:t>
      </w:r>
      <w:r>
        <w:t xml:space="preserve">666</w:t>
      </w:r>
    </w:p>
    <w:p>
      <w:pPr>
        <w:pStyle w:val="BodyText"/>
      </w:pPr>
      <w:r>
        <w:t xml:space="preserve">For most of the pollutants, data is only included in this assessment from those sampling</w:t>
      </w:r>
      <w:r>
        <w:t xml:space="preserve"> </w:t>
      </w:r>
      <w:r>
        <w:t xml:space="preserve">points stations that fulfil the criterion of reporting more than 75% of valid data for the full</w:t>
      </w:r>
      <w:r>
        <w:t xml:space="preserve"> </w:t>
      </w:r>
      <w:r>
        <w:t xml:space="preserve">year. While the Ambient Air Quality Directives set the objective of a minimum data capture</w:t>
      </w:r>
      <w:r>
        <w:t xml:space="preserve"> </w:t>
      </w:r>
      <w:r>
        <w:t xml:space="preserve">of 90% for monitoring stations for compliance purposes, for assessment purposes a coverage</w:t>
      </w:r>
      <w:r>
        <w:t xml:space="preserve"> </w:t>
      </w:r>
      <w:r>
        <w:t xml:space="preserve">of 75% allows more stations to be included without a significant increase in uncertainty.</w:t>
      </w:r>
    </w:p>
    <w:p>
      <w:pPr>
        <w:pStyle w:val="BodyText"/>
      </w:pPr>
      <w:r>
        <w:t xml:space="preserve">177 For all 39 countries that report air quality data to the European Environment Agency.</w:t>
      </w:r>
    </w:p>
    <w:p>
      <w:pPr>
        <w:pStyle w:val="BodyText"/>
      </w:pPr>
      <w:r>
        <w:t xml:space="preserve">312</w:t>
      </w:r>
    </w:p>
    <w:p>
      <w:pPr>
        <w:pStyle w:val="BodyText"/>
      </w:pPr>
      <w:r>
        <w:t xml:space="preserve">For random fixed measurements of particulate matter (PM), toxic metals (arsenic, cadmium,</w:t>
      </w:r>
      <w:r>
        <w:t xml:space="preserve"> </w:t>
      </w:r>
      <w:r>
        <w:t xml:space="preserve">nickel and lead) and Benzo(a)pyrene (BaP), the required amount of valid data for the analysis</w:t>
      </w:r>
      <w:r>
        <w:t xml:space="preserve"> </w:t>
      </w:r>
      <w:r>
        <w:t xml:space="preserve">is 14%, following the objectives for indicative measurements. For benzene, it is 50%.</w:t>
      </w:r>
      <w:r>
        <w:t xml:space="preserve"> </w:t>
      </w:r>
      <w:r>
        <w:t xml:space="preserve">Stations not fulfilling the minimum data coverage are listed in the Annual Air Quality</w:t>
      </w:r>
      <w:r>
        <w:t xml:space="preserve"> </w:t>
      </w:r>
      <w:r>
        <w:t xml:space="preserve">statistics table.178</w:t>
      </w:r>
      <w:r>
        <w:br/>
      </w:r>
      <w:r>
        <w:t xml:space="preserve">3.</w:t>
      </w:r>
      <w:r>
        <w:t xml:space="preserve"> </w:t>
      </w:r>
      <w:r>
        <w:t xml:space="preserve">CONCENTRATION LEVELS FOR KEY AIR POLLUTANTS IN THE EU</w:t>
      </w:r>
      <w:r>
        <w:t xml:space="preserve"> </w:t>
      </w:r>
      <w:r>
        <w:t xml:space="preserve">3.1</w:t>
      </w:r>
      <w:r>
        <w:t xml:space="preserve"> </w:t>
      </w:r>
      <w:r>
        <w:t xml:space="preserve">Fine particulate matter (PM2.5) and particulate matter (PM10)</w:t>
      </w:r>
      <w:r>
        <w:br/>
      </w:r>
      <w:r>
        <w:t xml:space="preserve">In terms of data coverage, PM2.5 data with a general minimum coverage of 75%, and of 14%</w:t>
      </w:r>
      <w:r>
        <w:t xml:space="preserve"> </w:t>
      </w:r>
      <w:r>
        <w:t xml:space="preserve">for fixed random stations, of valid data were received from 1 711 stations for the calculation</w:t>
      </w:r>
      <w:r>
        <w:t xml:space="preserve"> </w:t>
      </w:r>
      <w:r>
        <w:t xml:space="preserve">of annual mean concentrations and from 1 711 stations in relation to the short-term WHO Air</w:t>
      </w:r>
      <w:r>
        <w:t xml:space="preserve"> </w:t>
      </w:r>
      <w:r>
        <w:t xml:space="preserve">Quality Guidelines.</w:t>
      </w:r>
      <w:r>
        <w:br/>
      </w:r>
      <w:r>
        <w:t xml:space="preserve">a) PM2.5 annual mean concentration</w:t>
      </w:r>
      <w:r>
        <w:t xml:space="preserve"> </w:t>
      </w:r>
      <w:r>
        <w:t xml:space="preserve">The PM2.5 concentrations were higher than the EU annual limit value (25 µg/m3) in three EU</w:t>
      </w:r>
      <w:r>
        <w:t xml:space="preserve"> </w:t>
      </w:r>
      <w:r>
        <w:t xml:space="preserve">Member States and three other reporting countries (Figure A11.1). These concentrations</w:t>
      </w:r>
      <w:r>
        <w:t xml:space="preserve"> </w:t>
      </w:r>
      <w:r>
        <w:t xml:space="preserve">above the limit value were registered in 2% of all the reporting stations and occurred</w:t>
      </w:r>
      <w:r>
        <w:t xml:space="preserve"> </w:t>
      </w:r>
      <w:r>
        <w:t xml:space="preserve">primarily (90% of cases) in urban (69%) or suburban (21%) areas.</w:t>
      </w:r>
      <w:r>
        <w:t xml:space="preserve"> </w:t>
      </w:r>
      <w:r>
        <w:t xml:space="preserve">The WHO Air Quality Guidelines for PM2.5 annual mean (5 µg/m3) was exceeded at 92% of</w:t>
      </w:r>
      <w:r>
        <w:t xml:space="preserve"> </w:t>
      </w:r>
      <w:r>
        <w:t xml:space="preserve">the stations, located in 32 of the 33 countries reporting PM2.5 data.</w:t>
      </w:r>
      <w:r>
        <w:t xml:space="preserve"> </w:t>
      </w:r>
      <w:r>
        <w:t xml:space="preserve">Figure A11.1 - PM2.5 concentrations in relation to the annual limit value in 2020 by country. 179</w:t>
      </w:r>
    </w:p>
    <w:p>
      <w:pPr>
        <w:pStyle w:val="BodyText"/>
      </w:pPr>
      <w:r>
        <w:t xml:space="preserve">178 EEA (2022), Annual AQ statistics portal (accessed: 09.06.2022)</w:t>
      </w:r>
      <w:r>
        <w:t xml:space="preserve"> </w:t>
      </w:r>
      <w:r>
        <w:t xml:space="preserve">179 Note: The graph is based on annual mean concentration values. For each country, the number of stations</w:t>
      </w:r>
      <w:r>
        <w:t xml:space="preserve"> </w:t>
      </w:r>
      <w:r>
        <w:t xml:space="preserve">considered (in brackets) and the lowest, highest and average values (in µg/m³) recorded at its stations are given.</w:t>
      </w:r>
      <w:r>
        <w:t xml:space="preserve"> </w:t>
      </w:r>
      <w:r>
        <w:t xml:space="preserve">The rectangles mark the 25th and 75th percentiles. At 25% of the stations, levels are below the lower percentile;</w:t>
      </w:r>
      <w:r>
        <w:t xml:space="preserve"> </w:t>
      </w:r>
      <w:r>
        <w:t xml:space="preserve">at 25% of the stations, concentrations are above the upper percentile. The annual limit value and the indicative</w:t>
      </w:r>
      <w:r>
        <w:t xml:space="preserve"> </w:t>
      </w:r>
      <w:r>
        <w:t xml:space="preserve">annual limit value set by EU legislation are marked by the upper continuous horizontal lines at 25 and 20,</w:t>
      </w:r>
      <w:r>
        <w:t xml:space="preserve"> </w:t>
      </w:r>
      <w:r>
        <w:t xml:space="preserve">respectively. The WHO Air Quality Guidelines is marked by the lower dashed horizontal line.</w:t>
      </w:r>
    </w:p>
    <w:p>
      <w:pPr>
        <w:pStyle w:val="BodyText"/>
      </w:pPr>
      <w:r>
        <w:t xml:space="preserve">313</w:t>
      </w:r>
    </w:p>
    <w:p>
      <w:pPr>
        <w:pStyle w:val="BodyText"/>
      </w:pPr>
      <w:r>
        <w:t xml:space="preserve">Figure A11.2 shows the maps of measured PM2.5 annual mean concentrations from 2017 to</w:t>
      </w:r>
      <w:r>
        <w:t xml:space="preserve"> </w:t>
      </w:r>
      <w:r>
        <w:t xml:space="preserve">2020. In this way, any significant change in the spatial distribution of the values above the set</w:t>
      </w:r>
      <w:r>
        <w:br/>
      </w:r>
      <w:r>
        <w:t xml:space="preserve">thresholds in the legends can be observed.</w:t>
      </w:r>
    </w:p>
    <w:p>
      <w:pPr>
        <w:pStyle w:val="BodyText"/>
      </w:pPr>
      <w:r>
        <w:t xml:space="preserve">Figure A11.2 - PM2.5 annual mean concentrations for 2017-2020</w:t>
      </w:r>
    </w:p>
    <w:p>
      <w:pPr>
        <w:pStyle w:val="BodyText"/>
      </w:pPr>
      <w:r>
        <w:t xml:space="preserve">314</w:t>
      </w:r>
    </w:p>
    <w:p>
      <w:pPr>
        <w:pStyle w:val="BodyText"/>
      </w:pPr>
      <w:r>
        <w:t xml:space="preserve">Figure A11.3 - Annual mean PM2.5 concentrations between 2000 and 2020 by country</w:t>
      </w:r>
      <w:r>
        <w:br/>
      </w:r>
      <w:r>
        <w:t xml:space="preserve">Heatmaps with the evolution from 2000 of the mean PM2.5 annual mean concentrations at</w:t>
      </w:r>
      <w:r>
        <w:t xml:space="preserve"> </w:t>
      </w:r>
      <w:r>
        <w:t xml:space="preserve">country level are shown in Figure A11.3. In this way, the evolution along years of the</w:t>
      </w:r>
      <w:r>
        <w:t xml:space="preserve"> </w:t>
      </w:r>
      <w:r>
        <w:t xml:space="preserve">average measured concentration levels can be seen for each country. Note that meteorological</w:t>
      </w:r>
      <w:r>
        <w:t xml:space="preserve"> </w:t>
      </w:r>
      <w:r>
        <w:t xml:space="preserve">variability has a considerable impact on year-to-year changes in ambient air concentrations of</w:t>
      </w:r>
      <w:r>
        <w:t xml:space="preserve"> </w:t>
      </w:r>
      <w:r>
        <w:t xml:space="preserve">air pollutants.</w:t>
      </w:r>
    </w:p>
    <w:p>
      <w:pPr>
        <w:pStyle w:val="Compact"/>
        <w:numPr>
          <w:ilvl w:val="0"/>
          <w:numId w:val="1010"/>
        </w:numPr>
      </w:pPr>
      <w:r>
        <w:t xml:space="preserve">PM2.5 daily mean concentration</w:t>
      </w:r>
      <w:r>
        <w:t xml:space="preserve"> </w:t>
      </w:r>
      <w:r>
        <w:t xml:space="preserve">Although the EU has not set any short-term standard for PM2.5, the WHO defined in 2021 a</w:t>
      </w:r>
      <w:r>
        <w:t xml:space="preserve"> </w:t>
      </w:r>
      <w:r>
        <w:t xml:space="preserve">daily air quality level of 15 µg/m3, expressed as 99th percentile. It was exceeded at 95%</w:t>
      </w:r>
      <w:r>
        <w:t xml:space="preserve"> </w:t>
      </w:r>
      <w:r>
        <w:t xml:space="preserve">(1 616 stations) of all stations in the reporting countries. Figure A11.4 shows the maps of</w:t>
      </w:r>
      <w:r>
        <w:t xml:space="preserve"> </w:t>
      </w:r>
      <w:r>
        <w:t xml:space="preserve">measured PM2.5 annual mean concentrations from 2017 to 2020. In this way, any significant</w:t>
      </w:r>
      <w:r>
        <w:t xml:space="preserve"> </w:t>
      </w:r>
      <w:r>
        <w:t xml:space="preserve">change in the spatial distribution of the values above the set thresholds in the legends can be</w:t>
      </w:r>
      <w:r>
        <w:t xml:space="preserve"> </w:t>
      </w:r>
      <w:r>
        <w:t xml:space="preserve">observed.</w:t>
      </w:r>
    </w:p>
    <w:p>
      <w:pPr>
        <w:pStyle w:val="FirstParagraph"/>
      </w:pPr>
      <w:r>
        <w:t xml:space="preserve">315</w:t>
      </w:r>
    </w:p>
    <w:p>
      <w:pPr>
        <w:pStyle w:val="BodyText"/>
      </w:pPr>
      <w:r>
        <w:t xml:space="preserve">Figure A11.4 - PM2.5 annual mean concentrations for 2017-2020</w:t>
      </w:r>
      <w:r>
        <w:t xml:space="preserve"> </w:t>
      </w:r>
      <w:r>
        <w:t xml:space="preserve">c) PM10 annual mean concentration</w:t>
      </w:r>
      <w:r>
        <w:t xml:space="preserve"> </w:t>
      </w:r>
      <w:r>
        <w:t xml:space="preserve">In terms of data coverage, the European Environment Agency received PM10 data for 2020,</w:t>
      </w:r>
      <w:r>
        <w:t xml:space="preserve"> </w:t>
      </w:r>
      <w:r>
        <w:t xml:space="preserve">with sufficient valid measurements (a general minimum coverage of 75% and of 14% for</w:t>
      </w:r>
      <w:r>
        <w:t xml:space="preserve"> </w:t>
      </w:r>
      <w:r>
        <w:t xml:space="preserve">fixed random measurements) from 3 101 stations for the calculation of annual mean</w:t>
      </w:r>
      <w:r>
        <w:t xml:space="preserve"> </w:t>
      </w:r>
      <w:r>
        <w:t xml:space="preserve">concentrations and from 3 092 stations in relation to the daily limit value. Concentrations</w:t>
      </w:r>
      <w:r>
        <w:t xml:space="preserve"> </w:t>
      </w:r>
      <w:r>
        <w:t xml:space="preserve">above the PM10 annual limit value (40 µg/m3) were monitored in 5% (149 stations) of all the</w:t>
      </w:r>
      <w:r>
        <w:t xml:space="preserve"> </w:t>
      </w:r>
      <w:r>
        <w:t xml:space="preserve">reporting stations, located in six countries in EU Member States, and four other reporting</w:t>
      </w:r>
      <w:r>
        <w:t xml:space="preserve"> </w:t>
      </w:r>
      <w:r>
        <w:t xml:space="preserve">countries.</w:t>
      </w:r>
      <w:r>
        <w:br/>
      </w:r>
      <w:r>
        <w:t xml:space="preserve">The stricter value of the WHO Air Quality Guidelines for PM10 annual mean (15 µg/m3) was</w:t>
      </w:r>
      <w:r>
        <w:t xml:space="preserve"> </w:t>
      </w:r>
      <w:r>
        <w:t xml:space="preserve">exceeded at 68% (2 118) of the stations in all the reporting countries, except in Iceland</w:t>
      </w:r>
      <w:r>
        <w:t xml:space="preserve"> </w:t>
      </w:r>
      <w:r>
        <w:t xml:space="preserve">(Figure A11.5).</w:t>
      </w:r>
      <w:r>
        <w:t xml:space="preserve"> </w:t>
      </w:r>
      <w:r>
        <w:t xml:space="preserve">Figure A11.5 - PM10 concentrations in relation to the EU annual limit value180</w:t>
      </w:r>
    </w:p>
    <w:p>
      <w:pPr>
        <w:pStyle w:val="BodyText"/>
      </w:pPr>
      <w:r>
        <w:t xml:space="preserve">180 Note: The graph is based on annual mean concentration values. For each country, the number of stations</w:t>
      </w:r>
      <w:r>
        <w:t xml:space="preserve"> </w:t>
      </w:r>
      <w:r>
        <w:t xml:space="preserve">considered (in brackets) and the lowest, highest and average values (in µg/m³) recorded at its stations are</w:t>
      </w:r>
      <w:r>
        <w:t xml:space="preserve"> </w:t>
      </w:r>
      <w:r>
        <w:t xml:space="preserve">given. The rectangles mark the 25th and 75th percentiles. At 25% of the stations, levels are below the</w:t>
      </w:r>
    </w:p>
    <w:p>
      <w:pPr>
        <w:pStyle w:val="BodyText"/>
      </w:pPr>
      <w:r>
        <w:t xml:space="preserve">316</w:t>
      </w:r>
    </w:p>
    <w:p>
      <w:pPr>
        <w:pStyle w:val="BodyText"/>
      </w:pPr>
      <w:r>
        <w:t xml:space="preserve">Figure A11.6 shows the maps of PM10 annual mean concentrations at station level from 2017</w:t>
      </w:r>
      <w:r>
        <w:t xml:space="preserve"> </w:t>
      </w:r>
      <w:r>
        <w:t xml:space="preserve">to 2020. In this way, any significant change in the spatial distribution of the values above the</w:t>
      </w:r>
      <w:r>
        <w:t xml:space="preserve"> </w:t>
      </w:r>
      <w:r>
        <w:t xml:space="preserve">set thresholds in the legends can be observed.</w:t>
      </w:r>
      <w:r>
        <w:t xml:space="preserve"> </w:t>
      </w:r>
      <w:r>
        <w:t xml:space="preserve">Figure A11.7 presents heatmaps of evolution of the mean annual mean PM10 concentrations</w:t>
      </w:r>
      <w:r>
        <w:t xml:space="preserve"> </w:t>
      </w:r>
      <w:r>
        <w:t xml:space="preserve">from 2000 to 2020 at country level. Note that meteorological variability has a considerable</w:t>
      </w:r>
      <w:r>
        <w:t xml:space="preserve"> </w:t>
      </w:r>
      <w:r>
        <w:t xml:space="preserve">impact on year-to-year changes in ambient air concentrations of air pollutants.</w:t>
      </w:r>
    </w:p>
    <w:p>
      <w:pPr>
        <w:pStyle w:val="BodyText"/>
      </w:pPr>
      <w:r>
        <w:t xml:space="preserve">lower percentile; at 25% of the stations, concentrations are above the upper percentile. The annual limit</w:t>
      </w:r>
      <w:r>
        <w:t xml:space="preserve"> </w:t>
      </w:r>
      <w:r>
        <w:t xml:space="preserve">value set by EU legislation is marked by the upper continuous horizontal line. The WHO Air Quality</w:t>
      </w:r>
      <w:r>
        <w:t xml:space="preserve"> </w:t>
      </w:r>
      <w:r>
        <w:t xml:space="preserve">Guidelines is marked by the lower dashed horizontal line.</w:t>
      </w:r>
    </w:p>
    <w:p>
      <w:pPr>
        <w:pStyle w:val="BodyText"/>
      </w:pPr>
      <w:r>
        <w:t xml:space="preserve">317</w:t>
      </w:r>
    </w:p>
    <w:p>
      <w:pPr>
        <w:pStyle w:val="BodyText"/>
      </w:pPr>
      <w:r>
        <w:t xml:space="preserve">Figure A11.6 - PM10 annual mean concentrations for 2017 to 2020</w:t>
      </w:r>
      <w:r>
        <w:t xml:space="preserve"> </w:t>
      </w:r>
      <w:r>
        <w:t xml:space="preserve">Figure A11.7 - Heatmaps presenting the evolution of the annual mean PM10 concentrations at country level</w:t>
      </w:r>
      <w:r>
        <w:t xml:space="preserve"> </w:t>
      </w:r>
      <w:r>
        <w:t xml:space="preserve">from 2000 to 2020</w:t>
      </w:r>
    </w:p>
    <w:p>
      <w:pPr>
        <w:pStyle w:val="BodyText"/>
      </w:pPr>
      <w:r>
        <w:t xml:space="preserve">318</w:t>
      </w:r>
    </w:p>
    <w:p>
      <w:pPr>
        <w:pStyle w:val="Compact"/>
        <w:numPr>
          <w:ilvl w:val="0"/>
          <w:numId w:val="1011"/>
        </w:numPr>
      </w:pPr>
      <w:r>
        <w:t xml:space="preserve">PM10 daily mean concentration</w:t>
      </w:r>
      <w:r>
        <w:t xml:space="preserve"> </w:t>
      </w:r>
      <w:r>
        <w:t xml:space="preserve">15 EU Member States and five other reporting countries reported PM10 concentrations above</w:t>
      </w:r>
      <w:r>
        <w:t xml:space="preserve"> </w:t>
      </w:r>
      <w:r>
        <w:t xml:space="preserve">the EU daily limit value of 50 µg/m3 (Figure A11.8). This was the case for 16% (482) of</w:t>
      </w:r>
      <w:r>
        <w:t xml:space="preserve"> </w:t>
      </w:r>
      <w:r>
        <w:t xml:space="preserve">reporting stations. In total, 95% of those stations were either urban (84%) or suburban (11%).</w:t>
      </w:r>
      <w:r>
        <w:t xml:space="preserve"> </w:t>
      </w:r>
      <w:r>
        <w:t xml:space="preserve">The stricter WHO Air Quality Guidelines for PM10 daily mean (45 µg/m3) was exceeded at</w:t>
      </w:r>
      <w:r>
        <w:t xml:space="preserve"> </w:t>
      </w:r>
      <w:r>
        <w:t xml:space="preserve">61% (1 894) of the stations in all the reporting countries.</w:t>
      </w:r>
      <w:r>
        <w:t xml:space="preserve"> </w:t>
      </w:r>
      <w:r>
        <w:t xml:space="preserve">Figure A11.8 shows the maps of the 90.4 percentile of PM10 daily mean concentrations</w:t>
      </w:r>
      <w:r>
        <w:t xml:space="preserve"> </w:t>
      </w:r>
      <w:r>
        <w:t xml:space="preserve">(equivalent to the PM10 daily limit value) 2017 to 2020. In this way, any significant change in</w:t>
      </w:r>
      <w:r>
        <w:t xml:space="preserve"> </w:t>
      </w:r>
      <w:r>
        <w:t xml:space="preserve">the spatial distribution of the values above the set thresholds in the legends can be observed.</w:t>
      </w:r>
    </w:p>
    <w:p>
      <w:pPr>
        <w:pStyle w:val="FirstParagraph"/>
      </w:pPr>
      <w:r>
        <w:t xml:space="preserve">Figure A11.8 - PM10 daily mean concentrations for 2017 to 2020</w:t>
      </w:r>
    </w:p>
    <w:p>
      <w:pPr>
        <w:pStyle w:val="BodyText"/>
      </w:pPr>
      <w:r>
        <w:t xml:space="preserve">319</w:t>
      </w:r>
    </w:p>
    <w:p>
      <w:pPr>
        <w:pStyle w:val="BodyText"/>
      </w:pPr>
      <w:r>
        <w:t xml:space="preserve">3.2</w:t>
      </w:r>
      <w:r>
        <w:t xml:space="preserve"> </w:t>
      </w:r>
      <w:r>
        <w:t xml:space="preserve">Nitrogen dioxide (NO2)</w:t>
      </w:r>
      <w:r>
        <w:br/>
      </w:r>
      <w:r>
        <w:t xml:space="preserve">Reporting countries submitted NO2 data from 3 333 stations for the annual limit value, 3 019</w:t>
      </w:r>
      <w:r>
        <w:t xml:space="preserve"> </w:t>
      </w:r>
      <w:r>
        <w:t xml:space="preserve">stations for the hourly limit value, and 3 329 stations for the daily WHO Air Quality</w:t>
      </w:r>
      <w:r>
        <w:t xml:space="preserve"> </w:t>
      </w:r>
      <w:r>
        <w:t xml:space="preserve">Guidelines level.</w:t>
      </w:r>
      <w:r>
        <w:t xml:space="preserve"> </w:t>
      </w:r>
      <w:r>
        <w:t xml:space="preserve">a) NO2 annual mean concentration</w:t>
      </w:r>
      <w:r>
        <w:t xml:space="preserve"> </w:t>
      </w:r>
      <w:r>
        <w:t xml:space="preserve">Seven EU Member States and one other reporting country recorded concentrations above the</w:t>
      </w:r>
      <w:r>
        <w:t xml:space="preserve"> </w:t>
      </w:r>
      <w:r>
        <w:t xml:space="preserve">annual limit value (40 µg/m3), with exceedances reported by 2% of all the stations measuring</w:t>
      </w:r>
      <w:r>
        <w:t xml:space="preserve"> </w:t>
      </w:r>
      <w:r>
        <w:t xml:space="preserve">NO2. In contrast, 73% of stations, located in the EU Member States and nine other reporting</w:t>
      </w:r>
      <w:r>
        <w:t xml:space="preserve"> </w:t>
      </w:r>
      <w:r>
        <w:t xml:space="preserve">countries reported concentrations above the WHO Air Quality Guidelines level of 10 µg/m3.</w:t>
      </w:r>
      <w:r>
        <w:t xml:space="preserve"> </w:t>
      </w:r>
      <w:r>
        <w:t xml:space="preserve">Figure A11.9 presents the measured annual mean NO2 concentrations at country level. 69%</w:t>
      </w:r>
      <w:r>
        <w:t xml:space="preserve"> </w:t>
      </w:r>
      <w:r>
        <w:t xml:space="preserve">of all values above the annual limit value were observed at traffic stations. Furthermore,</w:t>
      </w:r>
      <w:r>
        <w:t xml:space="preserve"> </w:t>
      </w:r>
      <w:r>
        <w:t xml:space="preserve">100% of the stations with concentrations above the annual limit value were located in urban</w:t>
      </w:r>
      <w:r>
        <w:t xml:space="preserve"> </w:t>
      </w:r>
      <w:r>
        <w:t xml:space="preserve">or suburban areas.</w:t>
      </w:r>
      <w:r>
        <w:t xml:space="preserve"> </w:t>
      </w:r>
      <w:r>
        <w:t xml:space="preserve">Figure A11.9 – 2020 annual mean NO2 concentrations by country181</w:t>
      </w:r>
    </w:p>
    <w:p>
      <w:pPr>
        <w:pStyle w:val="BodyText"/>
      </w:pPr>
      <w:r>
        <w:t xml:space="preserve">Figure A11.10 presents maps of NO2 annual mean concentrations for the last four years.</w:t>
      </w:r>
      <w:r>
        <w:br/>
      </w:r>
      <w:r>
        <w:t xml:space="preserve">Heatmaps resenting the evolution of NO2 annual mean concentrations from 2000 to 2020 at</w:t>
      </w:r>
      <w:r>
        <w:t xml:space="preserve"> </w:t>
      </w:r>
      <w:r>
        <w:t xml:space="preserve">country level are shown in Figure A11.11. Note that meteorological variability has a</w:t>
      </w:r>
      <w:r>
        <w:t xml:space="preserve"> </w:t>
      </w:r>
      <w:r>
        <w:t xml:space="preserve">considerable impact on year-to-year changes in ambient air concentrations of air pollutants.</w:t>
      </w:r>
    </w:p>
    <w:p>
      <w:pPr>
        <w:pStyle w:val="BodyText"/>
      </w:pPr>
      <w:r>
        <w:t xml:space="preserve">181 Note: The graph is based on the annual mean concentration values. For each country, the number of</w:t>
      </w:r>
      <w:r>
        <w:t xml:space="preserve"> </w:t>
      </w:r>
      <w:r>
        <w:t xml:space="preserve">stations considered (in brackets) and the lowest, highest and average values (in µg/m³) recorded at its</w:t>
      </w:r>
      <w:r>
        <w:t xml:space="preserve"> </w:t>
      </w:r>
      <w:r>
        <w:t xml:space="preserve">stations are given. The rectangles mark the 25th and 75th percentiles. At 25% of the stations, levels are</w:t>
      </w:r>
      <w:r>
        <w:t xml:space="preserve"> </w:t>
      </w:r>
      <w:r>
        <w:t xml:space="preserve">below the lower percentile; at 25% of the stations, concentrations are above the upper percentile. The</w:t>
      </w:r>
      <w:r>
        <w:t xml:space="preserve"> </w:t>
      </w:r>
      <w:r>
        <w:t xml:space="preserve">limit value set by EU legislation is marked by the horizontal line. The WHO Air Quality Guidelines</w:t>
      </w:r>
      <w:r>
        <w:t xml:space="preserve"> </w:t>
      </w:r>
      <w:r>
        <w:t xml:space="preserve">level is marked by the lower dashed horizontal line.</w:t>
      </w:r>
    </w:p>
    <w:p>
      <w:pPr>
        <w:pStyle w:val="BodyText"/>
      </w:pPr>
      <w:r>
        <w:t xml:space="preserve">320</w:t>
      </w:r>
    </w:p>
    <w:p>
      <w:pPr>
        <w:pStyle w:val="BodyText"/>
      </w:pPr>
      <w:r>
        <w:t xml:space="preserve">Figure A11.10 - NO2 annual mean concentrations for 2017 to 2020</w:t>
      </w:r>
      <w:r>
        <w:t xml:space="preserve"> </w:t>
      </w:r>
      <w:r>
        <w:t xml:space="preserve">Figure A11.11 - Heatmaps showing the evolution of NO2 annual mean concentrations from 2000 to 2020 at</w:t>
      </w:r>
      <w:r>
        <w:t xml:space="preserve"> </w:t>
      </w:r>
      <w:r>
        <w:t xml:space="preserve">country level</w:t>
      </w:r>
    </w:p>
    <w:p>
      <w:pPr>
        <w:pStyle w:val="BodyText"/>
      </w:pPr>
      <w:r>
        <w:t xml:space="preserve">321</w:t>
      </w:r>
    </w:p>
    <w:p>
      <w:pPr>
        <w:pStyle w:val="Compact"/>
        <w:numPr>
          <w:ilvl w:val="0"/>
          <w:numId w:val="1012"/>
        </w:numPr>
      </w:pPr>
      <w:r>
        <w:t xml:space="preserve">NO2 daily and hourly mean concentration</w:t>
      </w:r>
      <w:r>
        <w:t xml:space="preserve"> </w:t>
      </w:r>
      <w:r>
        <w:t xml:space="preserve">Concentrations above the daily NO2 WHO Air Quality Guidelines level (25 µg/m3) were</w:t>
      </w:r>
      <w:r>
        <w:t xml:space="preserve"> </w:t>
      </w:r>
      <w:r>
        <w:t xml:space="preserve">registered in 78% (2 581 stations) of all the reporting stations in all EU Member States, as</w:t>
      </w:r>
      <w:r>
        <w:t xml:space="preserve"> </w:t>
      </w:r>
      <w:r>
        <w:t xml:space="preserve">well as in nine other reporting countries (Figure A11.12).</w:t>
      </w:r>
    </w:p>
    <w:p>
      <w:pPr>
        <w:pStyle w:val="FirstParagraph"/>
      </w:pPr>
      <w:r>
        <w:t xml:space="preserve">Figure A11.12 - NO2 daily mean concentrations for 2017 to 2020</w:t>
      </w:r>
    </w:p>
    <w:p>
      <w:pPr>
        <w:pStyle w:val="BodyText"/>
      </w:pPr>
      <w:r>
        <w:t xml:space="preserve">Concentrations above the hourly limit value (200 µg/m3) were observed in only in Turkey, at</w:t>
      </w:r>
      <w:r>
        <w:t xml:space="preserve"> </w:t>
      </w:r>
      <w:r>
        <w:t xml:space="preserve">0.3% (ten stations) of all reporting stations, mostly at urban traffic stations.</w:t>
      </w:r>
    </w:p>
    <w:p>
      <w:pPr>
        <w:pStyle w:val="BodyText"/>
      </w:pPr>
      <w:r>
        <w:t xml:space="preserve">322</w:t>
      </w:r>
    </w:p>
    <w:p>
      <w:pPr>
        <w:pStyle w:val="BodyText"/>
      </w:pPr>
      <w:r>
        <w:t xml:space="preserve">3.3</w:t>
      </w:r>
      <w:r>
        <w:t xml:space="preserve"> </w:t>
      </w:r>
      <w:r>
        <w:t xml:space="preserve">Tropospheric ozone (O3)</w:t>
      </w:r>
      <w:r>
        <w:br/>
      </w:r>
      <w:r>
        <w:t xml:space="preserve">Data for O3 were reported from 2 124 stations for the calculation of EU standards and from</w:t>
      </w:r>
      <w:r>
        <w:t xml:space="preserve"> </w:t>
      </w:r>
      <w:r>
        <w:t xml:space="preserve">2 008 stations for the long-term WHO Air Quality Guidelines.</w:t>
      </w:r>
      <w:r>
        <w:t xml:space="preserve"> </w:t>
      </w:r>
      <w:r>
        <w:t xml:space="preserve">a) O3 peak season concentration</w:t>
      </w:r>
      <w:r>
        <w:t xml:space="preserve"> </w:t>
      </w:r>
      <w:r>
        <w:t xml:space="preserve">The long-term (peak season) WHO Air Quality Guidelines level (60 µg/m3) was exceeded in</w:t>
      </w:r>
      <w:r>
        <w:t xml:space="preserve"> </w:t>
      </w:r>
      <w:r>
        <w:t xml:space="preserve">97% (1 950) of all stations located in 26 EU Member States and eight other reporting</w:t>
      </w:r>
      <w:r>
        <w:t xml:space="preserve"> </w:t>
      </w:r>
      <w:r>
        <w:t xml:space="preserve">countries.</w:t>
      </w:r>
      <w:r>
        <w:t xml:space="preserve"> </w:t>
      </w:r>
      <w:r>
        <w:t xml:space="preserve">Figure A.1113 shows the maps of the peak season O3 concentrations (equivalent to the long-</w:t>
      </w:r>
      <w:r>
        <w:t xml:space="preserve"> </w:t>
      </w:r>
      <w:r>
        <w:t xml:space="preserve">term WHO Air Quality Guidelines level) from 2017 to 2020. In this way, significant changes</w:t>
      </w:r>
      <w:r>
        <w:t xml:space="preserve"> </w:t>
      </w:r>
      <w:r>
        <w:t xml:space="preserve">in the spatial distribution of the values above the thresholds can be observed.</w:t>
      </w:r>
      <w:r>
        <w:t xml:space="preserve"> </w:t>
      </w:r>
      <w:r>
        <w:t xml:space="preserve">Figure A11.13 - peak season O3 maximum daily 8-hour mean concentration for 2017 to 2020</w:t>
      </w:r>
      <w:r>
        <w:t xml:space="preserve"> </w:t>
      </w:r>
      <w:r>
        <w:t xml:space="preserve">Heatmaps presenting the evolution of the mean peak season O3 concentrations from 2013 to</w:t>
      </w:r>
      <w:r>
        <w:t xml:space="preserve"> </w:t>
      </w:r>
      <w:r>
        <w:t xml:space="preserve">2020 at country level are shown in Figure A11.14. In this way, the evolution for year to year</w:t>
      </w:r>
      <w:r>
        <w:t xml:space="preserve"> </w:t>
      </w:r>
      <w:r>
        <w:t xml:space="preserve">of the average measured concentration levels can be seen for each country. Note that</w:t>
      </w:r>
      <w:r>
        <w:t xml:space="preserve"> </w:t>
      </w:r>
      <w:r>
        <w:t xml:space="preserve">meteorological variability has a considerable impact on year-to-year changes in ambient air</w:t>
      </w:r>
      <w:r>
        <w:t xml:space="preserve"> </w:t>
      </w:r>
      <w:r>
        <w:t xml:space="preserve">concentrations of air pollutants.</w:t>
      </w:r>
    </w:p>
    <w:p>
      <w:pPr>
        <w:pStyle w:val="BodyText"/>
      </w:pPr>
      <w:r>
        <w:t xml:space="preserve">323</w:t>
      </w:r>
    </w:p>
    <w:p>
      <w:pPr>
        <w:pStyle w:val="BodyText"/>
      </w:pPr>
      <w:r>
        <w:t xml:space="preserve">Figure 11.14 - Heatmaps presenting the evolution of the mean peak season O3 concentrations from 2013 to</w:t>
      </w:r>
      <w:r>
        <w:t xml:space="preserve"> </w:t>
      </w:r>
      <w:r>
        <w:t xml:space="preserve">2020</w:t>
      </w:r>
      <w:r>
        <w:t xml:space="preserve"> </w:t>
      </w:r>
      <w:r>
        <w:t xml:space="preserve">b) O3 8-hour mean concentration</w:t>
      </w:r>
      <w:r>
        <w:t xml:space="preserve"> </w:t>
      </w:r>
      <w:r>
        <w:t xml:space="preserve">15 EU Member States and six other reporting countries registered concentrations above the</w:t>
      </w:r>
      <w:r>
        <w:t xml:space="preserve"> </w:t>
      </w:r>
      <w:r>
        <w:t xml:space="preserve">O3 target value (120 µg/m3) more than 25 times. In total, 14% of all stations reporting O3</w:t>
      </w:r>
      <w:r>
        <w:t xml:space="preserve"> </w:t>
      </w:r>
      <w:r>
        <w:t xml:space="preserve">showed concentrations above the target value for the protection of human health. In addition,</w:t>
      </w:r>
      <w:r>
        <w:t xml:space="preserve"> </w:t>
      </w:r>
      <w:r>
        <w:t xml:space="preserve">only 19% (410) of all stations fulfilled the long-term objective (120 µg/m3). 87% of the</w:t>
      </w:r>
      <w:r>
        <w:t xml:space="preserve"> </w:t>
      </w:r>
      <w:r>
        <w:t xml:space="preserve">stations with values above the long-term objective were background stations.</w:t>
      </w:r>
      <w:r>
        <w:t xml:space="preserve"> </w:t>
      </w:r>
      <w:r>
        <w:t xml:space="preserve">Figure 11.15 shows the maps of the 93.2 percentile of the O3 maximum daily 8-hour mean</w:t>
      </w:r>
      <w:r>
        <w:t xml:space="preserve"> </w:t>
      </w:r>
      <w:r>
        <w:t xml:space="preserve">concentrations (O3 target value) for the last four years. In this way, any significant change in</w:t>
      </w:r>
      <w:r>
        <w:t xml:space="preserve"> </w:t>
      </w:r>
      <w:r>
        <w:t xml:space="preserve">the spatial distribution of values above thresholds can be observed.</w:t>
      </w:r>
      <w:r>
        <w:br/>
      </w:r>
      <w:r>
        <w:t xml:space="preserve">200 (9%) of all stations measured values below the short-term WHO Air Quality Guidelines</w:t>
      </w:r>
      <w:r>
        <w:t xml:space="preserve"> </w:t>
      </w:r>
      <w:r>
        <w:t xml:space="preserve">value for O3 (100 µg/m3). Only 27 of 539 rural background stations measured values below</w:t>
      </w:r>
      <w:r>
        <w:t xml:space="preserve"> </w:t>
      </w:r>
      <w:r>
        <w:t xml:space="preserve">the short-term WHO Air Quality Guidelines value.</w:t>
      </w:r>
    </w:p>
    <w:p>
      <w:pPr>
        <w:pStyle w:val="BodyText"/>
      </w:pPr>
      <w:r>
        <w:t xml:space="preserve">324</w:t>
      </w:r>
    </w:p>
    <w:p>
      <w:pPr>
        <w:pStyle w:val="BodyText"/>
      </w:pPr>
      <w:r>
        <w:t xml:space="preserve">Figure 11.15 - O3 maximum daily 8-hour mean concentrations by country for 2017 to 2020</w:t>
      </w:r>
    </w:p>
    <w:p>
      <w:pPr>
        <w:pStyle w:val="BodyText"/>
      </w:pPr>
      <w:r>
        <w:t xml:space="preserve">325</w:t>
      </w:r>
    </w:p>
    <w:p>
      <w:pPr>
        <w:pStyle w:val="BodyText"/>
      </w:pPr>
      <w:r>
        <w:t xml:space="preserve">3.4</w:t>
      </w:r>
      <w:r>
        <w:t xml:space="preserve"> </w:t>
      </w:r>
      <w:r>
        <w:t xml:space="preserve">Sulphur dioxide (SO2)</w:t>
      </w:r>
      <w:r>
        <w:br/>
      </w:r>
      <w:r>
        <w:t xml:space="preserve">The reporting countries reported measurements of SO2 from 1 537 stations for the hourly</w:t>
      </w:r>
      <w:r>
        <w:t xml:space="preserve"> </w:t>
      </w:r>
      <w:r>
        <w:t xml:space="preserve">limit value and 1 567 stations for the daily limit value.</w:t>
      </w:r>
      <w:r>
        <w:t xml:space="preserve"> </w:t>
      </w:r>
      <w:r>
        <w:t xml:space="preserve">a) SO2 daily and hourly concentration</w:t>
      </w:r>
      <w:r>
        <w:t xml:space="preserve"> </w:t>
      </w:r>
      <w:r>
        <w:t xml:space="preserve">23 stations registered concentrations above the daily limit of 125 µg/m3 for SO2. In contrast,</w:t>
      </w:r>
      <w:r>
        <w:t xml:space="preserve"> </w:t>
      </w:r>
      <w:r>
        <w:t xml:space="preserve">7% (105) of all stations, located in 16 reporting countries, measured SO2 concentrations</w:t>
      </w:r>
      <w:r>
        <w:t xml:space="preserve"> </w:t>
      </w:r>
      <w:r>
        <w:t xml:space="preserve">above the WHO Air Quality Guidelines of 40 µg/m3 for daily mean concentrations. Figure</w:t>
      </w:r>
      <w:r>
        <w:t xml:space="preserve"> </w:t>
      </w:r>
      <w:r>
        <w:t xml:space="preserve">A11.16 shows the maps of the observed SO2 daily mean concentrations from 2017 to 2020,</w:t>
      </w:r>
      <w:r>
        <w:t xml:space="preserve"> </w:t>
      </w:r>
      <w:r>
        <w:t xml:space="preserve">allowing changes in the spatial distribution of values above the thresholds to be observed.</w:t>
      </w:r>
    </w:p>
    <w:p>
      <w:pPr>
        <w:pStyle w:val="BodyText"/>
      </w:pPr>
      <w:r>
        <w:t xml:space="preserve">19 stations registered concentrations above the hourly limit value (350 µg/m3).</w:t>
      </w:r>
    </w:p>
    <w:p>
      <w:pPr>
        <w:pStyle w:val="BodyText"/>
      </w:pPr>
      <w:r>
        <w:t xml:space="preserve">Figure A11.16 - SO2 daily mean concentrations for 2017 to 2020</w:t>
      </w:r>
    </w:p>
    <w:p>
      <w:pPr>
        <w:pStyle w:val="BodyText"/>
      </w:pPr>
      <w:r>
        <w:t xml:space="preserve">326</w:t>
      </w:r>
    </w:p>
    <w:p>
      <w:pPr>
        <w:pStyle w:val="BodyText"/>
      </w:pPr>
      <w:r>
        <w:t xml:space="preserve">3.5</w:t>
      </w:r>
      <w:r>
        <w:t xml:space="preserve"> </w:t>
      </w:r>
      <w:r>
        <w:t xml:space="preserve">Carbon monoxide (CO)</w:t>
      </w:r>
      <w:r>
        <w:br/>
      </w:r>
      <w:r>
        <w:t xml:space="preserve">Reporting countries measured CO data from 892 stations for the daily limit value and from</w:t>
      </w:r>
      <w:r>
        <w:t xml:space="preserve"> </w:t>
      </w:r>
      <w:r>
        <w:t xml:space="preserve">897 stations for the daily WHO Air Quality Guidelines.</w:t>
      </w:r>
      <w:r>
        <w:t xml:space="preserve"> </w:t>
      </w:r>
      <w:r>
        <w:t xml:space="preserve">a) CO 8-hour mean concentration</w:t>
      </w:r>
      <w:r>
        <w:t xml:space="preserve"> </w:t>
      </w:r>
      <w:r>
        <w:t xml:space="preserve">Only two stations (Figure A11.17) registered concentrations above the CO limit daily value</w:t>
      </w:r>
      <w:r>
        <w:t xml:space="preserve"> </w:t>
      </w:r>
      <w:r>
        <w:t xml:space="preserve">(10 mg/m3) and the WHO Air Quality Guidelines value for the maximum daily 8-hour mean,</w:t>
      </w:r>
      <w:r>
        <w:t xml:space="preserve"> </w:t>
      </w:r>
      <w:r>
        <w:t xml:space="preserve">located outside EU Member States, in North Macedonia and Serbia.</w:t>
      </w:r>
    </w:p>
    <w:p>
      <w:pPr>
        <w:pStyle w:val="BodyText"/>
      </w:pPr>
      <w:r>
        <w:t xml:space="preserve">Figure A11.17 – CO maximum daily 8-hour mean in 2020</w:t>
      </w:r>
    </w:p>
    <w:p>
      <w:pPr>
        <w:pStyle w:val="BodyText"/>
      </w:pPr>
      <w:r>
        <w:t xml:space="preserve">Concentrations above the daily WHO Air Quality Guidelines were measured at three stations,</w:t>
      </w:r>
      <w:r>
        <w:t xml:space="preserve"> </w:t>
      </w:r>
      <w:r>
        <w:t xml:space="preserve">located in non EU Member States, namely: in Bosnia and Herzegovina (one), Kosovo (one)</w:t>
      </w:r>
      <w:r>
        <w:t xml:space="preserve"> </w:t>
      </w:r>
      <w:r>
        <w:t xml:space="preserve">and North Macedonia (one).</w:t>
      </w:r>
    </w:p>
    <w:p>
      <w:pPr>
        <w:pStyle w:val="BodyText"/>
      </w:pPr>
      <w:r>
        <w:t xml:space="preserve">Figure A11.18 shows the maps of the 99 percentile of CO daily mean concentrations</w:t>
      </w:r>
      <w:r>
        <w:t xml:space="preserve"> </w:t>
      </w:r>
      <w:r>
        <w:t xml:space="preserve">(equivalent to the WHO Air Quality Guidelines for CO daily mean level) for the last four</w:t>
      </w:r>
      <w:r>
        <w:t xml:space="preserve"> </w:t>
      </w:r>
      <w:r>
        <w:t xml:space="preserve">years. In this way, any significant change in the spatial distribution of the values above the set</w:t>
      </w:r>
      <w:r>
        <w:t xml:space="preserve"> </w:t>
      </w:r>
      <w:r>
        <w:t xml:space="preserve">thresholds in the legends can be observed.</w:t>
      </w:r>
    </w:p>
    <w:p>
      <w:pPr>
        <w:pStyle w:val="BodyText"/>
      </w:pPr>
      <w:r>
        <w:t xml:space="preserve">327</w:t>
      </w:r>
    </w:p>
    <w:p>
      <w:pPr>
        <w:pStyle w:val="BodyText"/>
      </w:pPr>
      <w:r>
        <w:t xml:space="preserve">Figure A11.18 - CO daily mean concentrations for 2017 to 2020</w:t>
      </w:r>
    </w:p>
    <w:p>
      <w:pPr>
        <w:pStyle w:val="BodyText"/>
      </w:pPr>
      <w:r>
        <w:t xml:space="preserve">328</w:t>
      </w:r>
    </w:p>
    <w:p>
      <w:pPr>
        <w:pStyle w:val="BodyText"/>
      </w:pPr>
      <w:r>
        <w:t xml:space="preserve">3.6</w:t>
      </w:r>
      <w:r>
        <w:t xml:space="preserve"> </w:t>
      </w:r>
      <w:r>
        <w:t xml:space="preserve">Benzo(a)pyrene (BaP)</w:t>
      </w:r>
      <w:r>
        <w:br/>
      </w:r>
      <w:r>
        <w:t xml:space="preserve">A total of 767 stations reported BaP data with sufficient data coverage.</w:t>
      </w:r>
      <w:r>
        <w:t xml:space="preserve"> </w:t>
      </w:r>
      <w:r>
        <w:t xml:space="preserve">a) BaP annual mean concentration</w:t>
      </w:r>
      <w:r>
        <w:t xml:space="preserve"> </w:t>
      </w:r>
      <w:r>
        <w:t xml:space="preserve">11 countries, all of which were EU Member States, registered values above 1.0 ng/m3. Value</w:t>
      </w:r>
      <w:r>
        <w:t xml:space="preserve"> </w:t>
      </w:r>
      <w:r>
        <w:t xml:space="preserve">above 1.0 ng/m3 were measured at 27% of the reported BaP measurement stations, mainly at</w:t>
      </w:r>
      <w:r>
        <w:t xml:space="preserve"> </w:t>
      </w:r>
      <w:r>
        <w:t xml:space="preserve">urban (79% of all stations with values above 1.0 ng/m3) and suburban (15%) stations.</w:t>
      </w:r>
      <w:r>
        <w:t xml:space="preserve"> </w:t>
      </w:r>
      <w:r>
        <w:t xml:space="preserve">Regarding the WHO Air Quality Guidelines, all reporting countries, except for Cyprus, Malta</w:t>
      </w:r>
      <w:r>
        <w:t xml:space="preserve"> </w:t>
      </w:r>
      <w:r>
        <w:t xml:space="preserve">and Sweden, had at least one station reporting concentrations above 0.12 ng/m3. Only 20% of</w:t>
      </w:r>
      <w:r>
        <w:t xml:space="preserve"> </w:t>
      </w:r>
      <w:r>
        <w:t xml:space="preserve">stations had annual concentrations below the reference level (Figure A11.19).</w:t>
      </w:r>
    </w:p>
    <w:p>
      <w:pPr>
        <w:pStyle w:val="BodyText"/>
      </w:pPr>
      <w:r>
        <w:t xml:space="preserve">Figure A11.19 – 2020 BaP concentrations in relation to the annual limit value and WHO Air Quality</w:t>
      </w:r>
      <w:r>
        <w:t xml:space="preserve"> </w:t>
      </w:r>
      <w:r>
        <w:t xml:space="preserve">Guidelines182</w:t>
      </w:r>
    </w:p>
    <w:p>
      <w:pPr>
        <w:pStyle w:val="BodyText"/>
      </w:pPr>
      <w:r>
        <w:t xml:space="preserve">Figure A11.20 presents maps of the observed BaP annual mean concentrations from 2017 to</w:t>
      </w:r>
      <w:r>
        <w:t xml:space="preserve"> </w:t>
      </w:r>
      <w:r>
        <w:t xml:space="preserve">2020, allowing changes in the spatial distribution of the values above thresholds to be</w:t>
      </w:r>
      <w:r>
        <w:t xml:space="preserve"> </w:t>
      </w:r>
      <w:r>
        <w:t xml:space="preserve">observed.</w:t>
      </w:r>
    </w:p>
    <w:p>
      <w:pPr>
        <w:pStyle w:val="BodyText"/>
      </w:pPr>
      <w:r>
        <w:t xml:space="preserve">182 Note: The graph is based on the annual mean concentration values. For each country, the number of stations</w:t>
      </w:r>
      <w:r>
        <w:t xml:space="preserve"> </w:t>
      </w:r>
      <w:r>
        <w:t xml:space="preserve">considered (in brackets), and the lowest, highest and average values (in ng/m³) recorded at its stations are</w:t>
      </w:r>
      <w:r>
        <w:t xml:space="preserve"> </w:t>
      </w:r>
      <w:r>
        <w:t xml:space="preserve">given. The rectangles mark the 25th and 75th percentiles. At 25% of the stations, levels are below the lower</w:t>
      </w:r>
      <w:r>
        <w:t xml:space="preserve"> </w:t>
      </w:r>
      <w:r>
        <w:t xml:space="preserve">percentile; at 25% of the stations, concentrations are above the upper percentile. The upper horizontal line</w:t>
      </w:r>
      <w:r>
        <w:t xml:space="preserve"> </w:t>
      </w:r>
      <w:r>
        <w:t xml:space="preserve">marks the concentration of 1.0 ng/m³. The lower horizontal line marks the estimated air quality RL. The</w:t>
      </w:r>
      <w:r>
        <w:t xml:space="preserve"> </w:t>
      </w:r>
      <w:r>
        <w:t xml:space="preserve">highest value in the boxplot, Poland (18.4 ng/m³), has not been included in the graph for representation</w:t>
      </w:r>
      <w:r>
        <w:t xml:space="preserve"> </w:t>
      </w:r>
      <w:r>
        <w:t xml:space="preserve">purposes.</w:t>
      </w:r>
    </w:p>
    <w:p>
      <w:pPr>
        <w:pStyle w:val="BodyText"/>
      </w:pPr>
      <w:r>
        <w:t xml:space="preserve">329</w:t>
      </w:r>
    </w:p>
    <w:p>
      <w:pPr>
        <w:pStyle w:val="BodyText"/>
      </w:pPr>
      <w:r>
        <w:t xml:space="preserve">Figure A11.20 – Annual mean BaP concentrations for 2017 to 2020</w:t>
      </w:r>
    </w:p>
    <w:p>
      <w:pPr>
        <w:pStyle w:val="BodyText"/>
      </w:pPr>
      <w:r>
        <w:t xml:space="preserve">330</w:t>
      </w:r>
    </w:p>
    <w:p>
      <w:pPr>
        <w:pStyle w:val="BodyText"/>
      </w:pPr>
      <w:r>
        <w:t xml:space="preserve">3.7</w:t>
      </w:r>
      <w:r>
        <w:t xml:space="preserve"> </w:t>
      </w:r>
      <w:r>
        <w:t xml:space="preserve">Benzene (C6H6)</w:t>
      </w:r>
      <w:r>
        <w:br/>
      </w:r>
      <w:r>
        <w:t xml:space="preserve">C6H6 measurements were reported from a total of 718 stations.</w:t>
      </w:r>
      <w:r>
        <w:t xml:space="preserve"> </w:t>
      </w:r>
      <w:r>
        <w:t xml:space="preserve">a) C6H6 annual mean concentration</w:t>
      </w:r>
      <w:r>
        <w:t xml:space="preserve"> </w:t>
      </w:r>
      <w:r>
        <w:t xml:space="preserve">As shown in Figure A11.21, concentrations above the limit value for C6H6 (5 µg/m3) were</w:t>
      </w:r>
      <w:r>
        <w:t xml:space="preserve"> </w:t>
      </w:r>
      <w:r>
        <w:t xml:space="preserve">not observed at any stations.</w:t>
      </w:r>
      <w:r>
        <w:t xml:space="preserve"> </w:t>
      </w:r>
      <w:r>
        <w:t xml:space="preserve">Figure A11.21 – Annual mean C6H6 concentrations in 2020</w:t>
      </w:r>
    </w:p>
    <w:p>
      <w:pPr>
        <w:pStyle w:val="BodyText"/>
      </w:pPr>
      <w:r>
        <w:t xml:space="preserve">331</w:t>
      </w:r>
    </w:p>
    <w:p>
      <w:pPr>
        <w:pStyle w:val="BodyText"/>
      </w:pPr>
      <w:r>
        <w:t xml:space="preserve">3.8</w:t>
      </w:r>
      <w:r>
        <w:t xml:space="preserve"> </w:t>
      </w:r>
      <w:r>
        <w:t xml:space="preserve">Lead (Pb)</w:t>
      </w:r>
      <w:r>
        <w:br/>
      </w:r>
      <w:r>
        <w:t xml:space="preserve">Lead (Pb) data were reported from 675 stations.</w:t>
      </w:r>
      <w:r>
        <w:t xml:space="preserve"> </w:t>
      </w:r>
      <w:r>
        <w:t xml:space="preserve">a) Pb annual mean concentration</w:t>
      </w:r>
      <w:r>
        <w:t xml:space="preserve"> </w:t>
      </w:r>
      <w:r>
        <w:t xml:space="preserve">As shown in Figure A11.22, no stations reported Pb concentrations above the 0.5 µg/m3 limit</w:t>
      </w:r>
      <w:r>
        <w:t xml:space="preserve"> </w:t>
      </w:r>
      <w:r>
        <w:t xml:space="preserve">value.</w:t>
      </w:r>
    </w:p>
    <w:p>
      <w:pPr>
        <w:pStyle w:val="BodyText"/>
      </w:pPr>
      <w:r>
        <w:t xml:space="preserve">Figure A11.22 – Annual mean Pd concentrations in 2020</w:t>
      </w:r>
    </w:p>
    <w:p>
      <w:pPr>
        <w:pStyle w:val="BodyText"/>
      </w:pPr>
      <w:r>
        <w:t xml:space="preserve">332</w:t>
      </w:r>
    </w:p>
    <w:p>
      <w:pPr>
        <w:pStyle w:val="BodyText"/>
      </w:pPr>
      <w:r>
        <w:t xml:space="preserve">3.9</w:t>
      </w:r>
      <w:r>
        <w:t xml:space="preserve"> </w:t>
      </w:r>
      <w:r>
        <w:t xml:space="preserve">Arsenic (As)</w:t>
      </w:r>
      <w:r>
        <w:br/>
      </w:r>
      <w:r>
        <w:t xml:space="preserve">Data for Arsenic (As) were reported from 661 stations.</w:t>
      </w:r>
      <w:r>
        <w:t xml:space="preserve"> </w:t>
      </w:r>
      <w:r>
        <w:t xml:space="preserve">a) As annual mean concentration</w:t>
      </w:r>
      <w:r>
        <w:t xml:space="preserve"> </w:t>
      </w:r>
      <w:r>
        <w:t xml:space="preserve">Seven stations measured concentrations above the target value of 6 ng/m3. As shown in</w:t>
      </w:r>
      <w:r>
        <w:t xml:space="preserve"> </w:t>
      </w:r>
      <w:r>
        <w:t xml:space="preserve">Figure A11.23, stations reporting concentrations above the target value were located in</w:t>
      </w:r>
      <w:r>
        <w:t xml:space="preserve"> </w:t>
      </w:r>
      <w:r>
        <w:t xml:space="preserve">Belgium (three), Finland (two) and Poland (two). Four of these stations were industrial</w:t>
      </w:r>
      <w:r>
        <w:t xml:space="preserve"> </w:t>
      </w:r>
      <w:r>
        <w:t xml:space="preserve">stations.</w:t>
      </w:r>
      <w:r>
        <w:t xml:space="preserve"> </w:t>
      </w:r>
      <w:r>
        <w:t xml:space="preserve">Figure A11.23 – Annual mean As concentrations in 2020</w:t>
      </w:r>
    </w:p>
    <w:p>
      <w:pPr>
        <w:pStyle w:val="BodyText"/>
      </w:pPr>
      <w:r>
        <w:t xml:space="preserve">333</w:t>
      </w:r>
    </w:p>
    <w:p>
      <w:pPr>
        <w:pStyle w:val="BodyText"/>
      </w:pPr>
      <w:r>
        <w:t xml:space="preserve">3.10</w:t>
      </w:r>
      <w:r>
        <w:t xml:space="preserve"> </w:t>
      </w:r>
      <w:r>
        <w:t xml:space="preserve">Cadmium (Cd)</w:t>
      </w:r>
      <w:r>
        <w:br/>
      </w:r>
      <w:r>
        <w:t xml:space="preserve">Cadmium (Cd) data were reported from 680 stations.</w:t>
      </w:r>
      <w:r>
        <w:t xml:space="preserve"> </w:t>
      </w:r>
      <w:r>
        <w:t xml:space="preserve">b) Cd annual mean concentration</w:t>
      </w:r>
      <w:r>
        <w:t xml:space="preserve"> </w:t>
      </w:r>
      <w:r>
        <w:t xml:space="preserve">As shown in figure A11.24, concentrations above the target value of 5 ng/m3 were measured</w:t>
      </w:r>
      <w:r>
        <w:t xml:space="preserve"> </w:t>
      </w:r>
      <w:r>
        <w:t xml:space="preserve">at one station in Bulgaria.</w:t>
      </w:r>
      <w:r>
        <w:t xml:space="preserve"> </w:t>
      </w:r>
      <w:r>
        <w:t xml:space="preserve">Figure A11.24 – annual mean Cd concentrations in 2020</w:t>
      </w:r>
    </w:p>
    <w:p>
      <w:pPr>
        <w:pStyle w:val="BodyText"/>
      </w:pPr>
      <w:r>
        <w:t xml:space="preserve">334</w:t>
      </w:r>
    </w:p>
    <w:p>
      <w:pPr>
        <w:pStyle w:val="BodyText"/>
      </w:pPr>
      <w:r>
        <w:t xml:space="preserve">3.11</w:t>
      </w:r>
      <w:r>
        <w:t xml:space="preserve"> </w:t>
      </w:r>
      <w:r>
        <w:t xml:space="preserve">Nickel (Ni)</w:t>
      </w:r>
      <w:r>
        <w:br/>
      </w:r>
      <w:r>
        <w:t xml:space="preserve">Nickel (Ni) data were reported from 666 stations.</w:t>
      </w:r>
      <w:r>
        <w:t xml:space="preserve"> </w:t>
      </w:r>
      <w:r>
        <w:t xml:space="preserve">c) Ni annual mean concentration</w:t>
      </w:r>
      <w:r>
        <w:t xml:space="preserve"> </w:t>
      </w:r>
      <w:r>
        <w:t xml:space="preserve">As shown in Figure A11.25, concentrations were above the target value of 20 ng/m3 were</w:t>
      </w:r>
      <w:r>
        <w:t xml:space="preserve"> </w:t>
      </w:r>
      <w:r>
        <w:t xml:space="preserve">measured at two stations, one in Finland and one in France. Both of these stations were</w:t>
      </w:r>
      <w:r>
        <w:t xml:space="preserve"> </w:t>
      </w:r>
      <w:r>
        <w:t xml:space="preserve">industrial stations.</w:t>
      </w:r>
      <w:r>
        <w:t xml:space="preserve"> </w:t>
      </w:r>
      <w:r>
        <w:t xml:space="preserve">Figure A11.25 – Annual man concentrations of Ni in 2020</w:t>
      </w:r>
    </w:p>
    <w:p>
      <w:pPr>
        <w:pStyle w:val="BodyText"/>
      </w:pPr>
      <w:r>
        <w:t xml:space="preserve">335</w:t>
      </w:r>
    </w:p>
    <w:p>
      <w:pPr>
        <w:pStyle w:val="Compact"/>
        <w:numPr>
          <w:ilvl w:val="0"/>
          <w:numId w:val="1013"/>
        </w:numPr>
      </w:pPr>
      <w:r>
        <w:t xml:space="preserve">EXPOSURE TO AIR POLLUTION IN THE EU</w:t>
      </w:r>
      <w:r>
        <w:br/>
      </w:r>
      <w:r>
        <w:t xml:space="preserve">In 2020, less than 1% of Europe’s urban population was exposed to levels of PM2.5 and NO2</w:t>
      </w:r>
      <w:r>
        <w:t xml:space="preserve"> </w:t>
      </w:r>
      <w:r>
        <w:t xml:space="preserve">above EU legal standards in 2020, while 12% was exposed to O3, and 11% to PM10, levels</w:t>
      </w:r>
      <w:r>
        <w:t xml:space="preserve"> </w:t>
      </w:r>
      <w:r>
        <w:t xml:space="preserve">above respective EU standards. Of note, 2020 concentrations of NO2, PM10 and PM2.5 fell as</w:t>
      </w:r>
      <w:r>
        <w:t xml:space="preserve"> </w:t>
      </w:r>
      <w:r>
        <w:t xml:space="preserve">a direct result of reductions in road transport during COVID-19 lockdown measures, so</w:t>
      </w:r>
      <w:r>
        <w:t xml:space="preserve"> </w:t>
      </w:r>
      <w:r>
        <w:t xml:space="preserve">reducing urban exposure to air pollution.</w:t>
      </w:r>
      <w:r>
        <w:br/>
      </w:r>
      <w:r>
        <w:t xml:space="preserve">Nevertheless, poor air quality remains a problem, with 96% of the urban population in the EU</w:t>
      </w:r>
      <w:r>
        <w:t xml:space="preserve"> </w:t>
      </w:r>
      <w:r>
        <w:t xml:space="preserve">exposed to levels of PM2.5 above the latest health-based WHO Air Quality Guidelines. The</w:t>
      </w:r>
      <w:r>
        <w:t xml:space="preserve"> </w:t>
      </w:r>
      <w:r>
        <w:t xml:space="preserve">figures for NO2 and O3 are 89% and 95%, respectively (see Figure A11.26).</w:t>
      </w:r>
    </w:p>
    <w:p>
      <w:pPr>
        <w:pStyle w:val="FirstParagraph"/>
      </w:pPr>
      <w:r>
        <w:t xml:space="preserve">Figure A11.26 - Share of the EU urban population exposed to air pollutant concentrations above EU standards</w:t>
      </w:r>
      <w:r>
        <w:t xml:space="preserve"> </w:t>
      </w:r>
      <w:r>
        <w:t xml:space="preserve">and WHO Air Quality Guidelines in 2020</w:t>
      </w:r>
    </w:p>
    <w:p>
      <w:pPr>
        <w:pStyle w:val="BodyText"/>
      </w:pPr>
      <w:r>
        <w:t xml:space="preserve">336</w:t>
      </w:r>
    </w:p>
    <w:p>
      <w:pPr>
        <w:pStyle w:val="BodyText"/>
      </w:pPr>
      <w:r>
        <w:t xml:space="preserve">ANNEX 12: INFRINGEMENT CASES AND LITIGATION UNDER THE</w:t>
      </w:r>
      <w:r>
        <w:t xml:space="preserve"> </w:t>
      </w:r>
      <w:r>
        <w:t xml:space="preserve">AMBIENT AIR QUALITY DIRECTIVES</w:t>
      </w:r>
      <w:r>
        <w:t xml:space="preserve"> </w:t>
      </w:r>
      <w:r>
        <w:t xml:space="preserve">1.</w:t>
      </w:r>
      <w:r>
        <w:t xml:space="preserve"> </w:t>
      </w:r>
      <w:r>
        <w:t xml:space="preserve">EU COURT PROCEEDINGS AGAINST MEMBER STATES FOR FAILURE TO FULFIL</w:t>
      </w:r>
      <w:r>
        <w:t xml:space="preserve"> </w:t>
      </w:r>
      <w:r>
        <w:t xml:space="preserve">OBLIGATIONS UNDER AMBIENT AIR QUALITY LEGISLATION (2008 TO MAY 2022)</w:t>
      </w:r>
      <w:r>
        <w:br/>
      </w:r>
      <w:r>
        <w:t xml:space="preserve">This section provides an overview of the cases referred to the Court of Justice of the EU</w:t>
      </w:r>
      <w:r>
        <w:t xml:space="preserve"> </w:t>
      </w:r>
      <w:r>
        <w:t xml:space="preserve">based on the Ambient Air Quality Directives.</w:t>
      </w:r>
      <w:r>
        <w:br/>
      </w:r>
      <w:r>
        <w:t xml:space="preserve">In a first wave of cases (2008 to 2012), the Commission initially decided to refer seven</w:t>
      </w:r>
      <w:r>
        <w:t xml:space="preserve"> </w:t>
      </w:r>
      <w:r>
        <w:t xml:space="preserve">Member States to the Court of Justice of the EU on the basis of Article 258 TFEU due to</w:t>
      </w:r>
      <w:r>
        <w:t xml:space="preserve"> </w:t>
      </w:r>
      <w:r>
        <w:t xml:space="preserve">exceedances of PM10 limit values: Italy, Portugal, Slovenia, and Sweden, as well as Cyprus,</w:t>
      </w:r>
      <w:r>
        <w:t xml:space="preserve"> </w:t>
      </w:r>
      <w:r>
        <w:t xml:space="preserve">France and Spain.</w:t>
      </w:r>
      <w:r>
        <w:br/>
      </w:r>
      <w:r>
        <w:t xml:space="preserve">The decision was executed only against the first four of the above Member States. Judgments</w:t>
      </w:r>
      <w:r>
        <w:t xml:space="preserve"> </w:t>
      </w:r>
      <w:r>
        <w:t xml:space="preserve">delivered by the Court of Justice of the EU in these four cases (Table A12.1) confirmed the</w:t>
      </w:r>
      <w:r>
        <w:t xml:space="preserve"> </w:t>
      </w:r>
      <w:r>
        <w:t xml:space="preserve">violations for a specific period in the past, but did not address the lack of appropriate</w:t>
      </w:r>
      <w:r>
        <w:t xml:space="preserve"> </w:t>
      </w:r>
      <w:r>
        <w:t xml:space="preserve">measures to keep exceedance periods as short as possible.</w:t>
      </w:r>
      <w:r>
        <w:t xml:space="preserve"> </w:t>
      </w:r>
      <w:r>
        <w:t xml:space="preserve">The Commission saw a need to also address the absence or insufficiency of the measures</w:t>
      </w:r>
      <w:r>
        <w:t xml:space="preserve"> </w:t>
      </w:r>
      <w:r>
        <w:t xml:space="preserve">dealing with the different sources of PM10 pollution. Accordingly, the earlier decisions</w:t>
      </w:r>
      <w:r>
        <w:t xml:space="preserve"> </w:t>
      </w:r>
      <w:r>
        <w:t xml:space="preserve">regarding the other three Member States (Cyprus, Spain and France) were not confirmed at</w:t>
      </w:r>
      <w:r>
        <w:t xml:space="preserve"> </w:t>
      </w:r>
      <w:r>
        <w:t xml:space="preserve">the time, as the Commission considered necessary to review its strategy.</w:t>
      </w:r>
      <w:r>
        <w:br/>
      </w:r>
      <w:r>
        <w:t xml:space="preserve">Table A12.1 – Period 2008 to 2012: Focus on breaches of limit values over a given period, based on Directive</w:t>
      </w:r>
      <w:r>
        <w:t xml:space="preserve"> </w:t>
      </w:r>
      <w:r>
        <w:t xml:space="preserve">1999/30/EC (i.e. former First Daughter Directive)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Case</w:t>
      </w:r>
      <w:r>
        <w:br/>
      </w:r>
      <w:r>
        <w:t xml:space="preserve">Infringement</w:t>
      </w:r>
      <w:r>
        <w:t xml:space="preserve"> </w:t>
      </w:r>
      <w:r>
        <w:t xml:space="preserve">Case no.</w:t>
      </w:r>
      <w:r>
        <w:t xml:space="preserve"> </w:t>
      </w:r>
      <w:r>
        <w:t xml:space="preserve">Pollutant</w:t>
      </w:r>
      <w:r>
        <w:t xml:space="preserve"> </w:t>
      </w:r>
      <w:r>
        <w:t xml:space="preserve">Judgment</w:t>
      </w:r>
      <w:r>
        <w:t xml:space="preserve"> </w:t>
      </w:r>
      <w:r>
        <w:t xml:space="preserve">Italy</w:t>
      </w:r>
      <w:r>
        <w:t xml:space="preserve"> </w:t>
      </w:r>
      <w:r>
        <w:t xml:space="preserve">C-68/11</w:t>
      </w:r>
      <w:r>
        <w:t xml:space="preserve"> </w:t>
      </w:r>
      <w:r>
        <w:t xml:space="preserve">2008/2194</w:t>
      </w:r>
      <w:r>
        <w:t xml:space="preserve"> </w:t>
      </w:r>
      <w:r>
        <w:t xml:space="preserve">PM10</w:t>
      </w:r>
      <w:r>
        <w:t xml:space="preserve"> </w:t>
      </w:r>
      <w:r>
        <w:t xml:space="preserve">Infringement established (EU:C:2012:815)</w:t>
      </w:r>
      <w:r>
        <w:t xml:space="preserve"> </w:t>
      </w:r>
      <w:r>
        <w:t xml:space="preserve">Portugal</w:t>
      </w:r>
      <w:r>
        <w:t xml:space="preserve"> </w:t>
      </w:r>
      <w:r>
        <w:t xml:space="preserve">C-34/11</w:t>
      </w:r>
      <w:r>
        <w:t xml:space="preserve"> </w:t>
      </w:r>
      <w:r>
        <w:t xml:space="preserve">2008/2200</w:t>
      </w:r>
      <w:r>
        <w:t xml:space="preserve"> </w:t>
      </w:r>
      <w:r>
        <w:t xml:space="preserve">PM10</w:t>
      </w:r>
      <w:r>
        <w:t xml:space="preserve"> </w:t>
      </w:r>
      <w:r>
        <w:t xml:space="preserve">Infringement established (EU:C:2012:712)</w:t>
      </w:r>
      <w:r>
        <w:t xml:space="preserve"> </w:t>
      </w:r>
      <w:r>
        <w:t xml:space="preserve">Slovenia</w:t>
      </w:r>
      <w:r>
        <w:t xml:space="preserve"> </w:t>
      </w:r>
      <w:r>
        <w:t xml:space="preserve">C-365/10</w:t>
      </w:r>
      <w:r>
        <w:t xml:space="preserve"> </w:t>
      </w:r>
      <w:r>
        <w:t xml:space="preserve">2008/2202</w:t>
      </w:r>
      <w:r>
        <w:t xml:space="preserve"> </w:t>
      </w:r>
      <w:r>
        <w:t xml:space="preserve">PM10</w:t>
      </w:r>
      <w:r>
        <w:t xml:space="preserve"> </w:t>
      </w:r>
      <w:r>
        <w:t xml:space="preserve">Infringement established (EU:C:2011:183)</w:t>
      </w:r>
      <w:r>
        <w:t xml:space="preserve"> </w:t>
      </w:r>
      <w:r>
        <w:t xml:space="preserve">Sweden</w:t>
      </w:r>
      <w:r>
        <w:t xml:space="preserve"> </w:t>
      </w:r>
      <w:r>
        <w:t xml:space="preserve">C-479/10</w:t>
      </w:r>
      <w:r>
        <w:t xml:space="preserve"> </w:t>
      </w:r>
      <w:r>
        <w:t xml:space="preserve">2008/2204</w:t>
      </w:r>
      <w:r>
        <w:t xml:space="preserve"> </w:t>
      </w:r>
      <w:r>
        <w:t xml:space="preserve">PM10</w:t>
      </w:r>
      <w:r>
        <w:t xml:space="preserve"> </w:t>
      </w:r>
      <w:r>
        <w:t xml:space="preserve">Infringement established (EU:C:2011:287)</w:t>
      </w:r>
    </w:p>
    <w:p>
      <w:pPr>
        <w:pStyle w:val="BodyText"/>
      </w:pPr>
      <w:r>
        <w:t xml:space="preserve">A second wave of infringement procedures on the basis of Article 258 TFEU was initiated</w:t>
      </w:r>
      <w:r>
        <w:t xml:space="preserve"> </w:t>
      </w:r>
      <w:r>
        <w:t xml:space="preserve">and resulted in a number of referrals to and judgments of the Court of Justice of the EU, in</w:t>
      </w:r>
      <w:r>
        <w:t xml:space="preserve"> </w:t>
      </w:r>
      <w:r>
        <w:t xml:space="preserve">the period 2013 to 2022 (Table A12.2).</w:t>
      </w:r>
    </w:p>
    <w:p>
      <w:pPr>
        <w:pStyle w:val="BodyText"/>
      </w:pPr>
      <w:r>
        <w:t xml:space="preserve">In 2020, the Commission also decided to refer a Member State to the Court of Justice of the</w:t>
      </w:r>
      <w:r>
        <w:t xml:space="preserve"> </w:t>
      </w:r>
      <w:r>
        <w:t xml:space="preserve">EU on the basis of Article 260 TFEU, i.e. for failing to take the necessary measures to</w:t>
      </w:r>
      <w:r>
        <w:t xml:space="preserve"> </w:t>
      </w:r>
      <w:r>
        <w:t xml:space="preserve">remedy a previously established infringement by the Court of Justice of the EU (Table</w:t>
      </w:r>
      <w:r>
        <w:t xml:space="preserve"> </w:t>
      </w:r>
      <w:r>
        <w:t xml:space="preserve">A12.3).</w:t>
      </w:r>
    </w:p>
    <w:p>
      <w:pPr>
        <w:pStyle w:val="BodyText"/>
      </w:pPr>
      <w:r>
        <w:t xml:space="preserve">337</w:t>
      </w:r>
    </w:p>
    <w:p>
      <w:pPr>
        <w:pStyle w:val="BodyText"/>
      </w:pPr>
      <w:r>
        <w:t xml:space="preserve">Table A12.2 – Period 2013 to 2022: Focus on persistent breaches of limit values and the lack of adequacy of the</w:t>
      </w:r>
      <w:r>
        <w:t xml:space="preserve"> </w:t>
      </w:r>
      <w:r>
        <w:t xml:space="preserve">measures aimed at attaining compliance (based on Directive 2008/50/EC, i.e. Ambient Air Quality Directive)</w:t>
      </w:r>
    </w:p>
    <w:p>
      <w:pPr>
        <w:pStyle w:val="BodyText"/>
      </w:pPr>
      <w:r>
        <w:t xml:space="preserve">Table A12.3 – Cases brought on the basis of Article 260 TFEU (failure to take the necessary measures to</w:t>
      </w:r>
      <w:r>
        <w:t xml:space="preserve"> </w:t>
      </w:r>
      <w:r>
        <w:t xml:space="preserve">comply with a judgment of the Court of Justice of the EU)</w:t>
      </w:r>
    </w:p>
    <w:p>
      <w:pPr>
        <w:pStyle w:val="Compact"/>
        <w:numPr>
          <w:ilvl w:val="0"/>
          <w:numId w:val="1014"/>
        </w:numPr>
      </w:pPr>
      <w:r>
        <w:t xml:space="preserve">INFRINGEMENT CASES INITIATED BY THE COMMISSION FOR NON-COMPLIANCE</w:t>
      </w:r>
      <w:r>
        <w:t xml:space="preserve"> </w:t>
      </w:r>
      <w:r>
        <w:t xml:space="preserve">WITH AMBIENT AIR QUALITY LEGISLATION (2008 TO MAY 2022)</w:t>
      </w:r>
      <w:r>
        <w:br/>
      </w:r>
      <w:r>
        <w:t xml:space="preserve">This section provides an overview of the infringement cases initiated on the basis of Article</w:t>
      </w:r>
      <w:r>
        <w:t xml:space="preserve"> </w:t>
      </w:r>
      <w:r>
        <w:t xml:space="preserve">258 TFEU and/or Article 260 TFEU during the assessment period, either for excessive NO2</w:t>
      </w:r>
      <w:r>
        <w:t xml:space="preserve"> </w:t>
      </w:r>
      <w:r>
        <w:t xml:space="preserve">(Table A12.3), excessive PM10 and/or PM2.5 (Table A12.4), excessive SO2 (Table A12.5), or</w:t>
      </w:r>
      <w:r>
        <w:t xml:space="preserve"> </w:t>
      </w:r>
      <w:r>
        <w:t xml:space="preserve">related to monitoring insufficencies (Table A12.6).</w:t>
      </w:r>
    </w:p>
    <w:p>
      <w:pPr>
        <w:pStyle w:val="FirstParagraph"/>
      </w:pP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Case</w:t>
      </w:r>
      <w:r>
        <w:br/>
      </w:r>
      <w:r>
        <w:t xml:space="preserve">Infringement</w:t>
      </w:r>
      <w:r>
        <w:t xml:space="preserve"> </w:t>
      </w:r>
      <w:r>
        <w:t xml:space="preserve">Case no.</w:t>
      </w:r>
      <w:r>
        <w:t xml:space="preserve"> </w:t>
      </w:r>
      <w:r>
        <w:t xml:space="preserve">Pollutant</w:t>
      </w:r>
      <w:r>
        <w:t xml:space="preserve"> </w:t>
      </w:r>
      <w:r>
        <w:t xml:space="preserve">Judgment</w:t>
      </w:r>
      <w:r>
        <w:t xml:space="preserve"> </w:t>
      </w:r>
      <w:r>
        <w:t xml:space="preserve">Bulgaria</w:t>
      </w:r>
      <w:r>
        <w:t xml:space="preserve"> </w:t>
      </w:r>
      <w:r>
        <w:t xml:space="preserve">C-488/15</w:t>
      </w:r>
      <w:r>
        <w:t xml:space="preserve"> </w:t>
      </w:r>
      <w:r>
        <w:t xml:space="preserve">2010/2109</w:t>
      </w:r>
      <w:r>
        <w:t xml:space="preserve"> </w:t>
      </w:r>
      <w:r>
        <w:t xml:space="preserve">PM10</w:t>
      </w:r>
      <w:r>
        <w:t xml:space="preserve"> </w:t>
      </w:r>
      <w:r>
        <w:t xml:space="preserve">Infringement established (EU:C:2017:267)</w:t>
      </w:r>
      <w:r>
        <w:t xml:space="preserve"> </w:t>
      </w:r>
      <w:r>
        <w:t xml:space="preserve">Bulgaria</w:t>
      </w:r>
      <w:r>
        <w:t xml:space="preserve"> </w:t>
      </w:r>
      <w:r>
        <w:t xml:space="preserve">C-730/19</w:t>
      </w:r>
      <w:r>
        <w:t xml:space="preserve"> </w:t>
      </w:r>
      <w:r>
        <w:t xml:space="preserve">2009/2135</w:t>
      </w:r>
      <w:r>
        <w:t xml:space="preserve"> </w:t>
      </w:r>
      <w:r>
        <w:t xml:space="preserve">SO2</w:t>
      </w:r>
      <w:r>
        <w:t xml:space="preserve"> </w:t>
      </w:r>
      <w:r>
        <w:t xml:space="preserve">Infringement established (EU:C:2022:382)</w:t>
      </w:r>
      <w:r>
        <w:t xml:space="preserve"> </w:t>
      </w:r>
      <w:r>
        <w:t xml:space="preserve">Germany</w:t>
      </w:r>
      <w:r>
        <w:t xml:space="preserve"> </w:t>
      </w:r>
      <w:r>
        <w:t xml:space="preserve">C-635/18</w:t>
      </w:r>
      <w:r>
        <w:t xml:space="preserve"> </w:t>
      </w:r>
      <w:r>
        <w:t xml:space="preserve">2015/2073</w:t>
      </w:r>
      <w:r>
        <w:t xml:space="preserve"> </w:t>
      </w:r>
      <w:r>
        <w:t xml:space="preserve">NO2</w:t>
      </w:r>
      <w:r>
        <w:t xml:space="preserve"> </w:t>
      </w:r>
      <w:r>
        <w:t xml:space="preserve">Infringement established (EU:C:2021:437)</w:t>
      </w:r>
      <w:r>
        <w:t xml:space="preserve"> </w:t>
      </w:r>
      <w:r>
        <w:t xml:space="preserve">Greece</w:t>
      </w:r>
      <w:r>
        <w:t xml:space="preserve"> </w:t>
      </w:r>
      <w:r>
        <w:t xml:space="preserve">C-70/21</w:t>
      </w:r>
      <w:r>
        <w:t xml:space="preserve"> </w:t>
      </w:r>
      <w:r>
        <w:t xml:space="preserve">2008/2192</w:t>
      </w:r>
      <w:r>
        <w:t xml:space="preserve"> </w:t>
      </w:r>
      <w:r>
        <w:t xml:space="preserve">PM10</w:t>
      </w:r>
      <w:r>
        <w:t xml:space="preserve"> </w:t>
      </w:r>
      <w:r>
        <w:t xml:space="preserve">Pending case</w:t>
      </w:r>
      <w:r>
        <w:t xml:space="preserve"> </w:t>
      </w:r>
      <w:r>
        <w:t xml:space="preserve">Greece</w:t>
      </w:r>
      <w:r>
        <w:t xml:space="preserve"> </w:t>
      </w:r>
      <w:r>
        <w:t xml:space="preserve">C-633/21</w:t>
      </w:r>
      <w:r>
        <w:t xml:space="preserve"> </w:t>
      </w:r>
      <w:r>
        <w:t xml:space="preserve">2018/2361</w:t>
      </w:r>
      <w:r>
        <w:t xml:space="preserve"> </w:t>
      </w:r>
      <w:r>
        <w:t xml:space="preserve">NO2</w:t>
      </w:r>
      <w:r>
        <w:t xml:space="preserve"> </w:t>
      </w:r>
      <w:r>
        <w:t xml:space="preserve">Pending case</w:t>
      </w:r>
      <w:r>
        <w:t xml:space="preserve"> </w:t>
      </w:r>
      <w:r>
        <w:t xml:space="preserve">Spain</w:t>
      </w:r>
      <w:r>
        <w:t xml:space="preserve"> </w:t>
      </w:r>
      <w:r>
        <w:t xml:space="preserve">C-125/20</w:t>
      </w:r>
      <w:r>
        <w:t xml:space="preserve"> </w:t>
      </w:r>
      <w:r>
        <w:t xml:space="preserve">2015/2053</w:t>
      </w:r>
      <w:r>
        <w:t xml:space="preserve"> </w:t>
      </w:r>
      <w:r>
        <w:t xml:space="preserve">NO2</w:t>
      </w:r>
      <w:r>
        <w:t xml:space="preserve"> </w:t>
      </w:r>
      <w:r>
        <w:t xml:space="preserve">Pending case</w:t>
      </w:r>
      <w:r>
        <w:t xml:space="preserve"> </w:t>
      </w:r>
      <w:r>
        <w:t xml:space="preserve">France</w:t>
      </w:r>
      <w:r>
        <w:t xml:space="preserve"> </w:t>
      </w:r>
      <w:r>
        <w:t xml:space="preserve">C-636/18</w:t>
      </w:r>
      <w:r>
        <w:t xml:space="preserve"> </w:t>
      </w:r>
      <w:r>
        <w:t xml:space="preserve">2015/2074</w:t>
      </w:r>
      <w:r>
        <w:t xml:space="preserve"> </w:t>
      </w:r>
      <w:r>
        <w:t xml:space="preserve">NO2</w:t>
      </w:r>
      <w:r>
        <w:t xml:space="preserve"> </w:t>
      </w:r>
      <w:r>
        <w:t xml:space="preserve">Infringement established (EU:C:2019:900)</w:t>
      </w:r>
      <w:r>
        <w:t xml:space="preserve"> </w:t>
      </w:r>
      <w:r>
        <w:t xml:space="preserve">France</w:t>
      </w:r>
      <w:r>
        <w:t xml:space="preserve"> </w:t>
      </w:r>
      <w:r>
        <w:t xml:space="preserve">C-286/21</w:t>
      </w:r>
      <w:r>
        <w:t xml:space="preserve"> </w:t>
      </w:r>
      <w:r>
        <w:t xml:space="preserve">2008/2190</w:t>
      </w:r>
      <w:r>
        <w:t xml:space="preserve"> </w:t>
      </w:r>
      <w:r>
        <w:t xml:space="preserve">PM10</w:t>
      </w:r>
      <w:r>
        <w:t xml:space="preserve"> </w:t>
      </w:r>
      <w:r>
        <w:t xml:space="preserve">Infringement established (EU:C:2022:319)</w:t>
      </w:r>
      <w:r>
        <w:t xml:space="preserve"> </w:t>
      </w:r>
      <w:r>
        <w:t xml:space="preserve">Italy</w:t>
      </w:r>
      <w:r>
        <w:t xml:space="preserve"> </w:t>
      </w:r>
      <w:r>
        <w:t xml:space="preserve">C-644/18</w:t>
      </w:r>
      <w:r>
        <w:t xml:space="preserve"> </w:t>
      </w:r>
      <w:r>
        <w:t xml:space="preserve">2014/2147</w:t>
      </w:r>
      <w:r>
        <w:t xml:space="preserve"> </w:t>
      </w:r>
      <w:r>
        <w:t xml:space="preserve">PM10</w:t>
      </w:r>
      <w:r>
        <w:t xml:space="preserve"> </w:t>
      </w:r>
      <w:r>
        <w:t xml:space="preserve">Infringement established (EU:C:2020:895)</w:t>
      </w:r>
      <w:r>
        <w:t xml:space="preserve"> </w:t>
      </w:r>
      <w:r>
        <w:t xml:space="preserve">Italy</w:t>
      </w:r>
      <w:r>
        <w:t xml:space="preserve"> </w:t>
      </w:r>
      <w:r>
        <w:t xml:space="preserve">C-573/19</w:t>
      </w:r>
      <w:r>
        <w:t xml:space="preserve"> </w:t>
      </w:r>
      <w:r>
        <w:t xml:space="preserve">2015/2043</w:t>
      </w:r>
      <w:r>
        <w:t xml:space="preserve"> </w:t>
      </w:r>
      <w:r>
        <w:t xml:space="preserve">NO2</w:t>
      </w:r>
      <w:r>
        <w:t xml:space="preserve"> </w:t>
      </w:r>
      <w:r>
        <w:t xml:space="preserve">Infringement established (EU:C:2022:380)</w:t>
      </w:r>
      <w:r>
        <w:t xml:space="preserve"> </w:t>
      </w:r>
      <w:r>
        <w:t xml:space="preserve">Hungary</w:t>
      </w:r>
      <w:r>
        <w:t xml:space="preserve"> </w:t>
      </w:r>
      <w:r>
        <w:t xml:space="preserve">C-637/18</w:t>
      </w:r>
      <w:r>
        <w:t xml:space="preserve"> </w:t>
      </w:r>
      <w:r>
        <w:t xml:space="preserve">2008/2193</w:t>
      </w:r>
      <w:r>
        <w:t xml:space="preserve"> </w:t>
      </w:r>
      <w:r>
        <w:t xml:space="preserve">PM10</w:t>
      </w:r>
      <w:r>
        <w:t xml:space="preserve"> </w:t>
      </w:r>
      <w:r>
        <w:t xml:space="preserve">Infringement established (EU:C:2021:92)</w:t>
      </w:r>
      <w:r>
        <w:t xml:space="preserve"> </w:t>
      </w:r>
      <w:r>
        <w:t xml:space="preserve">Poland</w:t>
      </w:r>
      <w:r>
        <w:t xml:space="preserve"> </w:t>
      </w:r>
      <w:r>
        <w:t xml:space="preserve">C-336/16</w:t>
      </w:r>
      <w:r>
        <w:t xml:space="preserve"> </w:t>
      </w:r>
      <w:r>
        <w:t xml:space="preserve">2008/2199</w:t>
      </w:r>
      <w:r>
        <w:t xml:space="preserve"> </w:t>
      </w:r>
      <w:r>
        <w:t xml:space="preserve">PM10</w:t>
      </w:r>
      <w:r>
        <w:t xml:space="preserve"> </w:t>
      </w:r>
      <w:r>
        <w:t xml:space="preserve">Infringement established (EU:C:2018:94)</w:t>
      </w:r>
      <w:r>
        <w:t xml:space="preserve"> </w:t>
      </w:r>
      <w:r>
        <w:t xml:space="preserve">Portugal</w:t>
      </w:r>
      <w:r>
        <w:t xml:space="preserve"> </w:t>
      </w:r>
      <w:r>
        <w:t xml:space="preserve">C-220/22</w:t>
      </w:r>
      <w:r>
        <w:t xml:space="preserve"> </w:t>
      </w:r>
      <w:r>
        <w:t xml:space="preserve">2015/2045</w:t>
      </w:r>
      <w:r>
        <w:t xml:space="preserve"> </w:t>
      </w:r>
      <w:r>
        <w:t xml:space="preserve">NO2</w:t>
      </w:r>
      <w:r>
        <w:t xml:space="preserve"> </w:t>
      </w:r>
      <w:r>
        <w:t xml:space="preserve">Pending case</w:t>
      </w:r>
      <w:r>
        <w:t xml:space="preserve"> </w:t>
      </w:r>
      <w:r>
        <w:t xml:space="preserve">Romania</w:t>
      </w:r>
      <w:r>
        <w:t xml:space="preserve"> </w:t>
      </w:r>
      <w:r>
        <w:t xml:space="preserve">C-638/18</w:t>
      </w:r>
      <w:r>
        <w:t xml:space="preserve"> </w:t>
      </w:r>
      <w:r>
        <w:t xml:space="preserve">2009/2296</w:t>
      </w:r>
      <w:r>
        <w:t xml:space="preserve"> </w:t>
      </w:r>
      <w:r>
        <w:t xml:space="preserve">PM10</w:t>
      </w:r>
      <w:r>
        <w:t xml:space="preserve"> </w:t>
      </w:r>
      <w:r>
        <w:t xml:space="preserve">Infringement established (EU:C:2020:334)</w:t>
      </w:r>
      <w:r>
        <w:t xml:space="preserve"> </w:t>
      </w:r>
      <w:r>
        <w:t xml:space="preserve">Slovakia</w:t>
      </w:r>
      <w:r>
        <w:t xml:space="preserve"> </w:t>
      </w:r>
      <w:r>
        <w:t xml:space="preserve">C-342/21</w:t>
      </w:r>
      <w:r>
        <w:t xml:space="preserve"> </w:t>
      </w:r>
      <w:r>
        <w:t xml:space="preserve">2008/2201</w:t>
      </w:r>
      <w:r>
        <w:t xml:space="preserve"> </w:t>
      </w:r>
      <w:r>
        <w:t xml:space="preserve">PM10</w:t>
      </w:r>
      <w:r>
        <w:t xml:space="preserve"> </w:t>
      </w:r>
      <w:r>
        <w:t xml:space="preserve">Pending case</w:t>
      </w:r>
      <w:r>
        <w:t xml:space="preserve"> </w:t>
      </w:r>
      <w:r>
        <w:t xml:space="preserve">Other</w:t>
      </w:r>
      <w:r>
        <w:t xml:space="preserve"> </w:t>
      </w:r>
      <w:r>
        <w:t xml:space="preserve">Case</w:t>
      </w:r>
      <w:r>
        <w:br/>
      </w:r>
      <w:r>
        <w:t xml:space="preserve">Infringement</w:t>
      </w:r>
      <w:r>
        <w:t xml:space="preserve"> </w:t>
      </w:r>
      <w:r>
        <w:t xml:space="preserve">Case no.</w:t>
      </w:r>
      <w:r>
        <w:t xml:space="preserve"> </w:t>
      </w:r>
      <w:r>
        <w:t xml:space="preserve">Pollutant</w:t>
      </w:r>
      <w:r>
        <w:t xml:space="preserve"> </w:t>
      </w:r>
      <w:r>
        <w:t xml:space="preserve">Judgment</w:t>
      </w:r>
      <w:r>
        <w:t xml:space="preserve"> </w:t>
      </w:r>
      <w:r>
        <w:t xml:space="preserve">United</w:t>
      </w:r>
      <w:r>
        <w:t xml:space="preserve"> </w:t>
      </w:r>
      <w:r>
        <w:t xml:space="preserve">Kingdom</w:t>
      </w:r>
      <w:r>
        <w:t xml:space="preserve"> </w:t>
      </w:r>
      <w:r>
        <w:t xml:space="preserve">C-664/18</w:t>
      </w:r>
      <w:r>
        <w:t xml:space="preserve"> </w:t>
      </w:r>
      <w:r>
        <w:t xml:space="preserve">2014/4000</w:t>
      </w:r>
      <w:r>
        <w:t xml:space="preserve"> </w:t>
      </w:r>
      <w:r>
        <w:t xml:space="preserve">NO2</w:t>
      </w:r>
      <w:r>
        <w:t xml:space="preserve"> </w:t>
      </w:r>
      <w:r>
        <w:t xml:space="preserve">Infringement established (EU:C:2021:171)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Case</w:t>
      </w:r>
      <w:r>
        <w:br/>
      </w:r>
      <w:r>
        <w:t xml:space="preserve">Infringement</w:t>
      </w:r>
      <w:r>
        <w:t xml:space="preserve"> </w:t>
      </w:r>
      <w:r>
        <w:t xml:space="preserve">Case no.</w:t>
      </w:r>
      <w:r>
        <w:t xml:space="preserve"> </w:t>
      </w:r>
      <w:r>
        <w:t xml:space="preserve">Pollutant</w:t>
      </w:r>
      <w:r>
        <w:t xml:space="preserve"> </w:t>
      </w:r>
      <w:r>
        <w:t xml:space="preserve">Judgment</w:t>
      </w:r>
      <w:r>
        <w:t xml:space="preserve"> </w:t>
      </w:r>
      <w:r>
        <w:t xml:space="preserve">Bulgaria</w:t>
      </w:r>
      <w:r>
        <w:t xml:space="preserve"> </w:t>
      </w:r>
      <w:r>
        <w:t xml:space="preserve">C-174/21</w:t>
      </w:r>
      <w:r>
        <w:t xml:space="preserve"> </w:t>
      </w:r>
      <w:r>
        <w:t xml:space="preserve">2010/2109</w:t>
      </w:r>
      <w:r>
        <w:t xml:space="preserve"> </w:t>
      </w:r>
      <w:r>
        <w:t xml:space="preserve">PM10</w:t>
      </w:r>
      <w:r>
        <w:t xml:space="preserve"> </w:t>
      </w:r>
      <w:r>
        <w:t xml:space="preserve">Pending case</w:t>
      </w:r>
    </w:p>
    <w:p>
      <w:pPr>
        <w:pStyle w:val="BodyText"/>
      </w:pPr>
      <w:r>
        <w:t xml:space="preserve">338</w:t>
      </w:r>
    </w:p>
    <w:p>
      <w:pPr>
        <w:pStyle w:val="BodyText"/>
      </w:pPr>
      <w:r>
        <w:t xml:space="preserve">Table A12.4 – Infringement cases for excessive nitrogen dioxide (NO2)</w:t>
      </w:r>
    </w:p>
    <w:p>
      <w:pPr>
        <w:pStyle w:val="BodyText"/>
      </w:pPr>
      <w:r>
        <w:t xml:space="preserve">Table A12.5 – Infringement cases for excessive particulate matter (PM10 and/or PM2.5)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Case no.</w:t>
      </w:r>
      <w:r>
        <w:t xml:space="preserve"> </w:t>
      </w:r>
      <w:r>
        <w:t xml:space="preserve">Current status</w:t>
      </w:r>
      <w:r>
        <w:t xml:space="preserve"> </w:t>
      </w:r>
      <w:r>
        <w:t xml:space="preserve">Belgium</w:t>
      </w:r>
      <w:r>
        <w:t xml:space="preserve"> </w:t>
      </w:r>
      <w:r>
        <w:t xml:space="preserve">2016/2005</w:t>
      </w:r>
      <w:r>
        <w:t xml:space="preserve"> </w:t>
      </w:r>
      <w:r>
        <w:t xml:space="preserve">Reasoned Opinion (February 2021)</w:t>
      </w:r>
      <w:r>
        <w:t xml:space="preserve"> </w:t>
      </w:r>
      <w:r>
        <w:t xml:space="preserve">Czechia</w:t>
      </w:r>
      <w:r>
        <w:t xml:space="preserve"> </w:t>
      </w:r>
      <w:r>
        <w:t xml:space="preserve">2016/2062</w:t>
      </w:r>
      <w:r>
        <w:t xml:space="preserve"> </w:t>
      </w:r>
      <w:r>
        <w:t xml:space="preserve">Reasoned Opinion (February 2021)</w:t>
      </w:r>
      <w:r>
        <w:t xml:space="preserve"> </w:t>
      </w:r>
      <w:r>
        <w:t xml:space="preserve">Denmark</w:t>
      </w:r>
      <w:r>
        <w:t xml:space="preserve"> </w:t>
      </w:r>
      <w:r>
        <w:t xml:space="preserve">2016/2080</w:t>
      </w:r>
      <w:r>
        <w:t xml:space="preserve"> </w:t>
      </w:r>
      <w:r>
        <w:t xml:space="preserve">Closure (November 2019)</w:t>
      </w:r>
      <w:r>
        <w:t xml:space="preserve"> </w:t>
      </w:r>
      <w:r>
        <w:t xml:space="preserve">Germany</w:t>
      </w:r>
      <w:r>
        <w:t xml:space="preserve"> </w:t>
      </w:r>
      <w:r>
        <w:t xml:space="preserve">2015/2073</w:t>
      </w:r>
      <w:r>
        <w:t xml:space="preserve"> </w:t>
      </w:r>
      <w:r>
        <w:t xml:space="preserve">Judgment establishing infringement (June 2021) (see table A12.2)</w:t>
      </w:r>
      <w:r>
        <w:t xml:space="preserve"> </w:t>
      </w:r>
      <w:r>
        <w:t xml:space="preserve">Greece</w:t>
      </w:r>
      <w:r>
        <w:t xml:space="preserve"> </w:t>
      </w:r>
      <w:r>
        <w:t xml:space="preserve">2018/2361</w:t>
      </w:r>
      <w:r>
        <w:t xml:space="preserve"> </w:t>
      </w:r>
      <w:r>
        <w:t xml:space="preserve">Referral to Court (July 2021) (see table A12.2)</w:t>
      </w:r>
      <w:r>
        <w:t xml:space="preserve"> </w:t>
      </w:r>
      <w:r>
        <w:t xml:space="preserve">Spain</w:t>
      </w:r>
      <w:r>
        <w:t xml:space="preserve"> </w:t>
      </w:r>
      <w:r>
        <w:t xml:space="preserve">2015/2053</w:t>
      </w:r>
      <w:r>
        <w:t xml:space="preserve"> </w:t>
      </w:r>
      <w:r>
        <w:t xml:space="preserve">Referral to Court (July 2019) (see table A12.2)</w:t>
      </w:r>
      <w:r>
        <w:t xml:space="preserve"> </w:t>
      </w:r>
      <w:r>
        <w:t xml:space="preserve">France</w:t>
      </w:r>
      <w:r>
        <w:t xml:space="preserve"> </w:t>
      </w:r>
      <w:r>
        <w:t xml:space="preserve">2015/2074</w:t>
      </w:r>
      <w:r>
        <w:t xml:space="preserve"> </w:t>
      </w:r>
      <w:r>
        <w:t xml:space="preserve">Judgment establishing infringement (October 2019) (see table A12.2)</w:t>
      </w:r>
      <w:r>
        <w:t xml:space="preserve"> </w:t>
      </w:r>
      <w:r>
        <w:t xml:space="preserve">Letter of formal notice (Art. 260 TFEU) (December 2020)</w:t>
      </w:r>
      <w:r>
        <w:t xml:space="preserve"> </w:t>
      </w:r>
      <w:r>
        <w:t xml:space="preserve">Italy</w:t>
      </w:r>
      <w:r>
        <w:t xml:space="preserve"> </w:t>
      </w:r>
      <w:r>
        <w:t xml:space="preserve">2015/2043</w:t>
      </w:r>
      <w:r>
        <w:t xml:space="preserve"> </w:t>
      </w:r>
      <w:r>
        <w:t xml:space="preserve">Judgment establishing infringement (May 2022) (see table A12.2)</w:t>
      </w:r>
      <w:r>
        <w:t xml:space="preserve"> </w:t>
      </w:r>
      <w:r>
        <w:t xml:space="preserve">Luxembourg</w:t>
      </w:r>
      <w:r>
        <w:t xml:space="preserve"> </w:t>
      </w:r>
      <w:r>
        <w:t xml:space="preserve">2017/2101</w:t>
      </w:r>
      <w:r>
        <w:t xml:space="preserve"> </w:t>
      </w:r>
      <w:r>
        <w:t xml:space="preserve">Letter of formal notice (October 2017)</w:t>
      </w:r>
      <w:r>
        <w:t xml:space="preserve"> </w:t>
      </w:r>
      <w:r>
        <w:t xml:space="preserve">Hungary</w:t>
      </w:r>
      <w:r>
        <w:t xml:space="preserve"> </w:t>
      </w:r>
      <w:r>
        <w:t xml:space="preserve">2016/2085</w:t>
      </w:r>
      <w:r>
        <w:t xml:space="preserve"> </w:t>
      </w:r>
      <w:r>
        <w:t xml:space="preserve">Letter of formal notice (July 2016)</w:t>
      </w:r>
      <w:r>
        <w:t xml:space="preserve"> </w:t>
      </w:r>
      <w:r>
        <w:t xml:space="preserve">Austria</w:t>
      </w:r>
      <w:r>
        <w:t xml:space="preserve"> </w:t>
      </w:r>
      <w:r>
        <w:t xml:space="preserve">2016/2006</w:t>
      </w:r>
      <w:r>
        <w:t xml:space="preserve"> </w:t>
      </w:r>
      <w:r>
        <w:t xml:space="preserve">Letter of formal notice (February 2016)</w:t>
      </w:r>
      <w:r>
        <w:t xml:space="preserve"> </w:t>
      </w:r>
      <w:r>
        <w:t xml:space="preserve">Poland</w:t>
      </w:r>
      <w:r>
        <w:t xml:space="preserve"> </w:t>
      </w:r>
      <w:r>
        <w:t xml:space="preserve">2016/2010</w:t>
      </w:r>
      <w:r>
        <w:t xml:space="preserve"> </w:t>
      </w:r>
      <w:r>
        <w:t xml:space="preserve">Reasoned Opinion (February 2021)</w:t>
      </w:r>
      <w:r>
        <w:t xml:space="preserve"> </w:t>
      </w:r>
      <w:r>
        <w:t xml:space="preserve">Portugal</w:t>
      </w:r>
      <w:r>
        <w:t xml:space="preserve"> </w:t>
      </w:r>
      <w:r>
        <w:t xml:space="preserve">2015/2045</w:t>
      </w:r>
      <w:r>
        <w:t xml:space="preserve"> </w:t>
      </w:r>
      <w:r>
        <w:t xml:space="preserve">Referral to Court (November 2021) (see table A12.2)</w:t>
      </w:r>
      <w:r>
        <w:t xml:space="preserve"> </w:t>
      </w:r>
      <w:r>
        <w:t xml:space="preserve">Romania</w:t>
      </w:r>
      <w:r>
        <w:t xml:space="preserve"> </w:t>
      </w:r>
      <w:r>
        <w:t xml:space="preserve">2020/2206</w:t>
      </w:r>
      <w:r>
        <w:t xml:space="preserve"> </w:t>
      </w:r>
      <w:r>
        <w:t xml:space="preserve">Letter of formal notice (May 2020)</w:t>
      </w:r>
      <w:r>
        <w:br/>
      </w:r>
      <w:r>
        <w:t xml:space="preserve">Other</w:t>
      </w:r>
      <w:r>
        <w:t xml:space="preserve"> </w:t>
      </w:r>
      <w:r>
        <w:t xml:space="preserve">Case no.</w:t>
      </w:r>
      <w:r>
        <w:t xml:space="preserve"> </w:t>
      </w:r>
      <w:r>
        <w:t xml:space="preserve">Current status</w:t>
      </w:r>
      <w:r>
        <w:t xml:space="preserve"> </w:t>
      </w:r>
      <w:r>
        <w:t xml:space="preserve">United</w:t>
      </w:r>
      <w:r>
        <w:t xml:space="preserve"> </w:t>
      </w:r>
      <w:r>
        <w:t xml:space="preserve">Kingdom</w:t>
      </w:r>
      <w:r>
        <w:t xml:space="preserve"> </w:t>
      </w:r>
      <w:r>
        <w:t xml:space="preserve">2014/4000</w:t>
      </w:r>
      <w:r>
        <w:t xml:space="preserve"> </w:t>
      </w:r>
      <w:r>
        <w:t xml:space="preserve">Judgment establishing infringement (March 2021) (see table A12.2)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Case no.</w:t>
      </w:r>
      <w:r>
        <w:t xml:space="preserve"> </w:t>
      </w:r>
      <w:r>
        <w:t xml:space="preserve">Current status</w:t>
      </w:r>
      <w:r>
        <w:t xml:space="preserve"> </w:t>
      </w:r>
      <w:r>
        <w:t xml:space="preserve">Belgium</w:t>
      </w:r>
      <w:r>
        <w:t xml:space="preserve"> </w:t>
      </w:r>
      <w:r>
        <w:t xml:space="preserve">2008/2184</w:t>
      </w:r>
      <w:r>
        <w:t xml:space="preserve"> </w:t>
      </w:r>
      <w:r>
        <w:t xml:space="preserve">Closure (November 2018)</w:t>
      </w:r>
      <w:r>
        <w:br/>
      </w:r>
      <w:r>
        <w:t xml:space="preserve">Bulgaria</w:t>
      </w:r>
      <w:r>
        <w:t xml:space="preserve"> </w:t>
      </w:r>
      <w:r>
        <w:t xml:space="preserve">2010/2109</w:t>
      </w:r>
      <w:r>
        <w:t xml:space="preserve"> </w:t>
      </w:r>
      <w:r>
        <w:t xml:space="preserve">Judgment establishing infringement (April 2017) (see table A12.2)</w:t>
      </w:r>
      <w:r>
        <w:t xml:space="preserve"> </w:t>
      </w:r>
      <w:r>
        <w:t xml:space="preserve">Referral to Court (Art. 260 TFEU) (December 2020) (see table A12.3)</w:t>
      </w:r>
      <w:r>
        <w:t xml:space="preserve"> </w:t>
      </w:r>
      <w:r>
        <w:t xml:space="preserve">Czechia</w:t>
      </w:r>
      <w:r>
        <w:t xml:space="preserve"> </w:t>
      </w:r>
      <w:r>
        <w:t xml:space="preserve">2008/2186</w:t>
      </w:r>
      <w:r>
        <w:t xml:space="preserve"> </w:t>
      </w:r>
      <w:r>
        <w:t xml:space="preserve">Additional Reasoned Opinion (March 2015)</w:t>
      </w:r>
      <w:r>
        <w:t xml:space="preserve"> </w:t>
      </w:r>
      <w:r>
        <w:t xml:space="preserve">Denmark</w:t>
      </w:r>
      <w:r>
        <w:t xml:space="preserve"> </w:t>
      </w:r>
      <w:r>
        <w:t xml:space="preserve">2008/2187</w:t>
      </w:r>
      <w:r>
        <w:t xml:space="preserve"> </w:t>
      </w:r>
      <w:r>
        <w:t xml:space="preserve">Closure (June 2010)</w:t>
      </w:r>
      <w:r>
        <w:t xml:space="preserve"> </w:t>
      </w:r>
      <w:r>
        <w:t xml:space="preserve">Germany</w:t>
      </w:r>
      <w:r>
        <w:t xml:space="preserve"> </w:t>
      </w:r>
      <w:r>
        <w:t xml:space="preserve">2008/2191</w:t>
      </w:r>
      <w:r>
        <w:t xml:space="preserve"> </w:t>
      </w:r>
      <w:r>
        <w:t xml:space="preserve">Closure (April 2022)</w:t>
      </w:r>
      <w:r>
        <w:t xml:space="preserve"> </w:t>
      </w:r>
      <w:r>
        <w:t xml:space="preserve">Estonia</w:t>
      </w:r>
      <w:r>
        <w:t xml:space="preserve"> </w:t>
      </w:r>
      <w:r>
        <w:t xml:space="preserve">2008/2188</w:t>
      </w:r>
      <w:r>
        <w:t xml:space="preserve"> </w:t>
      </w:r>
      <w:r>
        <w:t xml:space="preserve">Closure (May 2011)</w:t>
      </w:r>
      <w:r>
        <w:t xml:space="preserve"> </w:t>
      </w:r>
      <w:r>
        <w:t xml:space="preserve">Greece</w:t>
      </w:r>
      <w:r>
        <w:t xml:space="preserve"> </w:t>
      </w:r>
      <w:r>
        <w:t xml:space="preserve">2008/2192</w:t>
      </w:r>
      <w:r>
        <w:t xml:space="preserve"> </w:t>
      </w:r>
      <w:r>
        <w:t xml:space="preserve">Referral to Court (December 2020) (see table A12.2)</w:t>
      </w:r>
      <w:r>
        <w:t xml:space="preserve"> </w:t>
      </w:r>
      <w:r>
        <w:t xml:space="preserve">Spain</w:t>
      </w:r>
      <w:r>
        <w:t xml:space="preserve"> </w:t>
      </w:r>
      <w:r>
        <w:t xml:space="preserve">2008/2203</w:t>
      </w:r>
      <w:r>
        <w:t xml:space="preserve"> </w:t>
      </w:r>
      <w:r>
        <w:t xml:space="preserve">Additional Reasoned Opinion (October 2014)</w:t>
      </w:r>
      <w:r>
        <w:t xml:space="preserve"> </w:t>
      </w:r>
      <w:r>
        <w:t xml:space="preserve">France</w:t>
      </w:r>
      <w:r>
        <w:t xml:space="preserve"> </w:t>
      </w:r>
      <w:r>
        <w:t xml:space="preserve">2008/2190</w:t>
      </w:r>
      <w:r>
        <w:t xml:space="preserve"> </w:t>
      </w:r>
      <w:r>
        <w:t xml:space="preserve">Judgment establishing infringement (April 2022) (see table A12.2)</w:t>
      </w:r>
      <w:r>
        <w:t xml:space="preserve"> </w:t>
      </w:r>
      <w:r>
        <w:t xml:space="preserve">Croatia</w:t>
      </w:r>
      <w:r>
        <w:t xml:space="preserve"> </w:t>
      </w:r>
      <w:r>
        <w:t xml:space="preserve">2020/2298</w:t>
      </w:r>
      <w:r>
        <w:t xml:space="preserve"> </w:t>
      </w:r>
      <w:r>
        <w:t xml:space="preserve">Reasoned Opinion (May 2022)</w:t>
      </w:r>
    </w:p>
    <w:p>
      <w:pPr>
        <w:pStyle w:val="BodyText"/>
      </w:pPr>
      <w:r>
        <w:t xml:space="preserve">339</w:t>
      </w:r>
    </w:p>
    <w:p>
      <w:pPr>
        <w:pStyle w:val="BodyText"/>
      </w:pPr>
      <w:r>
        <w:t xml:space="preserve">Table A12.6 – Infringement cases for excessive sulphur dioxide (SO2)</w:t>
      </w:r>
      <w:r>
        <w:t xml:space="preserve"> </w:t>
      </w:r>
      <w:r>
        <w:t xml:space="preserve">Italy</w:t>
      </w:r>
      <w:r>
        <w:t xml:space="preserve"> </w:t>
      </w:r>
      <w:r>
        <w:t xml:space="preserve">2008/2194</w:t>
      </w:r>
    </w:p>
    <w:p>
      <w:pPr>
        <w:pStyle w:val="BodyText"/>
      </w:pPr>
      <w:r>
        <w:t xml:space="preserve">2014/2147</w:t>
      </w:r>
      <w:r>
        <w:t xml:space="preserve"> </w:t>
      </w:r>
      <w:r>
        <w:t xml:space="preserve">Judgment establishing infringement based on Directive 1999/30/EC</w:t>
      </w:r>
      <w:r>
        <w:t xml:space="preserve"> </w:t>
      </w:r>
      <w:r>
        <w:t xml:space="preserve">(December 2012) (see table A12.1) Closure (June 2013)**</w:t>
      </w:r>
    </w:p>
    <w:p>
      <w:pPr>
        <w:pStyle w:val="BodyText"/>
      </w:pPr>
      <w:r>
        <w:t xml:space="preserve">Judgment establishing infringement (November 2020) (see table A12.2)</w:t>
      </w:r>
      <w:r>
        <w:t xml:space="preserve"> </w:t>
      </w:r>
      <w:r>
        <w:t xml:space="preserve">Italy</w:t>
      </w:r>
      <w:r>
        <w:t xml:space="preserve"> </w:t>
      </w:r>
      <w:r>
        <w:t xml:space="preserve">2020/2299</w:t>
      </w:r>
      <w:r>
        <w:t xml:space="preserve"> </w:t>
      </w:r>
      <w:r>
        <w:t xml:space="preserve">Letter of formal notice (October 2020)</w:t>
      </w:r>
      <w:r>
        <w:t xml:space="preserve"> </w:t>
      </w:r>
      <w:r>
        <w:t xml:space="preserve">Cyprus</w:t>
      </w:r>
      <w:r>
        <w:t xml:space="preserve"> </w:t>
      </w:r>
      <w:r>
        <w:t xml:space="preserve">2008/2185</w:t>
      </w:r>
      <w:r>
        <w:t xml:space="preserve"> </w:t>
      </w:r>
      <w:r>
        <w:t xml:space="preserve">Closure (February 2012)</w:t>
      </w:r>
      <w:r>
        <w:t xml:space="preserve"> </w:t>
      </w:r>
      <w:r>
        <w:t xml:space="preserve">Latvia</w:t>
      </w:r>
      <w:r>
        <w:t xml:space="preserve"> </w:t>
      </w:r>
      <w:r>
        <w:t xml:space="preserve">2008/2195</w:t>
      </w:r>
      <w:r>
        <w:t xml:space="preserve"> </w:t>
      </w:r>
      <w:r>
        <w:t xml:space="preserve">Closure (May 2020)</w:t>
      </w:r>
      <w:r>
        <w:t xml:space="preserve"> </w:t>
      </w:r>
      <w:r>
        <w:t xml:space="preserve">Hungary</w:t>
      </w:r>
      <w:r>
        <w:t xml:space="preserve"> </w:t>
      </w:r>
      <w:r>
        <w:t xml:space="preserve">2008/2193</w:t>
      </w:r>
      <w:r>
        <w:t xml:space="preserve"> </w:t>
      </w:r>
      <w:r>
        <w:t xml:space="preserve">Judgment establishing infringement (February 2021) (see table A12.2)</w:t>
      </w:r>
      <w:r>
        <w:t xml:space="preserve"> </w:t>
      </w:r>
      <w:r>
        <w:t xml:space="preserve">Malta</w:t>
      </w:r>
      <w:r>
        <w:t xml:space="preserve"> </w:t>
      </w:r>
      <w:r>
        <w:t xml:space="preserve">2008/2197</w:t>
      </w:r>
      <w:r>
        <w:t xml:space="preserve"> </w:t>
      </w:r>
      <w:r>
        <w:t xml:space="preserve">Closure (September 2010)</w:t>
      </w:r>
      <w:r>
        <w:t xml:space="preserve"> </w:t>
      </w:r>
      <w:r>
        <w:t xml:space="preserve">Austria</w:t>
      </w:r>
      <w:r>
        <w:t xml:space="preserve"> </w:t>
      </w:r>
      <w:r>
        <w:t xml:space="preserve">2008/2183</w:t>
      </w:r>
      <w:r>
        <w:t xml:space="preserve"> </w:t>
      </w:r>
      <w:r>
        <w:t xml:space="preserve">Closure (April 2015)</w:t>
      </w:r>
      <w:r>
        <w:t xml:space="preserve"> </w:t>
      </w:r>
      <w:r>
        <w:t xml:space="preserve">Poland</w:t>
      </w:r>
      <w:r>
        <w:t xml:space="preserve"> </w:t>
      </w:r>
      <w:r>
        <w:t xml:space="preserve">2008/2199</w:t>
      </w:r>
      <w:r>
        <w:t xml:space="preserve"> </w:t>
      </w:r>
      <w:r>
        <w:t xml:space="preserve">Judgment establishing infringement (February 2018) (see table A12.2)</w:t>
      </w:r>
      <w:r>
        <w:t xml:space="preserve"> </w:t>
      </w:r>
      <w:r>
        <w:t xml:space="preserve">Letter of formal notice (Art. 260 TFEU) (July 2019)</w:t>
      </w:r>
      <w:r>
        <w:t xml:space="preserve"> </w:t>
      </w:r>
      <w:r>
        <w:t xml:space="preserve">Portugal</w:t>
      </w:r>
      <w:r>
        <w:t xml:space="preserve"> </w:t>
      </w:r>
      <w:r>
        <w:t xml:space="preserve">2008/2200</w:t>
      </w:r>
    </w:p>
    <w:p>
      <w:pPr>
        <w:pStyle w:val="BodyText"/>
      </w:pPr>
      <w:r>
        <w:t xml:space="preserve">2013/2135</w:t>
      </w:r>
      <w:r>
        <w:t xml:space="preserve"> </w:t>
      </w:r>
      <w:r>
        <w:t xml:space="preserve">Judgment establishing infringement based on Directive 1999/30/EC</w:t>
      </w:r>
      <w:r>
        <w:t xml:space="preserve"> </w:t>
      </w:r>
      <w:r>
        <w:t xml:space="preserve">(November 2012) (see table A12.1) Closure (June 2013)**</w:t>
      </w:r>
    </w:p>
    <w:p>
      <w:pPr>
        <w:pStyle w:val="BodyText"/>
      </w:pPr>
      <w:r>
        <w:t xml:space="preserve">Closure (July 2020)</w:t>
      </w:r>
      <w:r>
        <w:t xml:space="preserve"> </w:t>
      </w:r>
      <w:r>
        <w:t xml:space="preserve">Romania</w:t>
      </w:r>
      <w:r>
        <w:t xml:space="preserve"> </w:t>
      </w:r>
      <w:r>
        <w:t xml:space="preserve">2009/2296</w:t>
      </w:r>
      <w:r>
        <w:t xml:space="preserve"> </w:t>
      </w:r>
      <w:r>
        <w:t xml:space="preserve">Judgment establishing infringement (April 2020) (see table A12.2)</w:t>
      </w:r>
      <w:r>
        <w:t xml:space="preserve"> </w:t>
      </w:r>
      <w:r>
        <w:t xml:space="preserve">Slovenia</w:t>
      </w:r>
      <w:r>
        <w:t xml:space="preserve"> </w:t>
      </w:r>
      <w:r>
        <w:t xml:space="preserve">2008/2202</w:t>
      </w:r>
    </w:p>
    <w:p>
      <w:pPr>
        <w:pStyle w:val="BodyText"/>
      </w:pPr>
      <w:r>
        <w:t xml:space="preserve">2012/2212</w:t>
      </w:r>
      <w:r>
        <w:t xml:space="preserve"> </w:t>
      </w:r>
      <w:r>
        <w:t xml:space="preserve">Judgment establishing infringement based on Directive 1999/30/EC</w:t>
      </w:r>
      <w:r>
        <w:br/>
      </w:r>
      <w:r>
        <w:t xml:space="preserve">(March 2011) (see table A12.1) Closure (October 2011)**</w:t>
      </w:r>
    </w:p>
    <w:p>
      <w:pPr>
        <w:pStyle w:val="BodyText"/>
      </w:pPr>
      <w:r>
        <w:t xml:space="preserve">Reasoned Opinion (May 2020)</w:t>
      </w:r>
      <w:r>
        <w:t xml:space="preserve"> </w:t>
      </w:r>
      <w:r>
        <w:t xml:space="preserve">Slovakia</w:t>
      </w:r>
      <w:r>
        <w:t xml:space="preserve"> </w:t>
      </w:r>
      <w:r>
        <w:t xml:space="preserve">2008/2201</w:t>
      </w:r>
      <w:r>
        <w:t xml:space="preserve"> </w:t>
      </w:r>
      <w:r>
        <w:t xml:space="preserve">Referral to Court (February 2021) (see table A12.2)</w:t>
      </w:r>
      <w:r>
        <w:br/>
      </w:r>
      <w:r>
        <w:t xml:space="preserve">Sweden</w:t>
      </w:r>
      <w:r>
        <w:t xml:space="preserve"> </w:t>
      </w:r>
      <w:r>
        <w:t xml:space="preserve">2008/2204</w:t>
      </w:r>
    </w:p>
    <w:p>
      <w:pPr>
        <w:pStyle w:val="BodyText"/>
      </w:pPr>
      <w:r>
        <w:t xml:space="preserve">2012/2216</w:t>
      </w:r>
      <w:r>
        <w:t xml:space="preserve"> </w:t>
      </w:r>
      <w:r>
        <w:t xml:space="preserve">Judgment establishing infringement based on Directive 1999/30/EC (May</w:t>
      </w:r>
      <w:r>
        <w:t xml:space="preserve"> </w:t>
      </w:r>
      <w:r>
        <w:t xml:space="preserve">2011) (see table A12.1) Closure (October 2011)**</w:t>
      </w:r>
    </w:p>
    <w:p>
      <w:pPr>
        <w:pStyle w:val="BodyText"/>
      </w:pPr>
      <w:r>
        <w:t xml:space="preserve">Reasoned opinion (June 2015)</w:t>
      </w:r>
      <w:r>
        <w:t xml:space="preserve"> </w:t>
      </w:r>
      <w:r>
        <w:t xml:space="preserve">Other</w:t>
      </w:r>
      <w:r>
        <w:t xml:space="preserve"> </w:t>
      </w:r>
      <w:r>
        <w:t xml:space="preserve">Case no.</w:t>
      </w:r>
      <w:r>
        <w:t xml:space="preserve"> </w:t>
      </w:r>
      <w:r>
        <w:t xml:space="preserve">Current status</w:t>
      </w:r>
      <w:r>
        <w:t xml:space="preserve"> </w:t>
      </w:r>
      <w:r>
        <w:t xml:space="preserve">United</w:t>
      </w:r>
      <w:r>
        <w:t xml:space="preserve"> </w:t>
      </w:r>
      <w:r>
        <w:t xml:space="preserve">Kingdom</w:t>
      </w:r>
      <w:r>
        <w:t xml:space="preserve"> </w:t>
      </w:r>
      <w:r>
        <w:t xml:space="preserve">2008/2205</w:t>
      </w:r>
      <w:r>
        <w:t xml:space="preserve"> </w:t>
      </w:r>
      <w:r>
        <w:t xml:space="preserve">Closure (February 2013)</w:t>
      </w:r>
      <w:r>
        <w:t xml:space="preserve"> </w:t>
      </w:r>
      <w:r>
        <w:t xml:space="preserve">** The case was closed due to a change of legal basis; a new case was initiated to accommodate for this.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Case no.</w:t>
      </w:r>
      <w:r>
        <w:t xml:space="preserve"> </w:t>
      </w:r>
      <w:r>
        <w:t xml:space="preserve">Current status</w:t>
      </w:r>
      <w:r>
        <w:t xml:space="preserve"> </w:t>
      </w:r>
      <w:r>
        <w:t xml:space="preserve">Bulgaria</w:t>
      </w:r>
      <w:r>
        <w:t xml:space="preserve"> </w:t>
      </w:r>
      <w:r>
        <w:t xml:space="preserve">2009/2135</w:t>
      </w:r>
      <w:r>
        <w:t xml:space="preserve"> </w:t>
      </w:r>
      <w:r>
        <w:t xml:space="preserve">Judgment establishing infringement (May 2022) (see table A12.2)</w:t>
      </w:r>
      <w:r>
        <w:t xml:space="preserve"> </w:t>
      </w:r>
      <w:r>
        <w:t xml:space="preserve">Czechia</w:t>
      </w:r>
      <w:r>
        <w:t xml:space="preserve"> </w:t>
      </w:r>
      <w:r>
        <w:t xml:space="preserve">2009/2136</w:t>
      </w:r>
      <w:r>
        <w:t xml:space="preserve"> </w:t>
      </w:r>
      <w:r>
        <w:t xml:space="preserve">Closure (January 2010)</w:t>
      </w:r>
      <w:r>
        <w:t xml:space="preserve"> </w:t>
      </w:r>
      <w:r>
        <w:t xml:space="preserve">Spain</w:t>
      </w:r>
      <w:r>
        <w:t xml:space="preserve"> </w:t>
      </w:r>
      <w:r>
        <w:t xml:space="preserve">2007/2180</w:t>
      </w:r>
      <w:r>
        <w:t xml:space="preserve"> </w:t>
      </w:r>
      <w:r>
        <w:t xml:space="preserve">Closure (June 2010)</w:t>
      </w:r>
      <w:r>
        <w:t xml:space="preserve"> </w:t>
      </w:r>
      <w:r>
        <w:t xml:space="preserve">France</w:t>
      </w:r>
      <w:r>
        <w:t xml:space="preserve"> </w:t>
      </w:r>
      <w:r>
        <w:t xml:space="preserve">2007/2181</w:t>
      </w:r>
      <w:r>
        <w:t xml:space="preserve"> </w:t>
      </w:r>
      <w:r>
        <w:t xml:space="preserve">Closure (November 2010)</w:t>
      </w:r>
      <w:r>
        <w:t xml:space="preserve"> </w:t>
      </w:r>
      <w:r>
        <w:t xml:space="preserve">Italy</w:t>
      </w:r>
      <w:r>
        <w:t xml:space="preserve"> </w:t>
      </w:r>
      <w:r>
        <w:t xml:space="preserve">2007/2182</w:t>
      </w:r>
      <w:r>
        <w:t xml:space="preserve"> </w:t>
      </w:r>
      <w:r>
        <w:t xml:space="preserve">Closure (May 2009)</w:t>
      </w:r>
      <w:r>
        <w:t xml:space="preserve"> </w:t>
      </w:r>
      <w:r>
        <w:t xml:space="preserve">Poland</w:t>
      </w:r>
      <w:r>
        <w:t xml:space="preserve"> </w:t>
      </w:r>
      <w:r>
        <w:t xml:space="preserve">2009/2137</w:t>
      </w:r>
      <w:r>
        <w:t xml:space="preserve"> </w:t>
      </w:r>
      <w:r>
        <w:t xml:space="preserve">Closure (January 2011)</w:t>
      </w:r>
      <w:r>
        <w:t xml:space="preserve"> </w:t>
      </w:r>
      <w:r>
        <w:t xml:space="preserve">Portugal</w:t>
      </w:r>
      <w:r>
        <w:t xml:space="preserve"> </w:t>
      </w:r>
      <w:r>
        <w:t xml:space="preserve">2009/2138</w:t>
      </w:r>
      <w:r>
        <w:t xml:space="preserve"> </w:t>
      </w:r>
      <w:r>
        <w:t xml:space="preserve">Closure (May 2011)</w:t>
      </w:r>
      <w:r>
        <w:t xml:space="preserve"> </w:t>
      </w:r>
      <w:r>
        <w:t xml:space="preserve">Romania</w:t>
      </w:r>
      <w:r>
        <w:t xml:space="preserve"> </w:t>
      </w:r>
      <w:r>
        <w:t xml:space="preserve">2009/2337</w:t>
      </w:r>
      <w:r>
        <w:t xml:space="preserve"> </w:t>
      </w:r>
      <w:r>
        <w:t xml:space="preserve">Closure (November 2013)</w:t>
      </w:r>
    </w:p>
    <w:p>
      <w:pPr>
        <w:pStyle w:val="BodyText"/>
      </w:pPr>
      <w:r>
        <w:t xml:space="preserve">340</w:t>
      </w:r>
    </w:p>
    <w:p>
      <w:pPr>
        <w:pStyle w:val="BodyText"/>
      </w:pPr>
      <w:r>
        <w:t xml:space="preserve">Table A12.7 – Infringement cases related to the monitoring network</w:t>
      </w:r>
    </w:p>
    <w:p>
      <w:pPr>
        <w:pStyle w:val="Compact"/>
        <w:numPr>
          <w:ilvl w:val="0"/>
          <w:numId w:val="1015"/>
        </w:numPr>
      </w:pPr>
      <w:r>
        <w:t xml:space="preserve">SELECTED CASE LAW OF THE COURT OF JUSTICE OF THE EU RELATED TO THE</w:t>
      </w:r>
      <w:r>
        <w:t xml:space="preserve"> </w:t>
      </w:r>
      <w:r>
        <w:t xml:space="preserve">IMPLEMENTATION OF THE AMBIENT AIR QUALITY DIRECTIVES</w:t>
      </w:r>
      <w:r>
        <w:t xml:space="preserve"> </w:t>
      </w:r>
      <w:r>
        <w:t xml:space="preserve">C-237/07, Janecek (EU:C:2008:447) - Entitlement of a third party, whose health has been</w:t>
      </w:r>
      <w:r>
        <w:t xml:space="preserve"> </w:t>
      </w:r>
      <w:r>
        <w:t xml:space="preserve">impaired, to have an action plan drawn up</w:t>
      </w:r>
      <w:r>
        <w:t xml:space="preserve"> </w:t>
      </w:r>
      <w:r>
        <w:t xml:space="preserve">The case involved a dispute between Mr Dieter Janecek and Bavaria, over excessive PM10</w:t>
      </w:r>
      <w:r>
        <w:t xml:space="preserve"> </w:t>
      </w:r>
      <w:r>
        <w:t xml:space="preserve">pollution in the city of Munich. Mr Janecek filed a lawsuit, requesting an air quality plan to</w:t>
      </w:r>
      <w:r>
        <w:t xml:space="preserve"> </w:t>
      </w:r>
      <w:r>
        <w:t xml:space="preserve">address the exceedances. The question was raised via a preliminary reference whether he</w:t>
      </w:r>
      <w:r>
        <w:t xml:space="preserve"> </w:t>
      </w:r>
      <w:r>
        <w:t xml:space="preserve">would have such a right, based on the Air Quality Framework Directive (Directive 96/62/EC)</w:t>
      </w:r>
      <w:r>
        <w:t xml:space="preserve"> </w:t>
      </w:r>
      <w:r>
        <w:t xml:space="preserve">applicable at the time.</w:t>
      </w:r>
      <w:r>
        <w:t xml:space="preserve"> </w:t>
      </w:r>
      <w:r>
        <w:t xml:space="preserve">The Court of Justice of the EU decided that where there is a risk that the emission limit</w:t>
      </w:r>
      <w:r>
        <w:t xml:space="preserve"> </w:t>
      </w:r>
      <w:r>
        <w:t xml:space="preserve">values in respect of particulate matter PM10 or alert thresholds may be exceeded, persons</w:t>
      </w:r>
      <w:r>
        <w:t xml:space="preserve"> </w:t>
      </w:r>
      <w:r>
        <w:t xml:space="preserve">directly concerned must be in a position to require the competent national authorities to draw</w:t>
      </w:r>
      <w:r>
        <w:t xml:space="preserve"> </w:t>
      </w:r>
      <w:r>
        <w:t xml:space="preserve">up an action plan. This applies even in cases where, under national law, those persons may</w:t>
      </w:r>
      <w:r>
        <w:t xml:space="preserve"> </w:t>
      </w:r>
      <w:r>
        <w:t xml:space="preserve">have other courses of action available to them for requiring those authorities to take measures</w:t>
      </w:r>
      <w:r>
        <w:t xml:space="preserve"> </w:t>
      </w:r>
      <w:r>
        <w:t xml:space="preserve">to combat atmospheric pollution.</w:t>
      </w:r>
      <w:r>
        <w:t xml:space="preserve"> </w:t>
      </w:r>
      <w:r>
        <w:t xml:space="preserve">Furthermore, Member States are obliged, subject to judicial review by the national courts, to</w:t>
      </w:r>
      <w:r>
        <w:t xml:space="preserve"> </w:t>
      </w:r>
      <w:r>
        <w:t xml:space="preserve">take measures – in the context of an action plan and in the short term – that are capable of</w:t>
      </w:r>
      <w:r>
        <w:t xml:space="preserve"> </w:t>
      </w:r>
      <w:r>
        <w:t xml:space="preserve">reducing to a minimum the risk that the emission limit values in respect of particulate matter</w:t>
      </w:r>
      <w:r>
        <w:t xml:space="preserve"> </w:t>
      </w:r>
      <w:r>
        <w:t xml:space="preserve">PM10 or alert thresholds may be exceeded.</w:t>
      </w:r>
      <w:r>
        <w:t xml:space="preserve"> </w:t>
      </w:r>
      <w:r>
        <w:t xml:space="preserve">Slovenia</w:t>
      </w:r>
      <w:r>
        <w:t xml:space="preserve"> </w:t>
      </w:r>
      <w:r>
        <w:t xml:space="preserve">2007/2183</w:t>
      </w:r>
      <w:r>
        <w:t xml:space="preserve"> </w:t>
      </w:r>
      <w:r>
        <w:t xml:space="preserve">Closure (November 2008)</w:t>
      </w:r>
      <w:r>
        <w:t xml:space="preserve"> </w:t>
      </w:r>
      <w:r>
        <w:t xml:space="preserve">Other</w:t>
      </w:r>
      <w:r>
        <w:t xml:space="preserve"> </w:t>
      </w:r>
      <w:r>
        <w:t xml:space="preserve">Case no.</w:t>
      </w:r>
      <w:r>
        <w:t xml:space="preserve"> </w:t>
      </w:r>
      <w:r>
        <w:t xml:space="preserve">Current status</w:t>
      </w:r>
      <w:r>
        <w:t xml:space="preserve"> </w:t>
      </w:r>
      <w:r>
        <w:t xml:space="preserve">United</w:t>
      </w:r>
      <w:r>
        <w:t xml:space="preserve"> </w:t>
      </w:r>
      <w:r>
        <w:t xml:space="preserve">Kingdom</w:t>
      </w:r>
      <w:r>
        <w:t xml:space="preserve"> </w:t>
      </w:r>
      <w:r>
        <w:t xml:space="preserve">2007/2184</w:t>
      </w:r>
      <w:r>
        <w:t xml:space="preserve"> </w:t>
      </w:r>
      <w:r>
        <w:t xml:space="preserve">Closure (May 2008)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Case no.</w:t>
      </w:r>
      <w:r>
        <w:t xml:space="preserve"> </w:t>
      </w:r>
      <w:r>
        <w:t xml:space="preserve">Current status</w:t>
      </w:r>
      <w:r>
        <w:t xml:space="preserve"> </w:t>
      </w:r>
      <w:r>
        <w:t xml:space="preserve">Romania</w:t>
      </w:r>
      <w:r>
        <w:t xml:space="preserve"> </w:t>
      </w:r>
      <w:r>
        <w:t xml:space="preserve">2017/2024</w:t>
      </w:r>
      <w:r>
        <w:t xml:space="preserve"> </w:t>
      </w:r>
      <w:r>
        <w:t xml:space="preserve">Additional letter of formal notice (July 2019)</w:t>
      </w:r>
      <w:r>
        <w:t xml:space="preserve"> </w:t>
      </w:r>
      <w:r>
        <w:t xml:space="preserve">Slovakia</w:t>
      </w:r>
      <w:r>
        <w:t xml:space="preserve"> </w:t>
      </w:r>
      <w:r>
        <w:t xml:space="preserve">2017/2116</w:t>
      </w:r>
      <w:r>
        <w:t xml:space="preserve"> </w:t>
      </w:r>
      <w:r>
        <w:t xml:space="preserve">Closure (May 2022)</w:t>
      </w:r>
    </w:p>
    <w:p>
      <w:pPr>
        <w:pStyle w:val="FirstParagraph"/>
      </w:pPr>
      <w:r>
        <w:t xml:space="preserve">341</w:t>
      </w:r>
    </w:p>
    <w:p>
      <w:pPr>
        <w:pStyle w:val="BodyText"/>
      </w:pPr>
      <w:r>
        <w:t xml:space="preserve">C-404/13, ClientEarth (EU:C:2014:2382) - National courts’ obligation to ensure an air</w:t>
      </w:r>
      <w:r>
        <w:t xml:space="preserve"> </w:t>
      </w:r>
      <w:r>
        <w:t xml:space="preserve">quality plan is established in case of exceedances</w:t>
      </w:r>
      <w:r>
        <w:t xml:space="preserve"> </w:t>
      </w:r>
      <w:r>
        <w:t xml:space="preserve">Due to excessive nitrogen dioxide (NO2) pollution in many zones in the UK, the</w:t>
      </w:r>
      <w:r>
        <w:t xml:space="preserve"> </w:t>
      </w:r>
      <w:r>
        <w:t xml:space="preserve">environmental organisation ‘ClientEarth’ brought a claim in front of UK courts, seeking an</w:t>
      </w:r>
      <w:r>
        <w:t xml:space="preserve"> </w:t>
      </w:r>
      <w:r>
        <w:t xml:space="preserve">order requiring the Secretary of State for the Environment, Food and Rural Affairs to revise</w:t>
      </w:r>
      <w:r>
        <w:t xml:space="preserve"> </w:t>
      </w:r>
      <w:r>
        <w:t xml:space="preserve">the air quality plans to ensure that they demonstrate how conformity with the nitrogen</w:t>
      </w:r>
      <w:r>
        <w:t xml:space="preserve"> </w:t>
      </w:r>
      <w:r>
        <w:t xml:space="preserve">dioxide limit values will be achieved as soon as possible. One of the questions raised via a</w:t>
      </w:r>
      <w:r>
        <w:t xml:space="preserve"> </w:t>
      </w:r>
      <w:r>
        <w:t xml:space="preserve">preliminary reference was related to remedies that national courts must provide in cases like</w:t>
      </w:r>
      <w:r>
        <w:t xml:space="preserve"> </w:t>
      </w:r>
      <w:r>
        <w:t xml:space="preserve">this one.</w:t>
      </w:r>
      <w:r>
        <w:t xml:space="preserve"> </w:t>
      </w:r>
      <w:r>
        <w:t xml:space="preserve">In its decision, building up on the Janecek judgment (see above), the Court of Justice of the</w:t>
      </w:r>
      <w:r>
        <w:t xml:space="preserve"> </w:t>
      </w:r>
      <w:r>
        <w:t xml:space="preserve">EU decided that where a Member State has failed to comply with limit and target values</w:t>
      </w:r>
      <w:r>
        <w:t xml:space="preserve"> </w:t>
      </w:r>
      <w:r>
        <w:t xml:space="preserve">under Directive 2008/50/EC, it is for the national court having jurisdiction, should a case be</w:t>
      </w:r>
      <w:r>
        <w:t xml:space="preserve"> </w:t>
      </w:r>
      <w:r>
        <w:t xml:space="preserve">brought before it, to take, with regard to the national authority, any necessary measure, such</w:t>
      </w:r>
      <w:r>
        <w:t xml:space="preserve"> </w:t>
      </w:r>
      <w:r>
        <w:t xml:space="preserve">as an order in the appropriate terms, so that the authority establishes the plan required by the</w:t>
      </w:r>
      <w:r>
        <w:t xml:space="preserve"> </w:t>
      </w:r>
      <w:r>
        <w:t xml:space="preserve">directive in accordance with the conditions laid down by the latter.</w:t>
      </w:r>
      <w:r>
        <w:t xml:space="preserve"> </w:t>
      </w:r>
      <w:r>
        <w:t xml:space="preserve">As regards the content of the plan, while Member States have a degree of discretion in</w:t>
      </w:r>
      <w:r>
        <w:t xml:space="preserve"> </w:t>
      </w:r>
      <w:r>
        <w:t xml:space="preserve">deciding which measures to adopt, those measures must, in any event, ensure that the period</w:t>
      </w:r>
      <w:r>
        <w:t xml:space="preserve"> </w:t>
      </w:r>
      <w:r>
        <w:t xml:space="preserve">during which the limit values are exceeded is as short as possible.</w:t>
      </w:r>
    </w:p>
    <w:p>
      <w:pPr>
        <w:pStyle w:val="BodyText"/>
      </w:pPr>
      <w:r>
        <w:t xml:space="preserve">C-723/17, Craeynest (EU:C:2019:533) - Locating sampling points and establishing</w:t>
      </w:r>
      <w:r>
        <w:t xml:space="preserve"> </w:t>
      </w:r>
      <w:r>
        <w:t xml:space="preserve">exceedances</w:t>
      </w:r>
      <w:r>
        <w:t xml:space="preserve"> </w:t>
      </w:r>
      <w:r>
        <w:t xml:space="preserve">A number of residents of the Belgian Brussels-Capital Region and the environmental</w:t>
      </w:r>
      <w:r>
        <w:t xml:space="preserve"> </w:t>
      </w:r>
      <w:r>
        <w:t xml:space="preserve">organisation ‘ClientEarth’ were in dispute with the Brussels competent authorities as to</w:t>
      </w:r>
      <w:r>
        <w:t xml:space="preserve"> </w:t>
      </w:r>
      <w:r>
        <w:t xml:space="preserve">whether an adequate air quality plan had been established for the Brussels zone. In that</w:t>
      </w:r>
      <w:r>
        <w:t xml:space="preserve"> </w:t>
      </w:r>
      <w:r>
        <w:t xml:space="preserve">regard, the court in Brussels deciding on the dispute asked the Court of Justice of the EU to</w:t>
      </w:r>
      <w:r>
        <w:t xml:space="preserve"> </w:t>
      </w:r>
      <w:r>
        <w:t xml:space="preserve">give interpretation on the relevant provisions of Directive 2008/50/EC. It sought to clarify,</w:t>
      </w:r>
      <w:r>
        <w:t xml:space="preserve"> </w:t>
      </w:r>
      <w:r>
        <w:t xml:space="preserve">first, the extent to which national courts may review the siting of sampling points and,</w:t>
      </w:r>
      <w:r>
        <w:t xml:space="preserve"> </w:t>
      </w:r>
      <w:r>
        <w:t xml:space="preserve">second, whether the results from different sampling points may be averaged in order to assess</w:t>
      </w:r>
      <w:r>
        <w:t xml:space="preserve"> </w:t>
      </w:r>
      <w:r>
        <w:t xml:space="preserve">compliance with the limit values.</w:t>
      </w:r>
      <w:r>
        <w:br/>
      </w:r>
      <w:r>
        <w:t xml:space="preserve">Building up on the above case law, the Court of Justice of the EU decided that it is for a</w:t>
      </w:r>
      <w:r>
        <w:t xml:space="preserve"> </w:t>
      </w:r>
      <w:r>
        <w:t xml:space="preserve">national court, hearing an application submitted for that purpose by individuals directly</w:t>
      </w:r>
      <w:r>
        <w:t xml:space="preserve"> </w:t>
      </w:r>
      <w:r>
        <w:t xml:space="preserve">affected by the exceedance of the limit values from Directive 2008/50/EC, to verify whether</w:t>
      </w:r>
      <w:r>
        <w:t xml:space="preserve"> </w:t>
      </w:r>
      <w:r>
        <w:t xml:space="preserve">the sampling points located in a particular zone have been established in accordance with the</w:t>
      </w:r>
      <w:r>
        <w:t xml:space="preserve"> </w:t>
      </w:r>
      <w:r>
        <w:t xml:space="preserve">criteria laid down in that directive (i.e. that the sampling points are placed in areas where the</w:t>
      </w:r>
      <w:r>
        <w:t xml:space="preserve"> </w:t>
      </w:r>
      <w:r>
        <w:t xml:space="preserve">highest concentrations occur) and, if they were not, to take all necessary measures in respect</w:t>
      </w:r>
      <w:r>
        <w:t xml:space="preserve"> </w:t>
      </w:r>
      <w:r>
        <w:t xml:space="preserve">of the competent national authority, such as, if provided for by national law, an order, with a</w:t>
      </w:r>
      <w:r>
        <w:t xml:space="preserve"> </w:t>
      </w:r>
      <w:r>
        <w:t xml:space="preserve">view to ensuring that those sampling points are sited in accordance with those criteria.</w:t>
      </w:r>
      <w:r>
        <w:t xml:space="preserve"> </w:t>
      </w:r>
      <w:r>
        <w:t xml:space="preserve">Furthermore, in order to establish whether a limit value with an averaging period of one</w:t>
      </w:r>
      <w:r>
        <w:t xml:space="preserve"> </w:t>
      </w:r>
      <w:r>
        <w:t xml:space="preserve">calendar year has been exceeded, it is sufficient that a pollution level higher than that value</w:t>
      </w:r>
      <w:r>
        <w:t xml:space="preserve"> </w:t>
      </w:r>
      <w:r>
        <w:t xml:space="preserve">be measured at a single sampling point, and in that case the obligation to draw up an air</w:t>
      </w:r>
      <w:r>
        <w:t xml:space="preserve"> </w:t>
      </w:r>
      <w:r>
        <w:t xml:space="preserve">quality plan is triggered.</w:t>
      </w:r>
    </w:p>
    <w:p>
      <w:pPr>
        <w:pStyle w:val="BodyText"/>
      </w:pPr>
      <w:r>
        <w:t xml:space="preserve">342</w:t>
      </w:r>
    </w:p>
    <w:p>
      <w:pPr>
        <w:pStyle w:val="BodyText"/>
      </w:pPr>
      <w:r>
        <w:t xml:space="preserve">C-752/18, Deutsche Umwelthilfe (EU:C:2019:1114) - Enforcement of obligations against</w:t>
      </w:r>
      <w:r>
        <w:t xml:space="preserve"> </w:t>
      </w:r>
      <w:r>
        <w:t xml:space="preserve">competent authorities</w:t>
      </w:r>
      <w:r>
        <w:t xml:space="preserve"> </w:t>
      </w:r>
      <w:r>
        <w:t xml:space="preserve">The case involved a dispute between the NGO ‘Deutsche Umwelthilfe’ (a German non-</w:t>
      </w:r>
      <w:r>
        <w:t xml:space="preserve"> </w:t>
      </w:r>
      <w:r>
        <w:t xml:space="preserve">governmental environmental protection organisation) and the Land of Bavaria concerning the</w:t>
      </w:r>
      <w:r>
        <w:t xml:space="preserve"> </w:t>
      </w:r>
      <w:r>
        <w:t xml:space="preserve">latter’s persistent refusal to adopt, in implementation of Directive 2008/50/EC, the measures</w:t>
      </w:r>
      <w:r>
        <w:t xml:space="preserve"> </w:t>
      </w:r>
      <w:r>
        <w:t xml:space="preserve">necessary in order for the limit value set for nitrogen dioxide (NO2) to be complied with in</w:t>
      </w:r>
      <w:r>
        <w:t xml:space="preserve"> </w:t>
      </w:r>
      <w:r>
        <w:t xml:space="preserve">the city of Munich. Following several court orders (one in 2011, one in 2016 and one in</w:t>
      </w:r>
      <w:r>
        <w:t xml:space="preserve"> </w:t>
      </w:r>
      <w:r>
        <w:t xml:space="preserve">2017) requiring Bavaria to amend its air quality action plan applicable in Munich and</w:t>
      </w:r>
      <w:r>
        <w:t xml:space="preserve"> </w:t>
      </w:r>
      <w:r>
        <w:t xml:space="preserve">imposing financial penalties, Bavaria nevertheless refused to observe those injunctions.</w:t>
      </w:r>
      <w:r>
        <w:t xml:space="preserve"> </w:t>
      </w:r>
      <w:r>
        <w:t xml:space="preserve">Following which, Deutsche Umwelthilfe brought a new action seeking, inter alia, the</w:t>
      </w:r>
      <w:r>
        <w:t xml:space="preserve"> </w:t>
      </w:r>
      <w:r>
        <w:t xml:space="preserve">coercive detention of the persons at the head of the Land of Bavaria (namely of the Minister</w:t>
      </w:r>
      <w:r>
        <w:t xml:space="preserve"> </w:t>
      </w:r>
      <w:r>
        <w:t xml:space="preserve">for the Environment and Consumer Protection or, failing that, of the Minister-President). The</w:t>
      </w:r>
      <w:r>
        <w:t xml:space="preserve"> </w:t>
      </w:r>
      <w:r>
        <w:t xml:space="preserve">Higher Administrative Court of Bavaria decided to request a preliminary ruling from the</w:t>
      </w:r>
      <w:r>
        <w:t xml:space="preserve"> </w:t>
      </w:r>
      <w:r>
        <w:t xml:space="preserve">Court of Justice of the EU regarding whether EU law had to be interpreted as empowering,</w:t>
      </w:r>
      <w:r>
        <w:t xml:space="preserve"> </w:t>
      </w:r>
      <w:r>
        <w:t xml:space="preserve">or even obliging, the national courts to order coercive detention.</w:t>
      </w:r>
      <w:r>
        <w:t xml:space="preserve"> </w:t>
      </w:r>
      <w:r>
        <w:t xml:space="preserve">The Court of Justice of the EU held that, in circumstances in which a national authority</w:t>
      </w:r>
      <w:r>
        <w:t xml:space="preserve"> </w:t>
      </w:r>
      <w:r>
        <w:t xml:space="preserve">persistently refused to comply with a judicial decision enjoining it to perform a clear, precise</w:t>
      </w:r>
      <w:r>
        <w:t xml:space="preserve"> </w:t>
      </w:r>
      <w:r>
        <w:t xml:space="preserve">and unconditional obligation flowing from EU law, in particular from Directive 2008/50/EC,</w:t>
      </w:r>
      <w:r>
        <w:t xml:space="preserve"> </w:t>
      </w:r>
      <w:r>
        <w:t xml:space="preserve">it was incumbent upon the national court having jurisdiction to order the coercive detention</w:t>
      </w:r>
      <w:r>
        <w:t xml:space="preserve"> </w:t>
      </w:r>
      <w:r>
        <w:t xml:space="preserve">of persons at the head of the Land of Bavaria provided that two conditions were met. First,</w:t>
      </w:r>
      <w:r>
        <w:t xml:space="preserve"> </w:t>
      </w:r>
      <w:r>
        <w:t xml:space="preserve">domestic law must contain a legal basis for adopting such a measure which is sufficiently</w:t>
      </w:r>
      <w:r>
        <w:t xml:space="preserve"> </w:t>
      </w:r>
      <w:r>
        <w:t xml:space="preserve">accessible, precise and foreseeable in its application in order to avoid all risk of arbitrariness.</w:t>
      </w:r>
      <w:r>
        <w:t xml:space="preserve"> </w:t>
      </w:r>
      <w:r>
        <w:t xml:space="preserve">Second, the principle of proportionality must be observed. In this regard, the Court of Justice</w:t>
      </w:r>
      <w:r>
        <w:t xml:space="preserve"> </w:t>
      </w:r>
      <w:r>
        <w:t xml:space="preserve">of the EU stated that, since the ordering of coercive detention entails a deprivation of liberty,</w:t>
      </w:r>
      <w:r>
        <w:t xml:space="preserve"> </w:t>
      </w:r>
      <w:r>
        <w:t xml:space="preserve">recourse may be had to such an order only where there are no less restrictive measures (such</w:t>
      </w:r>
      <w:r>
        <w:t xml:space="preserve"> </w:t>
      </w:r>
      <w:r>
        <w:t xml:space="preserve">as, in particular, high financial penalties that are repeated after a short time and the payment</w:t>
      </w:r>
      <w:r>
        <w:t xml:space="preserve"> </w:t>
      </w:r>
      <w:r>
        <w:t xml:space="preserve">of which does not ultimately benefit the budget from which they are funded). It is for the</w:t>
      </w:r>
      <w:r>
        <w:t xml:space="preserve"> </w:t>
      </w:r>
      <w:r>
        <w:t xml:space="preserve">national court to ascertain whether these two conditions are met. If those two conditions were</w:t>
      </w:r>
      <w:r>
        <w:t xml:space="preserve"> </w:t>
      </w:r>
      <w:r>
        <w:t xml:space="preserve">to be met, EU law would not only authorise, but require, recourse to a measure such as</w:t>
      </w:r>
      <w:r>
        <w:t xml:space="preserve"> </w:t>
      </w:r>
      <w:r>
        <w:t xml:space="preserve">coercive detention.</w:t>
      </w:r>
    </w:p>
    <w:p>
      <w:pPr>
        <w:pStyle w:val="BodyText"/>
      </w:pPr>
      <w:r>
        <w:t xml:space="preserve">C-177/19, Germany - Ville de Paris and Others v Commission; C-178/19 P, Hungary - Ville</w:t>
      </w:r>
      <w:r>
        <w:t xml:space="preserve"> </w:t>
      </w:r>
      <w:r>
        <w:t xml:space="preserve">de Paris and Others v Commission and C-179/19 P, Commission v Ville de Paris and Others</w:t>
      </w:r>
      <w:r>
        <w:t xml:space="preserve"> </w:t>
      </w:r>
      <w:r>
        <w:t xml:space="preserve">(three appeals) (EU:C:2022:10) - Annulment of EU type approval provisions - Powers of a</w:t>
      </w:r>
      <w:r>
        <w:t xml:space="preserve"> </w:t>
      </w:r>
      <w:r>
        <w:t xml:space="preserve">municipal authority in the field of air quality to limit the circulation of certain vehicles</w:t>
      </w:r>
      <w:r>
        <w:t xml:space="preserve"> </w:t>
      </w:r>
      <w:r>
        <w:t xml:space="preserve">(discussed under admissibility)</w:t>
      </w:r>
      <w:r>
        <w:t xml:space="preserve"> </w:t>
      </w:r>
      <w:r>
        <w:t xml:space="preserve">The City of Paris, the City of Brussels and the Municipality of Madrid (‘the respondents’)</w:t>
      </w:r>
      <w:r>
        <w:t xml:space="preserve"> </w:t>
      </w:r>
      <w:r>
        <w:t xml:space="preserve">each brought an action for annulment of Commission Regulation (EU) 2016/646 (‘the</w:t>
      </w:r>
      <w:r>
        <w:t xml:space="preserve"> </w:t>
      </w:r>
      <w:r>
        <w:t xml:space="preserve">contested regulation’) which sets limit values for emissions of oxides of nitrogen which must</w:t>
      </w:r>
      <w:r>
        <w:t xml:space="preserve"> </w:t>
      </w:r>
      <w:r>
        <w:t xml:space="preserve">not be exceeded during real driving emissions tests, in so far as it prevented them from</w:t>
      </w:r>
      <w:r>
        <w:t xml:space="preserve"> </w:t>
      </w:r>
      <w:r>
        <w:t xml:space="preserve">imposing restrictions on the circulation of passenger vehicles in relation to their pollutant</w:t>
      </w:r>
      <w:r>
        <w:t xml:space="preserve"> </w:t>
      </w:r>
      <w:r>
        <w:t xml:space="preserve">emissions. Those actions were partially upheld by the General Court, which held that the</w:t>
      </w:r>
      <w:r>
        <w:t xml:space="preserve"> </w:t>
      </w:r>
      <w:r>
        <w:t xml:space="preserve">contested regulation was of direct concern to the applicant cities and that the action was</w:t>
      </w:r>
      <w:r>
        <w:t xml:space="preserve"> </w:t>
      </w:r>
      <w:r>
        <w:t xml:space="preserve">therefore admissible.</w:t>
      </w:r>
    </w:p>
    <w:p>
      <w:pPr>
        <w:pStyle w:val="BodyText"/>
      </w:pPr>
      <w:r>
        <w:t xml:space="preserve">343</w:t>
      </w:r>
    </w:p>
    <w:p>
      <w:pPr>
        <w:pStyle w:val="BodyText"/>
      </w:pPr>
      <w:r>
        <w:t xml:space="preserve">Ruling on appeals brought by the Federal Republic of Germany (Case C-177/19 P), Hungary</w:t>
      </w:r>
      <w:r>
        <w:t xml:space="preserve"> </w:t>
      </w:r>
      <w:r>
        <w:t xml:space="preserve">(Case C-178/19 P) and the Commission (Case C-179/19 P), the Court of Justice of the EU set</w:t>
      </w:r>
      <w:r>
        <w:t xml:space="preserve"> </w:t>
      </w:r>
      <w:r>
        <w:t xml:space="preserve">aside the judgment of the General Court. The Court of Justice of the EU held that the</w:t>
      </w:r>
      <w:r>
        <w:t xml:space="preserve"> </w:t>
      </w:r>
      <w:r>
        <w:t xml:space="preserve">interpretation given by the General Court of Directive 2007/46/EC (i.e. the Framework</w:t>
      </w:r>
      <w:r>
        <w:t xml:space="preserve"> </w:t>
      </w:r>
      <w:r>
        <w:t xml:space="preserve">Directive on which the contested regulation is based) was too broad in scope by concluding</w:t>
      </w:r>
      <w:r>
        <w:t xml:space="preserve"> </w:t>
      </w:r>
      <w:r>
        <w:t xml:space="preserve">that it precludes certain local restrictions on circulation which are intended, inter alia, to</w:t>
      </w:r>
      <w:r>
        <w:t xml:space="preserve"> </w:t>
      </w:r>
      <w:r>
        <w:t xml:space="preserve">protect the environment. Such an interpretation is not consistent with the context, the</w:t>
      </w:r>
      <w:r>
        <w:t xml:space="preserve"> </w:t>
      </w:r>
      <w:r>
        <w:t xml:space="preserve">objectives and the legislative history of Directive 2007/46/EC.</w:t>
      </w:r>
      <w:r>
        <w:t xml:space="preserve"> </w:t>
      </w:r>
      <w:r>
        <w:t xml:space="preserve">Consequently, the Court of Justice of the EU concluded that the General Court erred in law in</w:t>
      </w:r>
      <w:r>
        <w:t xml:space="preserve"> </w:t>
      </w:r>
      <w:r>
        <w:t xml:space="preserve">holding that the contested regulation is of direct concern to the applicant cities. As regards the</w:t>
      </w:r>
      <w:r>
        <w:t xml:space="preserve"> </w:t>
      </w:r>
      <w:r>
        <w:t xml:space="preserve">applicant cities’ concerns with regard to the possibility of infringement proceedings being</w:t>
      </w:r>
      <w:r>
        <w:t xml:space="preserve"> </w:t>
      </w:r>
      <w:r>
        <w:t xml:space="preserve">brought against one of the Member States to which they belong for infringement of the</w:t>
      </w:r>
      <w:r>
        <w:t xml:space="preserve"> </w:t>
      </w:r>
      <w:r>
        <w:t xml:space="preserve">contested regulation, the Court of Justice of the EU pointed out that the adoption of</w:t>
      </w:r>
      <w:r>
        <w:t xml:space="preserve"> </w:t>
      </w:r>
      <w:r>
        <w:t xml:space="preserve">legislation limiting the local circulation of certain vehicles for the purposes of protecting the</w:t>
      </w:r>
      <w:r>
        <w:t xml:space="preserve"> </w:t>
      </w:r>
      <w:r>
        <w:t xml:space="preserve">environment is not liable to infringe the prohibition imposed by the contested regulation, with</w:t>
      </w:r>
      <w:r>
        <w:t xml:space="preserve"> </w:t>
      </w:r>
      <w:r>
        <w:t xml:space="preserve">the result that it cannot have a direct effect on any action for failure to fulfil obligations. In</w:t>
      </w:r>
      <w:r>
        <w:t xml:space="preserve"> </w:t>
      </w:r>
      <w:r>
        <w:t xml:space="preserve">the light of the foregoing, the Court of Justice of the EU sets aside the judgment under appeal</w:t>
      </w:r>
      <w:r>
        <w:t xml:space="preserve"> </w:t>
      </w:r>
      <w:r>
        <w:t xml:space="preserve">and, considering that the state of the proceedings so permits, gives final judgment in the</w:t>
      </w:r>
      <w:r>
        <w:t xml:space="preserve"> </w:t>
      </w:r>
      <w:r>
        <w:t xml:space="preserve">matter, dismissing the actions for annulment brought by the applicant cities as inadmissible.</w:t>
      </w:r>
    </w:p>
    <w:p>
      <w:pPr>
        <w:pStyle w:val="BodyText"/>
      </w:pPr>
      <w:r>
        <w:t xml:space="preserve">C-61/21, JP / Ministre de la Transition écologique, Premier ministre - Right of individuals to</w:t>
      </w:r>
      <w:r>
        <w:t xml:space="preserve"> </w:t>
      </w:r>
      <w:r>
        <w:t xml:space="preserve">compensation for damage to health from air pollution 183</w:t>
      </w:r>
      <w:r>
        <w:t xml:space="preserve"> </w:t>
      </w:r>
      <w:r>
        <w:t xml:space="preserve">The underlying case concerns a proceeding in which a citizen requested the prefect of Val-</w:t>
      </w:r>
      <w:r>
        <w:t xml:space="preserve"> </w:t>
      </w:r>
      <w:r>
        <w:t xml:space="preserve">d’Oise to take measures to resolve his health problems linked to environmental pollution (i.e. </w:t>
      </w:r>
      <w:r>
        <w:t xml:space="preserve"> </w:t>
      </w:r>
      <w:r>
        <w:t xml:space="preserve">establishment of an air quality plan that ensures respecting air quality limit values) and the</w:t>
      </w:r>
      <w:r>
        <w:t xml:space="preserve"> </w:t>
      </w:r>
      <w:r>
        <w:t xml:space="preserve">French state to pay compensation for damage to his health. The request for a preliminary</w:t>
      </w:r>
      <w:r>
        <w:t xml:space="preserve"> </w:t>
      </w:r>
      <w:r>
        <w:t xml:space="preserve">ruling had been referred to the Court of Justice of the EU by the Cour administrative d’appel</w:t>
      </w:r>
      <w:r>
        <w:t xml:space="preserve"> </w:t>
      </w:r>
      <w:r>
        <w:t xml:space="preserve">de Versailles (France) and regards the interpretation of Articles 13(1) and 23(1) of Directive</w:t>
      </w:r>
      <w:r>
        <w:t xml:space="preserve"> </w:t>
      </w:r>
      <w:r>
        <w:t xml:space="preserve">2008/50/EC, namely (1) whether these provisions entitle individuals, in case of a serious</w:t>
      </w:r>
      <w:r>
        <w:t xml:space="preserve"> </w:t>
      </w:r>
      <w:r>
        <w:t xml:space="preserve">breach by a Member State, to claim compensation for health damage from that Member</w:t>
      </w:r>
      <w:r>
        <w:t xml:space="preserve"> </w:t>
      </w:r>
      <w:r>
        <w:t xml:space="preserve">State; and (2) what the conditions would be for such an entitlement, in particular with regard</w:t>
      </w:r>
      <w:r>
        <w:t xml:space="preserve"> </w:t>
      </w:r>
      <w:r>
        <w:t xml:space="preserve">to the date on which the existence of the failure attributable to the Member State concerned</w:t>
      </w:r>
      <w:r>
        <w:t xml:space="preserve"> </w:t>
      </w:r>
      <w:r>
        <w:t xml:space="preserve">must be assessed.</w:t>
      </w:r>
      <w:r>
        <w:br/>
      </w:r>
      <w:r>
        <w:t xml:space="preserve">In her Opinion of 5 May 2022, the Advocate General takes the view that an infringement of</w:t>
      </w:r>
      <w:r>
        <w:t xml:space="preserve"> </w:t>
      </w:r>
      <w:r>
        <w:t xml:space="preserve">limit values set under Directive 2008/50/EC may give rise to entitlement to compensation</w:t>
      </w:r>
      <w:r>
        <w:t xml:space="preserve"> </w:t>
      </w:r>
      <w:r>
        <w:t xml:space="preserve">from the State under the classic conditions for State liability. In particular, the first condition</w:t>
      </w:r>
      <w:r>
        <w:t xml:space="preserve"> </w:t>
      </w:r>
      <w:r>
        <w:t xml:space="preserve">of state liability is satisfied since the limit values for pollutants in ambient air and the</w:t>
      </w:r>
      <w:r>
        <w:t xml:space="preserve"> </w:t>
      </w:r>
      <w:r>
        <w:t xml:space="preserve">obligations to improve air quality laid down by EU directives were intended to confer rights</w:t>
      </w:r>
      <w:r>
        <w:t xml:space="preserve"> </w:t>
      </w:r>
      <w:r>
        <w:t xml:space="preserve">on individual. The Advocate General’s Opinion is not binding on the Court of Justice of the</w:t>
      </w:r>
      <w:r>
        <w:t xml:space="preserve"> </w:t>
      </w:r>
      <w:r>
        <w:t xml:space="preserve">EU. The judgment will be delivered at a later date.</w:t>
      </w:r>
    </w:p>
    <w:p>
      <w:pPr>
        <w:pStyle w:val="BodyText"/>
      </w:pPr>
      <w:r>
        <w:t xml:space="preserve">183 Note that this case is still pending at the time of drafting of this document.</w:t>
      </w:r>
    </w:p>
    <w:p>
      <w:pPr>
        <w:pStyle w:val="BodyText"/>
      </w:pPr>
      <w:r>
        <w:t xml:space="preserve">344</w:t>
      </w:r>
    </w:p>
    <w:p>
      <w:pPr>
        <w:pStyle w:val="BodyText"/>
      </w:pPr>
      <w:r>
        <w:t xml:space="preserve">C-375/21, Sdruzhenie “Za Zemyata – dostap do pravoadie” - Link between obligations under</w:t>
      </w:r>
      <w:r>
        <w:t xml:space="preserve"> </w:t>
      </w:r>
      <w:r>
        <w:t xml:space="preserve">Directive 2008/50/EC and Directive 2010/75/EU 184</w:t>
      </w:r>
      <w:r>
        <w:t xml:space="preserve"> </w:t>
      </w:r>
      <w:r>
        <w:t xml:space="preserve">The underlying case concerns proceedings before the Supreme Administrative Court of</w:t>
      </w:r>
      <w:r>
        <w:t xml:space="preserve"> </w:t>
      </w:r>
      <w:r>
        <w:t xml:space="preserve">Bulgaria in which the association Sdruzhenie ‘Za Zemiata – dostap do pravosadie’ (‘For the</w:t>
      </w:r>
      <w:r>
        <w:t xml:space="preserve"> </w:t>
      </w:r>
      <w:r>
        <w:t xml:space="preserve">Earth – Access to Justice’ Association) and other non-profit civil associations brought</w:t>
      </w:r>
      <w:r>
        <w:t xml:space="preserve"> </w:t>
      </w:r>
      <w:r>
        <w:t xml:space="preserve">appeals in cassation against the judgment of the Administrative Court of Stara Zagora of 28</w:t>
      </w:r>
      <w:r>
        <w:t xml:space="preserve"> </w:t>
      </w:r>
      <w:r>
        <w:t xml:space="preserve">August 2020, by which the first association’s action against the decision of the Executive</w:t>
      </w:r>
      <w:r>
        <w:t xml:space="preserve"> </w:t>
      </w:r>
      <w:r>
        <w:t xml:space="preserve">Director of the Executive Agency for the Environment of 21 December updating Integrated</w:t>
      </w:r>
      <w:r>
        <w:t xml:space="preserve"> </w:t>
      </w:r>
      <w:r>
        <w:t xml:space="preserve">Permit No 50/2005 issued to the Maritsa-iztok 2 EAD thermal power plant located in the</w:t>
      </w:r>
      <w:r>
        <w:t xml:space="preserve"> </w:t>
      </w:r>
      <w:r>
        <w:t xml:space="preserve">village of Kovachevo, municipality of Radnevo, administrative district of Stara Zagora, was</w:t>
      </w:r>
      <w:r>
        <w:t xml:space="preserve"> </w:t>
      </w:r>
      <w:r>
        <w:t xml:space="preserve">dismissed. The Supreme Administrative Court of Bulgaria referred three preliminary</w:t>
      </w:r>
      <w:r>
        <w:t xml:space="preserve"> </w:t>
      </w:r>
      <w:r>
        <w:t xml:space="preserve">questions to the Court of Justice of the EU.</w:t>
      </w:r>
      <w:r>
        <w:br/>
      </w:r>
      <w:r>
        <w:t xml:space="preserve">All the three questions ask the Court of Justice of the EU to clarify the link between Directive</w:t>
      </w:r>
      <w:r>
        <w:t xml:space="preserve"> </w:t>
      </w:r>
      <w:r>
        <w:t xml:space="preserve">2010/75/EU and Directive 2008/50/EC. More precisely, the referring Court is seeking</w:t>
      </w:r>
      <w:r>
        <w:t xml:space="preserve"> </w:t>
      </w:r>
      <w:r>
        <w:t xml:space="preserve">confirmation whether, when considering a request for a BAT derogation under Article 15(4)</w:t>
      </w:r>
      <w:r>
        <w:t xml:space="preserve"> </w:t>
      </w:r>
      <w:r>
        <w:t xml:space="preserve">of Directive 2010/75/EU, the competent national authorities should be guided by the purpose</w:t>
      </w:r>
      <w:r>
        <w:t xml:space="preserve"> </w:t>
      </w:r>
      <w:r>
        <w:t xml:space="preserve">of achieving compliance with the limit values set by Directive 2008/50/EC and, in the event</w:t>
      </w:r>
      <w:r>
        <w:t xml:space="preserve"> </w:t>
      </w:r>
      <w:r>
        <w:t xml:space="preserve">of exceedances – be limited by the measures included in the air quality plans, established</w:t>
      </w:r>
      <w:r>
        <w:t xml:space="preserve"> </w:t>
      </w:r>
      <w:r>
        <w:t xml:space="preserve">pursuant to Article 23 of Directive 2008/50/EC, and whether it must refrain from granting a</w:t>
      </w:r>
      <w:r>
        <w:t xml:space="preserve"> </w:t>
      </w:r>
      <w:r>
        <w:t xml:space="preserve">derogation if less stringent emission limit values for air pollutants from a the installation</w:t>
      </w:r>
      <w:r>
        <w:t xml:space="preserve"> </w:t>
      </w:r>
      <w:r>
        <w:t xml:space="preserve">would contribute to the exceedance</w:t>
      </w:r>
    </w:p>
    <w:p>
      <w:pPr>
        <w:pStyle w:val="Compact"/>
        <w:numPr>
          <w:ilvl w:val="0"/>
          <w:numId w:val="1016"/>
        </w:numPr>
      </w:pPr>
      <w:r>
        <w:t xml:space="preserve">ILLUSTRATIVE OVERVIEW OF CLEAN AIR CASES BEFORE NATIONAL COURTS</w:t>
      </w:r>
      <w:r>
        <w:t xml:space="preserve"> </w:t>
      </w:r>
      <w:r>
        <w:t xml:space="preserve">This illustrative overview gives an updated overview of clean air cases before national</w:t>
      </w:r>
      <w:r>
        <w:t xml:space="preserve"> </w:t>
      </w:r>
      <w:r>
        <w:t xml:space="preserve">Courts similar as presented in Annex 6 of the Commission’s Fitness Check of the Ambient Air</w:t>
      </w:r>
      <w:r>
        <w:t xml:space="preserve"> </w:t>
      </w:r>
      <w:r>
        <w:t xml:space="preserve">Quality Directives (2019).185 This update is based on articles published on public websites of</w:t>
      </w:r>
      <w:r>
        <w:t xml:space="preserve"> </w:t>
      </w:r>
      <w:r>
        <w:t xml:space="preserve">national judiciary and/or NGOs.</w:t>
      </w:r>
      <w:r>
        <w:t xml:space="preserve"> </w:t>
      </w:r>
      <w:r>
        <w:t xml:space="preserve">Austria: The Austrian Administrative Court (Österreichischer Verwaltungsgerichtshof),</w:t>
      </w:r>
      <w:r>
        <w:t xml:space="preserve"> </w:t>
      </w:r>
      <w:r>
        <w:t xml:space="preserve">ruled in February 2018 that based on the Aarhus Convention environmental NGOs can order</w:t>
      </w:r>
      <w:r>
        <w:t xml:space="preserve"> </w:t>
      </w:r>
      <w:r>
        <w:t xml:space="preserve">a review of compliance with the legal provisions arising from EU environmental law.</w:t>
      </w:r>
      <w:r>
        <w:t xml:space="preserve"> </w:t>
      </w:r>
      <w:r>
        <w:t xml:space="preserve">Moreover, the Austrian Administrative Court ruled in September 2019 that an individual has</w:t>
      </w:r>
      <w:r>
        <w:t xml:space="preserve"> </w:t>
      </w:r>
      <w:r>
        <w:t xml:space="preserve">the right to apply for the establishment of sampling points in conformity with Directive</w:t>
      </w:r>
      <w:r>
        <w:t xml:space="preserve"> </w:t>
      </w:r>
      <w:r>
        <w:t xml:space="preserve">2008/50/EC to check compliance with limit values and, subsequently, ruled in October 2021</w:t>
      </w:r>
      <w:r>
        <w:t xml:space="preserve"> </w:t>
      </w:r>
      <w:r>
        <w:t xml:space="preserve">that such an application does not require the individual to demonstrate direct concern. 186</w:t>
      </w:r>
      <w:r>
        <w:t xml:space="preserve"> </w:t>
      </w:r>
      <w:r>
        <w:t xml:space="preserve">Belgium: In December 2021, the Brussels Court of Appeal (Hof van beroep Brussel) ruled in</w:t>
      </w:r>
      <w:r>
        <w:t xml:space="preserve"> </w:t>
      </w:r>
      <w:r>
        <w:t xml:space="preserve">favour of Greenpeace and condemned the Flemish government for its deficient policy against</w:t>
      </w:r>
      <w:r>
        <w:t xml:space="preserve"> </w:t>
      </w:r>
      <w:r>
        <w:t xml:space="preserve">air pollution. The Court concluded that the Flemish government failed to set up an air quality</w:t>
      </w:r>
    </w:p>
    <w:p>
      <w:pPr>
        <w:pStyle w:val="FirstParagraph"/>
      </w:pPr>
      <w:r>
        <w:t xml:space="preserve">184 Note that this case is still pending at the time of drafting of this document.</w:t>
      </w:r>
      <w:r>
        <w:br/>
      </w:r>
      <w:r>
        <w:t xml:space="preserve">185 Deutsche Umwelthilfe (2019), ‘Legal Actions for Clean Air’ (accessed: 10/06.2022)</w:t>
      </w:r>
      <w:r>
        <w:br/>
      </w:r>
      <w:r>
        <w:t xml:space="preserve">186 Austrian Administrative Court, Direct concern under the Air Quality Directive and application for the</w:t>
      </w:r>
      <w:r>
        <w:t xml:space="preserve"> </w:t>
      </w:r>
      <w:r>
        <w:t xml:space="preserve">establishment of sampling points and EU Air Quality Directive: An application for the establishment of</w:t>
      </w:r>
      <w:r>
        <w:t xml:space="preserve"> </w:t>
      </w:r>
      <w:r>
        <w:t xml:space="preserve">sampling points in conformity with the Directive does not require direct concern (accessed: 10/06.2022)</w:t>
      </w:r>
    </w:p>
    <w:p>
      <w:pPr>
        <w:pStyle w:val="BodyText"/>
      </w:pPr>
      <w:r>
        <w:t xml:space="preserve">345</w:t>
      </w:r>
    </w:p>
    <w:p>
      <w:pPr>
        <w:pStyle w:val="BodyText"/>
      </w:pPr>
      <w:r>
        <w:t xml:space="preserve">plan in accordance with Article 23 of Directive 2008/50/EC. It thereby confirmed the</w:t>
      </w:r>
      <w:r>
        <w:t xml:space="preserve"> </w:t>
      </w:r>
      <w:r>
        <w:t xml:space="preserve">financial penalty that was imposed on the government by two prior judgments of the Brussels</w:t>
      </w:r>
      <w:r>
        <w:t xml:space="preserve"> </w:t>
      </w:r>
      <w:r>
        <w:t xml:space="preserve">Court of First Instance (10/10/2018 and 08/07/2020) and that amounted to 850 000 EUR.</w:t>
      </w:r>
      <w:r>
        <w:t xml:space="preserve"> </w:t>
      </w:r>
      <w:r>
        <w:t xml:space="preserve">187/188</w:t>
      </w:r>
      <w:r>
        <w:t xml:space="preserve"> </w:t>
      </w:r>
      <w:r>
        <w:t xml:space="preserve">Bulgaria: In June 2019, the Supreme Administrative Court of Bulgaria (Върховният</w:t>
      </w:r>
      <w:r>
        <w:t xml:space="preserve"> </w:t>
      </w:r>
      <w:r>
        <w:t xml:space="preserve">административен съд) denied legal standing to residents and NGOs to appeal city air quality</w:t>
      </w:r>
      <w:r>
        <w:t xml:space="preserve"> </w:t>
      </w:r>
      <w:r>
        <w:t xml:space="preserve">plans for the period 2015-2020.189 Additionally, in January 2021, the Supreme Administrative</w:t>
      </w:r>
      <w:r>
        <w:t xml:space="preserve"> </w:t>
      </w:r>
      <w:r>
        <w:t xml:space="preserve">Court of Bulgaria rejected the appeal of the Bulgarian NGO Za Zemiata (Friends of the</w:t>
      </w:r>
      <w:r>
        <w:t xml:space="preserve"> </w:t>
      </w:r>
      <w:r>
        <w:t xml:space="preserve">Earth) against the city of Sofia’s air quality plan for the period 2021-2026.190 Both times, the</w:t>
      </w:r>
      <w:r>
        <w:t xml:space="preserve"> </w:t>
      </w:r>
      <w:r>
        <w:t xml:space="preserve">Court held that air quality plans do not affect the rights, freedoms or legitimate interests of</w:t>
      </w:r>
      <w:r>
        <w:t xml:space="preserve"> </w:t>
      </w:r>
      <w:r>
        <w:t xml:space="preserve">citizens or legal entities. This ruling is final, no national remedies against this ruling are</w:t>
      </w:r>
      <w:r>
        <w:t xml:space="preserve"> </w:t>
      </w:r>
      <w:r>
        <w:t xml:space="preserve">available.</w:t>
      </w:r>
      <w:r>
        <w:br/>
      </w:r>
      <w:r>
        <w:t xml:space="preserve">Czech Republic: In several cases in the Czech Republic, administrative courts have annulled</w:t>
      </w:r>
      <w:r>
        <w:t xml:space="preserve"> </w:t>
      </w:r>
      <w:r>
        <w:t xml:space="preserve">air quality plans because of their lack of effectiveness. In December 2017, the Supreme</w:t>
      </w:r>
      <w:r>
        <w:t xml:space="preserve"> </w:t>
      </w:r>
      <w:r>
        <w:t xml:space="preserve">Administrative Court (Nejvyšší správní soud České republiky) rejected the air quality plan</w:t>
      </w:r>
      <w:r>
        <w:t xml:space="preserve"> </w:t>
      </w:r>
      <w:r>
        <w:t xml:space="preserve">for the agglomeration of Ostrava as not being appropriate. In February 2018, Prague’s</w:t>
      </w:r>
      <w:r>
        <w:t xml:space="preserve"> </w:t>
      </w:r>
      <w:r>
        <w:t xml:space="preserve">Municipal Court (Městský soud v Praze) revoked the city’s air quality plan because it was</w:t>
      </w:r>
      <w:r>
        <w:t xml:space="preserve"> </w:t>
      </w:r>
      <w:r>
        <w:t xml:space="preserve">deemed unfit to serve its purpose, i.e. swift achievement of binding air quality standards.191</w:t>
      </w:r>
      <w:r>
        <w:t xml:space="preserve"> </w:t>
      </w:r>
      <w:r>
        <w:t xml:space="preserve">Additionally in February 2018, the Supreme Administrative Court revoked the air quality</w:t>
      </w:r>
      <w:r>
        <w:t xml:space="preserve"> </w:t>
      </w:r>
      <w:r>
        <w:t xml:space="preserve">plan for the region of Usti referring to low effectiveness.192 In May 2018, the Supreme</w:t>
      </w:r>
      <w:r>
        <w:t xml:space="preserve"> </w:t>
      </w:r>
      <w:r>
        <w:t xml:space="preserve">Administrative Court revoked the air quality plan for the city of Brno for the same reasons.193</w:t>
      </w:r>
      <w:r>
        <w:br/>
      </w:r>
      <w:r>
        <w:t xml:space="preserve">France: The NGO ‘Les Amis de la Terre’ with support of the NGO ‘ClientEarth’ brought a</w:t>
      </w:r>
      <w:r>
        <w:t xml:space="preserve"> </w:t>
      </w:r>
      <w:r>
        <w:t xml:space="preserve">case against the French government. In its judgment of 11 July 2017, the Supreme</w:t>
      </w:r>
      <w:r>
        <w:t xml:space="preserve"> </w:t>
      </w:r>
      <w:r>
        <w:t xml:space="preserve">Administrative Court (Conseil d‘État) stated that Directive 2008/50/EC sets an obligation of</w:t>
      </w:r>
      <w:r>
        <w:t xml:space="preserve"> </w:t>
      </w:r>
      <w:r>
        <w:t xml:space="preserve">results and ordered the adoption of new and more effective air quality plans by 31 March</w:t>
      </w:r>
      <w:r>
        <w:t xml:space="preserve"> </w:t>
      </w:r>
      <w:r>
        <w:t xml:space="preserve">2018. In July 2020, the Supreme Administrative Court concluded that the French government</w:t>
      </w:r>
      <w:r>
        <w:t xml:space="preserve"> </w:t>
      </w:r>
      <w:r>
        <w:t xml:space="preserve">had still not taken the necessary measures to remedy the situation. It gave the state six more</w:t>
      </w:r>
      <w:r>
        <w:t xml:space="preserve"> </w:t>
      </w:r>
      <w:r>
        <w:t xml:space="preserve">months to comply, failure of which would result in a lump sum payment of 10 million euro.</w:t>
      </w:r>
      <w:r>
        <w:t xml:space="preserve"> </w:t>
      </w:r>
      <w:r>
        <w:t xml:space="preserve">In August 2021, the Supreme Administrative Court imposed the financial penalty of 10</w:t>
      </w:r>
      <w:r>
        <w:t xml:space="preserve"> </w:t>
      </w:r>
      <w:r>
        <w:t xml:space="preserve">million euro after establishing the continued failure of the French government to execute the</w:t>
      </w:r>
      <w:r>
        <w:t xml:space="preserve"> </w:t>
      </w:r>
      <w:r>
        <w:t xml:space="preserve">judgment of 11 July 2017. Additionally, the Supreme Administrative Court held that it would</w:t>
      </w:r>
      <w:r>
        <w:t xml:space="preserve"> </w:t>
      </w:r>
      <w:r>
        <w:t xml:space="preserve">re-evaluate the situation every six months and possibly impose a new lump sum of 10 million</w:t>
      </w:r>
      <w:r>
        <w:t xml:space="preserve"> </w:t>
      </w:r>
      <w:r>
        <w:t xml:space="preserve">euro if the state had still not taken the necessary measures to comply.194</w:t>
      </w:r>
      <w:r>
        <w:br/>
      </w:r>
      <w:r>
        <w:t xml:space="preserve">Germany: In February 2018, the Federal Administrative Court (Bundesverwaltungsgericht)</w:t>
      </w:r>
      <w:r>
        <w:t xml:space="preserve"> </w:t>
      </w:r>
      <w:r>
        <w:t xml:space="preserve">ruled that health protection takes precedence over economic interest and thus cleared the way</w:t>
      </w:r>
    </w:p>
    <w:p>
      <w:pPr>
        <w:pStyle w:val="BodyText"/>
      </w:pPr>
      <w:r>
        <w:t xml:space="preserve">187 Greenpeace (2021), press release (accessed: 10.06.2022)</w:t>
      </w:r>
      <w:r>
        <w:t xml:space="preserve"> </w:t>
      </w:r>
      <w:r>
        <w:t xml:space="preserve">188 Greenpeace (2022), press release (accessed: 10.06.2022)</w:t>
      </w:r>
      <w:r>
        <w:t xml:space="preserve"> </w:t>
      </w:r>
      <w:r>
        <w:t xml:space="preserve">189 UNECE (2020), Case Summary on ruling No. 9614, 13138, 16049 (accessed: 10.06.2022)</w:t>
      </w:r>
      <w:r>
        <w:t xml:space="preserve"> </w:t>
      </w:r>
      <w:r>
        <w:t xml:space="preserve">190 Zazemiata.org (2022) Court decides citizens cannot appeal air program (accessed: 10.06.2022)</w:t>
      </w:r>
      <w:r>
        <w:t xml:space="preserve"> </w:t>
      </w:r>
      <w:r>
        <w:t xml:space="preserve">191 Frank Bold.org (2018), A Major Win for Air Quality in Prague (accessed: 10.06.2022)</w:t>
      </w:r>
      <w:r>
        <w:t xml:space="preserve"> </w:t>
      </w:r>
      <w:r>
        <w:t xml:space="preserve">192 Frank Bold.org (2018), A Major Win for Air Quality in Usti region of the Czech Republic (accessed:</w:t>
      </w:r>
      <w:r>
        <w:t xml:space="preserve"> </w:t>
      </w:r>
      <w:r>
        <w:t xml:space="preserve">10.06.2022)</w:t>
      </w:r>
      <w:r>
        <w:t xml:space="preserve"> </w:t>
      </w:r>
      <w:r>
        <w:t xml:space="preserve">193 Frank Bold.org (2018)A Major Win for Air Quality in Brno, Czech Republic (accessed: 10.06.2022)</w:t>
      </w:r>
      <w:r>
        <w:t xml:space="preserve"> </w:t>
      </w:r>
      <w:r>
        <w:t xml:space="preserve">194 Conseil D’État (2021), Pollution de l’air : le Conseil d’État condamne l’État à payer 10 millions d’euros</w:t>
      </w:r>
      <w:r>
        <w:t xml:space="preserve"> </w:t>
      </w:r>
      <w:r>
        <w:t xml:space="preserve">(accessed: 10.06.2022)</w:t>
      </w:r>
    </w:p>
    <w:p>
      <w:pPr>
        <w:pStyle w:val="BodyText"/>
      </w:pPr>
      <w:r>
        <w:t xml:space="preserve">346</w:t>
      </w:r>
    </w:p>
    <w:p>
      <w:pPr>
        <w:pStyle w:val="BodyText"/>
      </w:pPr>
      <w:r>
        <w:t xml:space="preserve">for restrictions on the use of diesel vehicles. In February 2020, the Federal Administrative</w:t>
      </w:r>
      <w:r>
        <w:t xml:space="preserve"> </w:t>
      </w:r>
      <w:r>
        <w:t xml:space="preserve">Court held in its ruling that traffic bans for diesel vehicles can be introduced as an appropriate</w:t>
      </w:r>
      <w:r>
        <w:t xml:space="preserve"> </w:t>
      </w:r>
      <w:r>
        <w:t xml:space="preserve">measure to reduce NO₂ if they are the only means to keep the exceedance periods of the limit</w:t>
      </w:r>
      <w:r>
        <w:t xml:space="preserve"> </w:t>
      </w:r>
      <w:r>
        <w:t xml:space="preserve">values as short as possible. However, it underlined the importance of the principle of</w:t>
      </w:r>
      <w:r>
        <w:t xml:space="preserve"> </w:t>
      </w:r>
      <w:r>
        <w:t xml:space="preserve">proportionality and thereby partially overturned the judgment of the Higher Administrative</w:t>
      </w:r>
      <w:r>
        <w:t xml:space="preserve"> </w:t>
      </w:r>
      <w:r>
        <w:t xml:space="preserve">Court.195</w:t>
      </w:r>
      <w:r>
        <w:br/>
      </w:r>
      <w:r>
        <w:t xml:space="preserve">Hungary: In January 2021, the Budapest Supreme Court (Curia) rejected the claim of the</w:t>
      </w:r>
      <w:r>
        <w:t xml:space="preserve"> </w:t>
      </w:r>
      <w:r>
        <w:t xml:space="preserve">NGO Clean Air Action Group for a reviewed air quality plan that reduces air pollution in a</w:t>
      </w:r>
      <w:r>
        <w:t xml:space="preserve"> </w:t>
      </w:r>
      <w:r>
        <w:t xml:space="preserve">meaningful way. It held that such plans do not constitute administrative acts against which</w:t>
      </w:r>
      <w:r>
        <w:t xml:space="preserve"> </w:t>
      </w:r>
      <w:r>
        <w:t xml:space="preserve">judicial action can be brought and thus they cannot be effectively challenged in court.</w:t>
      </w:r>
      <w:r>
        <w:t xml:space="preserve"> </w:t>
      </w:r>
      <w:r>
        <w:t xml:space="preserve">Consequently, the NGO has brought a claim before the European Court on Human Rights in</w:t>
      </w:r>
      <w:r>
        <w:t xml:space="preserve"> </w:t>
      </w:r>
      <w:r>
        <w:t xml:space="preserve">Strasbourg for breach of access to justice and public health rights (Article 6 of the European</w:t>
      </w:r>
      <w:r>
        <w:t xml:space="preserve"> </w:t>
      </w:r>
      <w:r>
        <w:t xml:space="preserve">Convention on Human Rights).196</w:t>
      </w:r>
      <w:r>
        <w:br/>
      </w:r>
      <w:r>
        <w:t xml:space="preserve">Italy: In 2018, a citizens’ association in Milan promoting the need for cleaner air for the</w:t>
      </w:r>
      <w:r>
        <w:t xml:space="preserve"> </w:t>
      </w:r>
      <w:r>
        <w:t xml:space="preserve">region of Lombardy (Associazione Cittadini per l’Aria), supported in its claims by</w:t>
      </w:r>
      <w:r>
        <w:t xml:space="preserve"> </w:t>
      </w:r>
      <w:r>
        <w:t xml:space="preserve">ClientEarth, introduced legal proceedings against the region of Lombardy claiming that the</w:t>
      </w:r>
      <w:r>
        <w:t xml:space="preserve"> </w:t>
      </w:r>
      <w:r>
        <w:t xml:space="preserve">latter had failed to draw up an air quality plan in accordance with Article 23 of Directive</w:t>
      </w:r>
      <w:r>
        <w:t xml:space="preserve"> </w:t>
      </w:r>
      <w:r>
        <w:t xml:space="preserve">2008/50/EC. In July 2019, the Lombardy Regional Administrative Court (Tribunale</w:t>
      </w:r>
      <w:r>
        <w:t xml:space="preserve"> </w:t>
      </w:r>
      <w:r>
        <w:t xml:space="preserve">Amministrativo Regionale per la Lombardia) ruled that the association had legal standing to</w:t>
      </w:r>
      <w:r>
        <w:t xml:space="preserve"> </w:t>
      </w:r>
      <w:r>
        <w:t xml:space="preserve">bring these claims and thus found the action to be admissible, contrary to the arguments put</w:t>
      </w:r>
      <w:r>
        <w:t xml:space="preserve"> </w:t>
      </w:r>
      <w:r>
        <w:t xml:space="preserve">forward by the region of Lombardy. However, the Lombardy Regional Administrative Court</w:t>
      </w:r>
      <w:r>
        <w:t xml:space="preserve"> </w:t>
      </w:r>
      <w:r>
        <w:t xml:space="preserve">rejected all the pleas made by the association on their substance.197</w:t>
      </w:r>
      <w:r>
        <w:br/>
      </w:r>
      <w:r>
        <w:t xml:space="preserve">The Netherlands: Following a court ruling from September 2017 by the Court of The Hague</w:t>
      </w:r>
      <w:r>
        <w:t xml:space="preserve"> </w:t>
      </w:r>
      <w:r>
        <w:t xml:space="preserve">(Gerechtshof Den Haag) in a case brought by the environmental protection organisation</w:t>
      </w:r>
      <w:r>
        <w:t xml:space="preserve"> </w:t>
      </w:r>
      <w:r>
        <w:t xml:space="preserve">‘Milieudefensie’, the Netherlands was ordered to take concrete measures to comply with all</w:t>
      </w:r>
      <w:r>
        <w:t xml:space="preserve"> </w:t>
      </w:r>
      <w:r>
        <w:t xml:space="preserve">EU limit values in a ‘foreseeable and demonstrable’ manner. In a subsequent ruling on appeal</w:t>
      </w:r>
      <w:r>
        <w:t xml:space="preserve"> </w:t>
      </w:r>
      <w:r>
        <w:t xml:space="preserve">in May 2019, the Court of The Hague did not recognize a breach of the fundamental rights to</w:t>
      </w:r>
      <w:r>
        <w:t xml:space="preserve"> </w:t>
      </w:r>
      <w:r>
        <w:t xml:space="preserve">life and health by the state, when only aiming at complying with EU law and not targeting a</w:t>
      </w:r>
      <w:r>
        <w:t xml:space="preserve"> </w:t>
      </w:r>
      <w:r>
        <w:t xml:space="preserve">higher goal, for instance WHO Air Quality Guidelines.198</w:t>
      </w:r>
      <w:r>
        <w:br/>
      </w:r>
      <w:r>
        <w:t xml:space="preserve">Poland: In Poland, residents, supported by the NGO ‘Frank Bold’, went before the</w:t>
      </w:r>
      <w:r>
        <w:t xml:space="preserve"> </w:t>
      </w:r>
      <w:r>
        <w:t xml:space="preserve">Constitutional Court (Trybunał Konstytucyjny) to claim their right to challenge air quality</w:t>
      </w:r>
      <w:r>
        <w:t xml:space="preserve"> </w:t>
      </w:r>
      <w:r>
        <w:t xml:space="preserve">plans. The Polish residents put forward that the restrictive legal standing requirements</w:t>
      </w:r>
      <w:r>
        <w:t xml:space="preserve"> </w:t>
      </w:r>
      <w:r>
        <w:t xml:space="preserve">established by Polish law, which prevented them from challenging air quality plans, were</w:t>
      </w:r>
      <w:r>
        <w:t xml:space="preserve"> </w:t>
      </w:r>
      <w:r>
        <w:t xml:space="preserve">contrary to the Polish Constitution. In July 2021, the Constitutional Court rejected this claim</w:t>
      </w:r>
      <w:r>
        <w:t xml:space="preserve"> </w:t>
      </w:r>
      <w:r>
        <w:t xml:space="preserve">but nevertheless pointed out that this did not change the fact that the underlying problem of</w:t>
      </w:r>
      <w:r>
        <w:t xml:space="preserve"> </w:t>
      </w:r>
      <w:r>
        <w:t xml:space="preserve">the case (i.e. lack of standing of Polish citizens to challenge air quality plans) should be</w:t>
      </w:r>
      <w:r>
        <w:t xml:space="preserve"> </w:t>
      </w:r>
      <w:r>
        <w:t xml:space="preserve">reconsidered by the legislator in light of the case law of the Court of Justice of the EU and the</w:t>
      </w:r>
      <w:r>
        <w:t xml:space="preserve"> </w:t>
      </w:r>
      <w:r>
        <w:t xml:space="preserve">importance of protecting and improving the environment.199 Moreover, in December 2021,</w:t>
      </w:r>
    </w:p>
    <w:p>
      <w:pPr>
        <w:pStyle w:val="BodyText"/>
      </w:pPr>
      <w:r>
        <w:t xml:space="preserve">195 Bundesverwaltungsgericht (2020), Press release no. 13/2020 (accessed: 10.06.2022)</w:t>
      </w:r>
      <w:r>
        <w:br/>
      </w:r>
      <w:r>
        <w:t xml:space="preserve">196 Levego Munkacsoport (2021), Clean Air Action Group takes Budapest air quality plan to Strasbourg Court</w:t>
      </w:r>
      <w:r>
        <w:t xml:space="preserve"> </w:t>
      </w:r>
      <w:r>
        <w:t xml:space="preserve">(accessed: 10.06.2022)</w:t>
      </w:r>
      <w:r>
        <w:t xml:space="preserve"> </w:t>
      </w:r>
      <w:r>
        <w:t xml:space="preserve">197 Sentenze Italia - Cittadini per l’Aria (cittadiniperlaria.org)</w:t>
      </w:r>
      <w:r>
        <w:t xml:space="preserve"> </w:t>
      </w:r>
      <w:r>
        <w:t xml:space="preserve">198 Rechtspraak (2019), https://uitspraken.rechtspraak.nl/inziendocument?id=ECLI:NL:GHDHA:2019:915</w:t>
      </w:r>
      <w:r>
        <w:t xml:space="preserve"> </w:t>
      </w:r>
      <w:r>
        <w:t xml:space="preserve">(accessed: 15.06.2022)</w:t>
      </w:r>
      <w:r>
        <w:t xml:space="preserve"> </w:t>
      </w:r>
      <w:r>
        <w:t xml:space="preserve">199 Trybunal.gov (2021), Judgement Ref No. SK23/17 (accessed: 10.06.2022)</w:t>
      </w:r>
    </w:p>
    <w:p>
      <w:pPr>
        <w:pStyle w:val="BodyText"/>
      </w:pPr>
      <w:r>
        <w:t xml:space="preserve">347</w:t>
      </w:r>
    </w:p>
    <w:p>
      <w:pPr>
        <w:pStyle w:val="BodyText"/>
      </w:pPr>
      <w:r>
        <w:t xml:space="preserve">the District Court in Gliwice (Sąd Okręgowy w Gliwicach), confirmed that the state is liable</w:t>
      </w:r>
      <w:r>
        <w:t xml:space="preserve"> </w:t>
      </w:r>
      <w:r>
        <w:t xml:space="preserve">for its failure to attain the EU air quality standards and awarded the claimant 30 000 PLN in</w:t>
      </w:r>
      <w:r>
        <w:t xml:space="preserve"> </w:t>
      </w:r>
      <w:r>
        <w:t xml:space="preserve">compensation damages.200</w:t>
      </w:r>
      <w:r>
        <w:br/>
      </w:r>
      <w:r>
        <w:t xml:space="preserve">Romania: In November 2020, the Municipal Court of Bucharest (Tribunalul Municipiului</w:t>
      </w:r>
      <w:r>
        <w:t xml:space="preserve"> </w:t>
      </w:r>
      <w:r>
        <w:t xml:space="preserve">București) annulled the integrated air quality plan developed by the city’s authorities,</w:t>
      </w:r>
      <w:r>
        <w:t xml:space="preserve"> </w:t>
      </w:r>
      <w:r>
        <w:t xml:space="preserve">following an action initiated by a group of NGOs and residents claiming that the plan did not</w:t>
      </w:r>
      <w:r>
        <w:t xml:space="preserve"> </w:t>
      </w:r>
      <w:r>
        <w:t xml:space="preserve">comply with the national legislation on ambient air quality transposing Directive 2008/50/EC</w:t>
      </w:r>
      <w:r>
        <w:t xml:space="preserve"> </w:t>
      </w:r>
      <w:r>
        <w:t xml:space="preserve">(Law no. 104/2011). Two actions were joined; one challenging the substance of the air</w:t>
      </w:r>
      <w:r>
        <w:t xml:space="preserve"> </w:t>
      </w:r>
      <w:r>
        <w:t xml:space="preserve">quality plan and one challenging the adoption process of the air quality plan and the lack of</w:t>
      </w:r>
      <w:r>
        <w:t xml:space="preserve"> </w:t>
      </w:r>
      <w:r>
        <w:t xml:space="preserve">citizen’s consultation during this process.201</w:t>
      </w:r>
      <w:r>
        <w:br/>
      </w:r>
      <w:r>
        <w:t xml:space="preserve">Slovakia: In February 2017, a group of citizens from Bratislava and NGOs ‘Cyklokoalicia’</w:t>
      </w:r>
      <w:r>
        <w:t xml:space="preserve"> </w:t>
      </w:r>
      <w:r>
        <w:t xml:space="preserve">and ‘ClientEarth’, with the assistance of Via Iuris, took legal action against the Bratislava air</w:t>
      </w:r>
      <w:r>
        <w:t xml:space="preserve"> </w:t>
      </w:r>
      <w:r>
        <w:t xml:space="preserve">quality plan. In November 2018, the Slovak Regional Court (Krajský súd v Bratislave)</w:t>
      </w:r>
      <w:r>
        <w:t xml:space="preserve"> </w:t>
      </w:r>
      <w:r>
        <w:t xml:space="preserve">dismissed the air quality plan, stating it was vague and insufficient. A new plan must include</w:t>
      </w:r>
      <w:r>
        <w:t xml:space="preserve"> </w:t>
      </w:r>
      <w:r>
        <w:t xml:space="preserve">effective measures to improve air quality in the city in the shortest possible time. The</w:t>
      </w:r>
      <w:r>
        <w:t xml:space="preserve"> </w:t>
      </w:r>
      <w:r>
        <w:t xml:space="preserve">Municipality of Bratislava did not appeal the ruling.</w:t>
      </w:r>
      <w:r>
        <w:br/>
      </w:r>
      <w:r>
        <w:t xml:space="preserve">Spain: The environmental NGO ‘Ecologistas en Acción’ filed a lawsuit against the lack of an</w:t>
      </w:r>
      <w:r>
        <w:t xml:space="preserve"> </w:t>
      </w:r>
      <w:r>
        <w:t xml:space="preserve">air quality plan addressing illegally high levels of ozone in the region Castilla y León. In</w:t>
      </w:r>
      <w:r>
        <w:t xml:space="preserve"> </w:t>
      </w:r>
      <w:r>
        <w:t xml:space="preserve">October 2018, the High Court of Castilla y León (Tribunal Superior de Justicia de Castilla y</w:t>
      </w:r>
      <w:r>
        <w:t xml:space="preserve"> </w:t>
      </w:r>
      <w:r>
        <w:t xml:space="preserve">León) ordered the regional government to prepare within one year an air quality plan to</w:t>
      </w:r>
      <w:r>
        <w:t xml:space="preserve"> </w:t>
      </w:r>
      <w:r>
        <w:t xml:space="preserve">tackle levels of ozone exceeding the EU air quality standards. This judgment was confirmed</w:t>
      </w:r>
      <w:r>
        <w:t xml:space="preserve"> </w:t>
      </w:r>
      <w:r>
        <w:t xml:space="preserve">by the Spanish Supreme Court (Tribunal Supremo) in June 2020, which held that regional air</w:t>
      </w:r>
      <w:r>
        <w:t xml:space="preserve"> </w:t>
      </w:r>
      <w:r>
        <w:t xml:space="preserve">quality plans are independent from the national plan, the non-existence of which cannot be an</w:t>
      </w:r>
      <w:r>
        <w:t xml:space="preserve"> </w:t>
      </w:r>
      <w:r>
        <w:t xml:space="preserve">excuse for lack of action at regional level.202 Moreover, in December 2021, the High Court of</w:t>
      </w:r>
      <w:r>
        <w:t xml:space="preserve"> </w:t>
      </w:r>
      <w:r>
        <w:t xml:space="preserve">Navarre (Tribunal Superior de Justicia de Navarra) gave the regional government a year to</w:t>
      </w:r>
      <w:r>
        <w:t xml:space="preserve"> </w:t>
      </w:r>
      <w:r>
        <w:t xml:space="preserve">prepare and approve the mandatory air quality plan for ozone in the Ribera Navarra area. By</w:t>
      </w:r>
      <w:r>
        <w:t xml:space="preserve"> </w:t>
      </w:r>
      <w:r>
        <w:t xml:space="preserve">imposing a specific deadline by which the regional government has to comply, the Court goes</w:t>
      </w:r>
      <w:r>
        <w:t xml:space="preserve"> </w:t>
      </w:r>
      <w:r>
        <w:t xml:space="preserve">beyond the ruling of the Spanish Supreme Court.203</w:t>
      </w:r>
    </w:p>
    <w:p>
      <w:pPr>
        <w:pStyle w:val="BodyText"/>
      </w:pPr>
      <w:r>
        <w:t xml:space="preserve">200 Frank Bold.pl (2021), Breakthrough court ruling in Poland – state must pay for air pollution to citizen</w:t>
      </w:r>
      <w:r>
        <w:t xml:space="preserve"> </w:t>
      </w:r>
      <w:r>
        <w:t xml:space="preserve">(accessed: 10.06.2022)</w:t>
      </w:r>
      <w:r>
        <w:t xml:space="preserve"> </w:t>
      </w:r>
      <w:r>
        <w:t xml:space="preserve">201 Aerlive.ro, Victorie în instanță pentru cetățenii capitalei! » Aerlive Aerlive | Platformă pentru măsurarea</w:t>
      </w:r>
      <w:r>
        <w:t xml:space="preserve"> </w:t>
      </w:r>
      <w:r>
        <w:t xml:space="preserve">calității aerului din București</w:t>
      </w:r>
      <w:r>
        <w:t xml:space="preserve"> </w:t>
      </w:r>
      <w:r>
        <w:t xml:space="preserve">202 Ecologistas en acción.org (2020), El Tribunal Supremo obliga a las comunidades autónomas a aprobar</w:t>
      </w:r>
      <w:r>
        <w:t xml:space="preserve"> </w:t>
      </w:r>
      <w:r>
        <w:t xml:space="preserve">planes de calidad del aire para reducir el ozono (accessed: 10.06.2022)</w:t>
      </w:r>
      <w:r>
        <w:t xml:space="preserve"> </w:t>
      </w:r>
      <w:r>
        <w:t xml:space="preserve">203 Ecologistas en acción.org (2022), El Tribunal de Justicia de Navarra da un año al Gobierno Foral para</w:t>
      </w:r>
      <w:r>
        <w:t xml:space="preserve"> </w:t>
      </w:r>
      <w:r>
        <w:t xml:space="preserve">adoptar un plan de calidad del aire que reduzca el ozono (accessed: 10.06.2022)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724">
    <w:nsid w:val="00A99724"/>
    <w:multiLevelType w:val="multilevel"/>
    <w:lvl w:ilvl="0">
      <w:start w:val="4"/>
      <w:numFmt w:val="lowerLetter"/>
      <w:lvlText w:val="%1)"/>
      <w:lvlJc w:val="left"/>
      <w:pPr>
        <w:ind w:left="720" w:hanging="360"/>
      </w:pPr>
    </w:lvl>
    <w:lvl w:ilvl="1">
      <w:start w:val="4"/>
      <w:numFmt w:val="lowerLetter"/>
      <w:lvlText w:val="%2)"/>
      <w:lvlJc w:val="left"/>
      <w:pPr>
        <w:ind w:left="1440" w:hanging="360"/>
      </w:pPr>
    </w:lvl>
    <w:lvl w:ilvl="2">
      <w:start w:val="4"/>
      <w:numFmt w:val="lowerLetter"/>
      <w:lvlText w:val="%3)"/>
      <w:lvlJc w:val="left"/>
      <w:pPr>
        <w:ind w:left="2160" w:hanging="360"/>
      </w:pPr>
    </w:lvl>
    <w:lvl w:ilvl="3">
      <w:start w:val="4"/>
      <w:numFmt w:val="lowerLetter"/>
      <w:lvlText w:val="%4)"/>
      <w:lvlJc w:val="left"/>
      <w:pPr>
        <w:ind w:left="2880" w:hanging="360"/>
      </w:pPr>
    </w:lvl>
    <w:lvl w:ilvl="4">
      <w:start w:val="4"/>
      <w:numFmt w:val="lowerLetter"/>
      <w:lvlText w:val="%5)"/>
      <w:lvlJc w:val="left"/>
      <w:pPr>
        <w:ind w:left="3600" w:hanging="360"/>
      </w:pPr>
    </w:lvl>
    <w:lvl w:ilvl="5">
      <w:start w:val="4"/>
      <w:numFmt w:val="lowerLetter"/>
      <w:lvlText w:val="%6)"/>
      <w:lvlJc w:val="left"/>
      <w:pPr>
        <w:ind w:left="4320" w:hanging="360"/>
      </w:pPr>
    </w:lvl>
    <w:lvl w:ilvl="6">
      <w:start w:val="4"/>
      <w:numFmt w:val="lowerLetter"/>
      <w:lvlText w:val="%7)"/>
      <w:lvlJc w:val="left"/>
      <w:pPr>
        <w:ind w:left="5040" w:hanging="360"/>
      </w:pPr>
    </w:lvl>
    <w:lvl w:ilvl="7">
      <w:start w:val="4"/>
      <w:numFmt w:val="lowerLetter"/>
      <w:lvlText w:val="%8)"/>
      <w:lvlJc w:val="left"/>
      <w:pPr>
        <w:ind w:left="5760" w:hanging="360"/>
      </w:pPr>
    </w:lvl>
    <w:lvl w:ilvl="8">
      <w:start w:val="4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2026-07-31T16:47:38Z</dcterms:created>
  <dcterms:modified xsi:type="dcterms:W3CDTF">2026-07-31T16:47:38Z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