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18.11.2022</w:t>
      </w:r>
      <w:r>
        <w:br/>
      </w:r>
      <w:r>
        <w:t xml:space="preserve">SWD(2022) 721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laying down measures for a high level of public sector interoperability across the Union</w:t>
      </w:r>
      <w:r>
        <w:t xml:space="preserve"> </w:t>
      </w:r>
      <w:r>
        <w:t xml:space="preserve">(Interoperable Europe Act)</w:t>
      </w:r>
      <w:r>
        <w:t xml:space="preserve"> </w:t>
      </w:r>
      <w:r>
        <w:t xml:space="preserve">{COM(2022) 720 final} - {SEC(2022) 720 final} - {SWD(2022) 720 final} -</w:t>
      </w:r>
      <w:r>
        <w:t xml:space="preserve"> </w:t>
      </w:r>
      <w:r>
        <w:t xml:space="preserve">{SWD(2022) 722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…………………………………………………………………………………………. 6</w:t>
      </w:r>
      <w:r>
        <w:t xml:space="preserve"> </w:t>
      </w:r>
      <w:r>
        <w:t xml:space="preserve">1.1. Societal context …………………………………………………………………………………………. 7</w:t>
      </w:r>
      <w:r>
        <w:t xml:space="preserve"> </w:t>
      </w:r>
      <w:r>
        <w:t xml:space="preserve">1.2. Political context …………………………………………………………………………………………. 7</w:t>
      </w:r>
      <w:r>
        <w:t xml:space="preserve"> </w:t>
      </w:r>
      <w:r>
        <w:t xml:space="preserve">1.3. Legal context …………………………………………………………………………………………….. 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……………………………………………………………………………. 10</w:t>
      </w:r>
      <w:r>
        <w:t xml:space="preserve"> </w:t>
      </w:r>
      <w:r>
        <w:t xml:space="preserve">2.1. What is the problem ………………………………………………………………………………….. 11</w:t>
      </w:r>
      <w:r>
        <w:t xml:space="preserve"> </w:t>
      </w:r>
      <w:r>
        <w:t xml:space="preserve">2.2. What are the problem drivers? …………………………………………………………………… 15</w:t>
      </w:r>
      <w:r>
        <w:t xml:space="preserve"> </w:t>
      </w:r>
      <w:r>
        <w:t xml:space="preserve">2.2.1. Inefficient governance of interoperability efforts ……………………………………. 15</w:t>
      </w:r>
      <w:r>
        <w:t xml:space="preserve"> </w:t>
      </w:r>
      <w:r>
        <w:t xml:space="preserve">2.2.2. Lack of common minimum interoperability specifications, shared solutions,</w:t>
      </w:r>
      <w:r>
        <w:t xml:space="preserve"> </w:t>
      </w:r>
      <w:r>
        <w:t xml:space="preserve">standards …………………………………………………………………………………………………….. 17</w:t>
      </w:r>
      <w:r>
        <w:t xml:space="preserve"> </w:t>
      </w:r>
      <w:r>
        <w:t xml:space="preserve">2.2.3. Lack of an ‘interoperability by default’ approach in the design and</w:t>
      </w:r>
      <w:r>
        <w:t xml:space="preserve"> </w:t>
      </w:r>
      <w:r>
        <w:t xml:space="preserve">implementation of EU policies ………………………………………………………………………. 19</w:t>
      </w:r>
      <w:r>
        <w:t xml:space="preserve"> </w:t>
      </w:r>
      <w:r>
        <w:t xml:space="preserve">2.3. How will the problem evolve in the future? …………………………………………………. 21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21</w:t>
      </w:r>
      <w:r>
        <w:t xml:space="preserve"> </w:t>
      </w:r>
      <w:r>
        <w:t xml:space="preserve">3.1. Legal basis ………………………………………………………………………………………………. 21</w:t>
      </w:r>
      <w:r>
        <w:t xml:space="preserve"> </w:t>
      </w:r>
      <w:r>
        <w:t xml:space="preserve">3.2. Subsidiarity: Necessity of EU action …………………………………………………………… 23</w:t>
      </w:r>
      <w:r>
        <w:t xml:space="preserve"> </w:t>
      </w:r>
      <w:r>
        <w:t xml:space="preserve">3.3. Subsidiarity: Added value of EU action ……………………………………………………….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…………………………………………….. 24</w:t>
      </w:r>
      <w:r>
        <w:t xml:space="preserve"> </w:t>
      </w:r>
      <w:r>
        <w:t xml:space="preserve">4.1. General objective ……………………………………………………………………………………… 24</w:t>
      </w:r>
      <w:r>
        <w:t xml:space="preserve"> </w:t>
      </w:r>
      <w:r>
        <w:t xml:space="preserve">4.2. Specific objectives …………………………………………………………………………………….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 28</w:t>
      </w:r>
      <w:r>
        <w:t xml:space="preserve"> </w:t>
      </w:r>
      <w:r>
        <w:t xml:space="preserve">5.1. What is the baseline from which options are assessed? …………………………………. 28</w:t>
      </w:r>
      <w:r>
        <w:t xml:space="preserve"> </w:t>
      </w:r>
      <w:r>
        <w:t xml:space="preserve">5.2. Option 1: Non-legislative ………………………………………………………………………….. 28</w:t>
      </w:r>
      <w:r>
        <w:t xml:space="preserve"> </w:t>
      </w:r>
      <w:r>
        <w:t xml:space="preserve">5.3. Option 2: Legislative initiative - New legal framework for an interoperable EU</w:t>
      </w:r>
      <w:r>
        <w:t xml:space="preserve"> </w:t>
      </w:r>
      <w:r>
        <w:t xml:space="preserve">public sector infrastructure and strengthened EU policy coordination ……………….. 29</w:t>
      </w:r>
      <w:r>
        <w:t xml:space="preserve"> </w:t>
      </w:r>
      <w:r>
        <w:t xml:space="preserve">5.4. Option 3: Legislative initiative - New legal framework introducing a common</w:t>
      </w:r>
      <w:r>
        <w:t xml:space="preserve"> </w:t>
      </w:r>
      <w:r>
        <w:t xml:space="preserve">European Interoperability Architecture for all public services ………………………….. 32</w:t>
      </w:r>
      <w:r>
        <w:t xml:space="preserve"> </w:t>
      </w:r>
      <w:r>
        <w:t xml:space="preserve">5.5. Options discarded at an early stage …………………………………………………………….. 33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 33</w:t>
      </w:r>
      <w:r>
        <w:t xml:space="preserve"> </w:t>
      </w:r>
      <w:r>
        <w:t xml:space="preserve">6.1. Impacts of Option 0 - baseline scenario ………………………………………………………. 34</w:t>
      </w:r>
      <w:r>
        <w:t xml:space="preserve"> </w:t>
      </w:r>
      <w:r>
        <w:t xml:space="preserve">6.2. Impacts of Option 1: Non-legislative actions ……………………………………………….. 35</w:t>
      </w:r>
      <w:r>
        <w:t xml:space="preserve"> </w:t>
      </w:r>
      <w:r>
        <w:t xml:space="preserve">6.3. Impacts of option 2: New legal framework for an interoperable EU public</w:t>
      </w:r>
      <w:r>
        <w:t xml:space="preserve"> </w:t>
      </w:r>
      <w:r>
        <w:t xml:space="preserve">sector infrastructure ……………………………………………………………………………………. 39</w:t>
      </w:r>
      <w:r>
        <w:t xml:space="preserve"> </w:t>
      </w:r>
      <w:r>
        <w:t xml:space="preserve">6.4. Impacts of option 3: Legal interoperability requirements for public sector</w:t>
      </w:r>
      <w:r>
        <w:t xml:space="preserve"> </w:t>
      </w:r>
      <w:r>
        <w:t xml:space="preserve">bodies ……………………………………………………………………………………………………….. 42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 44</w:t>
      </w:r>
      <w:r>
        <w:t xml:space="preserve"> </w:t>
      </w:r>
      <w:r>
        <w:t xml:space="preserve">7.1 Coherence ……………………………………………………………………………………………….. 46</w:t>
      </w:r>
      <w:r>
        <w:t xml:space="preserve"> </w:t>
      </w:r>
      <w:r>
        <w:t xml:space="preserve">7.2 Effectiveness ……………………………………………………………………………………………. 47</w:t>
      </w:r>
      <w:r>
        <w:t xml:space="preserve"> </w:t>
      </w:r>
      <w:r>
        <w:t xml:space="preserve">7.3 Efficiency ……………………………………………………………………………………………….. 48</w:t>
      </w:r>
      <w:r>
        <w:t xml:space="preserve"> </w:t>
      </w:r>
      <w:r>
        <w:t xml:space="preserve">7.4 Subsidiarity ……………………………………………………………………………………………… 50</w:t>
      </w:r>
      <w:r>
        <w:t xml:space="preserve"> </w:t>
      </w:r>
      <w:r>
        <w:t xml:space="preserve">7.5 Stakeholder support expected …………………………………………………………………….. 51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OPTION………………………………………………………………………………… 51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……. 54</w:t>
      </w:r>
      <w:r>
        <w:t xml:space="preserve"> </w:t>
      </w:r>
      <w:r>
        <w:t xml:space="preserve">ANNEXES ………………………………………………………………………………………………………… 60</w:t>
      </w:r>
      <w:r>
        <w:t xml:space="preserve"> </w:t>
      </w:r>
      <w:r>
        <w:t xml:space="preserve">Annex I. Procedural information ………………………………………………………………………. 60</w:t>
      </w:r>
      <w:r>
        <w:t xml:space="preserve"> </w:t>
      </w:r>
      <w:r>
        <w:t xml:space="preserve">Lead DG: Directorate General for Informatics …………………………………………………. 60</w:t>
      </w:r>
      <w:r>
        <w:t xml:space="preserve"> </w:t>
      </w:r>
      <w:r>
        <w:t xml:space="preserve">Organisation and timing ………………………………………………………………………………… 60</w:t>
      </w:r>
      <w:r>
        <w:t xml:space="preserve"> </w:t>
      </w:r>
      <w:r>
        <w:t xml:space="preserve">Consultation of the RSB ……………………………………………………………………………….. 60</w:t>
      </w:r>
      <w:r>
        <w:t xml:space="preserve"> </w:t>
      </w:r>
      <w:r>
        <w:t xml:space="preserve">Evidence, sources and quality ………………………………………………………………………… 63</w:t>
      </w:r>
      <w:r>
        <w:t xml:space="preserve"> </w:t>
      </w:r>
      <w:r>
        <w:t xml:space="preserve">Annex II. Stakeholder consultation …………………………………………………………………… 65</w:t>
      </w:r>
      <w:r>
        <w:t xml:space="preserve"> </w:t>
      </w:r>
      <w:r>
        <w:t xml:space="preserve">Summary of the stakeholder strategy ………………………………………………………………. 65</w:t>
      </w:r>
      <w:r>
        <w:t xml:space="preserve"> </w:t>
      </w:r>
      <w:r>
        <w:t xml:space="preserve">Summary of the feedback on the Inception impact assessment …………………………… 66</w:t>
      </w:r>
      <w:r>
        <w:t xml:space="preserve"> </w:t>
      </w:r>
      <w:r>
        <w:t xml:space="preserve">Consultation activities for the EIF evaluation and Impact assessment …………………. 67</w:t>
      </w:r>
      <w:r>
        <w:t xml:space="preserve"> </w:t>
      </w:r>
      <w:r>
        <w:t xml:space="preserve">Results: EIF Evaluation ………………………………………………………………………………… 70</w:t>
      </w:r>
      <w:r>
        <w:t xml:space="preserve"> </w:t>
      </w:r>
      <w:r>
        <w:t xml:space="preserve">Results: Impact Assessment …………………………………………………………………………… 73</w:t>
      </w:r>
      <w:r>
        <w:t xml:space="preserve"> </w:t>
      </w:r>
      <w:r>
        <w:t xml:space="preserve">Input of the Expert Group co-design process …………………………………………………… 81</w:t>
      </w:r>
      <w:r>
        <w:t xml:space="preserve"> </w:t>
      </w:r>
      <w:r>
        <w:t xml:space="preserve">Annex III. Who is affected and how? ………………………………………………………………… 85</w:t>
      </w:r>
      <w:r>
        <w:t xml:space="preserve"> </w:t>
      </w:r>
      <w:r>
        <w:t xml:space="preserve">Citizens ………………………………………………………………………………………………………. 85</w:t>
      </w:r>
      <w:r>
        <w:t xml:space="preserve"> </w:t>
      </w:r>
      <w:r>
        <w:t xml:space="preserve">Businesses and SMEs …………………………………………………………………………………… 85</w:t>
      </w:r>
      <w:r>
        <w:t xml:space="preserve"> </w:t>
      </w:r>
      <w:r>
        <w:t xml:space="preserve">Public sector authorities ………………………………………………………………………………… 86</w:t>
      </w:r>
      <w:r>
        <w:t xml:space="preserve"> </w:t>
      </w:r>
      <w:r>
        <w:t xml:space="preserve">Annex IV. Methodology ………………………………………………………………………………….. 86</w:t>
      </w:r>
      <w:r>
        <w:t xml:space="preserve"> </w:t>
      </w:r>
      <w:r>
        <w:t xml:space="preserve">Overview of information and data sources ………………………………………………………. 86</w:t>
      </w:r>
      <w:r>
        <w:t xml:space="preserve"> </w:t>
      </w:r>
      <w:r>
        <w:t xml:space="preserve">Primary data ………………………………………………………………………………………………… 87</w:t>
      </w:r>
      <w:r>
        <w:t xml:space="preserve"> </w:t>
      </w:r>
      <w:r>
        <w:t xml:space="preserve">Secondary data …………………………………………………………………………………………….. 90</w:t>
      </w:r>
      <w:r>
        <w:t xml:space="preserve"> </w:t>
      </w:r>
      <w:r>
        <w:t xml:space="preserve">Data validation …………………………………………………………………………………………….. 91</w:t>
      </w:r>
      <w:r>
        <w:t xml:space="preserve"> </w:t>
      </w:r>
      <w:r>
        <w:t xml:space="preserve">Methods ………………………………………………………………………………………………………. 92</w:t>
      </w:r>
      <w:r>
        <w:t xml:space="preserve"> </w:t>
      </w:r>
      <w:r>
        <w:t xml:space="preserve">Main limitations …………………………………………………………………………………………… 98</w:t>
      </w:r>
      <w:r>
        <w:t xml:space="preserve"> </w:t>
      </w:r>
      <w:r>
        <w:t xml:space="preserve">Annex V. Recommendations of the Expert group on interoperability of public</w:t>
      </w:r>
      <w:r>
        <w:t xml:space="preserve"> </w:t>
      </w:r>
      <w:r>
        <w:t xml:space="preserve">services ……………………………………………………………………………………………………… 98</w:t>
      </w:r>
      <w:r>
        <w:t xml:space="preserve"> </w:t>
      </w:r>
      <w:r>
        <w:t xml:space="preserve">Introduction …………………………………………………………………………………………………. 98</w:t>
      </w:r>
      <w:r>
        <w:t xml:space="preserve"> </w:t>
      </w:r>
      <w:r>
        <w:t xml:space="preserve">Purpose and scope of these policy recommendations ………………………………………… 99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We share a common vision for the next interoperability policy ………………………… 100</w:t>
      </w:r>
      <w:r>
        <w:t xml:space="preserve"> </w:t>
      </w:r>
      <w:r>
        <w:t xml:space="preserve">Chapter I: Reinforce the European cooperation on interoperability …………………… 100</w:t>
      </w:r>
      <w:r>
        <w:t xml:space="preserve"> </w:t>
      </w:r>
      <w:r>
        <w:t xml:space="preserve">Chapter II: Make the most of interoperability for better EU policies …………………. 102</w:t>
      </w:r>
      <w:r>
        <w:t xml:space="preserve"> </w:t>
      </w:r>
      <w:r>
        <w:t xml:space="preserve">Chapter III: Upgrade the current EU interoperable solutions offering ……………….. 105</w:t>
      </w:r>
      <w:r>
        <w:t xml:space="preserve"> </w:t>
      </w:r>
      <w:r>
        <w:t xml:space="preserve">Annex VI Political and policy context …………………………………………………………….. 106</w:t>
      </w:r>
      <w:r>
        <w:t xml:space="preserve"> </w:t>
      </w:r>
      <w:r>
        <w:t xml:space="preserve">History of Interoperability Policy …………………………………………………………………. 110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Glossary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CEF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CEMR</w:t>
      </w:r>
      <w:r>
        <w:t xml:space="preserve"> </w:t>
      </w:r>
      <w:r>
        <w:t xml:space="preserve">Council of European Municipalities and Regions</w:t>
      </w:r>
      <w:r>
        <w:t xml:space="preserve"> </w:t>
      </w:r>
      <w:r>
        <w:t xml:space="preserve">CEPS</w:t>
      </w:r>
      <w:r>
        <w:t xml:space="preserve"> </w:t>
      </w:r>
      <w:r>
        <w:t xml:space="preserve">Centre for European Policy Studies</w:t>
      </w:r>
      <w:r>
        <w:t xml:space="preserve"> </w:t>
      </w:r>
      <w:r>
        <w:t xml:space="preserve">CIO(s)</w:t>
      </w:r>
      <w:r>
        <w:t xml:space="preserve"> </w:t>
      </w:r>
      <w:r>
        <w:t xml:space="preserve">Chief Information Officer(s)</w:t>
      </w:r>
      <w:r>
        <w:t xml:space="preserve"> </w:t>
      </w:r>
      <w:r>
        <w:t xml:space="preserve">COVID-19</w:t>
      </w:r>
      <w:r>
        <w:t xml:space="preserve"> </w:t>
      </w:r>
      <w:r>
        <w:t xml:space="preserve">Coronavirus disease</w:t>
      </w:r>
      <w:r>
        <w:t xml:space="preserve"> </w:t>
      </w:r>
      <w:r>
        <w:t xml:space="preserve">CPSV</w:t>
      </w:r>
      <w:r>
        <w:t xml:space="preserve"> </w:t>
      </w:r>
      <w:r>
        <w:t xml:space="preserve">Core Public Services Vocabulary</w:t>
      </w:r>
      <w:r>
        <w:t xml:space="preserve"> </w:t>
      </w:r>
      <w:r>
        <w:t xml:space="preserve">DESI</w:t>
      </w:r>
      <w:r>
        <w:t xml:space="preserve"> </w:t>
      </w:r>
      <w:r>
        <w:t xml:space="preserve">Digital Economy and Society Index</w:t>
      </w:r>
      <w:r>
        <w:t xml:space="preserve"> </w:t>
      </w:r>
      <w:r>
        <w:t xml:space="preserve">DG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DG DIGIT</w:t>
      </w:r>
      <w:r>
        <w:t xml:space="preserve"> </w:t>
      </w:r>
      <w:r>
        <w:t xml:space="preserve">Directorate-General for Informatics</w:t>
      </w:r>
      <w:r>
        <w:t xml:space="preserve"> </w:t>
      </w:r>
      <w:r>
        <w:t xml:space="preserve">DIF</w:t>
      </w:r>
      <w:r>
        <w:t xml:space="preserve"> </w:t>
      </w:r>
      <w:r>
        <w:t xml:space="preserve">Domain-specific interoperability framework</w:t>
      </w:r>
      <w:r>
        <w:t xml:space="preserve"> </w:t>
      </w:r>
      <w:r>
        <w:t xml:space="preserve">DIGIT.D2</w:t>
      </w:r>
      <w:r>
        <w:t xml:space="preserve"> </w:t>
      </w:r>
      <w:r>
        <w:t xml:space="preserve">Directorate-General for Informatics, Directorate D Digital Services, Unit</w:t>
      </w:r>
      <w:r>
        <w:t xml:space="preserve"> </w:t>
      </w:r>
      <w:r>
        <w:t xml:space="preserve">D2 Interoperability</w:t>
      </w:r>
      <w:r>
        <w:t xml:space="preserve"> </w:t>
      </w:r>
      <w:r>
        <w:t xml:space="preserve">DSM</w:t>
      </w:r>
      <w:r>
        <w:t xml:space="preserve"> </w:t>
      </w:r>
      <w:r>
        <w:t xml:space="preserve">Digital Single Market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EDIH</w:t>
      </w:r>
      <w:r>
        <w:t xml:space="preserve"> </w:t>
      </w:r>
      <w:r>
        <w:t xml:space="preserve">European Digital Innovation Hubs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eID</w:t>
      </w:r>
      <w:r>
        <w:t xml:space="preserve"> </w:t>
      </w:r>
      <w:r>
        <w:t xml:space="preserve">Electronic identification</w:t>
      </w:r>
      <w:r>
        <w:t xml:space="preserve"> </w:t>
      </w:r>
      <w:r>
        <w:t xml:space="preserve">EIF</w:t>
      </w:r>
      <w:r>
        <w:t xml:space="preserve"> </w:t>
      </w:r>
      <w:r>
        <w:t xml:space="preserve">European Interoperability Framework</w:t>
      </w:r>
      <w:r>
        <w:t xml:space="preserve"> </w:t>
      </w:r>
      <w:r>
        <w:t xml:space="preserve">EIF4SCC</w:t>
      </w:r>
      <w:r>
        <w:t xml:space="preserve"> </w:t>
      </w:r>
      <w:r>
        <w:t xml:space="preserve">European Interoperability Framework for Smart Cities and Communities</w:t>
      </w:r>
      <w:r>
        <w:t xml:space="preserve"> </w:t>
      </w:r>
      <w:r>
        <w:t xml:space="preserve">EIRA</w:t>
      </w:r>
      <w:r>
        <w:t xml:space="preserve"> </w:t>
      </w:r>
      <w:r>
        <w:t xml:space="preserve">European Interoperability Reference Architecture</w:t>
      </w:r>
      <w:r>
        <w:t xml:space="preserve"> </w:t>
      </w:r>
      <w:r>
        <w:t xml:space="preserve">EIS</w:t>
      </w:r>
      <w:r>
        <w:t xml:space="preserve"> </w:t>
      </w:r>
      <w:r>
        <w:t xml:space="preserve">European Interoperability Strategy</w:t>
      </w:r>
      <w:r>
        <w:t xml:space="preserve"> </w:t>
      </w:r>
      <w:r>
        <w:t xml:space="preserve">EQ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HORIZON 2020</w:t>
      </w:r>
      <w:r>
        <w:t xml:space="preserve"> </w:t>
      </w:r>
      <w:r>
        <w:t xml:space="preserve">The EU funding programme for research and innovation (2014 - 2020)</w:t>
      </w:r>
      <w:r>
        <w:t xml:space="preserve"> </w:t>
      </w:r>
      <w:r>
        <w:t xml:space="preserve">HORIZON</w:t>
      </w:r>
      <w:r>
        <w:t xml:space="preserve"> </w:t>
      </w:r>
      <w:r>
        <w:t xml:space="preserve">Europe</w:t>
      </w:r>
      <w:r>
        <w:t xml:space="preserve"> </w:t>
      </w:r>
      <w:r>
        <w:t xml:space="preserve">EU’s key funding programme for research and innovation (2021 to 2027)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communication technology</w:t>
      </w:r>
      <w:r>
        <w:t xml:space="preserve"> </w:t>
      </w:r>
      <w:r>
        <w:t xml:space="preserve">IMAPS</w:t>
      </w:r>
      <w:r>
        <w:t xml:space="preserve"> </w:t>
      </w:r>
      <w:r>
        <w:t xml:space="preserve">Interoperability Maturity Assessment of a Public Service</w:t>
      </w:r>
      <w:r>
        <w:t xml:space="preserve"> </w:t>
      </w:r>
      <w:r>
        <w:t xml:space="preserve">ISA²</w:t>
      </w:r>
      <w:r>
        <w:br/>
      </w:r>
      <w:r>
        <w:t xml:space="preserve">Programme on interoperability solutions and common frameworks for</w:t>
      </w:r>
      <w:r>
        <w:t xml:space="preserve"> </w:t>
      </w:r>
      <w:r>
        <w:t xml:space="preserve">European public administrations, businesses and citizens</w:t>
      </w:r>
      <w:r>
        <w:t xml:space="preserve"> </w:t>
      </w:r>
      <w:r>
        <w:t xml:space="preserve">LORDI</w:t>
      </w:r>
      <w:r>
        <w:t xml:space="preserve"> </w:t>
      </w:r>
      <w:r>
        <w:t xml:space="preserve">Local and Regional Digital Indicators Framework</w:t>
      </w:r>
      <w:r>
        <w:t xml:space="preserve"> </w:t>
      </w:r>
      <w:r>
        <w:t xml:space="preserve">NGOs</w:t>
      </w:r>
      <w:r>
        <w:t xml:space="preserve"> </w:t>
      </w:r>
      <w:r>
        <w:t xml:space="preserve">Non-governmental organisations</w:t>
      </w:r>
      <w:r>
        <w:t xml:space="preserve"> </w:t>
      </w:r>
      <w:r>
        <w:t xml:space="preserve">MIMs</w:t>
      </w:r>
      <w:r>
        <w:t xml:space="preserve"> </w:t>
      </w:r>
      <w:r>
        <w:t xml:space="preserve">Minimal Interoperability Mechanisms</w:t>
      </w:r>
      <w:r>
        <w:t xml:space="preserve"> </w:t>
      </w:r>
      <w:r>
        <w:t xml:space="preserve">NIFs</w:t>
      </w:r>
      <w:r>
        <w:t xml:space="preserve"> </w:t>
      </w:r>
      <w:r>
        <w:t xml:space="preserve">National Interoperability Frameworks</w:t>
      </w:r>
      <w:r>
        <w:t xml:space="preserve"> </w:t>
      </w:r>
      <w:r>
        <w:t xml:space="preserve">NIFO</w:t>
      </w:r>
      <w:r>
        <w:t xml:space="preserve"> </w:t>
      </w:r>
      <w:r>
        <w:t xml:space="preserve">National Interoperability Framework Observatory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OSLO</w:t>
      </w:r>
      <w:r>
        <w:t xml:space="preserve"> </w:t>
      </w:r>
      <w:r>
        <w:t xml:space="preserve">Open Standards for Linked Organisations</w:t>
      </w:r>
      <w:r>
        <w:t xml:space="preserve"> </w:t>
      </w:r>
      <w:r>
        <w:t xml:space="preserve">PSI Directive</w:t>
      </w:r>
      <w:r>
        <w:t xml:space="preserve"> </w:t>
      </w:r>
      <w:r>
        <w:t xml:space="preserve">Directive on the Reuse of Public Sector Information (subsequently revised</w:t>
      </w:r>
      <w:r>
        <w:t xml:space="preserve"> </w:t>
      </w:r>
      <w:r>
        <w:t xml:space="preserve">and renamed as the Open Data Directive 2019)</w:t>
      </w:r>
      <w:r>
        <w:t xml:space="preserve"> </w:t>
      </w:r>
      <w:r>
        <w:t xml:space="preserve">ROI</w:t>
      </w:r>
      <w:r>
        <w:t xml:space="preserve"> </w:t>
      </w:r>
      <w:r>
        <w:t xml:space="preserve">Return on Investment</w:t>
      </w:r>
      <w:r>
        <w:t xml:space="preserve"> </w:t>
      </w:r>
      <w:r>
        <w:t xml:space="preserve">RFS</w:t>
      </w:r>
      <w:r>
        <w:t xml:space="preserve"> </w:t>
      </w:r>
      <w:r>
        <w:t xml:space="preserve">Request for Services DIGIT/1/2020</w:t>
      </w:r>
      <w:r>
        <w:t xml:space="preserve"> </w:t>
      </w:r>
      <w:r>
        <w:t xml:space="preserve">SDG</w:t>
      </w:r>
      <w:r>
        <w:t xml:space="preserve"> </w:t>
      </w:r>
      <w:r>
        <w:t xml:space="preserve">Single Digital Gateway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SRSP</w:t>
      </w:r>
      <w:r>
        <w:t xml:space="preserve"> </w:t>
      </w:r>
      <w:r>
        <w:t xml:space="preserve">Structural Reform Support Programme</w:t>
      </w:r>
      <w:r>
        <w:t xml:space="preserve"> </w:t>
      </w:r>
      <w:r>
        <w:t xml:space="preserve">TSI</w:t>
      </w:r>
      <w:r>
        <w:br/>
      </w:r>
      <w:r>
        <w:t xml:space="preserve">Technical Support Instrument</w:t>
      </w:r>
      <w:r>
        <w:br/>
      </w:r>
      <w:r>
        <w:t xml:space="preserve">UN</w:t>
      </w:r>
      <w:r>
        <w:br/>
      </w:r>
      <w:r>
        <w:t xml:space="preserve">United Nations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1.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This Impact Assessment accompanies the legislative proposal for an Interoperable Europe</w:t>
      </w:r>
      <w:r>
        <w:t xml:space="preserve"> </w:t>
      </w:r>
      <w:r>
        <w:t xml:space="preserve">Act. The initiative aims to address the issues and capitalise on the opportunities arising</w:t>
      </w:r>
      <w:r>
        <w:t xml:space="preserve"> </w:t>
      </w:r>
      <w:r>
        <w:t xml:space="preserve">from the ever-increasing digital transformation of the public sector in Europe. It focuses on</w:t>
      </w:r>
      <w:r>
        <w:t xml:space="preserve"> </w:t>
      </w:r>
      <w:r>
        <w:t xml:space="preserve">interoperability, which is a cross-cutting enabling factor and a key precondition for digital</w:t>
      </w:r>
      <w:r>
        <w:t xml:space="preserve"> </w:t>
      </w:r>
      <w:r>
        <w:t xml:space="preserve">transformation to work across borders and sectors.</w:t>
      </w:r>
      <w:r>
        <w:t xml:space="preserve"> </w:t>
      </w:r>
      <w:r>
        <w:t xml:space="preserve">In addition, in the context of the European Strategy for Data, it will contribute to unleash the</w:t>
      </w:r>
      <w:r>
        <w:t xml:space="preserve"> </w:t>
      </w:r>
      <w:r>
        <w:t xml:space="preserve">potential of the new existing and proposed instruments (namely the Data Governance Act and</w:t>
      </w:r>
      <w:r>
        <w:t xml:space="preserve"> </w:t>
      </w:r>
      <w:r>
        <w:t xml:space="preserve">the proposal for Data Act) by facilitating their implementation through the setup of an</w:t>
      </w:r>
      <w:r>
        <w:t xml:space="preserve"> </w:t>
      </w:r>
      <w:r>
        <w:t xml:space="preserve">interoperability governance and an ecosystem of interoperability resources.</w:t>
      </w:r>
      <w:r>
        <w:t xml:space="preserve"> </w:t>
      </w:r>
      <w:r>
        <w:t xml:space="preserve">Interoperability is the ability of systems and organisations to cooperate, share information</w:t>
      </w:r>
      <w:r>
        <w:t xml:space="preserve"> </w:t>
      </w:r>
      <w:r>
        <w:t xml:space="preserve">and knowledge across functional, sectorial and physical borders. It goes beyond technical</w:t>
      </w:r>
      <w:r>
        <w:t xml:space="preserve"> </w:t>
      </w:r>
      <w:r>
        <w:t xml:space="preserve">means; it needs agreements between different organisations, agreed data descriptions, laws</w:t>
      </w:r>
      <w:r>
        <w:t xml:space="preserve"> </w:t>
      </w:r>
      <w:r>
        <w:t xml:space="preserve">that allow for those data exchanges and a culture of cooperation1. Moving beyond its</w:t>
      </w:r>
      <w:r>
        <w:t xml:space="preserve"> </w:t>
      </w:r>
      <w:r>
        <w:t xml:space="preserve">technical aspects, it expresses a powerful concept: interoperability enables to have solid</w:t>
      </w:r>
      <w:r>
        <w:t xml:space="preserve"> </w:t>
      </w:r>
      <w:r>
        <w:t xml:space="preserve">common digital foundations on which it is possible to build better digital services.</w:t>
      </w:r>
      <w:r>
        <w:t xml:space="preserve"> </w:t>
      </w:r>
      <w:r>
        <w:t xml:space="preserve">Digitisation is reshaping all aspects of society, including the way public administrations work</w:t>
      </w:r>
      <w:r>
        <w:t xml:space="preserve"> </w:t>
      </w:r>
      <w:r>
        <w:t xml:space="preserve">with one another and how public services are delivered to citizens, business, and to one</w:t>
      </w:r>
      <w:r>
        <w:t xml:space="preserve"> </w:t>
      </w:r>
      <w:r>
        <w:t xml:space="preserve">another across borders and sectors. In the same way, EU citizens’ and businesses’</w:t>
      </w:r>
      <w:r>
        <w:t xml:space="preserve"> </w:t>
      </w:r>
      <w:r>
        <w:t xml:space="preserve">expectations of their governments are shifting. When travelling, submitting their tax</w:t>
      </w:r>
      <w:r>
        <w:t xml:space="preserve"> </w:t>
      </w:r>
      <w:r>
        <w:t xml:space="preserve">declarations, accessing healthcare services, enrolling in a foreign university, setting up a</w:t>
      </w:r>
      <w:r>
        <w:t xml:space="preserve"> </w:t>
      </w:r>
      <w:r>
        <w:t xml:space="preserve">business in another EU country, citizens and businesses want the same user-friendly, secure,</w:t>
      </w:r>
      <w:r>
        <w:t xml:space="preserve"> </w:t>
      </w:r>
      <w:r>
        <w:t xml:space="preserve">seamless experience from their public services as from any other digital service. The role of</w:t>
      </w:r>
      <w:r>
        <w:t xml:space="preserve"> </w:t>
      </w:r>
      <w:r>
        <w:t xml:space="preserve">interoperability in enabling the achievement of public values should not to be underestimated.</w:t>
      </w:r>
      <w:r>
        <w:t xml:space="preserve"> </w:t>
      </w:r>
      <w:r>
        <w:t xml:space="preserve">The aim of strengthening interoperability in this area is to ensure digital public services work</w:t>
      </w:r>
      <w:r>
        <w:t xml:space="preserve"> </w:t>
      </w:r>
      <w:r>
        <w:t xml:space="preserve">across borders for all in Europe, by fostering a coherent, human-centric approach to</w:t>
      </w:r>
      <w:r>
        <w:t xml:space="preserve"> </w:t>
      </w:r>
      <w:r>
        <w:t xml:space="preserve">interoperability built in by design from policymaking to policy implementation all over</w:t>
      </w:r>
      <w:r>
        <w:t xml:space="preserve"> </w:t>
      </w:r>
      <w:r>
        <w:t xml:space="preserve">Europe, establishing a clear governance and an ecosystem of solutions and specifications.</w:t>
      </w:r>
      <w:r>
        <w:t xml:space="preserve"> </w:t>
      </w:r>
      <w:r>
        <w:t xml:space="preserve">Interoperability is fundamental in making this a reality. A human-centric approach is what</w:t>
      </w:r>
      <w:r>
        <w:t xml:space="preserve"> </w:t>
      </w:r>
      <w:r>
        <w:t xml:space="preserve">allows, for instance, a Swedish citizen to have her academic title - acquired in Germany -</w:t>
      </w:r>
      <w:r>
        <w:t xml:space="preserve"> </w:t>
      </w:r>
      <w:r>
        <w:t xml:space="preserve">automatically recognised and valid in Italy, where she can work, and then retire - in Spain -</w:t>
      </w:r>
      <w:r>
        <w:t xml:space="preserve"> </w:t>
      </w:r>
      <w:r>
        <w:t xml:space="preserve">where she enjoys her pension benefits and health coverage. Along the same lines, without</w:t>
      </w:r>
      <w:r>
        <w:t xml:space="preserve"> </w:t>
      </w:r>
      <w:r>
        <w:t xml:space="preserve">interoperability across all Member States of the European Digital COVID certificates, we</w:t>
      </w:r>
      <w:r>
        <w:t xml:space="preserve"> </w:t>
      </w:r>
      <w:r>
        <w:t xml:space="preserve">would not have been able to re-open so fast safe travel across borders in Europe2.</w:t>
      </w:r>
      <w:r>
        <w:t xml:space="preserve"> </w:t>
      </w:r>
      <w:r>
        <w:t xml:space="preserve">Interoperability determines the effectiveness of the emerging – virtual and physical – data</w:t>
      </w:r>
      <w:r>
        <w:t xml:space="preserve"> </w:t>
      </w:r>
      <w:r>
        <w:t xml:space="preserve">infrastructures across Europe3.</w:t>
      </w:r>
      <w:r>
        <w:t xml:space="preserve"> </w:t>
      </w:r>
      <w:r>
        <w:t xml:space="preserve">Regulating public sector interoperability is also a fundamental prerequisite for enhancing</w:t>
      </w:r>
      <w:r>
        <w:t xml:space="preserve"> </w:t>
      </w:r>
      <w:r>
        <w:t xml:space="preserve">and completing the Digital Single Market. This initiative aims to focus on improving the</w:t>
      </w:r>
      <w:r>
        <w:t xml:space="preserve"> </w:t>
      </w:r>
      <w:r>
        <w:t xml:space="preserve">digital infrastructure4 supporting interoperability cross-borders in Europe in line with the</w:t>
      </w:r>
      <w:r>
        <w:t xml:space="preserve"> </w:t>
      </w:r>
      <w:r>
        <w:t xml:space="preserve">European Strategy for Data.</w:t>
      </w:r>
      <w:r>
        <w:t xml:space="preserve"> </w:t>
      </w:r>
      <w:r>
        <w:t xml:space="preserve">In summary, the proposed Interoperable Europe Act would focus on the following areas:</w:t>
      </w:r>
    </w:p>
    <w:p>
      <w:pPr>
        <w:pStyle w:val="BodyText"/>
      </w:pPr>
      <w:r>
        <w:t xml:space="preserve">1</w:t>
      </w:r>
      <w:r>
        <w:br/>
      </w:r>
      <w:r>
        <w:t xml:space="preserve">The four core layers of the European Interoperability Framework: legal, organisational, semantic and</w:t>
      </w:r>
      <w:r>
        <w:t xml:space="preserve"> </w:t>
      </w:r>
      <w:r>
        <w:t xml:space="preserve">technical.</w:t>
      </w:r>
      <w:r>
        <w:t xml:space="preserve"> </w:t>
      </w:r>
      <w:r>
        <w:t xml:space="preserve">2</w:t>
      </w:r>
      <w:r>
        <w:br/>
      </w:r>
      <w:r>
        <w:t xml:space="preserve">EU Digital COVID Certificate | European Commission (europa.eu).</w:t>
      </w:r>
      <w:r>
        <w:t xml:space="preserve"> </w:t>
      </w:r>
      <w:r>
        <w:t xml:space="preserve">3</w:t>
      </w:r>
      <w:r>
        <w:br/>
      </w:r>
      <w:r>
        <w:t xml:space="preserve">For example, transport networks, energy, justice and home affairs, health.</w:t>
      </w:r>
      <w:r>
        <w:t xml:space="preserve"> </w:t>
      </w:r>
      <w:r>
        <w:t xml:space="preserve">4</w:t>
      </w:r>
      <w:r>
        <w:br/>
      </w:r>
      <w:r>
        <w:t xml:space="preserve">Digital public service infrastructure is understood in very broad terms and underlines legal,</w:t>
      </w:r>
      <w:r>
        <w:t xml:space="preserve"> </w:t>
      </w:r>
      <w:r>
        <w:t xml:space="preserve">organisational, semantic, technical requirements.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 Ensure a coherent, human-centric EU approach to interoperability from policymaking</w:t>
      </w:r>
      <w:r>
        <w:t xml:space="preserve"> </w:t>
      </w:r>
      <w:r>
        <w:t xml:space="preserve">to policy implementation;</w:t>
      </w:r>
      <w:r>
        <w:t xml:space="preserve"> </w:t>
      </w:r>
      <w:r>
        <w:t xml:space="preserve"> Establish an interoperability governance structure designed to enable public</w:t>
      </w:r>
      <w:r>
        <w:t xml:space="preserve"> </w:t>
      </w:r>
      <w:r>
        <w:t xml:space="preserve">administrations from all levels and sectors as well as private stakeholders to work</w:t>
      </w:r>
      <w:r>
        <w:t xml:space="preserve"> </w:t>
      </w:r>
      <w:r>
        <w:t xml:space="preserve">together — with a clear mandate to agree on shared interoperability solutions (e.g. </w:t>
      </w:r>
      <w:r>
        <w:t xml:space="preserve"> </w:t>
      </w:r>
      <w:r>
        <w:t xml:space="preserve">frameworks, specifications, applications, or guidelines); and,</w:t>
      </w:r>
      <w:r>
        <w:t xml:space="preserve"> </w:t>
      </w:r>
      <w:r>
        <w:t xml:space="preserve"> Co-create an ecosystem of interoperability solutions (open standards, data and</w:t>
      </w:r>
      <w:r>
        <w:t xml:space="preserve"> </w:t>
      </w:r>
      <w:r>
        <w:t xml:space="preserve">services) for the EU’s public sector, so that public administrations at all levels in the</w:t>
      </w:r>
      <w:r>
        <w:t xml:space="preserve"> </w:t>
      </w:r>
      <w:r>
        <w:t xml:space="preserve">EU and other stakeholders can contribute to and re-use such solutions, innovate</w:t>
      </w:r>
      <w:r>
        <w:t xml:space="preserve"> </w:t>
      </w:r>
      <w:r>
        <w:t xml:space="preserve">together and create public value.</w:t>
      </w:r>
      <w:r>
        <w:t xml:space="preserve"> </w:t>
      </w:r>
      <w:r>
        <w:t xml:space="preserve">1.1.</w:t>
      </w:r>
      <w:r>
        <w:t xml:space="preserve"> </w:t>
      </w:r>
      <w:r>
        <w:t xml:space="preserve">1.1.</w:t>
      </w:r>
      <w:r>
        <w:t xml:space="preserve"> </w:t>
      </w:r>
      <w:r>
        <w:t xml:space="preserve">Societal context</w:t>
      </w:r>
      <w:r>
        <w:t xml:space="preserve"> </w:t>
      </w:r>
      <w:r>
        <w:t xml:space="preserve">Member States and the European Union have been working for more than two decades5 to</w:t>
      </w:r>
      <w:r>
        <w:t xml:space="preserve"> </w:t>
      </w:r>
      <w:r>
        <w:t xml:space="preserve">support the modernisation of administrations through digital transformation and foster the</w:t>
      </w:r>
      <w:r>
        <w:t xml:space="preserve"> </w:t>
      </w:r>
      <w:r>
        <w:t xml:space="preserve">deep interconnections needed for a truly European digital space. The European Commission</w:t>
      </w:r>
      <w:r>
        <w:t xml:space="preserve"> </w:t>
      </w:r>
      <w:r>
        <w:t xml:space="preserve">in particular has had five dedicated financing programmes to support the development of</w:t>
      </w:r>
      <w:r>
        <w:t xml:space="preserve"> </w:t>
      </w:r>
      <w:r>
        <w:t xml:space="preserve">interoperability (including the ISA and ISA² programs) and will continue to develop it</w:t>
      </w:r>
      <w:r>
        <w:t xml:space="preserve"> </w:t>
      </w:r>
      <w:r>
        <w:t xml:space="preserve">through the Digital Europe Programme. A European Interoperability Framework (EIF) has</w:t>
      </w:r>
      <w:r>
        <w:t xml:space="preserve"> </w:t>
      </w:r>
      <w:r>
        <w:t xml:space="preserve">been in place for more than 15 years to support governments in building integrated public</w:t>
      </w:r>
      <w:r>
        <w:t xml:space="preserve"> </w:t>
      </w:r>
      <w:r>
        <w:t xml:space="preserve">services.</w:t>
      </w:r>
      <w:r>
        <w:t xml:space="preserve"> </w:t>
      </w:r>
      <w:r>
        <w:t xml:space="preserve">Member States have increasingly called for strengthened EU level cooperation and</w:t>
      </w:r>
      <w:r>
        <w:t xml:space="preserve"> </w:t>
      </w:r>
      <w:r>
        <w:t xml:space="preserve">coordination of interoperability relevant aspects across policies6. The COVID-19 pandemic</w:t>
      </w:r>
      <w:r>
        <w:t xml:space="preserve"> </w:t>
      </w:r>
      <w:r>
        <w:t xml:space="preserve">increased the speed of digitalisation, pushing public administrations to adapt to the online</w:t>
      </w:r>
      <w:r>
        <w:t xml:space="preserve"> </w:t>
      </w:r>
      <w:r>
        <w:t xml:space="preserve">paradigm, lockdown after lockdown7. The digital transformation of the public sector enabled</w:t>
      </w:r>
      <w:r>
        <w:t xml:space="preserve"> </w:t>
      </w:r>
      <w:r>
        <w:t xml:space="preserve">by interoperability is therefore seen as integral to the post-COVID recovery8.</w:t>
      </w:r>
      <w:r>
        <w:t xml:space="preserve"> </w:t>
      </w:r>
      <w:r>
        <w:t xml:space="preserve">While resilience is the capacity to act under stress and sovereignty is the capacity to act</w:t>
      </w:r>
      <w:r>
        <w:t xml:space="preserve"> </w:t>
      </w:r>
      <w:r>
        <w:t xml:space="preserve">independently, interoperability is an enabling factor for both of them, as the pandemic has</w:t>
      </w:r>
      <w:r>
        <w:t xml:space="preserve"> </w:t>
      </w:r>
      <w:r>
        <w:t xml:space="preserve">exposed and Member States have recognised9. Interoperability is mentioned repeatedly in the</w:t>
      </w:r>
      <w:r>
        <w:t xml:space="preserve"> </w:t>
      </w:r>
      <w:r>
        <w:t xml:space="preserve">key reform areas around digital transformation included by Member States in their plans for</w:t>
      </w:r>
      <w:r>
        <w:t xml:space="preserve"> </w:t>
      </w:r>
      <w:r>
        <w:t xml:space="preserve">the Recovery and Resilience Facility10 where an unprecedented EUR 50 billion11 are set aside</w:t>
      </w:r>
      <w:r>
        <w:t xml:space="preserve"> </w:t>
      </w:r>
      <w:r>
        <w:t xml:space="preserve">for digital transformation of the public sector.</w:t>
      </w:r>
      <w:r>
        <w:t xml:space="preserve"> </w:t>
      </w:r>
      <w:r>
        <w:t xml:space="preserve">1.2.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importance of ensuring interoperability of network and information systems supporting</w:t>
      </w:r>
      <w:r>
        <w:t xml:space="preserve"> </w:t>
      </w:r>
      <w:r>
        <w:t xml:space="preserve">digital public services and data has been mentioned and recognised by the European Council</w:t>
      </w:r>
      <w:r>
        <w:t xml:space="preserve"> </w:t>
      </w:r>
      <w:r>
        <w:t xml:space="preserve">and Member States on numerous occasions over the last few years. The Tallinn Declaration of</w:t>
      </w:r>
    </w:p>
    <w:p>
      <w:pPr>
        <w:pStyle w:val="BodyText"/>
      </w:pPr>
      <w:r>
        <w:t xml:space="preserve">5</w:t>
      </w:r>
      <w:r>
        <w:br/>
      </w:r>
      <w:r>
        <w:t xml:space="preserve">See more in Annex VI: History of interoperability policy.</w:t>
      </w:r>
      <w:r>
        <w:t xml:space="preserve"> </w:t>
      </w:r>
      <w:r>
        <w:t xml:space="preserve">6</w:t>
      </w:r>
      <w:r>
        <w:br/>
      </w:r>
      <w:r>
        <w:t xml:space="preserve">The Member States’ network of CIOs repeatedly discussed the need of an ‘EU Government</w:t>
      </w:r>
      <w:r>
        <w:t xml:space="preserve"> </w:t>
      </w:r>
      <w:r>
        <w:t xml:space="preserve">interoperability platform’ to improve coordination and support implementation of data and data</w:t>
      </w:r>
      <w:r>
        <w:t xml:space="preserve"> </w:t>
      </w:r>
      <w:r>
        <w:t xml:space="preserve">exchange related EU legislation (for instance Open Data Directive, Single Digital Gateway Regulation).</w:t>
      </w:r>
      <w:r>
        <w:t xml:space="preserve"> </w:t>
      </w:r>
      <w:r>
        <w:t xml:space="preserve">7</w:t>
      </w:r>
      <w:r>
        <w:br/>
      </w:r>
      <w:r>
        <w:t xml:space="preserve">A McKinsey survey suggests that COVID-19 has accelerated digitalisation by 7 years globally. The</w:t>
      </w:r>
      <w:r>
        <w:t xml:space="preserve"> </w:t>
      </w:r>
      <w:r>
        <w:t xml:space="preserve">European Council and the European Parliament both recognised the pivotal role of digitalisation to</w:t>
      </w:r>
      <w:r>
        <w:t xml:space="preserve"> </w:t>
      </w:r>
      <w:r>
        <w:t xml:space="preserve">relaunch and modernise the EU economy following the COVID19 crisis (see Annex VI).</w:t>
      </w:r>
      <w:r>
        <w:t xml:space="preserve"> </w:t>
      </w:r>
      <w:r>
        <w:t xml:space="preserve">8</w:t>
      </w:r>
      <w:r>
        <w:br/>
      </w:r>
      <w:r>
        <w:t xml:space="preserve">Europe’s moment: repair and prepare for the next generation (COM(2020) 456, 27 May 2020).</w:t>
      </w:r>
      <w:r>
        <w:t xml:space="preserve"> </w:t>
      </w:r>
      <w:r>
        <w:t xml:space="preserve">9</w:t>
      </w:r>
      <w:r>
        <w:br/>
      </w:r>
      <w:r>
        <w:t xml:space="preserve">See the ‘Berlin Declaration’ signed by ministers of government digitalisation in December 2020.</w:t>
      </w:r>
      <w:r>
        <w:t xml:space="preserve"> </w:t>
      </w:r>
      <w:r>
        <w:t xml:space="preserve">10</w:t>
      </w:r>
      <w:r>
        <w:br/>
      </w:r>
      <w:r>
        <w:t xml:space="preserve">Regulation (EU) 2021/241 - ‘Recovery and Resilience Facility’.</w:t>
      </w:r>
      <w:r>
        <w:t xml:space="preserve"> </w:t>
      </w:r>
      <w:r>
        <w:t xml:space="preserve">11</w:t>
      </w:r>
      <w:r>
        <w:br/>
      </w:r>
      <w:r>
        <w:t xml:space="preserve">Calculations based on the Recovery and Resilience Plans as approved on 1 December 2021 on the basis</w:t>
      </w:r>
      <w:r>
        <w:t xml:space="preserve"> </w:t>
      </w:r>
      <w:r>
        <w:t xml:space="preserve">of the methodology for digital tagging set out in Annex IV of the RRF, which includes specific fields</w:t>
      </w:r>
      <w:r>
        <w:t xml:space="preserve"> </w:t>
      </w:r>
      <w:r>
        <w:t xml:space="preserve">for e-government, digital public services and local digital ecosystems. These are temporary and without</w:t>
      </w:r>
      <w:r>
        <w:t xml:space="preserve"> </w:t>
      </w:r>
      <w:r>
        <w:t xml:space="preserve">prejudice to the final figures that will only be available once the 27 plans have been adopted.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6 October 2017 on eGovernment12, the conclusions of the European Council conclusions of 9</w:t>
      </w:r>
      <w:r>
        <w:t xml:space="preserve"> </w:t>
      </w:r>
      <w:r>
        <w:t xml:space="preserve">June 2020 on ‘Shaping Europe’s digital future’13, or of October 202114 or the 2020 Berlin</w:t>
      </w:r>
      <w:r>
        <w:t xml:space="preserve"> </w:t>
      </w:r>
      <w:r>
        <w:t xml:space="preserve">Declaration on ‘Digital Society and Value-Based Digital Government’15 all point to the need</w:t>
      </w:r>
      <w:r>
        <w:t xml:space="preserve"> </w:t>
      </w:r>
      <w:r>
        <w:t xml:space="preserve">to ensure interoperability to support the exchange of data, ensure digital sovereignty, and</w:t>
      </w:r>
      <w:r>
        <w:t xml:space="preserve"> </w:t>
      </w:r>
      <w:r>
        <w:t xml:space="preserve">strengthen resilience of the public sector.</w:t>
      </w:r>
      <w:r>
        <w:t xml:space="preserve"> </w:t>
      </w:r>
      <w:r>
        <w:t xml:space="preserve">Strengthening the interoperability of public services in Europe is part of the work on the</w:t>
      </w:r>
      <w:r>
        <w:t xml:space="preserve"> </w:t>
      </w:r>
      <w:r>
        <w:t xml:space="preserve">Commission’s priority to create ‘A Europe fit for the digital age’.</w:t>
      </w:r>
      <w:r>
        <w:t xml:space="preserve"> </w:t>
      </w:r>
      <w:r>
        <w:t xml:space="preserve">It is one of the initiatives announced in the 2020 digital strategy ‘Shaping Europe’s Digital</w:t>
      </w:r>
      <w:r>
        <w:t xml:space="preserve"> </w:t>
      </w:r>
      <w:r>
        <w:t xml:space="preserve">Future’16, where the Commission promises to present a reinforced interoperability strategy ‘to</w:t>
      </w:r>
      <w:r>
        <w:t xml:space="preserve"> </w:t>
      </w:r>
      <w:r>
        <w:t xml:space="preserve">ensure coordination and common standards for secure and borderless public sector data</w:t>
      </w:r>
      <w:r>
        <w:t xml:space="preserve"> </w:t>
      </w:r>
      <w:r>
        <w:t xml:space="preserve">flows and services’. At the same time, in the connected European Data Strategy17, one of the</w:t>
      </w:r>
      <w:r>
        <w:t xml:space="preserve"> </w:t>
      </w:r>
      <w:r>
        <w:t xml:space="preserve">actions identified is ‘(as regards public services) a strengthened European Interoperability</w:t>
      </w:r>
      <w:r>
        <w:t xml:space="preserve"> </w:t>
      </w:r>
      <w:r>
        <w:t xml:space="preserve">Framework’.</w:t>
      </w:r>
      <w:r>
        <w:t xml:space="preserve"> </w:t>
      </w:r>
      <w:r>
        <w:t xml:space="preserve">The Commission, in its Communication ‘2030 Digital Compass: the European way for the</w:t>
      </w:r>
      <w:r>
        <w:t xml:space="preserve"> </w:t>
      </w:r>
      <w:r>
        <w:t xml:space="preserve">Digital Decade’ (9 March 2021)18 pointed out the need to establish a strengthened EU</w:t>
      </w:r>
      <w:r>
        <w:t xml:space="preserve"> </w:t>
      </w:r>
      <w:r>
        <w:t xml:space="preserve">interoperability policy to support the digitalisation of public services which is one of the four</w:t>
      </w:r>
      <w:r>
        <w:t xml:space="preserve"> </w:t>
      </w:r>
      <w:r>
        <w:t xml:space="preserve">cardinal points of the Digital Compass. Consequently, the Commission included the initiative</w:t>
      </w:r>
      <w:r>
        <w:t xml:space="preserve"> </w:t>
      </w:r>
      <w:r>
        <w:t xml:space="preserve">in its 2022 work programme, aiming to present a legislative proposal by Q2 2022 (see</w:t>
      </w:r>
      <w:r>
        <w:t xml:space="preserve"> </w:t>
      </w:r>
      <w:r>
        <w:t xml:space="preserve">REFIT annex)19.</w:t>
      </w:r>
      <w:r>
        <w:t xml:space="preserve"> </w:t>
      </w:r>
      <w:r>
        <w:t xml:space="preserve">The European Council20 and the European Parliament21 both recognised the pivotal role of</w:t>
      </w:r>
      <w:r>
        <w:t xml:space="preserve"> </w:t>
      </w:r>
      <w:r>
        <w:t xml:space="preserve">digitalisation in helping to relaunch and modernise the EU economy following the COVID-19</w:t>
      </w:r>
      <w:r>
        <w:t xml:space="preserve"> </w:t>
      </w:r>
      <w:r>
        <w:t xml:space="preserve">crisis. Interoperability is key to the digitalisation of public sector.</w:t>
      </w:r>
      <w:r>
        <w:t xml:space="preserve"> </w:t>
      </w:r>
      <w:r>
        <w:t xml:space="preserve">In October 2021, the expert group on Interoperability of European public services22, which</w:t>
      </w:r>
      <w:r>
        <w:t xml:space="preserve"> </w:t>
      </w:r>
      <w:r>
        <w:t xml:space="preserve">consists of representatives of digital transformation leaders in the Member States’ national</w:t>
      </w:r>
      <w:r>
        <w:t xml:space="preserve"> </w:t>
      </w:r>
      <w:r>
        <w:t xml:space="preserve">administrations, unanimously endorsed the recommendations for the next interoperability</w:t>
      </w:r>
      <w:r>
        <w:t xml:space="preserve"> </w:t>
      </w:r>
      <w:r>
        <w:t xml:space="preserve">policy (see Annex V) and called on the Commission to take concrete actions through:</w:t>
      </w:r>
      <w:r>
        <w:t xml:space="preserve"> </w:t>
      </w:r>
      <w:r>
        <w:t xml:space="preserve">-</w:t>
      </w:r>
      <w:r>
        <w:t xml:space="preserve"> </w:t>
      </w:r>
      <w:r>
        <w:t xml:space="preserve">A reinforced shared governance of EU interoperability (Member States /</w:t>
      </w:r>
      <w:r>
        <w:t xml:space="preserve"> </w:t>
      </w:r>
      <w:r>
        <w:t xml:space="preserve">Commission);</w:t>
      </w:r>
      <w:r>
        <w:t xml:space="preserve"> </w:t>
      </w:r>
      <w:r>
        <w:t xml:space="preserve">-</w:t>
      </w:r>
      <w:r>
        <w:t xml:space="preserve"> </w:t>
      </w:r>
      <w:r>
        <w:t xml:space="preserve">Interoperability and digital-ready by-default rules to improve EU policymaking;</w:t>
      </w:r>
      <w:r>
        <w:t xml:space="preserve"> </w:t>
      </w:r>
      <w:r>
        <w:t xml:space="preserve">-</w:t>
      </w:r>
      <w:r>
        <w:t xml:space="preserve"> </w:t>
      </w:r>
      <w:r>
        <w:t xml:space="preserve">A better offering of interoperability ‘products’ for reuse by public administration.</w:t>
      </w:r>
    </w:p>
    <w:p>
      <w:pPr>
        <w:pStyle w:val="BodyText"/>
      </w:pPr>
      <w:r>
        <w:t xml:space="preserve">12</w:t>
      </w:r>
      <w:r>
        <w:br/>
      </w:r>
      <w:r>
        <w:t xml:space="preserve">Tallinn Declaration on eGovernment at the ministerial meeting during Estonian Presidency of the</w:t>
      </w:r>
      <w:r>
        <w:t xml:space="preserve"> </w:t>
      </w:r>
      <w:r>
        <w:t xml:space="preserve">Council of the EU - 6 October 2017.</w:t>
      </w:r>
      <w:r>
        <w:t xml:space="preserve"> </w:t>
      </w:r>
      <w:r>
        <w:t xml:space="preserve">13</w:t>
      </w:r>
      <w:r>
        <w:br/>
      </w:r>
      <w:r>
        <w:t xml:space="preserve">Council conclusions on shaping Europe’s digital future - 9 June 2020.</w:t>
      </w:r>
      <w:r>
        <w:t xml:space="preserve"> </w:t>
      </w:r>
      <w:r>
        <w:t xml:space="preserve">14</w:t>
      </w:r>
      <w:r>
        <w:br/>
      </w:r>
      <w:r>
        <w:t xml:space="preserve">European Council conclusions of October 2021.</w:t>
      </w:r>
      <w:r>
        <w:t xml:space="preserve"> </w:t>
      </w:r>
      <w:r>
        <w:t xml:space="preserve">15</w:t>
      </w:r>
      <w:r>
        <w:br/>
      </w:r>
      <w:r>
        <w:t xml:space="preserve">Ministerial Declaration ‘Digital Society and Value-Based Digital Government’ Berlin 2020.</w:t>
      </w:r>
      <w:r>
        <w:t xml:space="preserve"> </w:t>
      </w:r>
      <w:r>
        <w:t xml:space="preserve">16</w:t>
      </w:r>
      <w:r>
        <w:br/>
      </w:r>
      <w:r>
        <w:t xml:space="preserve">Shaping’s Europe Digital Future - COM(2020)67 February 2020.</w:t>
      </w:r>
      <w:r>
        <w:t xml:space="preserve"> </w:t>
      </w:r>
      <w:r>
        <w:t xml:space="preserve">17</w:t>
      </w:r>
      <w:r>
        <w:br/>
      </w:r>
      <w:r>
        <w:t xml:space="preserve">European Data Strategy - COM(2020)66 final.</w:t>
      </w:r>
      <w:r>
        <w:t xml:space="preserve"> </w:t>
      </w:r>
      <w:r>
        <w:t xml:space="preserve">18</w:t>
      </w:r>
      <w:r>
        <w:br/>
      </w:r>
      <w:r>
        <w:t xml:space="preserve">Digital Decade. The point is also mentioned in the related proposed Decision establishing the 2030</w:t>
      </w:r>
      <w:r>
        <w:t xml:space="preserve"> </w:t>
      </w:r>
      <w:r>
        <w:t xml:space="preserve">Policy Programme ‘Path to the Digital Decade’, COM/2021/574 final.</w:t>
      </w:r>
      <w:r>
        <w:t xml:space="preserve"> </w:t>
      </w:r>
      <w:r>
        <w:t xml:space="preserve">19</w:t>
      </w:r>
      <w:r>
        <w:br/>
      </w:r>
      <w:r>
        <w:t xml:space="preserve">COM(2021) 645 page 7.</w:t>
      </w:r>
      <w:r>
        <w:t xml:space="preserve"> </w:t>
      </w:r>
      <w:r>
        <w:t xml:space="preserve">20</w:t>
      </w:r>
      <w:r>
        <w:br/>
      </w:r>
      <w:r>
        <w:t xml:space="preserve">A roadmap for recovery – towards a more resilient, sustainable and fair Europe, endorsed on</w:t>
      </w:r>
      <w:r>
        <w:t xml:space="preserve"> </w:t>
      </w:r>
      <w:r>
        <w:t xml:space="preserve">23 April 2020.</w:t>
      </w:r>
      <w:r>
        <w:t xml:space="preserve"> </w:t>
      </w:r>
      <w:r>
        <w:t xml:space="preserve">21</w:t>
      </w:r>
      <w:r>
        <w:br/>
      </w:r>
      <w:r>
        <w:t xml:space="preserve">Resolution of 17 April 2020 on EU coordinated action to combat the COVID-19 pandemic and its</w:t>
      </w:r>
      <w:r>
        <w:t xml:space="preserve"> </w:t>
      </w:r>
      <w:r>
        <w:t xml:space="preserve">consequences.</w:t>
      </w:r>
      <w:r>
        <w:t xml:space="preserve"> </w:t>
      </w:r>
      <w:r>
        <w:t xml:space="preserve">22</w:t>
      </w:r>
      <w:r>
        <w:br/>
      </w:r>
      <w:r>
        <w:t xml:space="preserve">Registry of expert groups - Interoperability of European public services.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1.3.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Although interoperability has been explicitly mentioned as a precondition for numerous EU</w:t>
      </w:r>
      <w:r>
        <w:t xml:space="preserve"> </w:t>
      </w:r>
      <w:r>
        <w:t xml:space="preserve">policies23, the topic has not been addressed by binding overarching EU policy provisions.</w:t>
      </w:r>
      <w:r>
        <w:t xml:space="preserve"> </w:t>
      </w:r>
      <w:r>
        <w:t xml:space="preserve">Past EU interoperability programmes helped find a common understanding on interoperability</w:t>
      </w:r>
      <w:r>
        <w:t xml:space="preserve"> </w:t>
      </w:r>
      <w:r>
        <w:t xml:space="preserve">and to build and test solutions in cooperation with Member States that are today part of many</w:t>
      </w:r>
      <w:r>
        <w:t xml:space="preserve"> </w:t>
      </w:r>
      <w:r>
        <w:t xml:space="preserve">EU policies, for example INSPIRE (Directive 2007/2/EC)24 and eIDAS (Regulation (EU) No</w:t>
      </w:r>
      <w:r>
        <w:t xml:space="preserve"> </w:t>
      </w:r>
      <w:r>
        <w:t xml:space="preserve">910/2014)25.</w:t>
      </w:r>
      <w:r>
        <w:t xml:space="preserve"> </w:t>
      </w:r>
      <w:r>
        <w:t xml:space="preserve">The non-binding European Interoperability Framework has been part of the EU</w:t>
      </w:r>
      <w:r>
        <w:t xml:space="preserve"> </w:t>
      </w:r>
      <w:r>
        <w:t xml:space="preserve">interoperability policy since 2010 and has been revised last in a communication issued in</w:t>
      </w:r>
      <w:r>
        <w:t xml:space="preserve"> </w:t>
      </w:r>
      <w:r>
        <w:t xml:space="preserve">2017 (COM/2017/134). The EIF encompasses a set of principles, models and</w:t>
      </w:r>
      <w:r>
        <w:t xml:space="preserve"> </w:t>
      </w:r>
      <w:r>
        <w:t xml:space="preserve">recommendations aimed at guiding the EU public administrations, as well as all levels of</w:t>
      </w:r>
      <w:r>
        <w:t xml:space="preserve"> </w:t>
      </w:r>
      <w:r>
        <w:t xml:space="preserve">administration, in the design and provision of key digital and interoperable public services.</w:t>
      </w:r>
      <w:r>
        <w:t xml:space="preserve"> </w:t>
      </w:r>
      <w:r>
        <w:t xml:space="preserve">The implementation of the EIF has been supported by different funding instruments, like the</w:t>
      </w:r>
      <w:r>
        <w:t xml:space="preserve"> </w:t>
      </w:r>
      <w:r>
        <w:t xml:space="preserve">ISA² programme and, more recently, by the Digital Europe Programme.</w:t>
      </w:r>
      <w:r>
        <w:t xml:space="preserve"> </w:t>
      </w:r>
      <w:r>
        <w:t xml:space="preserve">However, the recent evaluations of the ISA² programme and the EIF show that the goal of</w:t>
      </w:r>
      <w:r>
        <w:t xml:space="preserve"> </w:t>
      </w:r>
      <w:r>
        <w:t xml:space="preserve">having ‘interoperable European digital services’ is still far from being achieved and the</w:t>
      </w:r>
      <w:r>
        <w:t xml:space="preserve"> </w:t>
      </w:r>
      <w:r>
        <w:t xml:space="preserve">informal approach to collaboration is not enough to allow Member States to deliver on the</w:t>
      </w:r>
      <w:r>
        <w:t xml:space="preserve"> </w:t>
      </w:r>
      <w:r>
        <w:t xml:space="preserve">high level of ambition for digital public services set out in the Digital Decade communication</w:t>
      </w:r>
      <w:r>
        <w:t xml:space="preserve"> </w:t>
      </w:r>
      <w:r>
        <w:t xml:space="preserve">and expected by citizens.</w:t>
      </w:r>
      <w:r>
        <w:t xml:space="preserve"> </w:t>
      </w:r>
      <w:r>
        <w:t xml:space="preserve">Furthermore, recent initiatives further demonstrate that a coherent approach towards</w:t>
      </w:r>
      <w:r>
        <w:t xml:space="preserve"> </w:t>
      </w:r>
      <w:r>
        <w:t xml:space="preserve">interoperability is key to most EU policies but especially relevant for the successful</w:t>
      </w:r>
      <w:r>
        <w:t xml:space="preserve"> </w:t>
      </w:r>
      <w:r>
        <w:t xml:space="preserve">implementation of EU digital policies26 and funding programmes:</w:t>
      </w:r>
      <w:r>
        <w:t xml:space="preserve"> </w:t>
      </w:r>
      <w:r>
        <w:t xml:space="preserve"> 2018 – the Single Digital Gateway27 and the once-only principle; Regulation on the</w:t>
      </w:r>
      <w:r>
        <w:t xml:space="preserve"> </w:t>
      </w:r>
      <w:r>
        <w:t xml:space="preserve">free flow of non-personal data (FFD)28 ;</w:t>
      </w:r>
      <w:r>
        <w:t xml:space="preserve"> </w:t>
      </w:r>
      <w:r>
        <w:t xml:space="preserve"> 2019 – the EU Cybersecurity Act29 and the Open Data Directive30;</w:t>
      </w:r>
      <w:r>
        <w:t xml:space="preserve"> </w:t>
      </w:r>
      <w:r>
        <w:t xml:space="preserve"> 2020 – Digital Services Act31 and the Data Governance Act32;</w:t>
      </w:r>
      <w:r>
        <w:t xml:space="preserve"> </w:t>
      </w:r>
      <w:r>
        <w:t xml:space="preserve"> 2021 – proposals for a framework for a European Digital Identity33; the EU Digital</w:t>
      </w:r>
      <w:r>
        <w:t xml:space="preserve"> </w:t>
      </w:r>
      <w:r>
        <w:t xml:space="preserve">COVID Certificate Regulation34; a Regulation laying down harmonised AI rules35;</w:t>
      </w:r>
      <w:r>
        <w:br/>
      </w:r>
      <w:r>
        <w:t xml:space="preserve"> 2021 – Proposal for a Regulation (Data act); Proposal for the 2030 Policy Programme</w:t>
      </w:r>
      <w:r>
        <w:t xml:space="preserve"> </w:t>
      </w:r>
      <w:r>
        <w:t xml:space="preserve">‘Path to the Digital Decade’36; and,</w:t>
      </w:r>
      <w:r>
        <w:t xml:space="preserve"> </w:t>
      </w:r>
      <w:r>
        <w:t xml:space="preserve"> Funding programmes: Digital Europe Programme, Recovery and Resilience Facility,</w:t>
      </w:r>
      <w:r>
        <w:t xml:space="preserve"> </w:t>
      </w:r>
      <w:r>
        <w:t xml:space="preserve">Horizon Europe, Technical Support Instrument and other instruments (regional</w:t>
      </w:r>
      <w:r>
        <w:t xml:space="preserve"> </w:t>
      </w:r>
      <w:r>
        <w:t xml:space="preserve">development, agriculture, etc.).</w:t>
      </w:r>
    </w:p>
    <w:p>
      <w:pPr>
        <w:pStyle w:val="BodyText"/>
      </w:pPr>
      <w:r>
        <w:t xml:space="preserve">23</w:t>
      </w:r>
      <w:r>
        <w:br/>
      </w:r>
      <w:r>
        <w:t xml:space="preserve">See pp. 139-140, CEPS (2021), Study supporting the evaluation of the implementation of the EIF.</w:t>
      </w:r>
      <w:r>
        <w:t xml:space="preserve"> </w:t>
      </w:r>
      <w:r>
        <w:t xml:space="preserve">24</w:t>
      </w:r>
      <w:r>
        <w:br/>
      </w:r>
      <w:r>
        <w:t xml:space="preserve">ISA² action: Improving cross-border exchange location information, more examples can be found in the</w:t>
      </w:r>
      <w:r>
        <w:t xml:space="preserve"> </w:t>
      </w:r>
      <w:r>
        <w:t xml:space="preserve">ISA² programme evaluation, COM(2021)965.</w:t>
      </w:r>
      <w:r>
        <w:t xml:space="preserve"> </w:t>
      </w:r>
      <w:r>
        <w:t xml:space="preserve">25</w:t>
      </w:r>
      <w:r>
        <w:br/>
      </w:r>
      <w:r>
        <w:t xml:space="preserve">Final Sustainability Action Plan.</w:t>
      </w:r>
      <w:r>
        <w:t xml:space="preserve"> </w:t>
      </w:r>
      <w:r>
        <w:t xml:space="preserve">26</w:t>
      </w:r>
      <w:r>
        <w:br/>
      </w:r>
      <w:r>
        <w:t xml:space="preserve">It is also relevant for ‘older’ policies like the Web-accessibility Directive, Directive (EU) 2016/2102,</w:t>
      </w:r>
      <w:r>
        <w:t xml:space="preserve"> </w:t>
      </w:r>
      <w:r>
        <w:t xml:space="preserve">and GDPR (Regulation (EU) 2016/679) that set requirements (also) for public sector IT infrastructures.</w:t>
      </w:r>
      <w:r>
        <w:t xml:space="preserve"> </w:t>
      </w:r>
      <w:r>
        <w:t xml:space="preserve">27</w:t>
      </w:r>
      <w:r>
        <w:br/>
      </w:r>
      <w:r>
        <w:t xml:space="preserve">Regulation (EU) 2018/1724.</w:t>
      </w:r>
      <w:r>
        <w:t xml:space="preserve"> </w:t>
      </w:r>
      <w:r>
        <w:t xml:space="preserve">28</w:t>
      </w:r>
      <w:r>
        <w:br/>
      </w:r>
      <w:r>
        <w:t xml:space="preserve">Regulation (EU) 2018/1807.</w:t>
      </w:r>
      <w:r>
        <w:t xml:space="preserve"> </w:t>
      </w:r>
      <w:r>
        <w:t xml:space="preserve">29</w:t>
      </w:r>
      <w:r>
        <w:br/>
      </w:r>
      <w:r>
        <w:t xml:space="preserve">Regulation (EU) 2019/881.</w:t>
      </w:r>
      <w:r>
        <w:t xml:space="preserve"> </w:t>
      </w:r>
      <w:r>
        <w:t xml:space="preserve">30</w:t>
      </w:r>
      <w:r>
        <w:br/>
      </w:r>
      <w:r>
        <w:t xml:space="preserve">Directive (EU) 2019/1024.</w:t>
      </w:r>
      <w:r>
        <w:t xml:space="preserve"> </w:t>
      </w:r>
      <w:r>
        <w:t xml:space="preserve">31</w:t>
      </w:r>
      <w:r>
        <w:br/>
      </w:r>
      <w:r>
        <w:t xml:space="preserve">Proposal for a Regulation - ‘Digital Services Act’.</w:t>
      </w:r>
      <w:r>
        <w:t xml:space="preserve"> </w:t>
      </w:r>
      <w:r>
        <w:t xml:space="preserve">32</w:t>
      </w:r>
      <w:r>
        <w:br/>
      </w:r>
      <w:r>
        <w:t xml:space="preserve">Proposal for a Regulation - Data Governance Act, COM/2020/767 final.</w:t>
      </w:r>
      <w:r>
        <w:t xml:space="preserve"> </w:t>
      </w:r>
      <w:r>
        <w:t xml:space="preserve">33</w:t>
      </w:r>
      <w:r>
        <w:br/>
      </w:r>
      <w:r>
        <w:t xml:space="preserve">Proposal for a Regulation - European Digital Identity, COM/2021/281 final.</w:t>
      </w:r>
      <w:r>
        <w:t xml:space="preserve"> </w:t>
      </w:r>
      <w:r>
        <w:t xml:space="preserve">34</w:t>
      </w:r>
      <w:r>
        <w:br/>
      </w:r>
      <w:r>
        <w:t xml:space="preserve">Regulation (EU) 2021/953.</w:t>
      </w:r>
      <w:r>
        <w:t xml:space="preserve"> </w:t>
      </w:r>
      <w:r>
        <w:t xml:space="preserve">35</w:t>
      </w:r>
      <w:r>
        <w:br/>
      </w:r>
      <w:r>
        <w:t xml:space="preserve">Proposal for a Regulation - Artificial Intelligence Act COM/2021/206 final.</w:t>
      </w:r>
      <w:r>
        <w:t xml:space="preserve"> </w:t>
      </w:r>
      <w:r>
        <w:t xml:space="preserve">36</w:t>
      </w:r>
      <w:r>
        <w:br/>
      </w:r>
      <w:r>
        <w:t xml:space="preserve">COM(2021) 574 final. European public services targets: 100% online key public services; 100% access</w:t>
      </w:r>
      <w:r>
        <w:t xml:space="preserve"> </w:t>
      </w:r>
      <w:r>
        <w:t xml:space="preserve">to electronic health records for citizens, at least 80% of citizens use a digital identification (ID) solution.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Most of the current EU legislation with an impact on digital transformation, ranging from</w:t>
      </w:r>
      <w:r>
        <w:t xml:space="preserve"> </w:t>
      </w:r>
      <w:r>
        <w:t xml:space="preserve">legislation around data, digital identity, to sectorial proposals like for the digitalisation of</w:t>
      </w:r>
      <w:r>
        <w:t xml:space="preserve"> </w:t>
      </w:r>
      <w:r>
        <w:t xml:space="preserve">cross-border justice systems have included measures on interoperability. Some have referred</w:t>
      </w:r>
      <w:r>
        <w:t xml:space="preserve"> </w:t>
      </w:r>
      <w:r>
        <w:t xml:space="preserve">to the EIF but not all. When it comes to the implementation of these policy proposals by the</w:t>
      </w:r>
      <w:r>
        <w:t xml:space="preserve"> </w:t>
      </w:r>
      <w:r>
        <w:t xml:space="preserve">EU public sector there is often a lack of coordination across sectors.</w:t>
      </w:r>
      <w:r>
        <w:t xml:space="preserve"> </w:t>
      </w:r>
      <w:r>
        <w:t xml:space="preserve">The proposed Interoperable Europe Act is designed to facilitate the interoperable</w:t>
      </w:r>
      <w:r>
        <w:t xml:space="preserve"> </w:t>
      </w:r>
      <w:r>
        <w:t xml:space="preserve">implementation of those policies and programmes, to enable their coherent implementation as</w:t>
      </w:r>
      <w:r>
        <w:t xml:space="preserve"> </w:t>
      </w:r>
      <w:r>
        <w:t xml:space="preserve">well as that of future initiatives by setting up a persistent structured cooperation around public</w:t>
      </w:r>
      <w:r>
        <w:t xml:space="preserve"> </w:t>
      </w:r>
      <w:r>
        <w:t xml:space="preserve">sector interoperability. Due to the cross-cutting nature of interoperability, this proposal also</w:t>
      </w:r>
      <w:r>
        <w:t xml:space="preserve"> </w:t>
      </w:r>
      <w:r>
        <w:t xml:space="preserve">aims to facilitate the digital implementation of European policies both across borders and</w:t>
      </w:r>
      <w:r>
        <w:t xml:space="preserve"> </w:t>
      </w:r>
      <w:r>
        <w:t xml:space="preserve">across sectors. The aim is to foster the take-up of interoperable solutions in future policy</w:t>
      </w:r>
      <w:r>
        <w:t xml:space="preserve"> </w:t>
      </w:r>
      <w:r>
        <w:t xml:space="preserve">developments, and equally enhance consistency with not only the proposed policy, but also</w:t>
      </w:r>
      <w:r>
        <w:t xml:space="preserve"> </w:t>
      </w:r>
      <w:r>
        <w:t xml:space="preserve">consistency among policies and specifically their general digital implementation.</w:t>
      </w:r>
      <w:r>
        <w:t xml:space="preserve"> </w:t>
      </w:r>
      <w:r>
        <w:t xml:space="preserve">In this context, we are assessing the impacts of different policy options for the EU public</w:t>
      </w:r>
      <w:r>
        <w:t xml:space="preserve"> </w:t>
      </w:r>
      <w:r>
        <w:t xml:space="preserve">sectors interoperability policy. This assessment includes the results of the evaluations of the</w:t>
      </w:r>
      <w:r>
        <w:t xml:space="preserve"> </w:t>
      </w:r>
      <w:r>
        <w:t xml:space="preserve">implementation of the European Interoperability Framework (EIF - COM(2017) 134)37 and of</w:t>
      </w:r>
      <w:r>
        <w:t xml:space="preserve"> </w:t>
      </w:r>
      <w:r>
        <w:t xml:space="preserve">the ISA² funding programme (2016-2020), which supported the EIF implementation</w:t>
      </w:r>
      <w:r>
        <w:t xml:space="preserve"> </w:t>
      </w:r>
      <w:r>
        <w:t xml:space="preserve">measures.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evaluations of the current interoperability policy – the EIF - and its main implementation</w:t>
      </w:r>
      <w:r>
        <w:t xml:space="preserve"> </w:t>
      </w:r>
      <w:r>
        <w:t xml:space="preserve">mechanism - the ISA² programme – show that Member States have issued digital strategies</w:t>
      </w:r>
      <w:r>
        <w:t xml:space="preserve"> </w:t>
      </w:r>
      <w:r>
        <w:t xml:space="preserve">and laws that are to a high degree aligned with the EIF. A number of solutions supporting</w:t>
      </w:r>
      <w:r>
        <w:t xml:space="preserve"> </w:t>
      </w:r>
      <w:r>
        <w:t xml:space="preserve">interoperability at EU level have been put in place with their support.</w:t>
      </w:r>
      <w:r>
        <w:t xml:space="preserve"> </w:t>
      </w:r>
      <w:r>
        <w:t xml:space="preserve">However, the results of the evaluations show clearly that the EIF, as a communication</w:t>
      </w:r>
      <w:r>
        <w:t xml:space="preserve"> </w:t>
      </w:r>
      <w:r>
        <w:t xml:space="preserve">therefore not binding, has only supported voluntary implementation of interoperability. This</w:t>
      </w:r>
      <w:r>
        <w:t xml:space="preserve"> </w:t>
      </w:r>
      <w:r>
        <w:t xml:space="preserve">is not sufficient to help remove cross-border and cross-sector barriers for the EU public</w:t>
      </w:r>
      <w:r>
        <w:t xml:space="preserve"> </w:t>
      </w:r>
      <w:r>
        <w:t xml:space="preserve">sector and has led to persistent limited interoperability of public services in Europe.</w:t>
      </w:r>
      <w:r>
        <w:t xml:space="preserve"> </w:t>
      </w:r>
      <w:r>
        <w:t xml:space="preserve">This problem is affected by the three following drivers:</w:t>
      </w:r>
      <w:r>
        <w:t xml:space="preserve"> </w:t>
      </w:r>
      <w:r>
        <w:t xml:space="preserve"> Inefficient governance of interoperability efforts between EU policies, the</w:t>
      </w:r>
      <w:r>
        <w:t xml:space="preserve"> </w:t>
      </w:r>
      <w:r>
        <w:t xml:space="preserve">European Commission and Member States for all administrative levels (national,</w:t>
      </w:r>
      <w:r>
        <w:t xml:space="preserve"> </w:t>
      </w:r>
      <w:r>
        <w:t xml:space="preserve">regional, local) and sectors.</w:t>
      </w:r>
      <w:r>
        <w:t xml:space="preserve"> </w:t>
      </w:r>
      <w:r>
        <w:t xml:space="preserve"> Lack of common minimum interoperability specifications, shared solutions,</w:t>
      </w:r>
      <w:r>
        <w:t xml:space="preserve"> </w:t>
      </w:r>
      <w:r>
        <w:t xml:space="preserve">standards</w:t>
      </w:r>
      <w:r>
        <w:t xml:space="preserve"> </w:t>
      </w:r>
      <w:r>
        <w:t xml:space="preserve"> Lack of an ‘interoperability by default’ approach in the design and implementation</w:t>
      </w:r>
      <w:r>
        <w:t xml:space="preserve"> </w:t>
      </w:r>
      <w:r>
        <w:t xml:space="preserve">of EU policies</w:t>
      </w:r>
      <w:r>
        <w:t xml:space="preserve"> </w:t>
      </w:r>
      <w:r>
        <w:t xml:space="preserve">Both the problem and problem drivers show that the current policy approach, based solely on</w:t>
      </w:r>
      <w:r>
        <w:t xml:space="preserve"> </w:t>
      </w:r>
      <w:r>
        <w:t xml:space="preserve">voluntary measures at Member States level and no coordination at EU level, is not fit for</w:t>
      </w:r>
      <w:r>
        <w:t xml:space="preserve"> </w:t>
      </w:r>
      <w:r>
        <w:t xml:space="preserve">purpose. They increase costs and reduce efficiencies at all levels of public administrations in</w:t>
      </w:r>
      <w:r>
        <w:t xml:space="preserve"> </w:t>
      </w:r>
      <w:r>
        <w:t xml:space="preserve">the European Union38, add administrative burdens on citizens, businesses and administrations</w:t>
      </w:r>
      <w:r>
        <w:t xml:space="preserve"> </w:t>
      </w:r>
      <w:r>
        <w:t xml:space="preserve">themselves, delay the implementation of European policies by the Member States and the</w:t>
      </w:r>
      <w:r>
        <w:t xml:space="preserve"> </w:t>
      </w:r>
      <w:r>
        <w:t xml:space="preserve">accomplishment of the Digital Single Market, limit the potential to innovate and hinder the</w:t>
      </w:r>
      <w:r>
        <w:t xml:space="preserve"> </w:t>
      </w:r>
      <w:r>
        <w:t xml:space="preserve">EU’s digital sovereignty.</w:t>
      </w:r>
    </w:p>
    <w:p>
      <w:pPr>
        <w:pStyle w:val="BodyText"/>
      </w:pPr>
      <w:r>
        <w:t xml:space="preserve">37</w:t>
      </w:r>
      <w:r>
        <w:br/>
      </w:r>
      <w:r>
        <w:t xml:space="preserve">The results of the EIF evaluation are presented in SWD(2022)720 final.</w:t>
      </w:r>
      <w:r>
        <w:t xml:space="preserve"> </w:t>
      </w:r>
      <w:r>
        <w:t xml:space="preserve">38</w:t>
      </w:r>
      <w:r>
        <w:br/>
      </w:r>
      <w:r>
        <w:t xml:space="preserve">See Table 2. Summary of the key findings for time and cost savings estimationsTable 2. Summary</w:t>
      </w:r>
      <w:r>
        <w:t xml:space="preserve"> </w:t>
      </w:r>
      <w:r>
        <w:t xml:space="preserve">of the key findings for time and cost savings estimations.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above problem, along with its causes and consequences, is summed up in the problem</w:t>
      </w:r>
      <w:r>
        <w:t xml:space="preserve"> </w:t>
      </w:r>
      <w:r>
        <w:t xml:space="preserve">tree (Figure 1), which shows the issues faced when implementing interoperability of</w:t>
      </w:r>
      <w:r>
        <w:t xml:space="preserve"> </w:t>
      </w:r>
      <w:r>
        <w:t xml:space="preserve">European public services in the current policy context.</w:t>
      </w:r>
      <w:r>
        <w:t xml:space="preserve"> </w:t>
      </w:r>
      <w:r>
        <w:t xml:space="preserve">Figure 1. Problem tree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is the problem</w:t>
      </w:r>
      <w:r>
        <w:t xml:space="preserve"> </w:t>
      </w:r>
      <w:r>
        <w:t xml:space="preserve">The main problem this initiative aims to tackle is the limited interoperability of network</w:t>
      </w:r>
      <w:r>
        <w:t xml:space="preserve"> </w:t>
      </w:r>
      <w:r>
        <w:t xml:space="preserve">and information systems supporting digital public services in the EU.</w:t>
      </w:r>
      <w:r>
        <w:t xml:space="preserve"> </w:t>
      </w:r>
      <w:r>
        <w:t xml:space="preserve">Interoperability is defined as ‘the ability of organisations to interact towards mutually</w:t>
      </w:r>
      <w:r>
        <w:t xml:space="preserve"> </w:t>
      </w:r>
      <w:r>
        <w:t xml:space="preserve">beneficial goals, involving the sharing of information and knowledge between these</w:t>
      </w:r>
      <w:r>
        <w:t xml:space="preserve"> </w:t>
      </w:r>
      <w:r>
        <w:t xml:space="preserve">organisations, through the business processes they support, by means of the exchange of data</w:t>
      </w:r>
      <w:r>
        <w:t xml:space="preserve"> </w:t>
      </w:r>
      <w:r>
        <w:t xml:space="preserve">between their ICT systems’. Interoperability is crucial in the implementation of digital</w:t>
      </w:r>
      <w:r>
        <w:t xml:space="preserve"> </w:t>
      </w:r>
      <w:r>
        <w:t xml:space="preserve">government policies.</w:t>
      </w:r>
      <w:r>
        <w:t xml:space="preserve"> </w:t>
      </w:r>
      <w:r>
        <w:t xml:space="preserve">‘Building a digital state without interoperability is like building a house</w:t>
      </w:r>
      <w:r>
        <w:t xml:space="preserve"> </w:t>
      </w:r>
      <w:r>
        <w:t xml:space="preserve">without a foundation – it will not work’ (Keegan McBride, 202139).</w:t>
      </w:r>
      <w:r>
        <w:br/>
      </w:r>
      <w:r>
        <w:t xml:space="preserve">Currently there are no studies that differentiate precisely the impact of interoperability from</w:t>
      </w:r>
      <w:r>
        <w:t xml:space="preserve"> </w:t>
      </w:r>
      <w:r>
        <w:t xml:space="preserve">the one of the overall digital transformation of the public sector, but numerous sources</w:t>
      </w:r>
      <w:r>
        <w:t xml:space="preserve"> </w:t>
      </w:r>
      <w:r>
        <w:t xml:space="preserve">highlight interoperability as a key enabling factor and a pre-condition for success on the path</w:t>
      </w:r>
      <w:r>
        <w:t xml:space="preserve"> </w:t>
      </w:r>
      <w:r>
        <w:t xml:space="preserve">to successful digital public sector transformation. This is even more the case when we look at</w:t>
      </w:r>
      <w:r>
        <w:t xml:space="preserve"> </w:t>
      </w:r>
      <w:r>
        <w:t xml:space="preserve">cross-border interoperability of digital public services.</w:t>
      </w:r>
      <w:r>
        <w:t xml:space="preserve"> </w:t>
      </w:r>
      <w:r>
        <w:t xml:space="preserve">Thus, limited interoperability of services and data of public administrations in EU leads to</w:t>
      </w:r>
      <w:r>
        <w:t xml:space="preserve"> </w:t>
      </w:r>
      <w:r>
        <w:t xml:space="preserve">limited digital public services, incapable of reaching their full potential and deliver on</w:t>
      </w:r>
      <w:r>
        <w:t xml:space="preserve"> </w:t>
      </w:r>
      <w:r>
        <w:t xml:space="preserve">European goal of having a Digital Single Market.</w:t>
      </w:r>
      <w:r>
        <w:t xml:space="preserve"> </w:t>
      </w:r>
      <w:r>
        <w:t xml:space="preserve">This problem is quite visible when looking at both the level of implementation of digital</w:t>
      </w:r>
      <w:r>
        <w:t xml:space="preserve"> </w:t>
      </w:r>
      <w:r>
        <w:t xml:space="preserve">public services in EU and the results of the evaluations of the EIF and ISA² programme,</w:t>
      </w:r>
      <w:r>
        <w:t xml:space="preserve"> </w:t>
      </w:r>
      <w:r>
        <w:t xml:space="preserve">which show there is still an important gap to fill. In the latest Digital Economy and Society</w:t>
      </w:r>
      <w:r>
        <w:t xml:space="preserve"> </w:t>
      </w:r>
      <w:r>
        <w:t xml:space="preserve">Index (DESI) the EU average for cross-border digital public services is below 60 out of 100.</w:t>
      </w:r>
    </w:p>
    <w:p>
      <w:pPr>
        <w:pStyle w:val="BodyText"/>
      </w:pPr>
      <w:r>
        <w:t xml:space="preserve">39</w:t>
      </w:r>
      <w:r>
        <w:br/>
      </w:r>
      <w:r>
        <w:t xml:space="preserve">Keegan McBride – Hertie School of Governance – ‘Ohne Interoperabilität kein digitaler Staat’.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Figure 2. DESI 2020 for cross-border services status in Member States</w:t>
      </w:r>
    </w:p>
    <w:p>
      <w:pPr>
        <w:pStyle w:val="BodyText"/>
      </w:pPr>
      <w:r>
        <w:t xml:space="preserve">Looking at the situation of EU border regions in 2021 a Commission report 43 underlines that</w:t>
      </w:r>
      <w:r>
        <w:t xml:space="preserve"> </w:t>
      </w:r>
      <w:r>
        <w:t xml:space="preserve">‘in the 2020 public consultation, respondents identified difficulties in accessing reliable</w:t>
      </w:r>
      <w:r>
        <w:t xml:space="preserve"> </w:t>
      </w:r>
      <w:r>
        <w:t xml:space="preserve">public transport as the main obstacle to using cross-border public services, closely followed</w:t>
      </w:r>
      <w:r>
        <w:t xml:space="preserve"> </w:t>
      </w:r>
      <w:r>
        <w:t xml:space="preserve">by the lack of joint digital services.’ It also highlights that the lack of cross-border</w:t>
      </w:r>
      <w:r>
        <w:t xml:space="preserve"> </w:t>
      </w:r>
      <w:r>
        <w:t xml:space="preserve">interoperability of digital systems in border regions, particularly of those dealing with</w:t>
      </w:r>
      <w:r>
        <w:t xml:space="preserve"> </w:t>
      </w:r>
      <w:r>
        <w:t xml:space="preserve">employment services, leads to difficulties in identifying available jobs or reaching out to</w:t>
      </w:r>
      <w:r>
        <w:t xml:space="preserve"> </w:t>
      </w:r>
      <w:r>
        <w:t xml:space="preserve">potential employees due to the lack of job market integration and of coordination amongst</w:t>
      </w:r>
      <w:r>
        <w:t xml:space="preserve"> </w:t>
      </w:r>
      <w:r>
        <w:t xml:space="preserve">services.</w:t>
      </w:r>
      <w:r>
        <w:t xml:space="preserve"> </w:t>
      </w:r>
      <w:r>
        <w:t xml:space="preserve">In the latest EUPACK study of 202140, we can see a big gap between in Digital public</w:t>
      </w:r>
      <w:r>
        <w:t xml:space="preserve"> </w:t>
      </w:r>
      <w:r>
        <w:t xml:space="preserve">services provision between Member States, varying from a low of 48 to a high of 89 out of</w:t>
      </w:r>
      <w:r>
        <w:t xml:space="preserve"> </w:t>
      </w:r>
      <w:r>
        <w:t xml:space="preserve">100 with an average at 72. This hampers their overall societal and state resilience.</w:t>
      </w:r>
      <w:r>
        <w:t xml:space="preserve"> </w:t>
      </w:r>
      <w:r>
        <w:t xml:space="preserve">Figure 3. EUPACK study 2021 first conclusions on digitalisation</w:t>
      </w:r>
    </w:p>
    <w:p>
      <w:pPr>
        <w:pStyle w:val="BodyText"/>
      </w:pPr>
      <w:r>
        <w:t xml:space="preserve">The JRC report that has analysed in depth Digital Government transformation in the EU</w:t>
      </w:r>
      <w:r>
        <w:t xml:space="preserve"> </w:t>
      </w:r>
      <w:r>
        <w:t xml:space="preserve">found that the provision of digital public services across the EU is hampered by several</w:t>
      </w:r>
    </w:p>
    <w:p>
      <w:pPr>
        <w:pStyle w:val="BodyText"/>
      </w:pPr>
      <w:r>
        <w:t xml:space="preserve">40</w:t>
      </w:r>
      <w:r>
        <w:br/>
      </w:r>
      <w:r>
        <w:t xml:space="preserve">Will be publicly available in the country reports made by DG REFORM.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factors, many of which, like administrative silos, fragmented decision-making and lack of</w:t>
      </w:r>
      <w:r>
        <w:t xml:space="preserve"> </w:t>
      </w:r>
      <w:r>
        <w:t xml:space="preserve">coordination41, can be linked to insufficient interoperability.</w:t>
      </w:r>
      <w:r>
        <w:t xml:space="preserve"> </w:t>
      </w:r>
      <w:r>
        <w:t xml:space="preserve">The stakeholders consulted in the context of the evaluation of the EIF report that the</w:t>
      </w:r>
      <w:r>
        <w:t xml:space="preserve"> </w:t>
      </w:r>
      <w:r>
        <w:t xml:space="preserve">framework’s voluntary nature and the scope of its recommendations contribute only to a</w:t>
      </w:r>
      <w:r>
        <w:t xml:space="preserve"> </w:t>
      </w:r>
      <w:r>
        <w:t xml:space="preserve">limited extent to the establishment of the Digital Single Market (DSM), most likely due to the</w:t>
      </w:r>
      <w:r>
        <w:t xml:space="preserve"> </w:t>
      </w:r>
      <w:r>
        <w:t xml:space="preserve">limited amount of interoperable cross-border services available.</w:t>
      </w:r>
      <w:r>
        <w:t xml:space="preserve"> </w:t>
      </w:r>
      <w:r>
        <w:t xml:space="preserve">A higher ranking on digital performance does not always mean that a Member State’s digital</w:t>
      </w:r>
      <w:r>
        <w:t xml:space="preserve"> </w:t>
      </w:r>
      <w:r>
        <w:t xml:space="preserve">services will be available in cross-border cases. The numbers of the 2021 eGovernment</w:t>
      </w:r>
      <w:r>
        <w:t xml:space="preserve"> </w:t>
      </w:r>
      <w:r>
        <w:t xml:space="preserve">Benchmark report42 confirm this: only 43% of services are online for cross-border users.</w:t>
      </w:r>
      <w:r>
        <w:t xml:space="preserve"> </w:t>
      </w:r>
      <w:r>
        <w:t xml:space="preserve">Currently, only a quarter of the services (24%) enable access with eIDs from multiple</w:t>
      </w:r>
      <w:r>
        <w:t xml:space="preserve"> </w:t>
      </w:r>
      <w:r>
        <w:t xml:space="preserve">European countries. Even though since 29 September 2018, all EU citizens of countries who</w:t>
      </w:r>
      <w:r>
        <w:t xml:space="preserve"> </w:t>
      </w:r>
      <w:r>
        <w:t xml:space="preserve">have notified their eID scheme to the Commission pursuant to the eIDAS regulation should be</w:t>
      </w:r>
      <w:r>
        <w:t xml:space="preserve"> </w:t>
      </w:r>
      <w:r>
        <w:t xml:space="preserve">able to use them in other Member States. This is both a question of availability of eID for</w:t>
      </w:r>
      <w:r>
        <w:t xml:space="preserve"> </w:t>
      </w:r>
      <w:r>
        <w:t xml:space="preserve">citizens but also an interoperability issue as was pointed out in the impact assessment for the</w:t>
      </w:r>
      <w:r>
        <w:t xml:space="preserve"> </w:t>
      </w:r>
      <w:r>
        <w:t xml:space="preserve">new proposal on Digital Identity43.</w:t>
      </w:r>
      <w:r>
        <w:t xml:space="preserve"> </w:t>
      </w:r>
      <w:r>
        <w:t xml:space="preserve">Figure 4. eGovernment benchmark 2021 - Key figures (EU27+ biennial average)</w:t>
      </w:r>
    </w:p>
    <w:p>
      <w:pPr>
        <w:pStyle w:val="BodyText"/>
      </w:pPr>
      <w:r>
        <w:t xml:space="preserve">Although the EIF has given value to the EU, cross-border interoperability remains limited</w:t>
      </w:r>
      <w:r>
        <w:t xml:space="preserve"> </w:t>
      </w:r>
      <w:r>
        <w:t xml:space="preserve">and driven by sectoral needs. It has been driven by specific EU legislation like the eIDAS</w:t>
      </w:r>
      <w:r>
        <w:t xml:space="preserve"> </w:t>
      </w:r>
      <w:r>
        <w:t xml:space="preserve">and now the Single Digital Gateway regulations. For example, several studies44 assessing how</w:t>
      </w:r>
      <w:r>
        <w:t xml:space="preserve"> </w:t>
      </w:r>
      <w:r>
        <w:t xml:space="preserve">ready Member States are to connect to and exchange data ‘once-only’45 showed a lack of legal</w:t>
      </w:r>
      <w:r>
        <w:t xml:space="preserve"> </w:t>
      </w:r>
      <w:r>
        <w:t xml:space="preserve">and semantic interoperability alignment (different data models and evidence46 types</w:t>
      </w:r>
      <w:r>
        <w:t xml:space="preserve"> </w:t>
      </w:r>
      <w:r>
        <w:t xml:space="preserve">implemented in the Member States).</w:t>
      </w:r>
      <w:r>
        <w:t xml:space="preserve"> </w:t>
      </w:r>
      <w:r>
        <w:t xml:space="preserve">From the EIF evaluation, we also see that countries that have aligned their National</w:t>
      </w:r>
      <w:r>
        <w:t xml:space="preserve"> </w:t>
      </w:r>
      <w:r>
        <w:t xml:space="preserve">Interoperability Framework with the European one have more citizens interacting with public</w:t>
      </w:r>
      <w:r>
        <w:t xml:space="preserve"> </w:t>
      </w:r>
      <w:r>
        <w:t xml:space="preserve">administrations online. There is a visible positive correlation between the overall performance</w:t>
      </w:r>
    </w:p>
    <w:p>
      <w:pPr>
        <w:pStyle w:val="BodyText"/>
      </w:pPr>
      <w:r>
        <w:t xml:space="preserve">41</w:t>
      </w:r>
      <w:r>
        <w:br/>
      </w:r>
      <w:r>
        <w:t xml:space="preserve">Exploring Digital Government Transformation in the EU - Understanding public sector innovation in a</w:t>
      </w:r>
      <w:r>
        <w:t xml:space="preserve"> </w:t>
      </w:r>
      <w:r>
        <w:t xml:space="preserve">data-driven society - Misuraca, G., Barcevičius, E. and Codagnone, C. (JRC).</w:t>
      </w:r>
      <w:r>
        <w:t xml:space="preserve"> </w:t>
      </w:r>
      <w:r>
        <w:t xml:space="preserve">42</w:t>
      </w:r>
      <w:r>
        <w:br/>
      </w:r>
      <w:r>
        <w:t xml:space="preserve">eGovernment benchmark 2021 | Shaping Europe’s digital future (europa.eu).</w:t>
      </w:r>
      <w:r>
        <w:t xml:space="preserve"> </w:t>
      </w:r>
      <w:r>
        <w:t xml:space="preserve">43</w:t>
      </w:r>
      <w:r>
        <w:br/>
      </w:r>
      <w:r>
        <w:t xml:space="preserve">COM(2021)281.</w:t>
      </w:r>
      <w:r>
        <w:t xml:space="preserve"> </w:t>
      </w:r>
      <w:r>
        <w:t xml:space="preserve">44</w:t>
      </w:r>
      <w:r>
        <w:br/>
      </w:r>
      <w:r>
        <w:t xml:space="preserve">Final Sustainability Action Plan.</w:t>
      </w:r>
      <w:r>
        <w:t xml:space="preserve"> </w:t>
      </w:r>
      <w:r>
        <w:t xml:space="preserve">45</w:t>
      </w:r>
      <w:r>
        <w:br/>
      </w:r>
      <w:r>
        <w:t xml:space="preserve">Article 14 of the Single Digital Gateway Regulation (SDGR) establishes the ‘once-only-principle’ (i.e. </w:t>
      </w:r>
      <w:r>
        <w:t xml:space="preserve"> </w:t>
      </w:r>
      <w:r>
        <w:t xml:space="preserve">users should not have to submit to authorities documents or data already held by other authorities) will</w:t>
      </w:r>
      <w:r>
        <w:t xml:space="preserve"> </w:t>
      </w:r>
      <w:r>
        <w:t xml:space="preserve">be applied to cross-border exchanges of evidence for a range of procedures.</w:t>
      </w:r>
      <w:r>
        <w:t xml:space="preserve"> </w:t>
      </w:r>
      <w:r>
        <w:t xml:space="preserve">46</w:t>
      </w:r>
      <w:r>
        <w:br/>
      </w:r>
      <w:r>
        <w:t xml:space="preserve">SDGR article 2: ‘evidence’ means any document or data, including text or sound, visual or audiovisual</w:t>
      </w:r>
      <w:r>
        <w:t xml:space="preserve"> </w:t>
      </w:r>
      <w:r>
        <w:t xml:space="preserve">recording, irrespective of the medium used, required by a competent authority to prove facts or</w:t>
      </w:r>
      <w:r>
        <w:t xml:space="preserve"> </w:t>
      </w:r>
      <w:r>
        <w:t xml:space="preserve">compliance with procedural requirements referred to in point (b) of Article 2(2).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in the maturity of digital public administrations and their adoption of an EIF-inspired</w:t>
      </w:r>
      <w:r>
        <w:t xml:space="preserve"> </w:t>
      </w:r>
      <w:r>
        <w:t xml:space="preserve">framework. The lower ranked Member States (e.g. Romania) have not put in place a robust</w:t>
      </w:r>
      <w:r>
        <w:t xml:space="preserve"> </w:t>
      </w:r>
      <w:r>
        <w:t xml:space="preserve">interoperability framework, while the frontrunners (e.g. Spain, Estonia, the Netherlands) have</w:t>
      </w:r>
      <w:r>
        <w:t xml:space="preserve"> </w:t>
      </w:r>
      <w:r>
        <w:t xml:space="preserve">well established frameworks that make a difference.</w:t>
      </w:r>
      <w:r>
        <w:t xml:space="preserve"> </w:t>
      </w:r>
      <w:r>
        <w:t xml:space="preserve">Figure 5. Average effects of having a ‘complete’ and ‘incomplete’ EIF based NIF vs. </w:t>
      </w:r>
      <w:r>
        <w:t xml:space="preserve"> </w:t>
      </w:r>
      <w:r>
        <w:t xml:space="preserve">countries that did not adopt an EIF-based NIF on the level of Internet use to interact with</w:t>
      </w:r>
      <w:r>
        <w:t xml:space="preserve"> </w:t>
      </w:r>
      <w:r>
        <w:t xml:space="preserve">public administrations</w:t>
      </w:r>
    </w:p>
    <w:p>
      <w:pPr>
        <w:pStyle w:val="BodyText"/>
      </w:pPr>
      <w:r>
        <w:t xml:space="preserve">The next step in the path to fully digitalised governments is to move towards providing</w:t>
      </w:r>
      <w:r>
        <w:t xml:space="preserve"> </w:t>
      </w:r>
      <w:r>
        <w:t xml:space="preserve">proactive services to citizens and businesses, services which bring state support when it is</w:t>
      </w:r>
      <w:r>
        <w:t xml:space="preserve"> </w:t>
      </w:r>
      <w:r>
        <w:t xml:space="preserve">needed. For instance Estonia, where digital public services are amongst the most advanced in</w:t>
      </w:r>
      <w:r>
        <w:t xml:space="preserve"> </w:t>
      </w:r>
      <w:r>
        <w:t xml:space="preserve">the world, enables citizens to complete tax forms, renew a passport, and access family</w:t>
      </w:r>
      <w:r>
        <w:t xml:space="preserve"> </w:t>
      </w:r>
      <w:r>
        <w:t xml:space="preserve">benefits in only a few clicks assisted by the app Bürokratt which they define as an</w:t>
      </w:r>
      <w:r>
        <w:t xml:space="preserve"> </w:t>
      </w:r>
      <w:r>
        <w:t xml:space="preserve">‘interoperable network of AI applications’. These types of proactive services are currently</w:t>
      </w:r>
      <w:r>
        <w:t xml:space="preserve"> </w:t>
      </w:r>
      <w:r>
        <w:t xml:space="preserve">used by only 6% of the examined government services and are not possible without</w:t>
      </w:r>
      <w:r>
        <w:t xml:space="preserve"> </w:t>
      </w:r>
      <w:r>
        <w:t xml:space="preserve">interoperability47. With limited interoperability at national and European level, citizens and</w:t>
      </w:r>
      <w:r>
        <w:t xml:space="preserve"> </w:t>
      </w:r>
      <w:r>
        <w:t xml:space="preserve">businesses will be stuck exchanging PDFs as evidence, which is a common practice in the</w:t>
      </w:r>
      <w:r>
        <w:t xml:space="preserve"> </w:t>
      </w:r>
      <w:r>
        <w:t xml:space="preserve">digitalisation of sectorial policies for instance, instead of moving to fully automated end-to-</w:t>
      </w:r>
      <w:r>
        <w:t xml:space="preserve"> </w:t>
      </w:r>
      <w:r>
        <w:t xml:space="preserve">end digital processes and services.</w:t>
      </w:r>
      <w:r>
        <w:t xml:space="preserve"> </w:t>
      </w:r>
      <w:r>
        <w:t xml:space="preserve">The described problem persists even though the European Commission has been</w:t>
      </w:r>
      <w:r>
        <w:t xml:space="preserve"> </w:t>
      </w:r>
      <w:r>
        <w:t xml:space="preserve">continuously working to address the issue for more than 25 years48: The stakeholders</w:t>
      </w:r>
      <w:r>
        <w:t xml:space="preserve"> </w:t>
      </w:r>
      <w:r>
        <w:t xml:space="preserve">consulted during the EIF evaluation perceive that the policy has brought limited benefits to</w:t>
      </w:r>
      <w:r>
        <w:t xml:space="preserve"> </w:t>
      </w:r>
      <w:r>
        <w:t xml:space="preserve">the development of a coherent European public services ecosystem and the achievement of</w:t>
      </w:r>
      <w:r>
        <w:t xml:space="preserve"> </w:t>
      </w:r>
      <w:r>
        <w:t xml:space="preserve">interoperable, user-centric public services in the EU49. The current EIF recommendations,</w:t>
      </w:r>
    </w:p>
    <w:p>
      <w:pPr>
        <w:pStyle w:val="BodyText"/>
      </w:pPr>
      <w:r>
        <w:t xml:space="preserve">47</w:t>
      </w:r>
      <w:r>
        <w:br/>
      </w:r>
      <w:r>
        <w:t xml:space="preserve">eGovernment benchmark 2021 | Shaping Europe’s digital future (europa.eu).</w:t>
      </w:r>
      <w:r>
        <w:t xml:space="preserve"> </w:t>
      </w:r>
      <w:r>
        <w:t xml:space="preserve">48</w:t>
      </w:r>
      <w:r>
        <w:br/>
      </w:r>
      <w:r>
        <w:t xml:space="preserve">Objective of the IDA programme (Decision (95/468/EC)): ‘To improve the efficiency of the internal</w:t>
      </w:r>
      <w:r>
        <w:t xml:space="preserve"> </w:t>
      </w:r>
      <w:r>
        <w:t xml:space="preserve">market by allowing administrations to exchange essential information via interoperable telematics</w:t>
      </w:r>
      <w:r>
        <w:t xml:space="preserve"> </w:t>
      </w:r>
      <w:r>
        <w:t xml:space="preserve">networks. It is aimed at coordinating the development and implementation of telematics applications</w:t>
      </w:r>
      <w:r>
        <w:t xml:space="preserve"> </w:t>
      </w:r>
      <w:r>
        <w:t xml:space="preserve">and services that enable national and European level administrations to transfer information in a number</w:t>
      </w:r>
      <w:r>
        <w:t xml:space="preserve"> </w:t>
      </w:r>
      <w:r>
        <w:t xml:space="preserve">of critical areas.’</w:t>
      </w:r>
      <w:r>
        <w:t xml:space="preserve"> </w:t>
      </w:r>
      <w:r>
        <w:t xml:space="preserve">49</w:t>
      </w:r>
      <w:r>
        <w:br/>
      </w:r>
      <w:r>
        <w:t xml:space="preserve">See Annex II.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principles and the conceptual model have only partially helped meet the goals established</w:t>
      </w:r>
      <w:r>
        <w:t xml:space="preserve"> </w:t>
      </w:r>
      <w:r>
        <w:t xml:space="preserve">when the framework was created in back 2005, then revised in 2010 and 201750.</w:t>
      </w:r>
      <w:r>
        <w:t xml:space="preserve"> </w:t>
      </w:r>
      <w:r>
        <w:t xml:space="preserve">Even within countries and across sectors interoperability is not ensured. For example, less</w:t>
      </w:r>
      <w:r>
        <w:t xml:space="preserve"> </w:t>
      </w:r>
      <w:r>
        <w:t xml:space="preserve">than half of the services (44%) participate in a single sign-on scheme, meaning that users</w:t>
      </w:r>
      <w:r>
        <w:t xml:space="preserve"> </w:t>
      </w:r>
      <w:r>
        <w:t xml:space="preserve">often need to re-authenticate when switching between websites of different competent</w:t>
      </w:r>
      <w:r>
        <w:t xml:space="preserve"> </w:t>
      </w:r>
      <w:r>
        <w:t xml:space="preserve">authorities even within the same ‘Life event journey’51.</w:t>
      </w:r>
      <w:r>
        <w:t xml:space="preserve"> </w:t>
      </w:r>
      <w:r>
        <w:t xml:space="preserve">As citizens’ expectations and upcoming requirements (like the ones brought by the Single</w:t>
      </w:r>
      <w:r>
        <w:t xml:space="preserve"> </w:t>
      </w:r>
      <w:r>
        <w:t xml:space="preserve">Digital Gateway Regulation), are difficult to meet because of limited interoperability, the EU</w:t>
      </w:r>
      <w:r>
        <w:t xml:space="preserve"> </w:t>
      </w:r>
      <w:r>
        <w:t xml:space="preserve">foregoes the benefits of interoperable digital public services. This translates into a loss of</w:t>
      </w:r>
      <w:r>
        <w:t xml:space="preserve"> </w:t>
      </w:r>
      <w:r>
        <w:t xml:space="preserve">significant time savings for citizens and businesses. Two examples can be highlighted:</w:t>
      </w:r>
      <w:r>
        <w:t xml:space="preserve"> </w:t>
      </w:r>
      <w:r>
        <w:t xml:space="preserve"> through the implementation of the Estonian interoperability platform X-Road it is</w:t>
      </w:r>
      <w:r>
        <w:t xml:space="preserve"> </w:t>
      </w:r>
      <w:r>
        <w:t xml:space="preserve">estimated that Estonians are saving 844 person-years of working time annually;</w:t>
      </w:r>
      <w:r>
        <w:t xml:space="preserve"> </w:t>
      </w:r>
      <w:r>
        <w:t xml:space="preserve"> further digitalising public services in Germany, which has one of the lowest levels of</w:t>
      </w:r>
      <w:r>
        <w:t xml:space="preserve"> </w:t>
      </w:r>
      <w:r>
        <w:t xml:space="preserve">interoperability amongst Member States, is estimated to potentially enable cuts of over</w:t>
      </w:r>
      <w:r>
        <w:t xml:space="preserve"> </w:t>
      </w:r>
      <w:r>
        <w:t xml:space="preserve">80 million hours per year for citizens in their interaction with public authorities, help</w:t>
      </w:r>
      <w:r>
        <w:t xml:space="preserve"> </w:t>
      </w:r>
      <w:r>
        <w:t xml:space="preserve">save up to EUR 1 billion in administrative costs for businesses and 64 million hours</w:t>
      </w:r>
      <w:r>
        <w:t xml:space="preserve"> </w:t>
      </w:r>
      <w:r>
        <w:t xml:space="preserve">per year for public administrations themselves52.</w:t>
      </w:r>
      <w:r>
        <w:t xml:space="preserve"> </w:t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 of limited interoperability of services and data of public services in Europe</w:t>
      </w:r>
      <w:r>
        <w:t xml:space="preserve"> </w:t>
      </w:r>
      <w:r>
        <w:t xml:space="preserve">described above is driven by a number of factors analysed further below.</w:t>
      </w:r>
      <w:r>
        <w:t xml:space="preserve"> </w:t>
      </w:r>
      <w:r>
        <w:t xml:space="preserve">2.2.1. 2.2.1.</w:t>
      </w:r>
      <w:r>
        <w:t xml:space="preserve"> </w:t>
      </w:r>
      <w:r>
        <w:t xml:space="preserve">Inefficient governance of interoperability efforts</w:t>
      </w:r>
      <w:r>
        <w:t xml:space="preserve"> </w:t>
      </w:r>
      <w:r>
        <w:t xml:space="preserve">The evaluation of the EIF emphasizes the inefficiency of current governance of</w:t>
      </w:r>
      <w:r>
        <w:t xml:space="preserve"> </w:t>
      </w:r>
      <w:r>
        <w:t xml:space="preserve">interoperability efforts between EU policies, the European Commission and Member States</w:t>
      </w:r>
      <w:r>
        <w:t xml:space="preserve"> </w:t>
      </w:r>
      <w:r>
        <w:t xml:space="preserve">for all administrative levels (national, regional, local) and sectors.</w:t>
      </w:r>
      <w:r>
        <w:t xml:space="preserve"> </w:t>
      </w:r>
      <w:r>
        <w:t xml:space="preserve">Limited coordination and cooperation on interoperability efforts between and within</w:t>
      </w:r>
      <w:r>
        <w:t xml:space="preserve"> </w:t>
      </w:r>
      <w:r>
        <w:t xml:space="preserve">Member States and with the EU level, when introducing digital solutions for public services is</w:t>
      </w:r>
      <w:r>
        <w:t xml:space="preserve"> </w:t>
      </w:r>
      <w:r>
        <w:t xml:space="preserve">one of the identified drivers of the limited interoperability persisting at EU level.</w:t>
      </w:r>
    </w:p>
    <w:p>
      <w:pPr>
        <w:pStyle w:val="BodyText"/>
      </w:pPr>
      <w:r>
        <w:t xml:space="preserve">50</w:t>
      </w:r>
      <w:r>
        <w:br/>
      </w:r>
      <w:r>
        <w:t xml:space="preserve">See timeline of Interoperability initiatives and EIF.</w:t>
      </w:r>
      <w:r>
        <w:t xml:space="preserve"> </w:t>
      </w:r>
      <w:r>
        <w:t xml:space="preserve">51</w:t>
      </w:r>
      <w:r>
        <w:br/>
      </w:r>
      <w:r>
        <w:t xml:space="preserve">‘Life event journey’: Life events are events that have a significant impact in a citizen’s/stakeholder’s</w:t>
      </w:r>
      <w:r>
        <w:t xml:space="preserve"> </w:t>
      </w:r>
      <w:r>
        <w:t xml:space="preserve">life and that warrant government awareness or involvement, for instance birth of a child, divorce,</w:t>
      </w:r>
      <w:r>
        <w:t xml:space="preserve"> </w:t>
      </w:r>
      <w:r>
        <w:t xml:space="preserve">buying a house. A journey is the path the user needs to go through in his/her interaction with the</w:t>
      </w:r>
      <w:r>
        <w:t xml:space="preserve"> </w:t>
      </w:r>
      <w:r>
        <w:t xml:space="preserve">government services to manage the life event.</w:t>
      </w:r>
      <w:r>
        <w:t xml:space="preserve"> </w:t>
      </w:r>
      <w:r>
        <w:t xml:space="preserve">52</w:t>
      </w:r>
      <w:r>
        <w:br/>
      </w:r>
      <w:r>
        <w:t xml:space="preserve">More detailed in Chapter 6: Impacts of policy options.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Figure 6. Extent to which the following needs and problems and currently experienced by</w:t>
      </w:r>
      <w:r>
        <w:t xml:space="preserve"> </w:t>
      </w:r>
      <w:r>
        <w:t xml:space="preserve">European public administrations, businesses and/or citizens (breakdown by type of</w:t>
      </w:r>
      <w:r>
        <w:t xml:space="preserve"> </w:t>
      </w:r>
      <w:r>
        <w:t xml:space="preserve">consultation, average score and number of respondents)</w:t>
      </w:r>
    </w:p>
    <w:p>
      <w:pPr>
        <w:pStyle w:val="BodyText"/>
      </w:pPr>
      <w:r>
        <w:t xml:space="preserve">Cross-border projects face particular challenges that affect the timing and efficiency of</w:t>
      </w:r>
      <w:r>
        <w:t xml:space="preserve"> </w:t>
      </w:r>
      <w:r>
        <w:t xml:space="preserve">delivery. The involvement of more than one Member State, and often of multiple regional</w:t>
      </w:r>
      <w:r>
        <w:t xml:space="preserve"> </w:t>
      </w:r>
      <w:r>
        <w:t xml:space="preserve">and/or local authorities, can particularly impact the timely delivery of digital public services.</w:t>
      </w:r>
      <w:r>
        <w:br/>
      </w:r>
      <w:r>
        <w:t xml:space="preserve">Any delay or obstacle on one side of a border will necessarily impact project delivery and the</w:t>
      </w:r>
      <w:r>
        <w:t xml:space="preserve"> </w:t>
      </w:r>
      <w:r>
        <w:t xml:space="preserve">implementation of EU policies. We have seen this time and time again with the delays in the</w:t>
      </w:r>
      <w:r>
        <w:t xml:space="preserve"> </w:t>
      </w:r>
      <w:r>
        <w:t xml:space="preserve">development of the implementing act on the ‘once-only-principle’ for the Single Digital</w:t>
      </w:r>
      <w:r>
        <w:t xml:space="preserve"> </w:t>
      </w:r>
      <w:r>
        <w:t xml:space="preserve">Gateway or the issues with sharing data.</w:t>
      </w:r>
      <w:r>
        <w:t xml:space="preserve"> </w:t>
      </w:r>
      <w:r>
        <w:t xml:space="preserve">Policy support measures often include digital solutions and specifications which are inscribed</w:t>
      </w:r>
      <w:r>
        <w:t xml:space="preserve"> </w:t>
      </w:r>
      <w:r>
        <w:t xml:space="preserve">in EU or national laws before being taken up by the teams that have to implement them (often</w:t>
      </w:r>
      <w:r>
        <w:t xml:space="preserve"> </w:t>
      </w:r>
      <w:r>
        <w:t xml:space="preserve">services equivalent to DG DIGIT at Member State level). And when cross-borders or cross-</w:t>
      </w:r>
      <w:r>
        <w:t xml:space="preserve"> </w:t>
      </w:r>
      <w:r>
        <w:t xml:space="preserve">sectoral exchanges of information or services are needed, interoperability is automatically at</w:t>
      </w:r>
      <w:r>
        <w:t xml:space="preserve"> </w:t>
      </w:r>
      <w:r>
        <w:t xml:space="preserve">play.</w:t>
      </w:r>
      <w:r>
        <w:t xml:space="preserve"> </w:t>
      </w:r>
      <w:r>
        <w:t xml:space="preserve">At European Commission level, we estimate that 47.2% of policies53 have a digital impact.</w:t>
      </w:r>
      <w:r>
        <w:t xml:space="preserve"> </w:t>
      </w:r>
      <w:r>
        <w:t xml:space="preserve">Today there is no systematic coordination or cooperation to ensure solutions and</w:t>
      </w:r>
      <w:r>
        <w:t xml:space="preserve"> </w:t>
      </w:r>
      <w:r>
        <w:t xml:space="preserve">specifications (and in general everything that can be grouped together as ‘interoperability</w:t>
      </w:r>
      <w:r>
        <w:t xml:space="preserve"> </w:t>
      </w:r>
      <w:r>
        <w:t xml:space="preserve">resources’) are shared and reused when implementing EU policies. Nothing similar to the</w:t>
      </w:r>
      <w:r>
        <w:t xml:space="preserve"> </w:t>
      </w:r>
      <w:r>
        <w:t xml:space="preserve">governance structure for IT in the European Commission54 exists for the work with the</w:t>
      </w:r>
      <w:r>
        <w:t xml:space="preserve"> </w:t>
      </w:r>
      <w:r>
        <w:t xml:space="preserve">Member States. The EIF evaluation shows that the governance of the selection and</w:t>
      </w:r>
      <w:r>
        <w:t xml:space="preserve"> </w:t>
      </w:r>
      <w:r>
        <w:t xml:space="preserve">adoption of standards and specifications is currently not sufficient55.</w:t>
      </w:r>
      <w:r>
        <w:t xml:space="preserve"> </w:t>
      </w:r>
      <w:r>
        <w:t xml:space="preserve">Various models of interoperability governance exist within Member States between different</w:t>
      </w:r>
      <w:r>
        <w:t xml:space="preserve"> </w:t>
      </w:r>
      <w:r>
        <w:t xml:space="preserve">levels of government. In some cases, interoperability is mandated through legislation, in</w:t>
      </w:r>
      <w:r>
        <w:t xml:space="preserve"> </w:t>
      </w:r>
      <w:r>
        <w:t xml:space="preserve">others coordination mechanisms exist with cities and/or regions working together to develop</w:t>
      </w:r>
      <w:r>
        <w:t xml:space="preserve"> </w:t>
      </w:r>
      <w:r>
        <w:t xml:space="preserve">common standards, templates and models, promoting interoperability between them, and with</w:t>
      </w:r>
      <w:r>
        <w:t xml:space="preserve"> </w:t>
      </w:r>
      <w:r>
        <w:t xml:space="preserve">central government.</w:t>
      </w:r>
      <w:r>
        <w:t xml:space="preserve"> </w:t>
      </w:r>
      <w:r>
        <w:t xml:space="preserve">The EIF evaluation showed that in some cases a lack of internal interoperability coordination</w:t>
      </w:r>
      <w:r>
        <w:t xml:space="preserve"> </w:t>
      </w:r>
      <w:r>
        <w:t xml:space="preserve">within Member States further enhances the disconnect between the high-level guidance and</w:t>
      </w:r>
      <w:r>
        <w:t xml:space="preserve"> </w:t>
      </w:r>
      <w:r>
        <w:t xml:space="preserve">actual execution. Often Member States, even at national level in centralised states, have more</w:t>
      </w:r>
    </w:p>
    <w:p>
      <w:pPr>
        <w:pStyle w:val="BodyText"/>
      </w:pPr>
      <w:r>
        <w:t xml:space="preserve">53</w:t>
      </w:r>
      <w:r>
        <w:br/>
      </w:r>
      <w:r>
        <w:t xml:space="preserve">Digital ready policymaking.</w:t>
      </w:r>
      <w:r>
        <w:t xml:space="preserve"> </w:t>
      </w:r>
      <w:r>
        <w:t xml:space="preserve">54</w:t>
      </w:r>
      <w:r>
        <w:br/>
      </w:r>
      <w:r>
        <w:t xml:space="preserve">COM(2018)7704 - Streamlining and strengthening corporate governance within the 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55</w:t>
      </w:r>
      <w:r>
        <w:br/>
      </w:r>
      <w:r>
        <w:t xml:space="preserve">State of Play of Interoperability Report 2020, p. 40.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than one entity (e.g. Ministry or Agency) leading digital transformation efforts56, which</w:t>
      </w:r>
      <w:r>
        <w:t xml:space="preserve"> </w:t>
      </w:r>
      <w:r>
        <w:t xml:space="preserve">sometimes leads to a lack of coordination.</w:t>
      </w:r>
      <w:r>
        <w:t xml:space="preserve"> </w:t>
      </w:r>
      <w:r>
        <w:t xml:space="preserve">The EIF evaluation shows a further disconnect between the high-level guidance provided by</w:t>
      </w:r>
      <w:r>
        <w:t xml:space="preserve"> </w:t>
      </w:r>
      <w:r>
        <w:t xml:space="preserve">the EIF and actual execution, particularly at the regional and municipal levels. Cross-border</w:t>
      </w:r>
      <w:r>
        <w:t xml:space="preserve"> </w:t>
      </w:r>
      <w:r>
        <w:t xml:space="preserve">interoperability is not solely a matter for the national level of the administrations in the</w:t>
      </w:r>
      <w:r>
        <w:t xml:space="preserve"> </w:t>
      </w:r>
      <w:r>
        <w:t xml:space="preserve">Member States. Data and services are routinely interacting between regional and local</w:t>
      </w:r>
      <w:r>
        <w:t xml:space="preserve"> </w:t>
      </w:r>
      <w:r>
        <w:t xml:space="preserve">administrations in different Member States. Thus, interoperability between national</w:t>
      </w:r>
      <w:r>
        <w:t xml:space="preserve"> </w:t>
      </w:r>
      <w:r>
        <w:t xml:space="preserve">administrations is not sufficient if interoperability at the local level does not work. Signatories</w:t>
      </w:r>
      <w:r>
        <w:t xml:space="preserve"> </w:t>
      </w:r>
      <w:r>
        <w:t xml:space="preserve">of Living-in.EU57 emphasized that due to this inefficient governance investments in digital</w:t>
      </w:r>
      <w:r>
        <w:t xml:space="preserve"> </w:t>
      </w:r>
      <w:r>
        <w:t xml:space="preserve">transformation at local level have a low impact and lead to sub-optimal outcomes for citizens</w:t>
      </w:r>
      <w:r>
        <w:t xml:space="preserve"> </w:t>
      </w:r>
      <w:r>
        <w:t xml:space="preserve">in the quality of public service delivery58.</w:t>
      </w:r>
      <w:r>
        <w:br/>
      </w:r>
      <w:r>
        <w:t xml:space="preserve">The coordinated digital response to the COVID-19 pandemic within and amongst Member</w:t>
      </w:r>
      <w:r>
        <w:t xml:space="preserve"> </w:t>
      </w:r>
      <w:r>
        <w:t xml:space="preserve">States is a topical example of the advantage of governance, coordination and cooperation on</w:t>
      </w:r>
      <w:r>
        <w:t xml:space="preserve"> </w:t>
      </w:r>
      <w:r>
        <w:t xml:space="preserve">interoperability across public and private organisations in the face of major shared challenges.</w:t>
      </w:r>
      <w:r>
        <w:t xml:space="preserve"> </w:t>
      </w:r>
      <w:r>
        <w:t xml:space="preserve">This coordinated response, however, was emergency-driven and not based on established and</w:t>
      </w:r>
      <w:r>
        <w:t xml:space="preserve"> </w:t>
      </w:r>
      <w:r>
        <w:t xml:space="preserve">structured joint approaches. Indeed, the absence of such structures does not necessarily</w:t>
      </w:r>
      <w:r>
        <w:t xml:space="preserve"> </w:t>
      </w:r>
      <w:r>
        <w:t xml:space="preserve">prevent successful crisis response or the digitalisation of individual public services per se.</w:t>
      </w:r>
      <w:r>
        <w:t xml:space="preserve"> </w:t>
      </w:r>
      <w:r>
        <w:t xml:space="preserve">However, analysis finds that not addressing interoperability ‘by design’ in upstream</w:t>
      </w:r>
      <w:r>
        <w:t xml:space="preserve"> </w:t>
      </w:r>
      <w:r>
        <w:t xml:space="preserve">coordination risks building disconnected data and operational islands across administrations.</w:t>
      </w:r>
      <w:r>
        <w:t xml:space="preserve"> </w:t>
      </w:r>
      <w:r>
        <w:t xml:space="preserve">Using non-compatible specifications, standards and tools in an uncoordinated way, risks</w:t>
      </w:r>
      <w:r>
        <w:t xml:space="preserve"> </w:t>
      </w:r>
      <w:r>
        <w:t xml:space="preserve">leading to costly and/or isolated ad-hoc solutions, lock-in situations and missing out on scale</w:t>
      </w:r>
      <w:r>
        <w:t xml:space="preserve"> </w:t>
      </w:r>
      <w:r>
        <w:t xml:space="preserve">effects. Negative consequences may be felt by administrations themselves but more so by</w:t>
      </w:r>
      <w:r>
        <w:t xml:space="preserve"> </w:t>
      </w:r>
      <w:r>
        <w:t xml:space="preserve">end-users, who increasingly expect the same kind of seamless service experience when</w:t>
      </w:r>
      <w:r>
        <w:t xml:space="preserve"> </w:t>
      </w:r>
      <w:r>
        <w:t xml:space="preserve">dealing with public administrations which they are used to from private sector offers.</w:t>
      </w:r>
      <w:r>
        <w:br/>
      </w:r>
      <w:r>
        <w:t xml:space="preserve">2.2.2. 2.2.2.</w:t>
      </w:r>
      <w:r>
        <w:t xml:space="preserve"> </w:t>
      </w:r>
      <w:r>
        <w:t xml:space="preserve">Lack of common minimum interoperability specifications,</w:t>
      </w:r>
      <w:r>
        <w:t xml:space="preserve"> </w:t>
      </w:r>
      <w:r>
        <w:t xml:space="preserve">shared solutions, standards</w:t>
      </w:r>
      <w:r>
        <w:t xml:space="preserve"> </w:t>
      </w:r>
      <w:r>
        <w:t xml:space="preserve">The OECD states that ‘one of the most frequently cited barriers to data sharing and reuse</w:t>
      </w:r>
      <w:r>
        <w:t xml:space="preserve"> </w:t>
      </w:r>
      <w:r>
        <w:t xml:space="preserve">is the lack of common standards, or the proliferation of incompatible standards’59. This is</w:t>
      </w:r>
      <w:r>
        <w:t xml:space="preserve"> </w:t>
      </w:r>
      <w:r>
        <w:t xml:space="preserve">confirmed by the 2020 public consultation for the European strategy for data, where 91.5% of</w:t>
      </w:r>
      <w:r>
        <w:t xml:space="preserve"> </w:t>
      </w:r>
      <w:r>
        <w:t xml:space="preserve">the respondents agreed that standardisation is necessary to improve interoperability and</w:t>
      </w:r>
      <w:r>
        <w:t xml:space="preserve"> </w:t>
      </w:r>
      <w:r>
        <w:t xml:space="preserve">ultimately data reuse across sectors. 91.1% of respondents agreed that future standardisation</w:t>
      </w:r>
      <w:r>
        <w:t xml:space="preserve"> </w:t>
      </w:r>
      <w:r>
        <w:t xml:space="preserve">activities need to better address the use of data across sectors of the economy or domains of</w:t>
      </w:r>
      <w:r>
        <w:t xml:space="preserve"> </w:t>
      </w:r>
      <w:r>
        <w:t xml:space="preserve">society60.</w:t>
      </w:r>
      <w:r>
        <w:t xml:space="preserve"> </w:t>
      </w:r>
      <w:r>
        <w:t xml:space="preserve">Meanwhile, the limited availability and take-up of common minimum interoperability</w:t>
      </w:r>
      <w:r>
        <w:t xml:space="preserve"> </w:t>
      </w:r>
      <w:r>
        <w:t xml:space="preserve">specifications, shared solutions and standards for the public sector particularly at the levels of</w:t>
      </w:r>
      <w:r>
        <w:t xml:space="preserve"> </w:t>
      </w:r>
      <w:r>
        <w:t xml:space="preserve">regional and local administrations has been confirmed as a key challenge in the evaluations of</w:t>
      </w:r>
      <w:r>
        <w:t xml:space="preserve"> </w:t>
      </w:r>
      <w:r>
        <w:t xml:space="preserve">ISA² and the EIF. This challenge has not been addressed by the Open Data Directive</w:t>
      </w:r>
      <w:r>
        <w:t xml:space="preserve"> </w:t>
      </w:r>
      <w:r>
        <w:t xml:space="preserve">(Directive (EU) 2019/1024). Also, the future EU Data act limits its scope to commercial data</w:t>
      </w:r>
      <w:r>
        <w:t xml:space="preserve"> </w:t>
      </w:r>
      <w:r>
        <w:t xml:space="preserve">held by public authorities. This implies that Member States would not be supported with</w:t>
      </w:r>
      <w:r>
        <w:t xml:space="preserve"> </w:t>
      </w:r>
      <w:r>
        <w:t xml:space="preserve">concrete guidelines, solutions or specifications to ensure interoperability of their public data.</w:t>
      </w:r>
    </w:p>
    <w:p>
      <w:pPr>
        <w:pStyle w:val="BodyText"/>
      </w:pPr>
      <w:r>
        <w:t xml:space="preserve">56</w:t>
      </w:r>
      <w:r>
        <w:br/>
      </w:r>
      <w:r>
        <w:t xml:space="preserve">More details in: Digital Public Administration factsheets - 2021 | Joinup (europa.eu).</w:t>
      </w:r>
      <w:r>
        <w:t xml:space="preserve"> </w:t>
      </w:r>
      <w:r>
        <w:t xml:space="preserve">57</w:t>
      </w:r>
      <w:r>
        <w:br/>
      </w:r>
      <w:r>
        <w:t xml:space="preserve">Living-in.EU is a 2019 declaration of European cities and communities, supported by the European</w:t>
      </w:r>
      <w:r>
        <w:t xml:space="preserve"> </w:t>
      </w:r>
      <w:r>
        <w:t xml:space="preserve">Commission and other partners. It has set up a governance which aims to boost the sustainable digital</w:t>
      </w:r>
      <w:r>
        <w:t xml:space="preserve"> </w:t>
      </w:r>
      <w:r>
        <w:t xml:space="preserve">transformation of cities and communities.</w:t>
      </w:r>
      <w:r>
        <w:t xml:space="preserve"> </w:t>
      </w:r>
      <w:r>
        <w:t xml:space="preserve">58</w:t>
      </w:r>
      <w:r>
        <w:br/>
      </w:r>
      <w:r>
        <w:t xml:space="preserve">Living-in.EU Signatories’ Meeting of 28 October 2021 and the workshop on Multilevel</w:t>
      </w:r>
      <w:r>
        <w:t xml:space="preserve"> </w:t>
      </w:r>
      <w:r>
        <w:t xml:space="preserve">interoperability governance supporting digital transformation of European public administrations at the</w:t>
      </w:r>
      <w:r>
        <w:t xml:space="preserve"> </w:t>
      </w:r>
      <w:r>
        <w:t xml:space="preserve">Fit for recovery and transition - Online Conference, 25 November 2021.</w:t>
      </w:r>
      <w:r>
        <w:t xml:space="preserve"> </w:t>
      </w:r>
      <w:r>
        <w:t xml:space="preserve">59</w:t>
      </w:r>
      <w:r>
        <w:br/>
      </w:r>
      <w:r>
        <w:t xml:space="preserve">OECD (2019). Enhancing Access to and Sharing of Data: Reconciling Risks and Benefits for Data Re-</w:t>
      </w:r>
      <w:r>
        <w:t xml:space="preserve"> </w:t>
      </w:r>
      <w:r>
        <w:t xml:space="preserve">use across Societies.</w:t>
      </w:r>
      <w:r>
        <w:t xml:space="preserve"> </w:t>
      </w:r>
      <w:r>
        <w:t xml:space="preserve">60</w:t>
      </w:r>
      <w:r>
        <w:br/>
      </w:r>
      <w:r>
        <w:t xml:space="preserve">European Commission (2020b). Outcome of the online consultation on the European strategy for data.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The Proposal for a European Interoperability Framework for Smart Cities and Communities</w:t>
      </w:r>
      <w:r>
        <w:t xml:space="preserve"> </w:t>
      </w:r>
      <w:r>
        <w:t xml:space="preserve">(EIF4SCC) is a first initiative that gives guidance to interoperability specifications.</w:t>
      </w:r>
      <w:r>
        <w:t xml:space="preserve"> </w:t>
      </w:r>
      <w:r>
        <w:t xml:space="preserve">While the principles, the layered interoperability model, and the conceptual model for</w:t>
      </w:r>
      <w:r>
        <w:t xml:space="preserve"> </w:t>
      </w:r>
      <w:r>
        <w:t xml:space="preserve">integrated public services in the EIF provided sufficient high-level conceptual guidance, there</w:t>
      </w:r>
      <w:r>
        <w:t xml:space="preserve"> </w:t>
      </w:r>
      <w:r>
        <w:t xml:space="preserve">is still a gap when it comes to the practical implementation of the EIF at the service level with</w:t>
      </w:r>
      <w:r>
        <w:t xml:space="preserve"> </w:t>
      </w:r>
      <w:r>
        <w:t xml:space="preserve">reusable common interoperability solutions and specifications61. Stakeholders commenting on</w:t>
      </w:r>
      <w:r>
        <w:t xml:space="preserve"> </w:t>
      </w:r>
      <w:r>
        <w:t xml:space="preserve">the inception impact assessment provided several concrete ideas on how to achieve this</w:t>
      </w:r>
      <w:r>
        <w:t xml:space="preserve"> </w:t>
      </w:r>
      <w:r>
        <w:t xml:space="preserve">goal62: ‘all EIF recommendations should be provided with a reference implementation</w:t>
      </w:r>
      <w:r>
        <w:t xml:space="preserve"> </w:t>
      </w:r>
      <w:r>
        <w:t xml:space="preserve">standard’, another stakeholder goes further and asks that ‘all EU policy should come with a</w:t>
      </w:r>
      <w:r>
        <w:t xml:space="preserve"> </w:t>
      </w:r>
      <w:r>
        <w:t xml:space="preserve">reference solution to guide its digital implementation’.</w:t>
      </w:r>
      <w:r>
        <w:t xml:space="preserve"> </w:t>
      </w:r>
      <w:r>
        <w:t xml:space="preserve">Missing interoperability specifications and standards can also hinder the development and use</w:t>
      </w:r>
      <w:r>
        <w:t xml:space="preserve"> </w:t>
      </w:r>
      <w:r>
        <w:t xml:space="preserve">of innovative technologies, such as blockchain, AI or APIs63. That then can help also public</w:t>
      </w:r>
      <w:r>
        <w:t xml:space="preserve"> </w:t>
      </w:r>
      <w:r>
        <w:t xml:space="preserve">administrations that are already highly digitalised without an ‘interoperability by default’</w:t>
      </w:r>
      <w:r>
        <w:t xml:space="preserve"> </w:t>
      </w:r>
      <w:r>
        <w:t xml:space="preserve">approach because they need to overcome the challenge of legacy64 solutions (e.g. the</w:t>
      </w:r>
      <w:r>
        <w:t xml:space="preserve"> </w:t>
      </w:r>
      <w:r>
        <w:t xml:space="preserve">difficulties experienced in the implementation of the Single Digital Gateway Regulation by</w:t>
      </w:r>
      <w:r>
        <w:t xml:space="preserve"> </w:t>
      </w:r>
      <w:r>
        <w:t xml:space="preserve">the more digitally advanced Member States).</w:t>
      </w:r>
      <w:r>
        <w:t xml:space="preserve"> </w:t>
      </w:r>
      <w:r>
        <w:t xml:space="preserve">Another important factor contributing to the lack of development and uptake of common</w:t>
      </w:r>
      <w:r>
        <w:t xml:space="preserve"> </w:t>
      </w:r>
      <w:r>
        <w:t xml:space="preserve">interoperability solutions consists of the limited incentives and capacities for public</w:t>
      </w:r>
      <w:r>
        <w:t xml:space="preserve"> </w:t>
      </w:r>
      <w:r>
        <w:t xml:space="preserve">administrations. An important finding from the ISA² final evaluation in this regard is that</w:t>
      </w:r>
      <w:r>
        <w:t xml:space="preserve"> </w:t>
      </w:r>
      <w:r>
        <w:t xml:space="preserve">EU funding instruments today do not contain sufficient incentives to ensure the development</w:t>
      </w:r>
      <w:r>
        <w:t xml:space="preserve"> </w:t>
      </w:r>
      <w:r>
        <w:t xml:space="preserve">of solutions in line with the EIF65.</w:t>
      </w:r>
      <w:r>
        <w:t xml:space="preserve"> </w:t>
      </w:r>
      <w:r>
        <w:t xml:space="preserve">The Expert group on interoperability of European public services particularly highlighted that</w:t>
      </w:r>
      <w:r>
        <w:t xml:space="preserve"> </w:t>
      </w:r>
      <w:r>
        <w:t xml:space="preserve">EU policies often come with competing and non-interoperable standards. For instance,</w:t>
      </w:r>
      <w:r>
        <w:t xml:space="preserve"> </w:t>
      </w:r>
      <w:r>
        <w:t xml:space="preserve">Estonia highlighted in a contribution to the expert group that 8 different cross-border data</w:t>
      </w:r>
      <w:r>
        <w:t xml:space="preserve"> </w:t>
      </w:r>
      <w:r>
        <w:t xml:space="preserve">exchange protocols are being used of enforced in just one domain from different Commission</w:t>
      </w:r>
      <w:r>
        <w:t xml:space="preserve"> </w:t>
      </w:r>
      <w:r>
        <w:t xml:space="preserve">initiatives66. The current EU policy agenda contains a substantial number of initiatives that</w:t>
      </w:r>
      <w:r>
        <w:t xml:space="preserve"> </w:t>
      </w:r>
      <w:r>
        <w:t xml:space="preserve">provide the Commission with a mandate to adopt standards or technical specifications for IT</w:t>
      </w:r>
      <w:r>
        <w:t xml:space="preserve"> </w:t>
      </w:r>
      <w:r>
        <w:t xml:space="preserve">systems used by public administration. For example, technical specifications for the renewed</w:t>
      </w:r>
      <w:r>
        <w:t xml:space="preserve"> </w:t>
      </w:r>
      <w:r>
        <w:t xml:space="preserve">digitalisation of judicial cooperation67 or a future European Social Security Pass announced in</w:t>
      </w:r>
      <w:r>
        <w:t xml:space="preserve"> </w:t>
      </w:r>
      <w:r>
        <w:t xml:space="preserve">the European Pillar of Social Rights Action Plan68. Even though all of the mentioned</w:t>
      </w:r>
      <w:r>
        <w:t xml:space="preserve"> </w:t>
      </w:r>
      <w:r>
        <w:t xml:space="preserve">initiatives aim to align with each other, there is no mechanism today to ensure that the</w:t>
      </w:r>
      <w:r>
        <w:t xml:space="preserve"> </w:t>
      </w:r>
      <w:r>
        <w:t xml:space="preserve">solutions proposed are interoperable, which can lead to new barriers to interoperability.</w:t>
      </w:r>
      <w:r>
        <w:t xml:space="preserve"> </w:t>
      </w:r>
      <w:r>
        <w:t xml:space="preserve">Therefore, cooperation and effective alignment between sectorial and cross-domain</w:t>
      </w:r>
      <w:r>
        <w:t xml:space="preserve"> </w:t>
      </w:r>
      <w:r>
        <w:t xml:space="preserve">public sector data, standards and specifications is needed. Such cooperation mechanism</w:t>
      </w:r>
      <w:r>
        <w:t xml:space="preserve"> </w:t>
      </w:r>
      <w:r>
        <w:t xml:space="preserve">should ideally involve the experts from the Member States’ administrations already involved</w:t>
      </w:r>
      <w:r>
        <w:t xml:space="preserve"> </w:t>
      </w:r>
      <w:r>
        <w:t xml:space="preserve">in implementing the parallel work strands listed above. This is an explicit call from the Expert</w:t>
      </w:r>
      <w:r>
        <w:t xml:space="preserve"> </w:t>
      </w:r>
      <w:r>
        <w:t xml:space="preserve">group policy recommendations to ensure consistency, prevent creation of sectoral silos and</w:t>
      </w:r>
      <w:r>
        <w:t xml:space="preserve"> </w:t>
      </w:r>
      <w:r>
        <w:t xml:space="preserve">reduce implementation burdens on their side.</w:t>
      </w:r>
    </w:p>
    <w:p>
      <w:pPr>
        <w:pStyle w:val="BodyText"/>
      </w:pPr>
      <w:r>
        <w:t xml:space="preserve">61</w:t>
      </w:r>
      <w:r>
        <w:br/>
      </w:r>
      <w:r>
        <w:t xml:space="preserve">In the context of the ISA2 programme, interoperability solutions were defined as ‘common services and</w:t>
      </w:r>
      <w:r>
        <w:t xml:space="preserve"> </w:t>
      </w:r>
      <w:r>
        <w:t xml:space="preserve">generic tools facilitating cooperation between disparate and diverse organisations, either autonomously</w:t>
      </w:r>
      <w:r>
        <w:t xml:space="preserve"> </w:t>
      </w:r>
      <w:r>
        <w:t xml:space="preserve">funded and developed under the ISA2 programme or developed in cooperation with other Union</w:t>
      </w:r>
      <w:r>
        <w:t xml:space="preserve"> </w:t>
      </w:r>
      <w:r>
        <w:t xml:space="preserve">initiatives, based on identified requirements of European public administrations’, building also on</w:t>
      </w:r>
      <w:r>
        <w:t xml:space="preserve"> </w:t>
      </w:r>
      <w:r>
        <w:t xml:space="preserve">common specifications and standards. See: Article 2, Decision (EU) 2015/2240.</w:t>
      </w:r>
      <w:r>
        <w:t xml:space="preserve"> </w:t>
      </w:r>
      <w:r>
        <w:t xml:space="preserve">62</w:t>
      </w:r>
      <w:r>
        <w:br/>
      </w:r>
      <w:r>
        <w:t xml:space="preserve">Input can be found on the Have Your Say Portal, a summary of input is provided in Annex II.</w:t>
      </w:r>
      <w:r>
        <w:t xml:space="preserve"> </w:t>
      </w:r>
      <w:r>
        <w:t xml:space="preserve">63</w:t>
      </w:r>
      <w:r>
        <w:br/>
      </w:r>
      <w:r>
        <w:t xml:space="preserve">JRC Policy for Science report gives insides on how APIs can help overcome legacy issues.</w:t>
      </w:r>
      <w:r>
        <w:t xml:space="preserve"> </w:t>
      </w:r>
      <w:r>
        <w:t xml:space="preserve">64</w:t>
      </w:r>
      <w:r>
        <w:br/>
      </w:r>
      <w:r>
        <w:t xml:space="preserve">Legacy IT systems refers to solutions, specifications, technologies outdated but still in use.</w:t>
      </w:r>
      <w:r>
        <w:t xml:space="preserve"> </w:t>
      </w:r>
      <w:r>
        <w:t xml:space="preserve">65</w:t>
      </w:r>
      <w:r>
        <w:br/>
      </w:r>
      <w:r>
        <w:t xml:space="preserve">See ISA² programme evaluation in COM(2021)965</w:t>
      </w:r>
      <w:r>
        <w:t xml:space="preserve"> </w:t>
      </w:r>
      <w:r>
        <w:t xml:space="preserve">66</w:t>
      </w:r>
      <w:r>
        <w:br/>
      </w:r>
      <w:r>
        <w:t xml:space="preserve">Expressed in position paper from December 2020 on a future interoperability policy (not public)</w:t>
      </w:r>
      <w:r>
        <w:t xml:space="preserve"> </w:t>
      </w:r>
      <w:r>
        <w:t xml:space="preserve">67</w:t>
      </w:r>
      <w:r>
        <w:br/>
      </w:r>
      <w:r>
        <w:t xml:space="preserve">COM(2021) 759 final.</w:t>
      </w:r>
      <w:r>
        <w:t xml:space="preserve"> </w:t>
      </w:r>
      <w:r>
        <w:t xml:space="preserve">68</w:t>
      </w:r>
      <w:r>
        <w:br/>
      </w:r>
      <w:r>
        <w:t xml:space="preserve">European pillar of social rights action plan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2.2.3. 2.2.3.</w:t>
      </w:r>
      <w:r>
        <w:t xml:space="preserve"> </w:t>
      </w:r>
      <w:r>
        <w:t xml:space="preserve">Lack of an ‘interoperability by default’ approach in the</w:t>
      </w:r>
      <w:r>
        <w:t xml:space="preserve"> </w:t>
      </w:r>
      <w:r>
        <w:t xml:space="preserve">design and implementation of EU policies</w:t>
      </w:r>
      <w:r>
        <w:t xml:space="preserve"> </w:t>
      </w:r>
      <w:r>
        <w:t xml:space="preserve">Member States have prominently called upon the Commission and other institutions, most</w:t>
      </w:r>
      <w:r>
        <w:t xml:space="preserve"> </w:t>
      </w:r>
      <w:r>
        <w:t xml:space="preserve">recently in the Berlin Declaration, to ensure that ‘policies and legislative acts proposed by the</w:t>
      </w:r>
      <w:r>
        <w:t xml:space="preserve"> </w:t>
      </w:r>
      <w:r>
        <w:t xml:space="preserve">European Commission are digital-ready and interoperable by default’69. The consultation</w:t>
      </w:r>
      <w:r>
        <w:t xml:space="preserve"> </w:t>
      </w:r>
      <w:r>
        <w:t xml:space="preserve">activities and the work with the Member States experts showed that public administrations are</w:t>
      </w:r>
      <w:r>
        <w:t xml:space="preserve"> </w:t>
      </w:r>
      <w:r>
        <w:t xml:space="preserve">struggling to translate requirements from EU policies into concrete interoperable digital</w:t>
      </w:r>
      <w:r>
        <w:t xml:space="preserve"> </w:t>
      </w:r>
      <w:r>
        <w:t xml:space="preserve">services. They expect that this problem could be solved by changing the way EU policies are</w:t>
      </w:r>
      <w:r>
        <w:t xml:space="preserve"> </w:t>
      </w:r>
      <w:r>
        <w:t xml:space="preserve">designed, learning from the Danish approach to digital-ready legislation that was recently</w:t>
      </w:r>
      <w:r>
        <w:t xml:space="preserve"> </w:t>
      </w:r>
      <w:r>
        <w:t xml:space="preserve">evaluated70.</w:t>
      </w:r>
      <w:r>
        <w:t xml:space="preserve"> </w:t>
      </w:r>
      <w:r>
        <w:t xml:space="preserve">The EIF and ISA² evaluation confirm this assumption: interoperability actions are the most</w:t>
      </w:r>
      <w:r>
        <w:t xml:space="preserve"> </w:t>
      </w:r>
      <w:r>
        <w:t xml:space="preserve">beneficial and effective if clearly linked with EU policies. The evaluation however also</w:t>
      </w:r>
      <w:r>
        <w:t xml:space="preserve"> </w:t>
      </w:r>
      <w:r>
        <w:t xml:space="preserve">confirms that the EIF is underutilised across sectors and even by Commission services.</w:t>
      </w:r>
      <w:r>
        <w:t xml:space="preserve"> </w:t>
      </w:r>
      <w:r>
        <w:t xml:space="preserve">Interoperability by design was emphasised as vital for effective cross-border contact tracing</w:t>
      </w:r>
      <w:r>
        <w:t xml:space="preserve"> </w:t>
      </w:r>
      <w:r>
        <w:t xml:space="preserve">apps in the EU. The argument around the EU Digital COVID certificate included</w:t>
      </w:r>
      <w:r>
        <w:t xml:space="preserve"> </w:t>
      </w:r>
      <w:r>
        <w:t xml:space="preserve">standardisation and interoperability.</w:t>
      </w:r>
      <w:r>
        <w:t xml:space="preserve"> </w:t>
      </w:r>
      <w:r>
        <w:t xml:space="preserve">Due to the voluntary participation in the implementation of the EIF and the voluntary take</w:t>
      </w:r>
      <w:r>
        <w:t xml:space="preserve"> </w:t>
      </w:r>
      <w:r>
        <w:t xml:space="preserve">up at EU level of interoperability resources developed through the Interoperability</w:t>
      </w:r>
      <w:r>
        <w:t xml:space="preserve"> </w:t>
      </w:r>
      <w:r>
        <w:t xml:space="preserve">programmes (ISA² and predecessors), a coherent approach to the topic is missing, beyond</w:t>
      </w:r>
      <w:r>
        <w:t xml:space="preserve"> </w:t>
      </w:r>
      <w:r>
        <w:t xml:space="preserve">what has been set up through specific sectorial obligations (e.g. justice, transport). Even when</w:t>
      </w:r>
      <w:r>
        <w:t xml:space="preserve"> </w:t>
      </w:r>
      <w:r>
        <w:t xml:space="preserve">digital resources are foreseen in EU legislation, they do not apply ‘interoperability by</w:t>
      </w:r>
      <w:r>
        <w:t xml:space="preserve"> </w:t>
      </w:r>
      <w:r>
        <w:t xml:space="preserve">default’ principles as there is currently no uniform legal and technical framework to</w:t>
      </w:r>
      <w:r>
        <w:t xml:space="preserve"> </w:t>
      </w:r>
      <w:r>
        <w:t xml:space="preserve">establish them.</w:t>
      </w:r>
      <w:r>
        <w:t xml:space="preserve"> </w:t>
      </w:r>
      <w:r>
        <w:t xml:space="preserve">For instance, the EIF as the main point of reference of the current interoperability policy is</w:t>
      </w:r>
      <w:r>
        <w:t xml:space="preserve"> </w:t>
      </w:r>
      <w:r>
        <w:t xml:space="preserve">mentioned only 18 times in the EU common acquis (see Figure 7). It is not mentioned at all in</w:t>
      </w:r>
      <w:r>
        <w:t xml:space="preserve"> </w:t>
      </w:r>
      <w:r>
        <w:t xml:space="preserve">the Single Digital Gateway Regulation or the eIDAS Regulation. To put this into perspective,</w:t>
      </w:r>
      <w:r>
        <w:t xml:space="preserve"> </w:t>
      </w:r>
      <w:r>
        <w:t xml:space="preserve">the Spanish law on digital public administration71 refers 136 times to the Spanish National</w:t>
      </w:r>
      <w:r>
        <w:t xml:space="preserve"> </w:t>
      </w:r>
      <w:r>
        <w:t xml:space="preserve">Interoperability Framework (NIF), and interoperability is mentioned 899 times, while the</w:t>
      </w:r>
      <w:r>
        <w:t xml:space="preserve"> </w:t>
      </w:r>
      <w:r>
        <w:t xml:space="preserve">latest Spanish act on the topic (the Royal decree 203/202172) mentions interoperability 88</w:t>
      </w:r>
      <w:r>
        <w:t xml:space="preserve"> </w:t>
      </w:r>
      <w:r>
        <w:t xml:space="preserve">times and the NIF 24 times. This increase inclusion of ‘interoperability by default’ has led to</w:t>
      </w:r>
      <w:r>
        <w:t xml:space="preserve"> </w:t>
      </w:r>
      <w:r>
        <w:t xml:space="preserve">considerable momentum gain in Spain’s public sector digitalisation efforts over the same</w:t>
      </w:r>
      <w:r>
        <w:t xml:space="preserve"> </w:t>
      </w:r>
      <w:r>
        <w:t xml:space="preserve">period, visible in the annual DESI figures (2015: 60%, 2020:82%)73.</w:t>
      </w:r>
    </w:p>
    <w:p>
      <w:pPr>
        <w:pStyle w:val="BodyText"/>
      </w:pPr>
      <w:r>
        <w:t xml:space="preserve">69</w:t>
      </w:r>
      <w:r>
        <w:br/>
      </w:r>
      <w:r>
        <w:t xml:space="preserve">Berlin Declaration on Digital Society and Value-Based Digital Government at the ministerial meeting</w:t>
      </w:r>
      <w:r>
        <w:t xml:space="preserve"> </w:t>
      </w:r>
      <w:r>
        <w:t xml:space="preserve">during the German Presidency of the Council of the European Union on 8 December 2020, p.13.</w:t>
      </w:r>
      <w:r>
        <w:t xml:space="preserve"> </w:t>
      </w:r>
      <w:r>
        <w:t xml:space="preserve">70</w:t>
      </w:r>
      <w:r>
        <w:br/>
      </w:r>
      <w:r>
        <w:t xml:space="preserve">For further information see, Evaluation of the effort to make legislation digital-ready (2021), Agency</w:t>
      </w:r>
      <w:r>
        <w:t xml:space="preserve"> </w:t>
      </w:r>
      <w:r>
        <w:t xml:space="preserve">for Digitalisation, Ministry of Finance.</w:t>
      </w:r>
      <w:r>
        <w:t xml:space="preserve"> </w:t>
      </w:r>
      <w:r>
        <w:t xml:space="preserve">71</w:t>
      </w:r>
      <w:r>
        <w:br/>
      </w:r>
      <w:r>
        <w:t xml:space="preserve">BOE.es - Código de Administración Electrónica.</w:t>
      </w:r>
      <w:r>
        <w:t xml:space="preserve"> </w:t>
      </w:r>
      <w:r>
        <w:t xml:space="preserve">72</w:t>
      </w:r>
      <w:r>
        <w:br/>
      </w:r>
      <w:r>
        <w:t xml:space="preserve">BOE.es - BOE-A-2021-5032 Real Decreto 203/2021.</w:t>
      </w:r>
      <w:r>
        <w:t xml:space="preserve"> </w:t>
      </w:r>
      <w:r>
        <w:t xml:space="preserve">73</w:t>
      </w:r>
      <w:r>
        <w:br/>
      </w:r>
      <w:r>
        <w:t xml:space="preserve">DESI - Spain | Shaping Europe’s digital future (europa.eu).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Figure 7. Number of times the EIF and connected keywords were mentioned in</w:t>
      </w:r>
      <w:r>
        <w:t xml:space="preserve"> </w:t>
      </w:r>
      <w:r>
        <w:t xml:space="preserve">regulations, directives and decisions between 2004 and April 2021</w:t>
      </w:r>
    </w:p>
    <w:p>
      <w:pPr>
        <w:pStyle w:val="BodyText"/>
      </w:pPr>
      <w:r>
        <w:t xml:space="preserve">Source: Study supporting the evaluation of the implementation of the EIF based on the CEPS EurLex dataset</w:t>
      </w:r>
      <w:r>
        <w:t xml:space="preserve"> </w:t>
      </w:r>
      <w:r>
        <w:t xml:space="preserve">and the EurLex website.</w:t>
      </w:r>
      <w:r>
        <w:t xml:space="preserve"> </w:t>
      </w:r>
      <w:r>
        <w:t xml:space="preserve">This finding is not caused by a lack of EU policies addressing digitalisation issues. As it is</w:t>
      </w:r>
      <w:r>
        <w:t xml:space="preserve"> </w:t>
      </w:r>
      <w:r>
        <w:t xml:space="preserve">quite visible from the legal and political context, there is a large number of EU and Member</w:t>
      </w:r>
      <w:r>
        <w:t xml:space="preserve"> </w:t>
      </w:r>
      <w:r>
        <w:t xml:space="preserve">States policies which have a digital impact. Before the current COVID-19 crisis the keyword</w:t>
      </w:r>
      <w:r>
        <w:t xml:space="preserve"> </w:t>
      </w:r>
      <w:r>
        <w:t xml:space="preserve">digital was appearing in 14.5% of announced EU policy proposals, now their share went up to</w:t>
      </w:r>
      <w:r>
        <w:t xml:space="preserve"> </w:t>
      </w:r>
      <w:r>
        <w:t xml:space="preserve">47.2%74.</w:t>
      </w:r>
      <w:r>
        <w:t xml:space="preserve"> </w:t>
      </w:r>
      <w:r>
        <w:t xml:space="preserve">This is also reflected in the feedback received from the Member States in the Interoperability</w:t>
      </w:r>
      <w:r>
        <w:t xml:space="preserve"> </w:t>
      </w:r>
      <w:r>
        <w:t xml:space="preserve">expert group (especially in their recommendations) and throughout the public consultations.</w:t>
      </w:r>
      <w:r>
        <w:t xml:space="preserve"> </w:t>
      </w:r>
      <w:r>
        <w:t xml:space="preserve">‘We need an interoperability policy that is focused on enabling smooth, interoperable</w:t>
      </w:r>
      <w:r>
        <w:t xml:space="preserve"> </w:t>
      </w:r>
      <w:r>
        <w:t xml:space="preserve">implementation and delivery of digital public services at European level without adding new</w:t>
      </w:r>
      <w:r>
        <w:t xml:space="preserve"> </w:t>
      </w:r>
      <w:r>
        <w:t xml:space="preserve">obligations on Member States and that helps increase our overall digital maturity’ –</w:t>
      </w:r>
      <w:r>
        <w:t xml:space="preserve"> </w:t>
      </w:r>
      <w:r>
        <w:t xml:space="preserve">Recommendations from the expert group on Interoperability of European Public Services75</w:t>
      </w:r>
      <w:r>
        <w:t xml:space="preserve"> </w:t>
      </w:r>
      <w:r>
        <w:t xml:space="preserve">(October 2021).</w:t>
      </w:r>
      <w:r>
        <w:t xml:space="preserve"> </w:t>
      </w:r>
      <w:r>
        <w:t xml:space="preserve">The Member States have repeatedly highlighted that in general much of the challenge in terms</w:t>
      </w:r>
      <w:r>
        <w:t xml:space="preserve"> </w:t>
      </w:r>
      <w:r>
        <w:t xml:space="preserve">of interoperability can be related to issues with legal implementation. Differences in national</w:t>
      </w:r>
      <w:r>
        <w:t xml:space="preserve"> </w:t>
      </w:r>
      <w:r>
        <w:t xml:space="preserve">legislation result in different national processes and standards for data-handling, which make</w:t>
      </w:r>
      <w:r>
        <w:t xml:space="preserve"> </w:t>
      </w:r>
      <w:r>
        <w:t xml:space="preserve">interoperability across borders more difficult.</w:t>
      </w:r>
      <w:r>
        <w:t xml:space="preserve"> </w:t>
      </w:r>
      <w:r>
        <w:t xml:space="preserve">Another side effect of having many EU policies that have an impact on digitalisation of the</w:t>
      </w:r>
      <w:r>
        <w:t xml:space="preserve"> </w:t>
      </w:r>
      <w:r>
        <w:t xml:space="preserve">public sector is that there is an increase in reporting obligations on the public</w:t>
      </w:r>
      <w:r>
        <w:t xml:space="preserve"> </w:t>
      </w:r>
      <w:r>
        <w:t xml:space="preserve">administrations of the Member States. Member States authorities need to provide data, mostly</w:t>
      </w:r>
      <w:r>
        <w:t xml:space="preserve"> </w:t>
      </w:r>
      <w:r>
        <w:t xml:space="preserve">by replying to surveys, for the establishment of DESI, the National Interoperability</w:t>
      </w:r>
      <w:r>
        <w:t xml:space="preserve"> </w:t>
      </w:r>
      <w:r>
        <w:t xml:space="preserve">Framework Observatory, for the upcoming Digital Compass, Single Digital Gateway</w:t>
      </w:r>
      <w:r>
        <w:t xml:space="preserve"> </w:t>
      </w:r>
      <w:r>
        <w:t xml:space="preserve">Regulation, etc. Beyond EU policies they also provide data to the OECD digital government,</w:t>
      </w:r>
      <w:r>
        <w:t xml:space="preserve"> </w:t>
      </w:r>
      <w:r>
        <w:t xml:space="preserve">UN e-government, Berlin Declaration monitoring surveys. There is only anecdotical</w:t>
      </w:r>
      <w:r>
        <w:t xml:space="preserve"> </w:t>
      </w:r>
      <w:r>
        <w:t xml:space="preserve">automated data collection or sharing of collected data between these mechanisms.</w:t>
      </w:r>
      <w:r>
        <w:t xml:space="preserve"> </w:t>
      </w:r>
      <w:r>
        <w:t xml:space="preserve">There are also legal uncertainties related to the topic on how to facilitate GDPR-compliant</w:t>
      </w:r>
      <w:r>
        <w:t xml:space="preserve"> </w:t>
      </w:r>
      <w:r>
        <w:t xml:space="preserve">data sharing, intellectual property issues when sharing and reusing IT systems, or the</w:t>
      </w:r>
      <w:r>
        <w:t xml:space="preserve"> </w:t>
      </w:r>
      <w:r>
        <w:t xml:space="preserve">challenge of technical specifications that need to constantly evolve in legal texts. Those</w:t>
      </w:r>
      <w:r>
        <w:t xml:space="preserve"> </w:t>
      </w:r>
      <w:r>
        <w:t xml:space="preserve">blocking factors hinder the scaling up of digital public services across EU Member States and</w:t>
      </w:r>
      <w:r>
        <w:t xml:space="preserve"> </w:t>
      </w:r>
      <w:r>
        <w:t xml:space="preserve">must be addressed systematically.</w:t>
      </w:r>
    </w:p>
    <w:p>
      <w:pPr>
        <w:pStyle w:val="BodyText"/>
      </w:pPr>
      <w:r>
        <w:t xml:space="preserve">74</w:t>
      </w:r>
      <w:r>
        <w:br/>
      </w:r>
      <w:r>
        <w:t xml:space="preserve">Digital ready policymaking boosted by COVID-19.</w:t>
      </w:r>
      <w:r>
        <w:t xml:space="preserve"> </w:t>
      </w:r>
      <w:r>
        <w:t xml:space="preserve">75</w:t>
      </w:r>
      <w:r>
        <w:br/>
      </w:r>
      <w:r>
        <w:t xml:space="preserve">Register of Commission expert groups and other similar entities (europa.eu) 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 in the future?</w:t>
      </w:r>
      <w:r>
        <w:t xml:space="preserve"> </w:t>
      </w:r>
      <w:r>
        <w:t xml:space="preserve">In the literature there is no argument for less action on interoperability and digital</w:t>
      </w:r>
      <w:r>
        <w:t xml:space="preserve"> </w:t>
      </w:r>
      <w:r>
        <w:t xml:space="preserve">transformation of the public sector or for an expectation that the existing problems could be</w:t>
      </w:r>
      <w:r>
        <w:t xml:space="preserve"> </w:t>
      </w:r>
      <w:r>
        <w:t xml:space="preserve">resolved by individual actors alone. Without common action and shared ownership of</w:t>
      </w:r>
      <w:r>
        <w:t xml:space="preserve"> </w:t>
      </w:r>
      <w:r>
        <w:t xml:space="preserve">interoperability policies at EU level, the gap between the needs of citizens, businesses and</w:t>
      </w:r>
      <w:r>
        <w:t xml:space="preserve"> </w:t>
      </w:r>
      <w:r>
        <w:t xml:space="preserve">especially public administrations across Europe will continue to grow.</w:t>
      </w:r>
      <w:r>
        <w:t xml:space="preserve"> </w:t>
      </w:r>
      <w:r>
        <w:t xml:space="preserve">Data sharing and re-use is paramount to shape Europe’s digital future. However, data remains</w:t>
      </w:r>
      <w:r>
        <w:t xml:space="preserve"> </w:t>
      </w:r>
      <w:r>
        <w:t xml:space="preserve">fragmented across numerous domains as well as across borders. One of the most frequently</w:t>
      </w:r>
      <w:r>
        <w:t xml:space="preserve"> </w:t>
      </w:r>
      <w:r>
        <w:t xml:space="preserve">cited barriers holding back better data use is the lack of common standards, or the</w:t>
      </w:r>
      <w:r>
        <w:t xml:space="preserve"> </w:t>
      </w:r>
      <w:r>
        <w:t xml:space="preserve">proliferation of incompatible standards. For example, inconsistent data formats are</w:t>
      </w:r>
      <w:r>
        <w:t xml:space="preserve"> </w:t>
      </w:r>
      <w:r>
        <w:t xml:space="preserve">impediments to the creation of longitudinal data sets, as changes in measurement and</w:t>
      </w:r>
      <w:r>
        <w:t xml:space="preserve"> </w:t>
      </w:r>
      <w:r>
        <w:t xml:space="preserve">collection practices make it hard to compare and aggregate data’76.</w:t>
      </w:r>
      <w:r>
        <w:br/>
      </w:r>
      <w:r>
        <w:t xml:space="preserve">Moreover, the value of data becomes more important in data-centric societies in which more</w:t>
      </w:r>
      <w:r>
        <w:t xml:space="preserve"> </w:t>
      </w:r>
      <w:r>
        <w:t xml:space="preserve">evidenced decisions can be made. However, numerous relevant data are still not fully used by</w:t>
      </w:r>
      <w:r>
        <w:t xml:space="preserve"> </w:t>
      </w:r>
      <w:r>
        <w:t xml:space="preserve">the public sector for their delivered services and developed policies. In order to unlock the</w:t>
      </w:r>
      <w:r>
        <w:t xml:space="preserve"> </w:t>
      </w:r>
      <w:r>
        <w:t xml:space="preserve">wealth of data, public sector interoperability is indispensable.</w:t>
      </w:r>
      <w:r>
        <w:t xml:space="preserve"> </w:t>
      </w:r>
      <w:r>
        <w:t xml:space="preserve">The problem drivers described above are linked to a constant increase in data traffic77 and to</w:t>
      </w:r>
      <w:r>
        <w:t xml:space="preserve"> </w:t>
      </w:r>
      <w:r>
        <w:t xml:space="preserve">the mobility of citizens and businesses in the EU. This automatically leads to a constant</w:t>
      </w:r>
      <w:r>
        <w:t xml:space="preserve"> </w:t>
      </w:r>
      <w:r>
        <w:t xml:space="preserve">increase in the usage and requests for cross-border services and exchanges of data. For</w:t>
      </w:r>
      <w:r>
        <w:t xml:space="preserve"> </w:t>
      </w:r>
      <w:r>
        <w:t xml:space="preserve">instance, there is a significant number of people who cross borders for the purposes of tourism</w:t>
      </w:r>
      <w:r>
        <w:t xml:space="preserve"> </w:t>
      </w:r>
      <w:r>
        <w:t xml:space="preserve">– 64.7% of EU citizens aged 15 or more did so in 2019 and there is an upward trend in the</w:t>
      </w:r>
      <w:r>
        <w:t xml:space="preserve"> </w:t>
      </w:r>
      <w:r>
        <w:t xml:space="preserve">total number of nights that tourists spend in a country other than their own (from 100 in 2005</w:t>
      </w:r>
      <w:r>
        <w:t xml:space="preserve"> </w:t>
      </w:r>
      <w:r>
        <w:t xml:space="preserve">to 157.8 nights in 201978). In times of COVID-19, most tourists will be requested to show</w:t>
      </w:r>
      <w:r>
        <w:t xml:space="preserve"> </w:t>
      </w:r>
      <w:r>
        <w:t xml:space="preserve">their ‘Green passes’79. They can use the app from their home country to do so, thanks to the</w:t>
      </w:r>
      <w:r>
        <w:t xml:space="preserve"> </w:t>
      </w:r>
      <w:r>
        <w:t xml:space="preserve">interoperable EU-level standards that those apps are based on. But tourists might also be</w:t>
      </w:r>
      <w:r>
        <w:t xml:space="preserve"> </w:t>
      </w:r>
      <w:r>
        <w:t xml:space="preserve">required to show that the car they are using can enter a certain zone of the city restricted to</w:t>
      </w:r>
      <w:r>
        <w:t xml:space="preserve"> </w:t>
      </w:r>
      <w:r>
        <w:t xml:space="preserve">electric vehicles etc. Interoperability could help here and in a large number of other use cases</w:t>
      </w:r>
      <w:r>
        <w:t xml:space="preserve"> </w:t>
      </w:r>
      <w:r>
        <w:t xml:space="preserve">to provide real time clearance, data and services.</w:t>
      </w:r>
      <w:r>
        <w:t xml:space="preserve"> </w:t>
      </w:r>
      <w:r>
        <w:t xml:space="preserve">Furthermore, by relying on the internet (as a borderless structure), including for their work,</w:t>
      </w:r>
      <w:r>
        <w:t xml:space="preserve"> </w:t>
      </w:r>
      <w:r>
        <w:t xml:space="preserve">individuals are increasingly requiring cross-border services. The number of people living in a</w:t>
      </w:r>
      <w:r>
        <w:t xml:space="preserve"> </w:t>
      </w:r>
      <w:r>
        <w:t xml:space="preserve">foreign country is also trending upwards – Eurostat has found that, in 2019, 3.3% of EU</w:t>
      </w:r>
      <w:r>
        <w:t xml:space="preserve"> </w:t>
      </w:r>
      <w:r>
        <w:t xml:space="preserve">citizens of working age (20 to 64) lived in another Member State, as compared to 2.4% in</w:t>
      </w:r>
      <w:r>
        <w:t xml:space="preserve"> </w:t>
      </w:r>
      <w:r>
        <w:t xml:space="preserve">200980. With more and more people finding themselves in a cross-border situation, it is to be</w:t>
      </w:r>
      <w:r>
        <w:t xml:space="preserve"> </w:t>
      </w:r>
      <w:r>
        <w:t xml:space="preserve">expected that the usage of cross-border services and exchange of data will increase, placing</w:t>
      </w:r>
      <w:r>
        <w:t xml:space="preserve"> </w:t>
      </w:r>
      <w:r>
        <w:t xml:space="preserve">an even greater burden on public administrations.</w:t>
      </w:r>
      <w:r>
        <w:t xml:space="preserve"> </w:t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problems described in Chapter 2 show a need for EU action to foster interoperability of</w:t>
      </w:r>
      <w:r>
        <w:t xml:space="preserve"> </w:t>
      </w:r>
      <w:r>
        <w:t xml:space="preserve">network and information systems supporting public digital services in the Union across all</w:t>
      </w:r>
      <w:r>
        <w:t xml:space="preserve"> </w:t>
      </w:r>
      <w:r>
        <w:t xml:space="preserve">levels and sectors of government.</w:t>
      </w:r>
    </w:p>
    <w:p>
      <w:pPr>
        <w:pStyle w:val="BodyText"/>
      </w:pPr>
      <w:r>
        <w:t xml:space="preserve">76</w:t>
      </w:r>
      <w:r>
        <w:br/>
      </w:r>
      <w:r>
        <w:t xml:space="preserve">OECD (2019). Enhancing Access to and Sharing of Data: Reconciling Risks and Benefits for Data Re-</w:t>
      </w:r>
      <w:r>
        <w:t xml:space="preserve"> </w:t>
      </w:r>
      <w:r>
        <w:t xml:space="preserve">use across Societies; JRC paper on Business-to-business data sharing, forthcoming.</w:t>
      </w:r>
      <w:r>
        <w:t xml:space="preserve"> </w:t>
      </w:r>
      <w:r>
        <w:t xml:space="preserve">77</w:t>
      </w:r>
      <w:r>
        <w:br/>
      </w:r>
      <w:r>
        <w:t xml:space="preserve">Crossing borders - World Bank.</w:t>
      </w:r>
      <w:r>
        <w:t xml:space="preserve"> </w:t>
      </w:r>
      <w:r>
        <w:t xml:space="preserve">78</w:t>
      </w:r>
      <w:r>
        <w:br/>
      </w:r>
      <w:r>
        <w:t xml:space="preserve">Nights spent abroad by EU residents - Eurostat.</w:t>
      </w:r>
      <w:r>
        <w:t xml:space="preserve"> </w:t>
      </w:r>
      <w:r>
        <w:t xml:space="preserve">79</w:t>
      </w:r>
      <w:r>
        <w:br/>
      </w:r>
      <w:r>
        <w:t xml:space="preserve">REGULATION (EU) 2021/953 - EU Digital Covid Certificate.</w:t>
      </w:r>
      <w:r>
        <w:t xml:space="preserve"> </w:t>
      </w:r>
      <w:r>
        <w:t xml:space="preserve">80</w:t>
      </w:r>
      <w:r>
        <w:br/>
      </w:r>
      <w:r>
        <w:t xml:space="preserve">https://ec.europa.eu/eurostat/statistics-</w:t>
      </w:r>
      <w:r>
        <w:t xml:space="preserve"> </w:t>
      </w:r>
      <w:r>
        <w:t xml:space="preserve">explained/index.php?title=EU_citizens_living_in_another_Member_State_-_statistical_overview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EU’s competence to act in relation to interoperability of trans-European networks is</w:t>
      </w:r>
      <w:r>
        <w:t xml:space="preserve"> </w:t>
      </w:r>
      <w:r>
        <w:t xml:space="preserve">set out in Articles 170 - 172 of the TFEU, which requires the EU to ‘contribute to the</w:t>
      </w:r>
      <w:r>
        <w:t xml:space="preserve"> </w:t>
      </w:r>
      <w:r>
        <w:t xml:space="preserve">establishment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trans-European</w:t>
      </w:r>
      <w:r>
        <w:t xml:space="preserve"> </w:t>
      </w:r>
      <w:r>
        <w:t xml:space="preserve">networks’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of</w:t>
      </w:r>
      <w:r>
        <w:t xml:space="preserve"> </w:t>
      </w:r>
      <w:r>
        <w:t xml:space="preserve">telecommunications. Article 171(2) states that ‘Member States shall, in liaison with the</w:t>
      </w:r>
      <w:r>
        <w:t xml:space="preserve"> </w:t>
      </w:r>
      <w:r>
        <w:t xml:space="preserve">Commission, coordinate among themselves the pursued polices at national level which may</w:t>
      </w:r>
      <w:r>
        <w:t xml:space="preserve"> </w:t>
      </w:r>
      <w:r>
        <w:t xml:space="preserve">have a significant impact’ on the objective of the establishment of trans-European networks,</w:t>
      </w:r>
      <w:r>
        <w:t xml:space="preserve"> </w:t>
      </w:r>
      <w:r>
        <w:t xml:space="preserve">and the ‘Commission may, in close cooperation with the Member States, take any useful</w:t>
      </w:r>
      <w:r>
        <w:t xml:space="preserve"> </w:t>
      </w:r>
      <w:r>
        <w:t xml:space="preserve">initiative to promote such coordination’. Hence, action to ensure a coherent, human-centric</w:t>
      </w:r>
      <w:r>
        <w:t xml:space="preserve"> </w:t>
      </w:r>
      <w:r>
        <w:t xml:space="preserve">approach to interoperability from policymaking to policy implementation, accompanied by a</w:t>
      </w:r>
      <w:r>
        <w:t xml:space="preserve"> </w:t>
      </w:r>
      <w:r>
        <w:t xml:space="preserve">clear governance to streamline shared interoperability frameworks, solutions, guidelines and</w:t>
      </w:r>
      <w:r>
        <w:t xml:space="preserve"> </w:t>
      </w:r>
      <w:r>
        <w:t xml:space="preserve">specifications for digital public services across EU borders is within the scope of the EU’s</w:t>
      </w:r>
      <w:r>
        <w:t xml:space="preserve"> </w:t>
      </w:r>
      <w:r>
        <w:t xml:space="preserve">right to act. The EU shares competence in this area with the Member States.</w:t>
      </w:r>
      <w:r>
        <w:t xml:space="preserve"> </w:t>
      </w:r>
      <w:r>
        <w:t xml:space="preserve">The Union has used this legal base and its predecessor since 1994 to create funding</w:t>
      </w:r>
      <w:r>
        <w:t xml:space="preserve"> </w:t>
      </w:r>
      <w:r>
        <w:t xml:space="preserve">programmes supporting the development and dissemination of interoperability solutions for</w:t>
      </w:r>
      <w:r>
        <w:t xml:space="preserve"> </w:t>
      </w:r>
      <w:r>
        <w:t xml:space="preserve">public administrations and businesses as well as the set-up of cross-border digital services</w:t>
      </w:r>
      <w:r>
        <w:t xml:space="preserve"> </w:t>
      </w:r>
      <w:r>
        <w:t xml:space="preserve">infrastructures. The Court of Justice of the European Union decided with its judgment in the</w:t>
      </w:r>
      <w:r>
        <w:t xml:space="preserve"> </w:t>
      </w:r>
      <w:r>
        <w:t xml:space="preserve">case C-22/96 of 28 May 1998 that Union measures contributions to the ‘telematic interchange</w:t>
      </w:r>
      <w:r>
        <w:t xml:space="preserve"> </w:t>
      </w:r>
      <w:r>
        <w:t xml:space="preserve">of data between administrations in the Community’ (IDA)’ fall within the ambit of the trans-</w:t>
      </w:r>
      <w:r>
        <w:t xml:space="preserve"> </w:t>
      </w:r>
      <w:r>
        <w:t xml:space="preserve">European networks for telecommunication Articles 170 – 172 TFEU and that Art. 114 TFEU</w:t>
      </w:r>
      <w:r>
        <w:t xml:space="preserve"> </w:t>
      </w:r>
      <w:r>
        <w:t xml:space="preserve">cannot be used.</w:t>
      </w:r>
      <w:r>
        <w:t xml:space="preserve"> </w:t>
      </w:r>
      <w:r>
        <w:t xml:space="preserve">Under this legal base, the EU can go beyond providing funding; the Union can establish</w:t>
      </w:r>
      <w:r>
        <w:t xml:space="preserve"> </w:t>
      </w:r>
      <w:r>
        <w:t xml:space="preserve">guidelines, identify projects of common interest, implement any measures necessary to ensure</w:t>
      </w:r>
      <w:r>
        <w:t xml:space="preserve"> </w:t>
      </w:r>
      <w:r>
        <w:t xml:space="preserve">the interoperability, take initiatives to promote coordination between Member States, and</w:t>
      </w:r>
      <w:r>
        <w:t xml:space="preserve"> </w:t>
      </w:r>
      <w:r>
        <w:t xml:space="preserve">cooperate with third countries for similar purposes (Article 171 TFEU). In the framework of</w:t>
      </w:r>
      <w:r>
        <w:t xml:space="preserve"> </w:t>
      </w:r>
      <w:r>
        <w:t xml:space="preserve">other trans-European networks binding standards necessary to ensure the interoperability for</w:t>
      </w:r>
      <w:r>
        <w:t xml:space="preserve"> </w:t>
      </w:r>
      <w:r>
        <w:t xml:space="preserve">the respective sectors (e.g. energy and transportation) and governance frameworks with clear</w:t>
      </w:r>
      <w:r>
        <w:t xml:space="preserve"> </w:t>
      </w:r>
      <w:r>
        <w:t xml:space="preserve">roles and mandates have been established. For example, the Digital Europe Programme based</w:t>
      </w:r>
      <w:r>
        <w:t xml:space="preserve"> </w:t>
      </w:r>
      <w:r>
        <w:t xml:space="preserve">among others on Art. 172 TFEU defines a wide scope of potential actions for the</w:t>
      </w:r>
      <w:r>
        <w:t xml:space="preserve"> </w:t>
      </w:r>
      <w:r>
        <w:t xml:space="preserve">interoperability of European public service. Highlighting that interoperability81</w:t>
      </w:r>
      <w:r>
        <w:t xml:space="preserve"> </w:t>
      </w:r>
      <w:r>
        <w:t xml:space="preserve">-</w:t>
      </w:r>
      <w:r>
        <w:t xml:space="preserve"> </w:t>
      </w:r>
      <w:r>
        <w:t xml:space="preserve">‘concerns all levels of administration: Union, national, regional and local’,</w:t>
      </w:r>
      <w:r>
        <w:br/>
      </w:r>
      <w:r>
        <w:t xml:space="preserve">-</w:t>
      </w:r>
      <w:r>
        <w:t xml:space="preserve"> </w:t>
      </w:r>
      <w:r>
        <w:t xml:space="preserve">‘is to be understood in broad sense, spanning to technical and legal layers and</w:t>
      </w:r>
      <w:r>
        <w:t xml:space="preserve"> </w:t>
      </w:r>
      <w:r>
        <w:t xml:space="preserve">encompassing policy elements,’</w:t>
      </w:r>
      <w:r>
        <w:br/>
      </w:r>
      <w:r>
        <w:t xml:space="preserve">-</w:t>
      </w:r>
      <w:r>
        <w:t xml:space="preserve"> </w:t>
      </w:r>
      <w:r>
        <w:t xml:space="preserve">removing ‘barriers to a functioning internal market’,</w:t>
      </w:r>
      <w:r>
        <w:br/>
      </w:r>
      <w:r>
        <w:t xml:space="preserve">-</w:t>
      </w:r>
      <w:r>
        <w:t xml:space="preserve"> </w:t>
      </w:r>
      <w:r>
        <w:t xml:space="preserve">‘facilitates cross-border cooperation and the promotion of European standards and</w:t>
      </w:r>
      <w:r>
        <w:t xml:space="preserve"> </w:t>
      </w:r>
      <w:r>
        <w:t xml:space="preserve">the successful implementation of policies’</w:t>
      </w:r>
      <w:r>
        <w:br/>
      </w:r>
      <w:r>
        <w:t xml:space="preserve">-</w:t>
      </w:r>
      <w:r>
        <w:t xml:space="preserve"> </w:t>
      </w:r>
      <w:r>
        <w:t xml:space="preserve">‘offers great potential for avoiding cross-border electronic barriers, further securing</w:t>
      </w:r>
      <w:r>
        <w:t xml:space="preserve"> </w:t>
      </w:r>
      <w:r>
        <w:t xml:space="preserve">the emergence of new, and the consolidation of developing, common public services at</w:t>
      </w:r>
      <w:r>
        <w:t xml:space="preserve"> </w:t>
      </w:r>
      <w:r>
        <w:t xml:space="preserve">Union level’,</w:t>
      </w:r>
      <w:r>
        <w:t xml:space="preserve"> </w:t>
      </w:r>
      <w:r>
        <w:t xml:space="preserve">-</w:t>
      </w:r>
      <w:r>
        <w:t xml:space="preserve"> </w:t>
      </w:r>
      <w:r>
        <w:t xml:space="preserve">needs ‘a holistic cross-sector and cross-border approach’,</w:t>
      </w:r>
      <w:r>
        <w:t xml:space="preserve"> </w:t>
      </w:r>
      <w:r>
        <w:t xml:space="preserve">-</w:t>
      </w:r>
      <w:r>
        <w:t xml:space="preserve"> </w:t>
      </w:r>
      <w:r>
        <w:t xml:space="preserve">action facilitates ‘cross-fertilisation between different national initiatives’.</w:t>
      </w:r>
      <w:r>
        <w:t xml:space="preserve"> </w:t>
      </w:r>
      <w:r>
        <w:t xml:space="preserve">The objectives of this initiative to contribute to a Digital Single Market and to connect remote</w:t>
      </w:r>
      <w:r>
        <w:t xml:space="preserve"> </w:t>
      </w:r>
      <w:r>
        <w:t xml:space="preserve">areas fit well with the objectives of trans-European networks that shall help to reach the</w:t>
      </w:r>
      <w:r>
        <w:t xml:space="preserve"> </w:t>
      </w:r>
      <w:r>
        <w:t xml:space="preserve">objective of the Internal Market (Article 26 TFEU) and economic, social and territorial</w:t>
      </w:r>
      <w:r>
        <w:t xml:space="preserve"> </w:t>
      </w:r>
      <w:r>
        <w:t xml:space="preserve">cohesion of the EU (Article 174 TFEU). The interoperability-related activities under Digital</w:t>
      </w:r>
    </w:p>
    <w:p>
      <w:pPr>
        <w:pStyle w:val="BodyText"/>
      </w:pPr>
      <w:r>
        <w:t xml:space="preserve">81</w:t>
      </w:r>
      <w:r>
        <w:br/>
      </w:r>
      <w:r>
        <w:t xml:space="preserve">Regulation (EU) 2021/694, Recital 53.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Europe Programme will contribute to the implementation of the future interoperability policy</w:t>
      </w:r>
      <w:r>
        <w:t xml:space="preserve"> </w:t>
      </w:r>
      <w:r>
        <w:t xml:space="preserve">though a series of projects on legal, organisation, semantic and technical interoperability.</w:t>
      </w:r>
      <w:r>
        <w:t xml:space="preserve"> </w:t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evaluation of the European Interoperability Framework shows that the digital (and</w:t>
      </w:r>
      <w:r>
        <w:t xml:space="preserve"> </w:t>
      </w:r>
      <w:r>
        <w:t xml:space="preserve">interoperable) transformation of the EU public sector requires greater EU cooperation,</w:t>
      </w:r>
      <w:r>
        <w:t xml:space="preserve"> </w:t>
      </w:r>
      <w:r>
        <w:t xml:space="preserve">common rules and initiatives. The concrete needs across all levels and sectors of public</w:t>
      </w:r>
      <w:r>
        <w:t xml:space="preserve"> </w:t>
      </w:r>
      <w:r>
        <w:t xml:space="preserve">administrations that recently became more prominent during the COVID-19 crisis are a telling</w:t>
      </w:r>
      <w:r>
        <w:t xml:space="preserve"> </w:t>
      </w:r>
      <w:r>
        <w:t xml:space="preserve">example.</w:t>
      </w:r>
      <w:r>
        <w:t xml:space="preserve"> </w:t>
      </w:r>
      <w:r>
        <w:t xml:space="preserve">The COVID-19 crisis has shown that cooperation and governance mechanisms are needed not</w:t>
      </w:r>
      <w:r>
        <w:t xml:space="preserve"> </w:t>
      </w:r>
      <w:r>
        <w:t xml:space="preserve">just to improve basic public services but also to build resilience and the capability to deal</w:t>
      </w:r>
      <w:r>
        <w:t xml:space="preserve"> </w:t>
      </w:r>
      <w:r>
        <w:t xml:space="preserve">with unexpected emergencies. During the pandemic, countries with more digitalised and</w:t>
      </w:r>
      <w:r>
        <w:t xml:space="preserve"> </w:t>
      </w:r>
      <w:r>
        <w:t xml:space="preserve">interconnected governmental administrations and services reported less service disruptions82.</w:t>
      </w:r>
      <w:r>
        <w:t xml:space="preserve"> </w:t>
      </w:r>
      <w:r>
        <w:t xml:space="preserve">The pandemic also highlighted the need for better governance of response mechanisms</w:t>
      </w:r>
      <w:r>
        <w:t xml:space="preserve"> </w:t>
      </w:r>
      <w:r>
        <w:t xml:space="preserve">across the EU. The lack of data consistency hampered the EU’s capacity to respond</w:t>
      </w:r>
      <w:r>
        <w:t xml:space="preserve"> </w:t>
      </w:r>
      <w:r>
        <w:t xml:space="preserve">cooperatively early in the outbreak83. Interoperability by design was emphasised as vital for</w:t>
      </w:r>
      <w:r>
        <w:t xml:space="preserve"> </w:t>
      </w:r>
      <w:r>
        <w:t xml:space="preserve">effective cross-border contact tracing apps in the EU84. The work around the EU Digital</w:t>
      </w:r>
      <w:r>
        <w:t xml:space="preserve"> </w:t>
      </w:r>
      <w:r>
        <w:t xml:space="preserve">COVID certificate mainly consisted of working out a standard, interoperable technical</w:t>
      </w:r>
      <w:r>
        <w:t xml:space="preserve"> </w:t>
      </w:r>
      <w:r>
        <w:t xml:space="preserve">approach among the Member States.</w:t>
      </w:r>
      <w:r>
        <w:t xml:space="preserve"> </w:t>
      </w:r>
      <w:r>
        <w:t xml:space="preserve">The Tallinn Declaration of 2017 and the Berlin Declaration of December 202085, the call of</w:t>
      </w:r>
      <w:r>
        <w:t xml:space="preserve"> </w:t>
      </w:r>
      <w:r>
        <w:t xml:space="preserve">the Living-in.EU movement and the recommendations of the expert group on interoperability</w:t>
      </w:r>
      <w:r>
        <w:t xml:space="preserve"> </w:t>
      </w:r>
      <w:r>
        <w:t xml:space="preserve">of European public services show that public administrations across EU countries see a need</w:t>
      </w:r>
      <w:r>
        <w:t xml:space="preserve"> </w:t>
      </w:r>
      <w:r>
        <w:t xml:space="preserve">for coordinated EU action. In the same line, the EIF evaluation notes that in the absence of a</w:t>
      </w:r>
      <w:r>
        <w:t xml:space="preserve"> </w:t>
      </w:r>
      <w:r>
        <w:t xml:space="preserve">common approach, the development of a cohesive landscape of digital and interoperable</w:t>
      </w:r>
      <w:r>
        <w:t xml:space="preserve"> </w:t>
      </w:r>
      <w:r>
        <w:t xml:space="preserve">public services across the EU would be hindered by divergent measures taken at the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In addition, enhanced interoperability can significantly contribute to overarching goals for</w:t>
      </w:r>
      <w:r>
        <w:t xml:space="preserve"> </w:t>
      </w:r>
      <w:r>
        <w:t xml:space="preserve">the Digital Single Market, the digital agenda of the EU86, fostering innovation, ensuring</w:t>
      </w:r>
      <w:r>
        <w:t xml:space="preserve"> </w:t>
      </w:r>
      <w:r>
        <w:t xml:space="preserve">digital sovereignty and acting as a crucial enabler for new initiatives, such as the European</w:t>
      </w:r>
      <w:r>
        <w:t xml:space="preserve"> </w:t>
      </w:r>
      <w:r>
        <w:t xml:space="preserve">Data Spaces announced by the Commission in its Communication on a European Strategy for</w:t>
      </w:r>
      <w:r>
        <w:t xml:space="preserve"> </w:t>
      </w:r>
      <w:r>
        <w:t xml:space="preserve">Data87. National and/or sub-national interventions alone would not be able to address the</w:t>
      </w:r>
      <w:r>
        <w:t xml:space="preserve"> </w:t>
      </w:r>
      <w:r>
        <w:t xml:space="preserve">relevant policy problem.</w:t>
      </w:r>
      <w:r>
        <w:t xml:space="preserve"> </w:t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evaluations of the EIF and ISA² confirm the added value of an EU-level intervention for</w:t>
      </w:r>
      <w:r>
        <w:t xml:space="preserve"> </w:t>
      </w:r>
      <w:r>
        <w:t xml:space="preserve">interoperability. Building on the experience of implementing the EIF and ISA², an EU level</w:t>
      </w:r>
      <w:r>
        <w:t xml:space="preserve"> </w:t>
      </w:r>
      <w:r>
        <w:t xml:space="preserve">initiative for interoperability is likely to achieve its objectives at lower costs than</w:t>
      </w:r>
      <w:r>
        <w:t xml:space="preserve"> </w:t>
      </w:r>
      <w:r>
        <w:t xml:space="preserve">comparable national or sub-national initiatives, by creating economies of scale and economies</w:t>
      </w:r>
      <w:r>
        <w:t xml:space="preserve"> </w:t>
      </w:r>
      <w:r>
        <w:t xml:space="preserve">of learning generated by cooperation. The recent political communications are also based on</w:t>
      </w:r>
      <w:r>
        <w:t xml:space="preserve"> </w:t>
      </w:r>
      <w:r>
        <w:t xml:space="preserve">this assessment.</w:t>
      </w:r>
    </w:p>
    <w:p>
      <w:pPr>
        <w:pStyle w:val="BodyText"/>
      </w:pPr>
      <w:r>
        <w:t xml:space="preserve">82</w:t>
      </w:r>
      <w:r>
        <w:br/>
      </w:r>
      <w:r>
        <w:t xml:space="preserve">2021 Report on Public Administrations Digital Response to COVID19.</w:t>
      </w:r>
      <w:r>
        <w:t xml:space="preserve"> </w:t>
      </w:r>
      <w:r>
        <w:t xml:space="preserve">83</w:t>
      </w:r>
      <w:r>
        <w:br/>
      </w:r>
      <w:r>
        <w:t xml:space="preserve">Renda, A., &amp; Castro, R. (2020). Towards stronger EU governance of health threats after the COVID-19</w:t>
      </w:r>
      <w:r>
        <w:t xml:space="preserve"> </w:t>
      </w:r>
      <w:r>
        <w:t xml:space="preserve">pandemic. European Journal of Risk Regulation, 11(2), 273-282.</w:t>
      </w:r>
      <w:r>
        <w:t xml:space="preserve"> </w:t>
      </w:r>
      <w:r>
        <w:t xml:space="preserve">84</w:t>
      </w:r>
      <w:r>
        <w:br/>
      </w:r>
      <w:r>
        <w:t xml:space="preserve">National COVID-19 contact tracing apps, Briefing ITRE in Focus, European Parliament.</w:t>
      </w:r>
      <w:r>
        <w:t xml:space="preserve"> </w:t>
      </w:r>
      <w:r>
        <w:t xml:space="preserve">85</w:t>
      </w:r>
      <w:r>
        <w:br/>
      </w:r>
      <w:r>
        <w:t xml:space="preserve">Berlin Declaration on Digital Society and Value-Based Digital Government.</w:t>
      </w:r>
      <w:r>
        <w:t xml:space="preserve"> </w:t>
      </w:r>
      <w:r>
        <w:t xml:space="preserve">86</w:t>
      </w:r>
      <w:r>
        <w:br/>
      </w:r>
      <w:r>
        <w:t xml:space="preserve">The role of interoperability for enabling digitalisation was highlighted in the Mid-Term Review of the</w:t>
      </w:r>
      <w:r>
        <w:t xml:space="preserve"> </w:t>
      </w:r>
      <w:r>
        <w:t xml:space="preserve">Digital Single Market Strategy: COM/2017/0228 final.</w:t>
      </w:r>
      <w:r>
        <w:t xml:space="preserve"> </w:t>
      </w:r>
      <w:r>
        <w:t xml:space="preserve">87</w:t>
      </w:r>
      <w:r>
        <w:br/>
      </w:r>
      <w:r>
        <w:t xml:space="preserve">COM(2020) 66 final – ‘A European strategy for data’.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Beyond that, the cross-border dimension cannot be addressed only through the efforts of</w:t>
      </w:r>
      <w:r>
        <w:t xml:space="preserve"> </w:t>
      </w:r>
      <w:r>
        <w:t xml:space="preserve">national or sub-national governments. Even if national, regional, and local public</w:t>
      </w:r>
      <w:r>
        <w:t xml:space="preserve"> </w:t>
      </w:r>
      <w:r>
        <w:t xml:space="preserve">administrations strive to improve their approach to digital and interoperable public services,</w:t>
      </w:r>
      <w:r>
        <w:t xml:space="preserve"> </w:t>
      </w:r>
      <w:r>
        <w:t xml:space="preserve">without coordination, the strategies and solutions selected may impede the cross-border</w:t>
      </w:r>
      <w:r>
        <w:t xml:space="preserve"> </w:t>
      </w:r>
      <w:r>
        <w:t xml:space="preserve">interoperability landscape.</w:t>
      </w:r>
      <w:r>
        <w:t xml:space="preserve"> </w:t>
      </w:r>
      <w:r>
        <w:t xml:space="preserve">An EU involvement in cross-border interoperability serves both for coordination, ensuring a</w:t>
      </w:r>
      <w:r>
        <w:t xml:space="preserve"> </w:t>
      </w:r>
      <w:r>
        <w:t xml:space="preserve">consistent approach to interoperability throughout the EU and on international level, and as a</w:t>
      </w:r>
      <w:r>
        <w:t xml:space="preserve"> </w:t>
      </w:r>
      <w:r>
        <w:t xml:space="preserve">stimulant offering direction and support. EU action cannot and should not aim to replace local</w:t>
      </w:r>
      <w:r>
        <w:t xml:space="preserve"> </w:t>
      </w:r>
      <w:r>
        <w:t xml:space="preserve">responsibilities but can reinforce subsidiarity by enabling local actors to better meet the needs</w:t>
      </w:r>
      <w:r>
        <w:t xml:space="preserve"> </w:t>
      </w:r>
      <w:r>
        <w:t xml:space="preserve">of citizens and businesses. This resonates in the explicit call for building a common EU</w:t>
      </w:r>
      <w:r>
        <w:t xml:space="preserve"> </w:t>
      </w:r>
      <w:r>
        <w:t xml:space="preserve">interoperability coordination, e.g. in the Tallinn and Berlin declarations, the Living-in.EU</w:t>
      </w:r>
      <w:r>
        <w:t xml:space="preserve"> </w:t>
      </w:r>
      <w:r>
        <w:t xml:space="preserve">manifesto and the Interoperability expert group recommendations.</w:t>
      </w:r>
      <w:r>
        <w:t xml:space="preserve"> </w:t>
      </w:r>
      <w:r>
        <w:t xml:space="preserve">4.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Commission aims for ‘a reinforced EU governments interoperability strategy to ensure</w:t>
      </w:r>
      <w:r>
        <w:t xml:space="preserve"> </w:t>
      </w:r>
      <w:r>
        <w:t xml:space="preserve">coordination and common standards for secure and borderless public sector data flows and</w:t>
      </w:r>
      <w:r>
        <w:t xml:space="preserve"> </w:t>
      </w:r>
      <w:r>
        <w:t xml:space="preserve">services’88.</w:t>
      </w:r>
      <w:r>
        <w:t xml:space="preserve"> </w:t>
      </w:r>
      <w:r>
        <w:t xml:space="preserve">The general objective of the initiative on strengthening interoperability for the EU public</w:t>
      </w:r>
      <w:r>
        <w:t xml:space="preserve"> </w:t>
      </w:r>
      <w:r>
        <w:t xml:space="preserve">sector is to address the issues faced by the Member States and the European institutions when</w:t>
      </w:r>
      <w:r>
        <w:t xml:space="preserve"> </w:t>
      </w:r>
      <w:r>
        <w:t xml:space="preserve">delivering digital public services across borders in Europe. It will contribute to the objectives</w:t>
      </w:r>
      <w:r>
        <w:t xml:space="preserve"> </w:t>
      </w:r>
      <w:r>
        <w:t xml:space="preserve">set in Article 171 and 172 TFUE to establish and develop any measures that may prove</w:t>
      </w:r>
      <w:r>
        <w:t xml:space="preserve"> </w:t>
      </w:r>
      <w:r>
        <w:t xml:space="preserve">necessary to ensure the interoperability of the trans-European network as well as to promote</w:t>
      </w:r>
      <w:r>
        <w:t xml:space="preserve"> </w:t>
      </w:r>
      <w:r>
        <w:t xml:space="preserve">the interconnection and interoperability of national networks. Network is understood</w:t>
      </w:r>
      <w:r>
        <w:t xml:space="preserve"> </w:t>
      </w:r>
      <w:r>
        <w:t xml:space="preserve">holistically as the digital public service infrastructure underlying the delivery of public</w:t>
      </w:r>
      <w:r>
        <w:t xml:space="preserve"> </w:t>
      </w:r>
      <w:r>
        <w:t xml:space="preserve">services. It has all the components of an interrelated system that enable public services to be</w:t>
      </w:r>
      <w:r>
        <w:t xml:space="preserve"> </w:t>
      </w:r>
      <w:r>
        <w:t xml:space="preserve">delivered electronically. These include underlying legal, organisational and semantic</w:t>
      </w:r>
      <w:r>
        <w:t xml:space="preserve"> </w:t>
      </w:r>
      <w:r>
        <w:t xml:space="preserve">requirements as well as the technical setup.</w:t>
      </w:r>
      <w:r>
        <w:t xml:space="preserve"> </w:t>
      </w:r>
      <w:r>
        <w:t xml:space="preserve">A successful policy in this area would:</w:t>
      </w:r>
      <w:r>
        <w:t xml:space="preserve"> </w:t>
      </w:r>
      <w:r>
        <w:t xml:space="preserve">-</w:t>
      </w:r>
      <w:r>
        <w:t xml:space="preserve"> </w:t>
      </w:r>
      <w:r>
        <w:t xml:space="preserve">enable public administrations across the EU to exchange data in a secure way,</w:t>
      </w:r>
      <w:r>
        <w:t xml:space="preserve"> </w:t>
      </w:r>
      <w:r>
        <w:t xml:space="preserve">respecting privacy and fundamental rights;</w:t>
      </w:r>
      <w:r>
        <w:br/>
      </w:r>
      <w:r>
        <w:t xml:space="preserve">-</w:t>
      </w:r>
      <w:r>
        <w:t xml:space="preserve"> </w:t>
      </w:r>
      <w:r>
        <w:t xml:space="preserve">allow for seamless user-centric services and the sharing of common solutions</w:t>
      </w:r>
      <w:r>
        <w:t xml:space="preserve"> </w:t>
      </w:r>
      <w:r>
        <w:t xml:space="preserve">developed with EU funding; and</w:t>
      </w:r>
      <w:r>
        <w:br/>
      </w:r>
      <w:r>
        <w:t xml:space="preserve">-</w:t>
      </w:r>
      <w:r>
        <w:t xml:space="preserve"> </w:t>
      </w:r>
      <w:r>
        <w:t xml:space="preserve">foster data driven decision-making, foresight and participatory processes.</w:t>
      </w:r>
      <w:r>
        <w:t xml:space="preserve"> </w:t>
      </w:r>
      <w:r>
        <w:t xml:space="preserve">It would further help to reduce administrative burdens and costs for citizens and businesses,</w:t>
      </w:r>
      <w:r>
        <w:t xml:space="preserve"> </w:t>
      </w:r>
      <w:r>
        <w:t xml:space="preserve">facilitate cross-border cooperation, enable the successful implementation of European</w:t>
      </w:r>
      <w:r>
        <w:t xml:space="preserve"> </w:t>
      </w:r>
      <w:r>
        <w:t xml:space="preserve">policies, accelerate the digital transformation of public services and ensure their resilience89 in</w:t>
      </w:r>
      <w:r>
        <w:t xml:space="preserve"> </w:t>
      </w:r>
      <w:r>
        <w:t xml:space="preserve">case of disruptions brought on by crises like the current COVID-19. It would also support a</w:t>
      </w:r>
      <w:r>
        <w:t xml:space="preserve"> </w:t>
      </w:r>
      <w:r>
        <w:t xml:space="preserve">more efficient design and implementation of EU policies.</w:t>
      </w:r>
      <w:r>
        <w:t xml:space="preserve"> </w:t>
      </w:r>
      <w:r>
        <w:t xml:space="preserve">Cross-border interoperability is not solely enabled via centralised Member State digital</w:t>
      </w:r>
      <w:r>
        <w:t xml:space="preserve"> </w:t>
      </w:r>
      <w:r>
        <w:t xml:space="preserve">infrastructures. The digital solutions of today also use a decentralised approach. This entails</w:t>
      </w:r>
      <w:r>
        <w:t xml:space="preserve"> </w:t>
      </w:r>
      <w:r>
        <w:t xml:space="preserve">data exchange between local administrations in different Member States without necessarily</w:t>
      </w:r>
    </w:p>
    <w:p>
      <w:pPr>
        <w:pStyle w:val="BodyText"/>
      </w:pPr>
      <w:r>
        <w:t xml:space="preserve">88</w:t>
      </w:r>
      <w:r>
        <w:br/>
      </w:r>
      <w:r>
        <w:t xml:space="preserve">As set out in the 2020 Communication ‘Shaping Europe’s digital future’.</w:t>
      </w:r>
      <w:r>
        <w:t xml:space="preserve"> </w:t>
      </w:r>
      <w:r>
        <w:t xml:space="preserve">89</w:t>
      </w:r>
      <w:r>
        <w:br/>
      </w:r>
      <w:r>
        <w:t xml:space="preserve">Digital resilience, as defined in the 2020 Strategic Foresight Report, is ‘about ensuring that the way we</w:t>
      </w:r>
      <w:r>
        <w:t xml:space="preserve"> </w:t>
      </w:r>
      <w:r>
        <w:t xml:space="preserve">live, work, learn, interact, and think in this digital age preserves and enhances human dignity, freedom,</w:t>
      </w:r>
      <w:r>
        <w:t xml:space="preserve"> </w:t>
      </w:r>
      <w:r>
        <w:t xml:space="preserve">equality, security, democracy, and other European fundamental rights and values.’ Resilience</w:t>
      </w:r>
      <w:r>
        <w:t xml:space="preserve"> </w:t>
      </w:r>
      <w:r>
        <w:t xml:space="preserve">dashboards.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going through national nodes. This underlines the importance of common solutions across all</w:t>
      </w:r>
      <w:r>
        <w:t xml:space="preserve"> </w:t>
      </w:r>
      <w:r>
        <w:t xml:space="preserve">administrative levels, particularly for specifications and applications. Needs for cross-border</w:t>
      </w:r>
      <w:r>
        <w:t xml:space="preserve"> </w:t>
      </w:r>
      <w:r>
        <w:t xml:space="preserve">digital interactions are increasing and they require solutions that can fulfil these needs.</w:t>
      </w:r>
      <w:r>
        <w:t xml:space="preserve"> </w:t>
      </w:r>
      <w:r>
        <w:t xml:space="preserve">Interoperability cannot and should not replace horizontal and sectorial actions that will</w:t>
      </w:r>
      <w:r>
        <w:t xml:space="preserve"> </w:t>
      </w:r>
      <w:r>
        <w:t xml:space="preserve">continue to be decisive to build a European Digital Single Market. Nonetheless a smart</w:t>
      </w:r>
      <w:r>
        <w:t xml:space="preserve"> </w:t>
      </w:r>
      <w:r>
        <w:t xml:space="preserve">interoperability policy can provide the needed foundations to facilitate policy implementation</w:t>
      </w:r>
      <w:r>
        <w:t xml:space="preserve"> </w:t>
      </w:r>
      <w:r>
        <w:t xml:space="preserve">and enforce links between different policies. It helps build digital-ready and interoperable-by-</w:t>
      </w:r>
      <w:r>
        <w:t xml:space="preserve"> </w:t>
      </w:r>
      <w:r>
        <w:t xml:space="preserve">default policy initiatives at all levels (legal, organisational, semantic, technical).</w:t>
      </w:r>
      <w:r>
        <w:t xml:space="preserve"> </w:t>
      </w:r>
      <w:r>
        <w:t xml:space="preserve">This initiative would help tackle the problem and drivers identified in Chapter 2, and ensure a</w:t>
      </w:r>
      <w:r>
        <w:t xml:space="preserve"> </w:t>
      </w:r>
      <w:r>
        <w:t xml:space="preserve">coordinated approach to EU interoperability to help EU and Member States institutions</w:t>
      </w:r>
      <w:r>
        <w:t xml:space="preserve"> </w:t>
      </w:r>
      <w:r>
        <w:t xml:space="preserve">deliver better services to citizens and businesses across Europe.</w:t>
      </w:r>
      <w:r>
        <w:t xml:space="preserve"> </w:t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EIF evaluation, the ISA² evaluation, the stakeholder consultations and the</w:t>
      </w:r>
      <w:r>
        <w:t xml:space="preserve"> </w:t>
      </w:r>
      <w:r>
        <w:t xml:space="preserve">recommendations from the Expert group on Interoperability of European public services</w:t>
      </w:r>
      <w:r>
        <w:t xml:space="preserve"> </w:t>
      </w:r>
      <w:r>
        <w:t xml:space="preserve">conclude that, in order to help EU public administrations deliver better services, EU action</w:t>
      </w:r>
      <w:r>
        <w:t xml:space="preserve"> </w:t>
      </w:r>
      <w:r>
        <w:t xml:space="preserve">is needed in three concrete areas:</w:t>
      </w:r>
      <w:r>
        <w:t xml:space="preserve"> </w:t>
      </w:r>
      <w:r>
        <w:t xml:space="preserve"> Ensure a coherent, human-centric EU approach to interoperability from</w:t>
      </w:r>
      <w:r>
        <w:t xml:space="preserve"> </w:t>
      </w:r>
      <w:r>
        <w:t xml:space="preserve">policymaking to policy implementation;</w:t>
      </w:r>
      <w:r>
        <w:t xml:space="preserve"> </w:t>
      </w:r>
      <w:r>
        <w:t xml:space="preserve"> Establish an interoperability governance designed to enable public administrations from</w:t>
      </w:r>
      <w:r>
        <w:t xml:space="preserve"> </w:t>
      </w:r>
      <w:r>
        <w:t xml:space="preserve">all levels and sectors as well as private stakeholders to work together – with a clear</w:t>
      </w:r>
      <w:r>
        <w:t xml:space="preserve"> </w:t>
      </w:r>
      <w:r>
        <w:t xml:space="preserve">mandate to agree on shared interoperability resources (e.g. IT solutions, specifications,</w:t>
      </w:r>
      <w:r>
        <w:t xml:space="preserve"> </w:t>
      </w:r>
      <w:r>
        <w:t xml:space="preserve">standards or guidelines); and,</w:t>
      </w:r>
      <w:r>
        <w:t xml:space="preserve"> </w:t>
      </w:r>
      <w:r>
        <w:t xml:space="preserve"> Co-create an ecosystem of interoperability resources (solutions, open standards, data</w:t>
      </w:r>
      <w:r>
        <w:t xml:space="preserve"> </w:t>
      </w:r>
      <w:r>
        <w:t xml:space="preserve">and services) for the EU’s public sector, so that public administrations at all levels in the</w:t>
      </w:r>
      <w:r>
        <w:t xml:space="preserve"> </w:t>
      </w:r>
      <w:r>
        <w:t xml:space="preserve">EU and other stakeholders can contribute to and re-use such resources, create public value</w:t>
      </w:r>
      <w:r>
        <w:t xml:space="preserve"> </w:t>
      </w:r>
      <w:r>
        <w:t xml:space="preserve">and innovate together.</w:t>
      </w:r>
      <w:r>
        <w:br/>
      </w:r>
      <w:r>
        <w:t xml:space="preserve">Interoperability across different policy areas can only be achieved if there are a political will,</w:t>
      </w:r>
      <w:r>
        <w:t xml:space="preserve"> </w:t>
      </w:r>
      <w:r>
        <w:t xml:space="preserve">clear guidelines90, and clearly identified interoperability resources which are taken up</w:t>
      </w:r>
      <w:r>
        <w:t xml:space="preserve"> </w:t>
      </w:r>
      <w:r>
        <w:t xml:space="preserve">systematically. A successful policy would establish effective safeguards and mechanisms to</w:t>
      </w:r>
      <w:r>
        <w:t xml:space="preserve"> </w:t>
      </w:r>
      <w:r>
        <w:t xml:space="preserve">ensure that EU policies set ‘interoperable by default’ requirements for the implementation of</w:t>
      </w:r>
      <w:r>
        <w:t xml:space="preserve"> </w:t>
      </w:r>
      <w:r>
        <w:t xml:space="preserve">policies, and that the digital implementation of EU policies by public administrations or other</w:t>
      </w:r>
      <w:r>
        <w:t xml:space="preserve"> </w:t>
      </w:r>
      <w:r>
        <w:t xml:space="preserve">stakeholders across the Union is efficiently supported through an established interoperability</w:t>
      </w:r>
      <w:r>
        <w:t xml:space="preserve"> </w:t>
      </w:r>
      <w:r>
        <w:t xml:space="preserve">governance91 and resources. It would offer administrations the needed guidance and tools,</w:t>
      </w:r>
      <w:r>
        <w:t xml:space="preserve"> </w:t>
      </w:r>
      <w:r>
        <w:t xml:space="preserve">respected and referenced across all policy areas. It would support the design and</w:t>
      </w:r>
      <w:r>
        <w:t xml:space="preserve"> </w:t>
      </w:r>
      <w:r>
        <w:t xml:space="preserve">implementation of EU policies that are digital-ready by default92.</w:t>
      </w:r>
      <w:r>
        <w:t xml:space="preserve"> </w:t>
      </w:r>
      <w:r>
        <w:t xml:space="preserve">As interoperability is about different entities working together towards a shared goal, in a</w:t>
      </w:r>
      <w:r>
        <w:t xml:space="preserve"> </w:t>
      </w:r>
      <w:r>
        <w:t xml:space="preserve">complex system like the EU public sector, and in full respect of subsidiarity, it can only be</w:t>
      </w:r>
      <w:r>
        <w:t xml:space="preserve"> </w:t>
      </w:r>
      <w:r>
        <w:t xml:space="preserve">achieved through a sound multi-level governance. A successful policy would offer a clear</w:t>
      </w:r>
      <w:r>
        <w:t xml:space="preserve"> </w:t>
      </w:r>
      <w:r>
        <w:t xml:space="preserve">governance setup co-owned by Member States and the EU, offering all stakeholders</w:t>
      </w:r>
      <w:r>
        <w:t xml:space="preserve"> </w:t>
      </w:r>
      <w:r>
        <w:t xml:space="preserve">space to contribute their ideas and concerns, with transparent processes leading to joint</w:t>
      </w:r>
      <w:r>
        <w:t xml:space="preserve"> </w:t>
      </w:r>
      <w:r>
        <w:t xml:space="preserve">interoperability resources. Well crafted, governance is empowering because it clarifies rules,</w:t>
      </w:r>
      <w:r>
        <w:t xml:space="preserve"> </w:t>
      </w:r>
      <w:r>
        <w:t xml:space="preserve">responsibilities, input and outcomes, and accountability. It helps all involved actors</w:t>
      </w:r>
      <w:r>
        <w:t xml:space="preserve"> </w:t>
      </w:r>
      <w:r>
        <w:t xml:space="preserve">understand decision-making processes and offers opportunities for engagement. A successful</w:t>
      </w:r>
    </w:p>
    <w:p>
      <w:pPr>
        <w:pStyle w:val="BodyText"/>
      </w:pPr>
      <w:r>
        <w:t xml:space="preserve">90</w:t>
      </w:r>
      <w:r>
        <w:br/>
      </w:r>
      <w:r>
        <w:t xml:space="preserve">In Art. 171 TFEU establishing guidelines is the first measure mentioned to reach interoperability.</w:t>
      </w:r>
      <w:r>
        <w:t xml:space="preserve"> </w:t>
      </w:r>
      <w:r>
        <w:t xml:space="preserve">91</w:t>
      </w:r>
      <w:r>
        <w:br/>
      </w:r>
      <w:r>
        <w:t xml:space="preserve">The EIF gives guidelines for establishing such an interoperability governance: It recommends covering</w:t>
      </w:r>
      <w:r>
        <w:t xml:space="preserve"> </w:t>
      </w:r>
      <w:r>
        <w:t xml:space="preserve">all layers: legal, organisational, semantic and technical.</w:t>
      </w:r>
      <w:r>
        <w:t xml:space="preserve"> </w:t>
      </w:r>
      <w:r>
        <w:t xml:space="preserve">92</w:t>
      </w:r>
      <w:r>
        <w:br/>
      </w:r>
      <w:r>
        <w:t xml:space="preserve">Digital-ready policymaking as referenced in the 2021 Better Regulation guidelines.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interoperability policy would need to be an integrator for all relevant initiatives, offering an</w:t>
      </w:r>
      <w:r>
        <w:t xml:space="preserve"> </w:t>
      </w:r>
      <w:r>
        <w:t xml:space="preserve">agile cooperation structure, transparency and inclusiveness, and support take-up of the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Figure 8. Intervention Logic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5.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The policy options identified include non-legislative and legislative actions providing for</w:t>
      </w:r>
      <w:r>
        <w:t xml:space="preserve"> </w:t>
      </w:r>
      <w:r>
        <w:t xml:space="preserve">voluntary or mandatory use of interoperability solutions and specifications. The options are</w:t>
      </w:r>
      <w:r>
        <w:t xml:space="preserve"> </w:t>
      </w:r>
      <w:r>
        <w:t xml:space="preserve">described in detail below.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Option 0 (baseline scenario)</w:t>
      </w:r>
      <w:r>
        <w:t xml:space="preserve"> </w:t>
      </w:r>
      <w:r>
        <w:t xml:space="preserve">No action is taken to increase the interoperability of the services of public interest in Europe.</w:t>
      </w:r>
      <w:r>
        <w:t xml:space="preserve"> </w:t>
      </w:r>
      <w:r>
        <w:t xml:space="preserve">The Commission would not propose any new specific measures to address the problems</w:t>
      </w:r>
      <w:r>
        <w:t xml:space="preserve"> </w:t>
      </w:r>
      <w:r>
        <w:t xml:space="preserve">discovered in the recent evaluation of the EIF and the ISA² programme or the</w:t>
      </w:r>
      <w:r>
        <w:t xml:space="preserve"> </w:t>
      </w:r>
      <w:r>
        <w:t xml:space="preserve">recommendations from the expert group. The baseline is characterised by the following</w:t>
      </w:r>
      <w:r>
        <w:t xml:space="preserve"> </w:t>
      </w:r>
      <w:r>
        <w:t xml:space="preserve">aspects:</w:t>
      </w:r>
      <w:r>
        <w:t xml:space="preserve"> </w:t>
      </w:r>
      <w:r>
        <w:t xml:space="preserve">-</w:t>
      </w:r>
      <w:r>
        <w:t xml:space="preserve"> </w:t>
      </w:r>
      <w:r>
        <w:t xml:space="preserve">The 2017 EIF remains in place with no change;</w:t>
      </w:r>
      <w:r>
        <w:t xml:space="preserve"> </w:t>
      </w:r>
      <w:r>
        <w:t xml:space="preserve">-</w:t>
      </w:r>
      <w:r>
        <w:t xml:space="preserve"> </w:t>
      </w:r>
      <w:r>
        <w:t xml:space="preserve">The Interoperability Action Plan,93 would not be updated and therefore be outdated.</w:t>
      </w:r>
      <w:r>
        <w:t xml:space="preserve"> </w:t>
      </w:r>
      <w:r>
        <w:t xml:space="preserve">-</w:t>
      </w:r>
      <w:r>
        <w:t xml:space="preserve"> </w:t>
      </w:r>
      <w:r>
        <w:t xml:space="preserve">Some supporting actions continue under the Digital Europe Programme such as the</w:t>
      </w:r>
      <w:r>
        <w:t xml:space="preserve"> </w:t>
      </w:r>
      <w:r>
        <w:t xml:space="preserve">National Interoperability Framework Observatory (NIFO) and the EIF toolbox;</w:t>
      </w:r>
      <w:r>
        <w:t xml:space="preserve"> </w:t>
      </w:r>
      <w:r>
        <w:t xml:space="preserve">-</w:t>
      </w:r>
      <w:r>
        <w:t xml:space="preserve"> </w:t>
      </w:r>
      <w:r>
        <w:t xml:space="preserve">Work continues with the expert group on Interoperability of European public</w:t>
      </w:r>
      <w:r>
        <w:t xml:space="preserve"> </w:t>
      </w:r>
      <w:r>
        <w:t xml:space="preserve">services;</w:t>
      </w:r>
      <w:r>
        <w:t xml:space="preserve"> </w:t>
      </w:r>
      <w:r>
        <w:t xml:space="preserve">-</w:t>
      </w:r>
      <w:r>
        <w:t xml:space="preserve"> </w:t>
      </w:r>
      <w:r>
        <w:t xml:space="preserve">No support measures as regards Digital readiness for EC policy proposals are</w:t>
      </w:r>
      <w:r>
        <w:t xml:space="preserve"> </w:t>
      </w:r>
      <w:r>
        <w:t xml:space="preserve">undertaken, beyond what is already available in the updated Better Regulation Guidelines</w:t>
      </w:r>
      <w:r>
        <w:t xml:space="preserve"> </w:t>
      </w:r>
      <w:r>
        <w:t xml:space="preserve">and Toolbox; and,</w:t>
      </w:r>
      <w:r>
        <w:t xml:space="preserve"> </w:t>
      </w:r>
      <w:r>
        <w:t xml:space="preserve">-</w:t>
      </w:r>
      <w:r>
        <w:t xml:space="preserve"> </w:t>
      </w:r>
      <w:r>
        <w:t xml:space="preserve">Limited and informal support from the EC Interoperability Unit94 provided to other</w:t>
      </w:r>
      <w:r>
        <w:t xml:space="preserve"> </w:t>
      </w:r>
      <w:r>
        <w:t xml:space="preserve">digital policies with high interoperability stakes (e.g. semantic work package of Digital</w:t>
      </w:r>
      <w:r>
        <w:t xml:space="preserve"> </w:t>
      </w:r>
      <w:r>
        <w:t xml:space="preserve">Single Gateway Once Only Principle), if requested by policy DGs.</w:t>
      </w:r>
      <w:r>
        <w:t xml:space="preserve"> </w:t>
      </w:r>
      <w:r>
        <w:t xml:space="preserve">The formal ISA² Committee where Member States participated in strategic steering of the</w:t>
      </w:r>
      <w:r>
        <w:t xml:space="preserve"> </w:t>
      </w:r>
      <w:r>
        <w:t xml:space="preserve">programme and follow up of interoperability actions, ceased to exist at the end of the</w:t>
      </w:r>
      <w:r>
        <w:t xml:space="preserve"> </w:t>
      </w:r>
      <w:r>
        <w:t xml:space="preserve">programme in 2020. It would not be replaced so there will be no direct governance with</w:t>
      </w:r>
      <w:r>
        <w:t xml:space="preserve"> </w:t>
      </w:r>
      <w:r>
        <w:t xml:space="preserve">Member States on Interoperability actions. There would be a limited steering via the</w:t>
      </w:r>
      <w:r>
        <w:t xml:space="preserve"> </w:t>
      </w:r>
      <w:r>
        <w:t xml:space="preserve">Digital Europe Programme committee which coordinates the implementation of the whole</w:t>
      </w:r>
      <w:r>
        <w:t xml:space="preserve"> </w:t>
      </w:r>
      <w:r>
        <w:t xml:space="preserve">programme where interoperability actions represent a very small part of the overall</w:t>
      </w:r>
      <w:r>
        <w:t xml:space="preserve"> </w:t>
      </w:r>
      <w:r>
        <w:t xml:space="preserve">financing95 and the level of engagement with Member States on this particular topic is limited.</w:t>
      </w:r>
      <w:r>
        <w:t xml:space="preserve"> </w:t>
      </w:r>
      <w:r>
        <w:t xml:space="preserve">As ISA² has come to an end in December 2020, some of the existing EIF implementing</w:t>
      </w:r>
      <w:r>
        <w:t xml:space="preserve"> </w:t>
      </w:r>
      <w:r>
        <w:t xml:space="preserve">actions covered by ISA² will continue to be supported in the new Digital Europe Programme</w:t>
      </w:r>
      <w:r>
        <w:t xml:space="preserve"> </w:t>
      </w:r>
      <w:r>
        <w:t xml:space="preserve">but there would be no coherent catalogue of interoperability resources put in place.</w:t>
      </w:r>
      <w:r>
        <w:t xml:space="preserve"> </w:t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Option 1: Non-legislative</w:t>
      </w:r>
      <w:r>
        <w:t xml:space="preserve"> </w:t>
      </w:r>
      <w:r>
        <w:t xml:space="preserve">This option is a continuation of the baseline option, with the addition of several non-binding</w:t>
      </w:r>
      <w:r>
        <w:t xml:space="preserve"> </w:t>
      </w:r>
      <w:r>
        <w:t xml:space="preserve">policy statements from the Commission. The uptake in public administrations across the EU</w:t>
      </w:r>
      <w:r>
        <w:t xml:space="preserve"> </w:t>
      </w:r>
      <w:r>
        <w:t xml:space="preserve">remains voluntary.</w:t>
      </w:r>
      <w:r>
        <w:t xml:space="preserve"> </w:t>
      </w:r>
      <w:r>
        <w:t xml:space="preserve">The Commission adopts a Communication which would:</w:t>
      </w:r>
      <w:r>
        <w:t xml:space="preserve"> </w:t>
      </w:r>
      <w:r>
        <w:t xml:space="preserve">-</w:t>
      </w:r>
      <w:r>
        <w:t xml:space="preserve"> </w:t>
      </w:r>
      <w:r>
        <w:t xml:space="preserve">Update the European Interoperability Framework;</w:t>
      </w:r>
    </w:p>
    <w:p>
      <w:pPr>
        <w:pStyle w:val="BodyText"/>
      </w:pPr>
      <w:r>
        <w:t xml:space="preserve">93</w:t>
      </w:r>
      <w:r>
        <w:br/>
      </w:r>
      <w:r>
        <w:t xml:space="preserve">COM(2017) 134 final, EIF - Implementation Strategy, Annex 1 - Interoperability Action Plan.</w:t>
      </w:r>
      <w:r>
        <w:t xml:space="preserve"> </w:t>
      </w:r>
      <w:r>
        <w:t xml:space="preserve">94</w:t>
      </w:r>
      <w:r>
        <w:br/>
      </w:r>
      <w:r>
        <w:t xml:space="preserve">The unit in the Directorate-General for Informatics (DG DIGIT) working on Interoperability</w:t>
      </w:r>
      <w:r>
        <w:t xml:space="preserve"> </w:t>
      </w:r>
      <w:r>
        <w:t xml:space="preserve">(DIGIT.D2).</w:t>
      </w:r>
      <w:r>
        <w:t xml:space="preserve"> </w:t>
      </w:r>
      <w:r>
        <w:t xml:space="preserve">95</w:t>
      </w:r>
      <w:r>
        <w:br/>
      </w:r>
      <w:r>
        <w:t xml:space="preserve">The 2021 – 2027 budget of the Interoperability actions represents 2.2% of the total of the Digital</w:t>
      </w:r>
      <w:r>
        <w:t xml:space="preserve"> </w:t>
      </w:r>
      <w:r>
        <w:t xml:space="preserve">Europe Programme (EUR 168 million out of EUR 7 500 million).</w:t>
      </w:r>
    </w:p>
    <w:bookmarkStart w:id="9" w:name="section"/>
    <w:p>
      <w:pPr>
        <w:pStyle w:val="Heading2"/>
      </w:pPr>
      <w:r>
        <w:t xml:space="preserve">29</w:t>
      </w:r>
    </w:p>
    <w:bookmarkEnd w:id="9"/>
    <w:bookmarkStart w:id="10" w:name="X68fe5a7bacc4ebd0abb8d95820f391e22746e5f"/>
    <w:p>
      <w:pPr>
        <w:pStyle w:val="Heading2"/>
      </w:pPr>
      <w:r>
        <w:t xml:space="preserve">Update the outdated Interoperability Action Plan96;</w:t>
      </w:r>
    </w:p>
    <w:bookmarkEnd w:id="10"/>
    <w:bookmarkStart w:id="11" w:name="X6ab8604a945e9c41255629e4cd60d13ff78cbe0"/>
    <w:p>
      <w:pPr>
        <w:pStyle w:val="Heading2"/>
      </w:pPr>
      <w:r>
        <w:t xml:space="preserve">Call for the uptake of open-source software;</w:t>
      </w:r>
    </w:p>
    <w:p>
      <w:pPr>
        <w:pStyle w:val="FirstParagraph"/>
      </w:pPr>
      <w:r>
        <w:t xml:space="preserve">Call for coordination with local public administrations by publishing the European</w:t>
      </w:r>
      <w:r>
        <w:t xml:space="preserve"> </w:t>
      </w:r>
      <w:r>
        <w:t xml:space="preserve">Interoperability Framework for Smart cities and Communities (EIF4SCC)97;</w:t>
      </w:r>
      <w:r>
        <w:t xml:space="preserve"> </w:t>
      </w:r>
      <w:r>
        <w:t xml:space="preserve">-</w:t>
      </w:r>
      <w:r>
        <w:t xml:space="preserve"> </w:t>
      </w:r>
      <w:r>
        <w:t xml:space="preserve">Announce the intention to work on synergies between the Commission’s existing and</w:t>
      </w:r>
      <w:r>
        <w:t xml:space="preserve"> </w:t>
      </w:r>
      <w:r>
        <w:t xml:space="preserve">future monitoring and reporting systems on digital public sector initiatives, including</w:t>
      </w:r>
      <w:r>
        <w:t xml:space="preserve"> </w:t>
      </w:r>
      <w:r>
        <w:t xml:space="preserve">specific indicators on interoperability; and,</w:t>
      </w:r>
      <w:r>
        <w:t xml:space="preserve"> </w:t>
      </w:r>
      <w:r>
        <w:t xml:space="preserve">-</w:t>
      </w:r>
      <w:r>
        <w:t xml:space="preserve"> </w:t>
      </w:r>
      <w:r>
        <w:t xml:space="preserve">Offer ad-hoc support of the expert group on Interoperability of European public services</w:t>
      </w:r>
      <w:r>
        <w:t xml:space="preserve"> </w:t>
      </w:r>
      <w:r>
        <w:t xml:space="preserve">in the design of policies with a high interoperability stake98.</w:t>
      </w:r>
      <w:r>
        <w:t xml:space="preserve"> </w:t>
      </w:r>
      <w:r>
        <w:t xml:space="preserve">A new version of the EIF could address some of the shortcomings detected in the EIF</w:t>
      </w:r>
      <w:r>
        <w:t xml:space="preserve"> </w:t>
      </w:r>
      <w:r>
        <w:t xml:space="preserve">evaluation and take on board some of the recommendations of the expert group99. The EIF</w:t>
      </w:r>
      <w:r>
        <w:t xml:space="preserve"> </w:t>
      </w:r>
      <w:r>
        <w:t xml:space="preserve">could be restructured into a more concrete and practical framework focused on facilitating</w:t>
      </w:r>
      <w:r>
        <w:t xml:space="preserve"> </w:t>
      </w:r>
      <w:r>
        <w:t xml:space="preserve">implementation, include calls for open-source software and specifications and to facilitate the</w:t>
      </w:r>
      <w:r>
        <w:t xml:space="preserve"> </w:t>
      </w:r>
      <w:r>
        <w:t xml:space="preserve">implementation of open and interoperable services that provide incentives for the take-up of</w:t>
      </w:r>
      <w:r>
        <w:t xml:space="preserve"> </w:t>
      </w:r>
      <w:r>
        <w:t xml:space="preserve">common specifications100. Monitoring would be underpinned by revised key performance</w:t>
      </w:r>
      <w:r>
        <w:t xml:space="preserve"> </w:t>
      </w:r>
      <w:r>
        <w:t xml:space="preserve">indicators and ‘SMART goals’ (specific, measurable, achievable, realistic, and timely) to</w:t>
      </w:r>
      <w:r>
        <w:t xml:space="preserve"> </w:t>
      </w:r>
      <w:r>
        <w:t xml:space="preserve">facilitate the assessment of its outcomes101. A revised action plan for Interoperability could be</w:t>
      </w:r>
      <w:r>
        <w:t xml:space="preserve"> </w:t>
      </w:r>
      <w:r>
        <w:t xml:space="preserve">put in place to define actions further needed under the Interoperability specific objective of</w:t>
      </w:r>
      <w:r>
        <w:t xml:space="preserve"> </w:t>
      </w:r>
      <w:r>
        <w:t xml:space="preserve">the Digital Europe Programme.</w:t>
      </w:r>
      <w:r>
        <w:t xml:space="preserve"> </w:t>
      </w:r>
      <w:r>
        <w:t xml:space="preserve">To improve the coordination with local public administrations, the framework for smart cities</w:t>
      </w:r>
      <w:r>
        <w:t xml:space="preserve"> </w:t>
      </w:r>
      <w:r>
        <w:t xml:space="preserve">EIF4SCC, developed under the ISA² programme in conjunction with the Living-in.EU</w:t>
      </w:r>
      <w:r>
        <w:t xml:space="preserve"> </w:t>
      </w:r>
      <w:r>
        <w:t xml:space="preserve">community, could be published as an annex to the communication. It would allow the current</w:t>
      </w:r>
      <w:r>
        <w:t xml:space="preserve"> </w:t>
      </w:r>
      <w:r>
        <w:t xml:space="preserve">interoperability expert group to cooperate more easily with the Living-in.EU community</w:t>
      </w:r>
      <w:r>
        <w:t xml:space="preserve"> </w:t>
      </w:r>
      <w:r>
        <w:t xml:space="preserve">which, to a certain degree, would help address the specific interoperability challenges faced at</w:t>
      </w:r>
      <w:r>
        <w:t xml:space="preserve"> </w:t>
      </w:r>
      <w:r>
        <w:t xml:space="preserve">local level and promote some collaboration across different levels of government.</w:t>
      </w:r>
      <w:r>
        <w:t xml:space="preserve"> </w:t>
      </w:r>
      <w:r>
        <w:t xml:space="preserve">For digital-ready policy making the expert group on interoperability of European public</w:t>
      </w:r>
      <w:r>
        <w:t xml:space="preserve"> </w:t>
      </w:r>
      <w:r>
        <w:t xml:space="preserve">services could provide ad-hoc support early in the design of some EU policies with high</w:t>
      </w:r>
      <w:r>
        <w:t xml:space="preserve"> </w:t>
      </w:r>
      <w:r>
        <w:t xml:space="preserve">interoperability stake cross-borders or across different sectors. This would necessarily remain</w:t>
      </w:r>
      <w:r>
        <w:t xml:space="preserve"> </w:t>
      </w:r>
      <w:r>
        <w:t xml:space="preserve">voluntary and occasional.</w:t>
      </w:r>
      <w:r>
        <w:t xml:space="preserve"> </w:t>
      </w:r>
      <w:r>
        <w:t xml:space="preserve">5.3.</w:t>
      </w:r>
      <w:r>
        <w:t xml:space="preserve"> </w:t>
      </w:r>
      <w:r>
        <w:t xml:space="preserve">5.3.</w:t>
      </w:r>
      <w:r>
        <w:t xml:space="preserve"> </w:t>
      </w:r>
      <w:r>
        <w:t xml:space="preserve">Option 2: Legislative initiative - New legal framework for an</w:t>
      </w:r>
      <w:r>
        <w:t xml:space="preserve"> </w:t>
      </w:r>
      <w:r>
        <w:t xml:space="preserve">interoperable EU public sector infrastructure and strengthened EU policy</w:t>
      </w:r>
      <w:r>
        <w:t xml:space="preserve"> </w:t>
      </w:r>
      <w:r>
        <w:t xml:space="preserve">coordination</w:t>
      </w:r>
      <w:r>
        <w:t xml:space="preserve"> </w:t>
      </w:r>
      <w:r>
        <w:t xml:space="preserve">Option 2 would consist of a package with a policy communication on strengthened EU</w:t>
      </w:r>
      <w:r>
        <w:t xml:space="preserve"> </w:t>
      </w:r>
      <w:r>
        <w:t xml:space="preserve">interoperability policy coordination and a legislative act that would foster a coherent EU</w:t>
      </w:r>
      <w:r>
        <w:t xml:space="preserve"> </w:t>
      </w:r>
      <w:r>
        <w:t xml:space="preserve">approach to interoperability by proposing the setup of an interoperable EU public sector</w:t>
      </w:r>
      <w:r>
        <w:t xml:space="preserve"> </w:t>
      </w:r>
      <w:r>
        <w:t xml:space="preserve">infrastructure. The legislative act would act on three main pillars – governance, solutions and</w:t>
      </w:r>
      <w:r>
        <w:t xml:space="preserve"> </w:t>
      </w:r>
      <w:r>
        <w:t xml:space="preserve">support measures:</w:t>
      </w:r>
      <w:r>
        <w:t xml:space="preserve"> </w:t>
      </w:r>
      <w:r>
        <w:t xml:space="preserve">-</w:t>
      </w:r>
      <w:r>
        <w:t xml:space="preserve"> </w:t>
      </w:r>
      <w:r>
        <w:t xml:space="preserve">Establish a multi-level governance setup for EU public sector interoperability,</w:t>
      </w:r>
      <w:r>
        <w:t xml:space="preserve"> </w:t>
      </w:r>
      <w:r>
        <w:t xml:space="preserve">with clear roles and mandates. In this governance, Member States and EU</w:t>
      </w:r>
      <w:r>
        <w:t xml:space="preserve"> </w:t>
      </w:r>
      <w:r>
        <w:t xml:space="preserve">institutions and agencies set the strategic goals and agree on concrete measures that</w:t>
      </w:r>
    </w:p>
    <w:p>
      <w:pPr>
        <w:pStyle w:val="BodyText"/>
      </w:pPr>
      <w:r>
        <w:t xml:space="preserve">96</w:t>
      </w:r>
      <w:r>
        <w:br/>
      </w:r>
      <w:r>
        <w:t xml:space="preserve">COM(2017) 134 final, EIF - Implementation Strategy, Annex 1 - Interoperability Action Plan.</w:t>
      </w:r>
      <w:r>
        <w:t xml:space="preserve"> </w:t>
      </w:r>
      <w:r>
        <w:t xml:space="preserve">97</w:t>
      </w:r>
      <w:r>
        <w:br/>
      </w:r>
      <w:r>
        <w:t xml:space="preserve">Proposal for a European Interoperability Framework for Smart Cities and Communities.</w:t>
      </w:r>
      <w:r>
        <w:t xml:space="preserve"> </w:t>
      </w:r>
      <w:r>
        <w:t xml:space="preserve">98</w:t>
      </w:r>
      <w:r>
        <w:br/>
      </w:r>
      <w:r>
        <w:t xml:space="preserve">For instance, policies similar to the Single Digital Gateway Regulation or the Digital Identity are</w:t>
      </w:r>
      <w:r>
        <w:t xml:space="preserve"> </w:t>
      </w:r>
      <w:r>
        <w:t xml:space="preserve">considered to have a high interoperability stake for public services.</w:t>
      </w:r>
      <w:r>
        <w:t xml:space="preserve"> </w:t>
      </w:r>
      <w:r>
        <w:t xml:space="preserve">99</w:t>
      </w:r>
      <w:r>
        <w:br/>
      </w:r>
      <w:r>
        <w:t xml:space="preserve">These potential changes were mentioned in the meeting of the Interoperability Expert Group of 7 July</w:t>
      </w:r>
      <w:r>
        <w:t xml:space="preserve"> </w:t>
      </w:r>
      <w:r>
        <w:t xml:space="preserve">2020.</w:t>
      </w:r>
      <w:r>
        <w:t xml:space="preserve"> </w:t>
      </w:r>
      <w:r>
        <w:t xml:space="preserve">100</w:t>
      </w:r>
      <w:r>
        <w:br/>
      </w:r>
      <w:r>
        <w:t xml:space="preserve">This example is part of the feedback received on the roadmap summarised in Annex II.</w:t>
      </w:r>
      <w:r>
        <w:t xml:space="preserve"> </w:t>
      </w:r>
      <w:r>
        <w:t xml:space="preserve">101</w:t>
      </w:r>
      <w:r>
        <w:br/>
      </w:r>
      <w:r>
        <w:t xml:space="preserve">These potential changes were mentioned in the meeting of the Interoperability Expert Group of 7 July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can ensure the cross-border interoperability of their digital public service</w:t>
      </w:r>
      <w:r>
        <w:t xml:space="preserve"> </w:t>
      </w:r>
      <w:r>
        <w:t xml:space="preserve">infrastructures; a governance body or board would be established and it would be</w:t>
      </w:r>
      <w:r>
        <w:t xml:space="preserve"> </w:t>
      </w:r>
      <w:r>
        <w:t xml:space="preserve">composed of representatives from the Member States, and the Commission to define</w:t>
      </w:r>
      <w:r>
        <w:t xml:space="preserve"> </w:t>
      </w:r>
      <w:r>
        <w:t xml:space="preserve">the general direction and cooperation on interoperability to promote the digital</w:t>
      </w:r>
      <w:r>
        <w:t xml:space="preserve"> </w:t>
      </w:r>
      <w:r>
        <w:t xml:space="preserve">interconnection and interoperability of networks and infrastructures supporting digital</w:t>
      </w:r>
      <w:r>
        <w:t xml:space="preserve"> </w:t>
      </w:r>
      <w:r>
        <w:t xml:space="preserve">services in the Union. This board would cooperate closely with existing future bodies</w:t>
      </w:r>
      <w:r>
        <w:t xml:space="preserve"> </w:t>
      </w:r>
      <w:r>
        <w:t xml:space="preserve">established under Union law in the areas of data policy or digital government, such as</w:t>
      </w:r>
      <w:r>
        <w:t xml:space="preserve"> </w:t>
      </w:r>
      <w:r>
        <w:t xml:space="preserve">the Data Governance Act or the AI Act;</w:t>
      </w:r>
      <w:r>
        <w:t xml:space="preserve"> </w:t>
      </w:r>
      <w:r>
        <w:t xml:space="preserve">-</w:t>
      </w:r>
      <w:r>
        <w:t xml:space="preserve"> </w:t>
      </w:r>
      <w:r>
        <w:t xml:space="preserve">Enact the obligation for Member States to designate a national coordinator of digital</w:t>
      </w:r>
      <w:r>
        <w:t xml:space="preserve"> </w:t>
      </w:r>
      <w:r>
        <w:t xml:space="preserve">transformation (e.g. a national ‘Chief Information Officer’) at Member State level and</w:t>
      </w:r>
      <w:r>
        <w:t xml:space="preserve"> </w:t>
      </w:r>
      <w:r>
        <w:t xml:space="preserve">appoint him/her as member of the governance board;</w:t>
      </w:r>
      <w:r>
        <w:t xml:space="preserve"> </w:t>
      </w:r>
      <w:r>
        <w:t xml:space="preserve">-</w:t>
      </w:r>
      <w:r>
        <w:t xml:space="preserve"> </w:t>
      </w:r>
      <w:r>
        <w:t xml:space="preserve">Set up an ecosystem of interoperability solutions that support cross-border digital</w:t>
      </w:r>
      <w:r>
        <w:t xml:space="preserve"> </w:t>
      </w:r>
      <w:r>
        <w:t xml:space="preserve">public services: this will include the European Interoperability Framework and its</w:t>
      </w:r>
      <w:r>
        <w:t xml:space="preserve"> </w:t>
      </w:r>
      <w:r>
        <w:t xml:space="preserve">specialisations, and it will add the possibility for the governance to recommend</w:t>
      </w:r>
      <w:r>
        <w:t xml:space="preserve"> </w:t>
      </w:r>
      <w:r>
        <w:t xml:space="preserve">specifications and applications which can be used to foster interoperability across</w:t>
      </w:r>
      <w:r>
        <w:t xml:space="preserve"> </w:t>
      </w:r>
      <w:r>
        <w:t xml:space="preserve">sectors and administrative levels, while not being mandatory;</w:t>
      </w:r>
      <w:r>
        <w:t xml:space="preserve"> </w:t>
      </w:r>
      <w:r>
        <w:t xml:space="preserve">-</w:t>
      </w:r>
      <w:r>
        <w:t xml:space="preserve"> </w:t>
      </w:r>
      <w:r>
        <w:t xml:space="preserve">Put in place interoperability support measures that set out a clear process on how EU</w:t>
      </w:r>
      <w:r>
        <w:t xml:space="preserve"> </w:t>
      </w:r>
      <w:r>
        <w:t xml:space="preserve">wide projects in the framework of the Regulation can support interoperable and digital</w:t>
      </w:r>
      <w:r>
        <w:t xml:space="preserve"> </w:t>
      </w:r>
      <w:r>
        <w:t xml:space="preserve">EU policy implementation across the EU public sector. To support 36 innovative</w:t>
      </w:r>
      <w:r>
        <w:t xml:space="preserve"> </w:t>
      </w:r>
      <w:r>
        <w:t xml:space="preserve">interoperability solutions the governance can authorise the set-up of regulatory</w:t>
      </w:r>
      <w:r>
        <w:t xml:space="preserve"> </w:t>
      </w:r>
      <w:r>
        <w:t xml:space="preserve">sandboxes in cross-border contexts. A peer-review system and provisions on training</w:t>
      </w:r>
      <w:r>
        <w:t xml:space="preserve"> </w:t>
      </w:r>
      <w:r>
        <w:t xml:space="preserve">enhance two further important interoperability enablers (skills and knowledge</w:t>
      </w:r>
      <w:r>
        <w:t xml:space="preserve"> </w:t>
      </w:r>
      <w:r>
        <w:t xml:space="preserve">exchange);</w:t>
      </w:r>
      <w:r>
        <w:t xml:space="preserve"> </w:t>
      </w:r>
      <w:r>
        <w:t xml:space="preserve">-</w:t>
      </w:r>
      <w:r>
        <w:t xml:space="preserve"> </w:t>
      </w:r>
      <w:r>
        <w:t xml:space="preserve">A requirement for public administrations to assess their alignment with the</w:t>
      </w:r>
      <w:r>
        <w:t xml:space="preserve"> </w:t>
      </w:r>
      <w:r>
        <w:t xml:space="preserve">recommended interoperability resources and those mandated by EU laws in</w:t>
      </w:r>
      <w:r>
        <w:t xml:space="preserve"> </w:t>
      </w:r>
      <w:r>
        <w:t xml:space="preserve">specified cases (e.g. linked to EU funding or linked to cross-border public sector</w:t>
      </w:r>
      <w:r>
        <w:t xml:space="preserve"> </w:t>
      </w:r>
      <w:r>
        <w:t xml:space="preserve">infrastructures);</w:t>
      </w:r>
      <w:r>
        <w:t xml:space="preserve"> </w:t>
      </w:r>
      <w:r>
        <w:t xml:space="preserve">-</w:t>
      </w:r>
      <w:r>
        <w:t xml:space="preserve"> </w:t>
      </w:r>
      <w:r>
        <w:t xml:space="preserve">An obligation for Member States to reference interoperability resources on a</w:t>
      </w:r>
      <w:r>
        <w:t xml:space="preserve"> </w:t>
      </w:r>
      <w:r>
        <w:t xml:space="preserve">common platform (e.g. Joinup) if they have been developed with the support of EU</w:t>
      </w:r>
      <w:r>
        <w:t xml:space="preserve"> </w:t>
      </w:r>
      <w:r>
        <w:t xml:space="preserve">funding;</w:t>
      </w:r>
      <w:r>
        <w:br/>
      </w:r>
      <w:r>
        <w:t xml:space="preserve">-</w:t>
      </w:r>
      <w:r>
        <w:t xml:space="preserve"> </w:t>
      </w:r>
      <w:r>
        <w:t xml:space="preserve">A basis for making future EU funding conditional to public sector digitalisation</w:t>
      </w:r>
      <w:r>
        <w:t xml:space="preserve"> </w:t>
      </w:r>
      <w:r>
        <w:t xml:space="preserve">projects being aligned and/or contributing to the development of shared</w:t>
      </w:r>
      <w:r>
        <w:t xml:space="preserve"> </w:t>
      </w:r>
      <w:r>
        <w:t xml:space="preserve">interoperability resources;</w:t>
      </w:r>
      <w:r>
        <w:t xml:space="preserve"> </w:t>
      </w:r>
      <w:r>
        <w:t xml:space="preserve">-</w:t>
      </w:r>
      <w:r>
        <w:t xml:space="preserve"> </w:t>
      </w:r>
      <w:r>
        <w:t xml:space="preserve">Legal clarity for the sharing and re-using of publicly owned interoperability</w:t>
      </w:r>
      <w:r>
        <w:t xml:space="preserve"> </w:t>
      </w:r>
      <w:r>
        <w:t xml:space="preserve">resources, it would support the use of the latest version of European Union Public</w:t>
      </w:r>
      <w:r>
        <w:t xml:space="preserve"> </w:t>
      </w:r>
      <w:r>
        <w:t xml:space="preserve">Licence (EUPL) to enhance legal clarity and mutual recognition of licences in the</w:t>
      </w:r>
      <w:r>
        <w:t xml:space="preserve"> </w:t>
      </w:r>
      <w:r>
        <w:t xml:space="preserve">Member States;</w:t>
      </w:r>
      <w:r>
        <w:br/>
      </w:r>
      <w:r>
        <w:t xml:space="preserve">-</w:t>
      </w:r>
      <w:r>
        <w:t xml:space="preserve"> </w:t>
      </w:r>
      <w:r>
        <w:t xml:space="preserve">A legal mandate for the Commission to develop international cooperation in</w:t>
      </w:r>
      <w:r>
        <w:t xml:space="preserve"> </w:t>
      </w:r>
      <w:r>
        <w:t xml:space="preserve">interoperability; and,</w:t>
      </w:r>
      <w:r>
        <w:t xml:space="preserve"> </w:t>
      </w:r>
      <w:r>
        <w:t xml:space="preserve">-</w:t>
      </w:r>
      <w:r>
        <w:t xml:space="preserve"> </w:t>
      </w:r>
      <w:r>
        <w:t xml:space="preserve">A monitoring mechanism in close alignment with the Digital Compass.</w:t>
      </w:r>
      <w:r>
        <w:t xml:space="preserve"> </w:t>
      </w:r>
      <w:r>
        <w:t xml:space="preserve">The policy communication would:</w:t>
      </w:r>
      <w:r>
        <w:t xml:space="preserve"> </w:t>
      </w:r>
      <w:r>
        <w:t xml:space="preserve">-</w:t>
      </w:r>
      <w:r>
        <w:t xml:space="preserve"> </w:t>
      </w:r>
      <w:r>
        <w:t xml:space="preserve">Set out the Commission’s policy aims on public sector interoperability, supporting</w:t>
      </w:r>
      <w:r>
        <w:t xml:space="preserve"> </w:t>
      </w:r>
      <w:r>
        <w:t xml:space="preserve">coherence across sectoral and horizontal EU policies, innovative projects, and</w:t>
      </w:r>
      <w:r>
        <w:t xml:space="preserve"> </w:t>
      </w:r>
      <w:r>
        <w:t xml:space="preserve">accelerating the implementation of public sector digital transformation (such as the</w:t>
      </w:r>
      <w:r>
        <w:t xml:space="preserve"> </w:t>
      </w:r>
      <w:r>
        <w:t xml:space="preserve">Recovery and Resilience Programmes and the Digital Decade), including in the</w:t>
      </w:r>
      <w:r>
        <w:t xml:space="preserve"> </w:t>
      </w:r>
      <w:r>
        <w:t xml:space="preserve">Commission and its own policy-making.</w:t>
      </w:r>
    </w:p>
    <w:bookmarkEnd w:id="11"/>
    <w:bookmarkStart w:id="12" w:name="section-1"/>
    <w:p>
      <w:pPr>
        <w:pStyle w:val="Heading2"/>
      </w:pPr>
      <w:r>
        <w:t xml:space="preserve">31</w:t>
      </w:r>
    </w:p>
    <w:p>
      <w:pPr>
        <w:pStyle w:val="FirstParagraph"/>
      </w:pPr>
      <w:r>
        <w:t xml:space="preserve">Establish an Interoperability agenda to support funding programmes with public</w:t>
      </w:r>
      <w:r>
        <w:t xml:space="preserve"> </w:t>
      </w:r>
      <w:r>
        <w:t xml:space="preserve">sector digitalisation in scope</w:t>
      </w:r>
      <w:r>
        <w:t xml:space="preserve"> </w:t>
      </w:r>
      <w:r>
        <w:t xml:space="preserve">As in Option 1 - Call for the uptake of open-source software, address coordination with local</w:t>
      </w:r>
      <w:r>
        <w:t xml:space="preserve"> </w:t>
      </w:r>
      <w:r>
        <w:t xml:space="preserve">public administrations via the Interoperability framework for smart cities and communities</w:t>
      </w:r>
      <w:r>
        <w:t xml:space="preserve"> </w:t>
      </w:r>
      <w:r>
        <w:t xml:space="preserve">(EIF4SCC), call for synergies between monitoring and reporting systems the Commission has</w:t>
      </w:r>
      <w:r>
        <w:t xml:space="preserve"> </w:t>
      </w:r>
      <w:r>
        <w:t xml:space="preserve">on digital public sector initiative.</w:t>
      </w:r>
      <w:r>
        <w:t xml:space="preserve"> </w:t>
      </w:r>
      <w:r>
        <w:t xml:space="preserve">Option 2 would establish the needed legal certainty for structural cooperation:</w:t>
      </w:r>
      <w:r>
        <w:br/>
      </w:r>
      <w:r>
        <w:t xml:space="preserve">Member States CIOs together with the European Commission would form a common</w:t>
      </w:r>
      <w:r>
        <w:t xml:space="preserve"> </w:t>
      </w:r>
      <w:r>
        <w:t xml:space="preserve">interoperability governance like an interoperable Europe Board with a mandate to identify</w:t>
      </w:r>
      <w:r>
        <w:t xml:space="preserve"> </w:t>
      </w:r>
      <w:r>
        <w:t xml:space="preserve">and</w:t>
      </w:r>
      <w:r>
        <w:t xml:space="preserve"> </w:t>
      </w:r>
      <w:r>
        <w:t xml:space="preserve">propose</w:t>
      </w:r>
      <w:r>
        <w:t xml:space="preserve"> </w:t>
      </w:r>
      <w:r>
        <w:t xml:space="preserve">recommended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resources</w:t>
      </w:r>
      <w:r>
        <w:t xml:space="preserve"> </w:t>
      </w:r>
      <w:r>
        <w:t xml:space="preserve">(solutions</w:t>
      </w:r>
      <w:r>
        <w:t xml:space="preserve"> </w:t>
      </w:r>
      <w:r>
        <w:t xml:space="preserve">specifications,</w:t>
      </w:r>
      <w:r>
        <w:t xml:space="preserve"> </w:t>
      </w:r>
      <w:r>
        <w:t xml:space="preserve">frameworks…), propose measures to foster the share and reuse of interoperable solutions,</w:t>
      </w:r>
      <w:r>
        <w:t xml:space="preserve"> </w:t>
      </w:r>
      <w:r>
        <w:t xml:space="preserve">propose measures to enhance interoperability capabilities of public sector bodies, support the</w:t>
      </w:r>
      <w:r>
        <w:t xml:space="preserve"> </w:t>
      </w:r>
      <w:r>
        <w:t xml:space="preserve">work of the European Data Innovation Board, on interoperability solutions for the common</w:t>
      </w:r>
      <w:r>
        <w:t xml:space="preserve"> </w:t>
      </w:r>
      <w:r>
        <w:t xml:space="preserve">European Data Spaces, as well as any other Union body working on interoperability solutions</w:t>
      </w:r>
      <w:r>
        <w:t xml:space="preserve"> </w:t>
      </w:r>
      <w:r>
        <w:t xml:space="preserve">relevant for the public sector. The Board would be supported by a community of experts that</w:t>
      </w:r>
      <w:r>
        <w:t xml:space="preserve"> </w:t>
      </w:r>
      <w:r>
        <w:t xml:space="preserve">would enable the involvement of a broader set of stakeholders for the operational tasks.</w:t>
      </w:r>
      <w:r>
        <w:t xml:space="preserve"> </w:t>
      </w:r>
      <w:r>
        <w:t xml:space="preserve">Governance means co-ownership of senior (CIO level) Member State representatives with</w:t>
      </w:r>
      <w:r>
        <w:t xml:space="preserve"> </w:t>
      </w:r>
      <w:r>
        <w:t xml:space="preserve">clear roles and responsibilities, transparent decision-making and involvement of practitioner</w:t>
      </w:r>
      <w:r>
        <w:t xml:space="preserve"> </w:t>
      </w:r>
      <w:r>
        <w:t xml:space="preserve">communities to test, evaluate and develop shared interoperability solutions.</w:t>
      </w:r>
      <w:r>
        <w:br/>
      </w:r>
      <w:r>
        <w:t xml:space="preserve">It would introduce obligations on Member States to designate national coordinators which</w:t>
      </w:r>
      <w:r>
        <w:t xml:space="preserve"> </w:t>
      </w:r>
      <w:r>
        <w:t xml:space="preserve">would become full members of the main governance body. They would also be obliged to</w:t>
      </w:r>
      <w:r>
        <w:t xml:space="preserve"> </w:t>
      </w:r>
      <w:r>
        <w:t xml:space="preserve">reference the interoperability resources developed with EU funding on a common platform,</w:t>
      </w:r>
      <w:r>
        <w:t xml:space="preserve"> </w:t>
      </w:r>
      <w:r>
        <w:t xml:space="preserve">which would allow all participants to share and reuse solutions and specifications in a more</w:t>
      </w:r>
      <w:r>
        <w:t xml:space="preserve"> </w:t>
      </w:r>
      <w:r>
        <w:t xml:space="preserve">consistent way.</w:t>
      </w:r>
      <w:r>
        <w:br/>
      </w:r>
      <w:r>
        <w:t xml:space="preserve">Regions and cities, academic experts, civil society, as well as GovTech and open-source</w:t>
      </w:r>
      <w:r>
        <w:t xml:space="preserve"> </w:t>
      </w:r>
      <w:r>
        <w:t xml:space="preserve">experts should be appropriately associated to this cooperation structure. These stakeholders</w:t>
      </w:r>
      <w:r>
        <w:t xml:space="preserve"> </w:t>
      </w:r>
      <w:r>
        <w:t xml:space="preserve">can help develop solutions to facilitate the interoperable implementation of EU policies or</w:t>
      </w:r>
      <w:r>
        <w:t xml:space="preserve"> </w:t>
      </w:r>
      <w:r>
        <w:t xml:space="preserve">work on other shared needs, following the example of the cyber-security competence</w:t>
      </w:r>
      <w:r>
        <w:t xml:space="preserve"> </w:t>
      </w:r>
      <w:r>
        <w:t xml:space="preserve">community established with Regulation (EU) 2021/887.</w:t>
      </w:r>
      <w:r>
        <w:br/>
      </w:r>
      <w:r>
        <w:t xml:space="preserve">While more and more policies have, among their objectives, to contribute to the EU’s digital</w:t>
      </w:r>
      <w:r>
        <w:t xml:space="preserve"> </w:t>
      </w:r>
      <w:r>
        <w:t xml:space="preserve">transition, it is crucial that they also have a clear interoperability legal reference to link to,</w:t>
      </w:r>
      <w:r>
        <w:t xml:space="preserve"> </w:t>
      </w:r>
      <w:r>
        <w:t xml:space="preserve">as it is the case for IT security or data protection and privacy issues.</w:t>
      </w:r>
      <w:r>
        <w:t xml:space="preserve"> </w:t>
      </w:r>
      <w:r>
        <w:t xml:space="preserve">The multi-level governance mechanism would help facilitate the coordination between public</w:t>
      </w:r>
      <w:r>
        <w:t xml:space="preserve"> </w:t>
      </w:r>
      <w:r>
        <w:t xml:space="preserve">administrations in Europe and the European Commission in the digitally supported</w:t>
      </w:r>
      <w:r>
        <w:t xml:space="preserve"> </w:t>
      </w:r>
      <w:r>
        <w:t xml:space="preserve">implementation of EU policies. It would set incentives to align the national/local</w:t>
      </w:r>
      <w:r>
        <w:t xml:space="preserve"> </w:t>
      </w:r>
      <w:r>
        <w:t xml:space="preserve">infrastructures with agreed interoperability resources to support cross-border and cross-sector</w:t>
      </w:r>
      <w:r>
        <w:t xml:space="preserve"> </w:t>
      </w:r>
      <w:r>
        <w:t xml:space="preserve">digital services and it would foster the co-design of new innovative solutions fit for wide</w:t>
      </w:r>
      <w:r>
        <w:t xml:space="preserve"> </w:t>
      </w:r>
      <w:r>
        <w:t xml:space="preserve">reuse.</w:t>
      </w:r>
      <w:r>
        <w:br/>
      </w:r>
      <w:r>
        <w:t xml:space="preserve">Where sectors see the need for harmonised standards, they can inject this need into relevant</w:t>
      </w:r>
      <w:r>
        <w:t xml:space="preserve"> </w:t>
      </w:r>
      <w:r>
        <w:t xml:space="preserve">EU fora with the support of the governance102. With all resources being issued in machine-</w:t>
      </w:r>
      <w:r>
        <w:t xml:space="preserve"> </w:t>
      </w:r>
      <w:r>
        <w:t xml:space="preserve">readable format on an official platform with agreed change procedures, it allows for the</w:t>
      </w:r>
      <w:r>
        <w:t xml:space="preserve"> </w:t>
      </w:r>
      <w:r>
        <w:t xml:space="preserve">flexibility needed to keep up with technological developments. This implies that standards</w:t>
      </w:r>
      <w:r>
        <w:t xml:space="preserve"> </w:t>
      </w:r>
      <w:r>
        <w:t xml:space="preserve">and specifications which are today issued in legal text (e.g. implementing or delegated acts) or</w:t>
      </w:r>
      <w:r>
        <w:t xml:space="preserve"> </w:t>
      </w:r>
      <w:r>
        <w:t xml:space="preserve">just published on various online sites, would be issued in machine-readable code. This implies</w:t>
      </w:r>
    </w:p>
    <w:p>
      <w:pPr>
        <w:pStyle w:val="BodyText"/>
      </w:pPr>
      <w:r>
        <w:t xml:space="preserve">102</w:t>
      </w:r>
      <w:r>
        <w:br/>
      </w:r>
      <w:r>
        <w:t xml:space="preserve">In cooperation with existing standardisation legislation and fora, e.g. the Multi-Stakeholder Platform.</w:t>
      </w:r>
      <w:r>
        <w:t xml:space="preserve"> </w:t>
      </w:r>
      <w:r>
        <w:t xml:space="preserve">Regulation (EU) No 1025/2012 on European standardisation.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that when developing IT systems supporting the implementation of EU policies, public</w:t>
      </w:r>
      <w:r>
        <w:t xml:space="preserve"> </w:t>
      </w:r>
      <w:r>
        <w:t xml:space="preserve">administrations could implement the code directly.</w:t>
      </w:r>
      <w:r>
        <w:t xml:space="preserve"> </w:t>
      </w:r>
      <w:r>
        <w:t xml:space="preserve">The legal instrument could lead to the introduction of policy conditionalities in future EU</w:t>
      </w:r>
      <w:r>
        <w:t xml:space="preserve"> </w:t>
      </w:r>
      <w:r>
        <w:t xml:space="preserve">funding programmes. In this case, public administrations requesting EU funding and</w:t>
      </w:r>
      <w:r>
        <w:t xml:space="preserve"> </w:t>
      </w:r>
      <w:r>
        <w:t xml:space="preserve">assistance for their efforts to modernise and digitise their systems and processes would need</w:t>
      </w:r>
      <w:r>
        <w:t xml:space="preserve"> </w:t>
      </w:r>
      <w:r>
        <w:t xml:space="preserve">to argue how they plan to comply with - or contribute to - the agreed interoperability</w:t>
      </w:r>
      <w:r>
        <w:t xml:space="preserve"> </w:t>
      </w:r>
      <w:r>
        <w:t xml:space="preserve">resources.</w:t>
      </w:r>
      <w:r>
        <w:t xml:space="preserve"> </w:t>
      </w:r>
      <w:r>
        <w:t xml:space="preserve">The interplay of option 2 and other EU or national policies that set interoperability</w:t>
      </w:r>
      <w:r>
        <w:t xml:space="preserve"> </w:t>
      </w:r>
      <w:r>
        <w:t xml:space="preserve">requirements would be very considerably enhanced in comparison with Option 1.</w:t>
      </w:r>
      <w:r>
        <w:t xml:space="preserve"> </w:t>
      </w:r>
      <w:r>
        <w:t xml:space="preserve">Interoperability policy would provide cross-cutting support to EU policies through mature,</w:t>
      </w:r>
      <w:r>
        <w:t xml:space="preserve"> </w:t>
      </w:r>
      <w:r>
        <w:t xml:space="preserve">referenceable specifications that evolve continuously, in a transparent process, based on the</w:t>
      </w:r>
      <w:r>
        <w:t xml:space="preserve"> </w:t>
      </w:r>
      <w:r>
        <w:t xml:space="preserve">needs of EU policies and EU public administrations.</w:t>
      </w:r>
      <w:r>
        <w:br/>
      </w:r>
      <w:r>
        <w:t xml:space="preserve">5.4.</w:t>
      </w:r>
      <w:r>
        <w:t xml:space="preserve"> </w:t>
      </w:r>
      <w:r>
        <w:t xml:space="preserve">5.4.</w:t>
      </w:r>
      <w:r>
        <w:t xml:space="preserve"> </w:t>
      </w:r>
      <w:r>
        <w:t xml:space="preserve">Option 3: Legislative initiative - New legal framework introducing a</w:t>
      </w:r>
      <w:r>
        <w:t xml:space="preserve"> </w:t>
      </w:r>
      <w:r>
        <w:t xml:space="preserve">common European Interoperability Architecture for all public services</w:t>
      </w:r>
      <w:r>
        <w:t xml:space="preserve"> </w:t>
      </w:r>
      <w:r>
        <w:t xml:space="preserve">Option 3 would be the furthest reaching and most centralistic approach to attain the</w:t>
      </w:r>
      <w:r>
        <w:t xml:space="preserve"> </w:t>
      </w:r>
      <w:r>
        <w:t xml:space="preserve">objectives in Chapter 4. It would also have the form of a legislative act, building on Option 2,</w:t>
      </w:r>
      <w:r>
        <w:t xml:space="preserve"> </w:t>
      </w:r>
      <w:r>
        <w:t xml:space="preserve">while making interoperability requirements more binding for the Member States.</w:t>
      </w:r>
      <w:r>
        <w:br/>
      </w:r>
      <w:r>
        <w:t xml:space="preserve">More specifically, this option would integrate both the multi-level governance for EU public</w:t>
      </w:r>
      <w:r>
        <w:t xml:space="preserve"> </w:t>
      </w:r>
      <w:r>
        <w:t xml:space="preserve">sector interoperability, and Community Projects (cf. Option 2), but then add a specific</w:t>
      </w:r>
      <w:r>
        <w:t xml:space="preserve"> </w:t>
      </w:r>
      <w:r>
        <w:t xml:space="preserve">mandate for a trans-European interoperable government network to set standards (minimum</w:t>
      </w:r>
      <w:r>
        <w:t xml:space="preserve"> </w:t>
      </w:r>
      <w:r>
        <w:t xml:space="preserve">interoperability requirements) for the development of services of public interest to be then</w:t>
      </w:r>
      <w:r>
        <w:t xml:space="preserve"> </w:t>
      </w:r>
      <w:r>
        <w:t xml:space="preserve">implemented by all public administrations in the Union. The concrete standards would be</w:t>
      </w:r>
      <w:r>
        <w:t xml:space="preserve"> </w:t>
      </w:r>
      <w:r>
        <w:t xml:space="preserve">imposed through implementing acts.</w:t>
      </w:r>
      <w:r>
        <w:t xml:space="preserve"> </w:t>
      </w:r>
      <w:r>
        <w:t xml:space="preserve">This option would include the following elements:</w:t>
      </w:r>
      <w:r>
        <w:t xml:space="preserve"> </w:t>
      </w:r>
      <w:r>
        <w:t xml:space="preserve">-</w:t>
      </w:r>
      <w:r>
        <w:t xml:space="preserve"> </w:t>
      </w:r>
      <w:r>
        <w:t xml:space="preserve">A multi-level governance for EU public sector interoperability (based on the</w:t>
      </w:r>
      <w:r>
        <w:t xml:space="preserve"> </w:t>
      </w:r>
      <w:r>
        <w:t xml:space="preserve">outline of option 2;</w:t>
      </w:r>
      <w:r>
        <w:t xml:space="preserve"> </w:t>
      </w:r>
      <w:r>
        <w:t xml:space="preserve">-</w:t>
      </w:r>
      <w:r>
        <w:t xml:space="preserve"> </w:t>
      </w:r>
      <w:r>
        <w:t xml:space="preserve">Establishment of a common European Interoperability Architecture (EIA) for the</w:t>
      </w:r>
      <w:r>
        <w:t xml:space="preserve"> </w:t>
      </w:r>
      <w:r>
        <w:t xml:space="preserve">infrastructure of EU public services103;</w:t>
      </w:r>
      <w:r>
        <w:t xml:space="preserve"> </w:t>
      </w:r>
      <w:r>
        <w:t xml:space="preserve">-</w:t>
      </w:r>
      <w:r>
        <w:t xml:space="preserve"> </w:t>
      </w:r>
      <w:r>
        <w:t xml:space="preserve">Set-up of an EU Interoperability Architecture Board co-owned by Commission and</w:t>
      </w:r>
      <w:r>
        <w:t xml:space="preserve"> </w:t>
      </w:r>
      <w:r>
        <w:t xml:space="preserve">Member States CIOs;</w:t>
      </w:r>
      <w:r>
        <w:t xml:space="preserve"> </w:t>
      </w:r>
      <w:r>
        <w:t xml:space="preserve">-</w:t>
      </w:r>
      <w:r>
        <w:t xml:space="preserve"> </w:t>
      </w:r>
      <w:r>
        <w:t xml:space="preserve">Mandatory alignment of all EU policy requirements with EIA, exceptions must be</w:t>
      </w:r>
      <w:r>
        <w:t xml:space="preserve"> </w:t>
      </w:r>
      <w:r>
        <w:t xml:space="preserve">granted by the Interoperability Architecture Board;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 required to establish National Interoperability Architectures</w:t>
      </w:r>
      <w:r>
        <w:t xml:space="preserve"> </w:t>
      </w:r>
      <w:r>
        <w:t xml:space="preserve">(NIA) in alignment with EIA, as well as national Architecture Boards that monitor</w:t>
      </w:r>
      <w:r>
        <w:t xml:space="preserve"> </w:t>
      </w:r>
      <w:r>
        <w:t xml:space="preserve">the alignment of national initiatives with the respective NIA; and,</w:t>
      </w:r>
      <w:r>
        <w:t xml:space="preserve"> </w:t>
      </w:r>
      <w:r>
        <w:t xml:space="preserve">-</w:t>
      </w:r>
      <w:r>
        <w:t xml:space="preserve"> </w:t>
      </w:r>
      <w:r>
        <w:t xml:space="preserve">Where applicable, EU policy initiatives must contain a reference digital</w:t>
      </w:r>
      <w:r>
        <w:t xml:space="preserve"> </w:t>
      </w:r>
      <w:r>
        <w:t xml:space="preserve">implementation solution.</w:t>
      </w:r>
      <w:r>
        <w:t xml:space="preserve"> </w:t>
      </w:r>
      <w:r>
        <w:t xml:space="preserve">Member States designate national coordinators for interoperability cooperate in a dedicated</w:t>
      </w:r>
      <w:r>
        <w:t xml:space="preserve"> </w:t>
      </w:r>
      <w:r>
        <w:t xml:space="preserve">EU interoperability governance setup similar to the one described above under option 2. As a</w:t>
      </w:r>
    </w:p>
    <w:p>
      <w:pPr>
        <w:pStyle w:val="BodyText"/>
      </w:pPr>
      <w:r>
        <w:t xml:space="preserve">103</w:t>
      </w:r>
      <w:r>
        <w:br/>
      </w:r>
      <w:r>
        <w:t xml:space="preserve">The EIA would represent a comprehensive blueprint of interoperability components and specifications</w:t>
      </w:r>
      <w:r>
        <w:t xml:space="preserve"> </w:t>
      </w:r>
      <w:r>
        <w:t xml:space="preserve">to support the implementation of digital services and seamless data exchanges across-sectors and</w:t>
      </w:r>
      <w:r>
        <w:t xml:space="preserve"> </w:t>
      </w:r>
      <w:r>
        <w:t xml:space="preserve">borders. Individual policy initiatives can build sectoral solutions based on the EIA, reusing its</w:t>
      </w:r>
      <w:r>
        <w:t xml:space="preserve"> </w:t>
      </w:r>
      <w:r>
        <w:t xml:space="preserve">components without deviating from core common design principles. Continuous technical, legal and</w:t>
      </w:r>
      <w:r>
        <w:t xml:space="preserve"> </w:t>
      </w:r>
      <w:r>
        <w:t xml:space="preserve">semantic maintenance and development would ensure sustainability of assets, build resilience and foster</w:t>
      </w:r>
      <w:r>
        <w:t xml:space="preserve"> </w:t>
      </w:r>
      <w:r>
        <w:t xml:space="preserve">digital sovereignty for EU public services.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body, they would be mandated to adopt a European interoperability architecture (building on</w:t>
      </w:r>
      <w:r>
        <w:t xml:space="preserve"> </w:t>
      </w:r>
      <w:r>
        <w:t xml:space="preserve">the existing European Interoperability Reference Architecture EIRA104) as a blueprint for</w:t>
      </w:r>
      <w:r>
        <w:t xml:space="preserve"> </w:t>
      </w:r>
      <w:r>
        <w:t xml:space="preserve">building and developing interoperable digital public services at all levels. This will be</w:t>
      </w:r>
      <w:r>
        <w:t xml:space="preserve"> </w:t>
      </w:r>
      <w:r>
        <w:t xml:space="preserve">complemented by mandatory common (minimum) interoperability requirements.</w:t>
      </w:r>
      <w:r>
        <w:t xml:space="preserve"> </w:t>
      </w:r>
      <w:r>
        <w:t xml:space="preserve">All Member States would be required to adopt a national interoperability strategy or</w:t>
      </w:r>
      <w:r>
        <w:t xml:space="preserve"> </w:t>
      </w:r>
      <w:r>
        <w:t xml:space="preserve">framework compliant with EU requirements. This would mean, for instance, introducing an</w:t>
      </w:r>
      <w:r>
        <w:t xml:space="preserve"> </w:t>
      </w:r>
      <w:r>
        <w:t xml:space="preserve">obligation for any EU and national policies and digital services infrastructure to be compliant</w:t>
      </w:r>
      <w:r>
        <w:t xml:space="preserve"> </w:t>
      </w:r>
      <w:r>
        <w:t xml:space="preserve">with the EIA and the standards established via implementing decisions. The EU</w:t>
      </w:r>
      <w:r>
        <w:t xml:space="preserve"> </w:t>
      </w:r>
      <w:r>
        <w:t xml:space="preserve">Interoperability Architecture Board would have the mandate to decide on conflicting</w:t>
      </w:r>
      <w:r>
        <w:t xml:space="preserve"> </w:t>
      </w:r>
      <w:r>
        <w:t xml:space="preserve">standards. The alignment of the national approaches and infrastructures would be reached</w:t>
      </w:r>
      <w:r>
        <w:t xml:space="preserve"> </w:t>
      </w:r>
      <w:r>
        <w:t xml:space="preserve">through the requirement to establish national governance structures, building where possible</w:t>
      </w:r>
      <w:r>
        <w:t xml:space="preserve"> </w:t>
      </w:r>
      <w:r>
        <w:t xml:space="preserve">on existing bodies and processes in the Member States.</w:t>
      </w:r>
      <w:r>
        <w:br/>
      </w:r>
      <w:r>
        <w:t xml:space="preserve">This option would also introduce strong interoperability targets for Member States in order to</w:t>
      </w:r>
      <w:r>
        <w:t xml:space="preserve"> </w:t>
      </w:r>
      <w:r>
        <w:t xml:space="preserve">monitor the implementation of the provisions included in the policy. This option would also</w:t>
      </w:r>
      <w:r>
        <w:t xml:space="preserve"> </w:t>
      </w:r>
      <w:r>
        <w:t xml:space="preserve">have direct effects on the implementation of all EU policies with high interoperability stake,</w:t>
      </w:r>
      <w:r>
        <w:t xml:space="preserve"> </w:t>
      </w:r>
      <w:r>
        <w:t xml:space="preserve">such as digital identity and data spaces: standards foreseen in those policies would need, by</w:t>
      </w:r>
      <w:r>
        <w:t xml:space="preserve"> </w:t>
      </w:r>
      <w:r>
        <w:t xml:space="preserve">law (and not only by an internal Commission commitment – see option 2), to be aligned with</w:t>
      </w:r>
      <w:r>
        <w:t xml:space="preserve"> </w:t>
      </w:r>
      <w:r>
        <w:t xml:space="preserve">EU minimum interoperability requirements which would become mandatory.</w:t>
      </w:r>
      <w:r>
        <w:t xml:space="preserve"> </w:t>
      </w:r>
      <w:r>
        <w:t xml:space="preserve">5.5.</w:t>
      </w:r>
      <w:r>
        <w:t xml:space="preserve"> </w:t>
      </w:r>
      <w:r>
        <w:t xml:space="preserve">5.5.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Inspired by the institutional setup created for cyber security105 or high-performance</w:t>
      </w:r>
      <w:r>
        <w:t xml:space="preserve"> </w:t>
      </w:r>
      <w:r>
        <w:t xml:space="preserve">computing106 the option of establishing a common body or a joint undertaking was among the</w:t>
      </w:r>
      <w:r>
        <w:t xml:space="preserve"> </w:t>
      </w:r>
      <w:r>
        <w:t xml:space="preserve">initial options assessed. However, actions performed by, e.g., a joint undertaking cannot</w:t>
      </w:r>
      <w:r>
        <w:t xml:space="preserve"> </w:t>
      </w:r>
      <w:r>
        <w:t xml:space="preserve">replace but only complement an overall coherent approach to interoperability and progress</w:t>
      </w:r>
      <w:r>
        <w:t xml:space="preserve"> </w:t>
      </w:r>
      <w:r>
        <w:t xml:space="preserve">might be slowed down by difficult budgetary discussions. Therefore, this option was</w:t>
      </w:r>
      <w:r>
        <w:t xml:space="preserve"> </w:t>
      </w:r>
      <w:r>
        <w:t xml:space="preserve">discarded at the current point in time but should be reassessed in the future, which is explicitly</w:t>
      </w:r>
      <w:r>
        <w:t xml:space="preserve"> </w:t>
      </w:r>
      <w:r>
        <w:t xml:space="preserve">mentioned in Chapter 9.</w:t>
      </w:r>
      <w:r>
        <w:t xml:space="preserve"> </w:t>
      </w:r>
      <w:r>
        <w:t xml:space="preserve">It was also discussed to what extent the right for data portability, established in Art. 20</w:t>
      </w:r>
      <w:r>
        <w:t xml:space="preserve"> </w:t>
      </w:r>
      <w:r>
        <w:t xml:space="preserve">Regulation (EU) 2016/679 (GDPR) could be extended to personal data used by public</w:t>
      </w:r>
      <w:r>
        <w:t xml:space="preserve"> </w:t>
      </w:r>
      <w:r>
        <w:t xml:space="preserve">administrations. This would give citizens and businesses a right to have their personal data</w:t>
      </w:r>
      <w:r>
        <w:t xml:space="preserve"> </w:t>
      </w:r>
      <w:r>
        <w:t xml:space="preserve">processed in a machine-readable format. It would however contradict the explicit exception</w:t>
      </w:r>
      <w:r>
        <w:t xml:space="preserve"> </w:t>
      </w:r>
      <w:r>
        <w:t xml:space="preserve">for data processed in performance of a task carried out in the public interest or in the exercise</w:t>
      </w:r>
      <w:r>
        <w:t xml:space="preserve"> </w:t>
      </w:r>
      <w:r>
        <w:t xml:space="preserve">of official authority in the GDPR and would need a recast of the latter. This would go beyond</w:t>
      </w:r>
      <w:r>
        <w:t xml:space="preserve"> </w:t>
      </w:r>
      <w:r>
        <w:t xml:space="preserve">the scope of the initiative.</w:t>
      </w:r>
      <w:r>
        <w:t xml:space="preserve"> </w:t>
      </w:r>
      <w:r>
        <w:t xml:space="preserve">6.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The impacts of a public sector interoperability policy are more difficult to identify and</w:t>
      </w:r>
      <w:r>
        <w:t xml:space="preserve"> </w:t>
      </w:r>
      <w:r>
        <w:t xml:space="preserve">quantify than those of many other EU initiatives. A study by the Joint Research Centre</w:t>
      </w:r>
      <w:r>
        <w:t xml:space="preserve"> </w:t>
      </w:r>
      <w:r>
        <w:t xml:space="preserve">(JRC)107 analysed the economic impact of location interoperability overall based on 20 case</w:t>
      </w:r>
      <w:r>
        <w:t xml:space="preserve"> </w:t>
      </w:r>
      <w:r>
        <w:t xml:space="preserve">studies. It finds that, due to its very nature as an enabling factor across many policy fields, the</w:t>
      </w:r>
      <w:r>
        <w:t xml:space="preserve"> </w:t>
      </w:r>
      <w:r>
        <w:t xml:space="preserve">impact of interoperability is hard to isolate from other elements of a policy and</w:t>
      </w:r>
      <w:r>
        <w:t xml:space="preserve"> </w:t>
      </w:r>
      <w:r>
        <w:t xml:space="preserve">interoperability is never an aim in itself but always an enabling precondition.</w:t>
      </w:r>
    </w:p>
    <w:p>
      <w:pPr>
        <w:pStyle w:val="BodyText"/>
      </w:pPr>
      <w:r>
        <w:t xml:space="preserve">104</w:t>
      </w:r>
      <w:r>
        <w:br/>
      </w:r>
      <w:r>
        <w:t xml:space="preserve">European Interoperability Reference Architecture.</w:t>
      </w:r>
      <w:r>
        <w:t xml:space="preserve"> </w:t>
      </w:r>
      <w:r>
        <w:t xml:space="preserve">105</w:t>
      </w:r>
      <w:r>
        <w:br/>
      </w:r>
      <w:r>
        <w:t xml:space="preserve">EU Cybersecurity competence centre.</w:t>
      </w:r>
      <w:r>
        <w:t xml:space="preserve"> </w:t>
      </w:r>
      <w:r>
        <w:t xml:space="preserve">106</w:t>
      </w:r>
      <w:r>
        <w:br/>
      </w:r>
      <w:r>
        <w:t xml:space="preserve">EU High Performance Computing - joint undertaking.</w:t>
      </w:r>
      <w:r>
        <w:t xml:space="preserve"> </w:t>
      </w:r>
      <w:r>
        <w:t xml:space="preserve">107</w:t>
      </w:r>
      <w:r>
        <w:br/>
      </w:r>
      <w:r>
        <w:t xml:space="preserve">Ulrich, P., Duch Brown, N., Kotsev, A., Minghini, M., Hernandez Quiros, L., Boguslawski, R. and</w:t>
      </w:r>
      <w:r>
        <w:t xml:space="preserve"> </w:t>
      </w:r>
      <w:r>
        <w:t xml:space="preserve">Pignatelli, F., Quantifying the Benefits of Location Interoperability in the European Union, EUR 31004</w:t>
      </w:r>
      <w:r>
        <w:t xml:space="preserve"> </w:t>
      </w:r>
      <w:r>
        <w:t xml:space="preserve">EN, Publications Office of the European Union, Luxembourg, 2022, ISBN 978-92-76-48846-0,</w:t>
      </w:r>
      <w:r>
        <w:t xml:space="preserve"> </w:t>
      </w:r>
      <w:r>
        <w:t xml:space="preserve">doi:10.2760/72064, JRC127330.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Interoperability in its many forms is an important enabler; yet, it is the interoperable policies</w:t>
      </w:r>
      <w:r>
        <w:t xml:space="preserve"> </w:t>
      </w:r>
      <w:r>
        <w:t xml:space="preserve">and public services that are delivering the benefits and consuming resources.</w:t>
      </w:r>
      <w:r>
        <w:t xml:space="preserve"> </w:t>
      </w:r>
      <w:r>
        <w:t xml:space="preserve">Nevertheless, the evidence available is rather conclusive. For instance, in terms of economic</w:t>
      </w:r>
      <w:r>
        <w:t xml:space="preserve"> </w:t>
      </w:r>
      <w:r>
        <w:t xml:space="preserve">impact, the study by the JRC finds that, if all solutions are made interoperable, even with</w:t>
      </w:r>
      <w:r>
        <w:t xml:space="preserve"> </w:t>
      </w:r>
      <w:r>
        <w:t xml:space="preserve">conservative estimates, citizens could save up to 24 million hours per year due to improved</w:t>
      </w:r>
      <w:r>
        <w:t xml:space="preserve"> </w:t>
      </w:r>
      <w:r>
        <w:t xml:space="preserve">interoperability. This would represent monetary savings in the order of EUR 543 million</w:t>
      </w:r>
      <w:r>
        <w:t xml:space="preserve"> </w:t>
      </w:r>
      <w:r>
        <w:t xml:space="preserve">annually. For businesses, the establishment of a full interoperable economy would lead to</w:t>
      </w:r>
      <w:r>
        <w:t xml:space="preserve"> </w:t>
      </w:r>
      <w:r>
        <w:t xml:space="preserve">time savings of 30 billion hours. In monetary terms, this translates into savings of EUR 568</w:t>
      </w:r>
      <w:r>
        <w:t xml:space="preserve"> </w:t>
      </w:r>
      <w:r>
        <w:t xml:space="preserve">billion annually. Improvements in public sector performance due to interoperability could</w:t>
      </w:r>
      <w:r>
        <w:t xml:space="preserve"> </w:t>
      </w:r>
      <w:r>
        <w:t xml:space="preserve">lead to an increase of 0.4% in GDP. Overall, the potential positive benefits derived from</w:t>
      </w:r>
      <w:r>
        <w:t xml:space="preserve"> </w:t>
      </w:r>
      <w:r>
        <w:t xml:space="preserve">increased interoperability for the public sector in the EU are considerable. For instance,</w:t>
      </w:r>
      <w:r>
        <w:t xml:space="preserve"> </w:t>
      </w:r>
      <w:r>
        <w:t xml:space="preserve">converting these estimates to monetary terms, a 1% improvement in the indicators used,</w:t>
      </w:r>
      <w:r>
        <w:t xml:space="preserve"> </w:t>
      </w:r>
      <w:r>
        <w:t xml:space="preserve">because of better interoperability, would imply an increase of the EU GDP in the range of</w:t>
      </w:r>
      <w:r>
        <w:t xml:space="preserve"> </w:t>
      </w:r>
      <w:r>
        <w:t xml:space="preserve">EUR 21 to 56 billion.</w:t>
      </w:r>
      <w:r>
        <w:br/>
      </w:r>
      <w:r>
        <w:t xml:space="preserve">The final evaluation of the ISA² programme and the evaluation of the EIF show a crucial role</w:t>
      </w:r>
      <w:r>
        <w:t xml:space="preserve"> </w:t>
      </w:r>
      <w:r>
        <w:t xml:space="preserve">of interoperability action during the COVID–19 pandemic108. Not acting, therefore could</w:t>
      </w:r>
      <w:r>
        <w:t xml:space="preserve"> </w:t>
      </w:r>
      <w:r>
        <w:t xml:space="preserve">also have wider repercussions, affecting the resilience of the public administrations and</w:t>
      </w:r>
      <w:r>
        <w:t xml:space="preserve"> </w:t>
      </w:r>
      <w:r>
        <w:t xml:space="preserve">foregoing the opportunity to strengthen capabilities.</w:t>
      </w:r>
      <w:r>
        <w:br/>
      </w:r>
      <w:r>
        <w:t xml:space="preserve">The impacts of the different policy options are analysed below (for a full overview see Annex</w:t>
      </w:r>
      <w:r>
        <w:t xml:space="preserve"> </w:t>
      </w:r>
      <w:r>
        <w:t xml:space="preserve">III Who is affected and how?).</w:t>
      </w:r>
      <w:r>
        <w:t xml:space="preserve"> </w:t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Impacts of Option 0 - baseline scenario</w:t>
      </w:r>
      <w:r>
        <w:t xml:space="preserve"> </w:t>
      </w:r>
      <w:r>
        <w:t xml:space="preserve">If no action is taken the objectives outlined in Section 4 will not be achieved as the Member</w:t>
      </w:r>
      <w:r>
        <w:t xml:space="preserve"> </w:t>
      </w:r>
      <w:r>
        <w:t xml:space="preserve">States’ take-up of interoperable resources and specifications when implementing EU</w:t>
      </w:r>
      <w:r>
        <w:t xml:space="preserve"> </w:t>
      </w:r>
      <w:r>
        <w:t xml:space="preserve">policies remains patchy and voluntary unless more binding requirements are brought by</w:t>
      </w:r>
      <w:r>
        <w:t xml:space="preserve"> </w:t>
      </w:r>
      <w:r>
        <w:t xml:space="preserve">sectoral policy initiatives. Sectoral initiatives may, as a result, be uncoordinated and deepen</w:t>
      </w:r>
      <w:r>
        <w:t xml:space="preserve"> </w:t>
      </w:r>
      <w:r>
        <w:t xml:space="preserve">the interoperability gap. Member States can continue to implement solutions and</w:t>
      </w:r>
      <w:r>
        <w:t xml:space="preserve"> </w:t>
      </w:r>
      <w:r>
        <w:t xml:space="preserve">specifications in diverging ways. Their ability to exchange data cross-borders depends on</w:t>
      </w:r>
      <w:r>
        <w:t xml:space="preserve"> </w:t>
      </w:r>
      <w:r>
        <w:t xml:space="preserve">their respective levels of digitalisation, bilateral agreements between Member States’</w:t>
      </w:r>
      <w:r>
        <w:t xml:space="preserve"> </w:t>
      </w:r>
      <w:r>
        <w:t xml:space="preserve">administrations or sectoral policy initiatives of the EU and thus remains uncertain.</w:t>
      </w:r>
      <w:r>
        <w:t xml:space="preserve"> </w:t>
      </w:r>
      <w:r>
        <w:t xml:space="preserve">Continuing with the status quo of the 2017 EIF and an outdated Interoperability Action Plan</w:t>
      </w:r>
      <w:r>
        <w:t xml:space="preserve"> </w:t>
      </w:r>
      <w:r>
        <w:t xml:space="preserve">would not address the main problems identified in the evaluations of the EIF and the ISA²</w:t>
      </w:r>
      <w:r>
        <w:t xml:space="preserve"> </w:t>
      </w:r>
      <w:r>
        <w:t xml:space="preserve">programme109. Even though future actions on interoperability are planned to be funded also</w:t>
      </w:r>
      <w:r>
        <w:t xml:space="preserve"> </w:t>
      </w:r>
      <w:r>
        <w:t xml:space="preserve">outside the Interoperability Action Plan, for example as part of the Digital Europe</w:t>
      </w:r>
      <w:r>
        <w:t xml:space="preserve"> </w:t>
      </w:r>
      <w:r>
        <w:t xml:space="preserve">Programme, such interoperability action would have no specific governance or ensure</w:t>
      </w:r>
      <w:r>
        <w:t xml:space="preserve"> </w:t>
      </w:r>
      <w:r>
        <w:t xml:space="preserve">coordination across different funding programmes and policies.</w:t>
      </w:r>
      <w:r>
        <w:br/>
      </w:r>
      <w:r>
        <w:t xml:space="preserve">Informal and necessarily limited support could on an ad-hoc basis be provided to policy</w:t>
      </w:r>
      <w:r>
        <w:t xml:space="preserve"> </w:t>
      </w:r>
      <w:r>
        <w:t xml:space="preserve">DGs by DG DIGIT’s Interoperability unit for the implementation of sectoral digital measures,</w:t>
      </w:r>
      <w:r>
        <w:t xml:space="preserve"> </w:t>
      </w:r>
      <w:r>
        <w:t xml:space="preserve">if requested by the policy DGs. To date, this support is generally requested too late in the</w:t>
      </w:r>
      <w:r>
        <w:t xml:space="preserve"> </w:t>
      </w:r>
      <w:r>
        <w:t xml:space="preserve">process to be able to make a difference and ensure interoperable-by-default and digital-ready</w:t>
      </w:r>
      <w:r>
        <w:t xml:space="preserve"> </w:t>
      </w:r>
      <w:r>
        <w:t xml:space="preserve">policies.</w:t>
      </w:r>
      <w:r>
        <w:t xml:space="preserve"> </w:t>
      </w:r>
      <w:r>
        <w:t xml:space="preserve">Due to the already high-level of 2017 EIF implementation on the conceptual level, little costs</w:t>
      </w:r>
      <w:r>
        <w:t xml:space="preserve"> </w:t>
      </w:r>
      <w:r>
        <w:t xml:space="preserve">can be directly linked to keeping the baseline scenario (see Table 2). On the EU level the</w:t>
      </w:r>
      <w:r>
        <w:t xml:space="preserve"> </w:t>
      </w:r>
      <w:r>
        <w:t xml:space="preserve">costs for monitoring and facilitating the access to guidance can be assumed to fall within the</w:t>
      </w:r>
      <w:r>
        <w:t xml:space="preserve"> </w:t>
      </w:r>
      <w:r>
        <w:t xml:space="preserve">range of costs noted for the implementation of the NIFO action during the ISA² programme.</w:t>
      </w:r>
    </w:p>
    <w:p>
      <w:pPr>
        <w:pStyle w:val="BodyText"/>
      </w:pPr>
      <w:r>
        <w:t xml:space="preserve">108</w:t>
      </w:r>
      <w:r>
        <w:br/>
      </w:r>
      <w:r>
        <w:t xml:space="preserve">See and ISA² evaluation COM/2021/965 final, SWD/2021/965 final.</w:t>
      </w:r>
      <w:r>
        <w:t xml:space="preserve"> </w:t>
      </w:r>
      <w:r>
        <w:t xml:space="preserve">109</w:t>
      </w:r>
      <w:r>
        <w:br/>
      </w:r>
      <w:r>
        <w:t xml:space="preserve">See and ISA2 programme final evaluation COM/2021/965 final, SWD/2021/965 final.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The NIFO action relied on a budget of approximately EUR 2.5 million between 2016 and</w:t>
      </w:r>
      <w:r>
        <w:t xml:space="preserve"> </w:t>
      </w:r>
      <w:r>
        <w:t xml:space="preserve">2020110.</w:t>
      </w:r>
      <w:r>
        <w:t xml:space="preserve"> </w:t>
      </w:r>
      <w:r>
        <w:t xml:space="preserve">However, the indirect costs and unresolved administrative burden linked to an outdated</w:t>
      </w:r>
      <w:r>
        <w:t xml:space="preserve"> </w:t>
      </w:r>
      <w:r>
        <w:t xml:space="preserve">interoperability policy are likely to be considered significant and would potentially grow over</w:t>
      </w:r>
      <w:r>
        <w:t xml:space="preserve"> </w:t>
      </w:r>
      <w:r>
        <w:t xml:space="preserve">time. The literature shows strong negative mostly indirect economic impacts of the</w:t>
      </w:r>
      <w:r>
        <w:t xml:space="preserve"> </w:t>
      </w:r>
      <w:r>
        <w:t xml:space="preserve">baseline scenario due to untapped potential for cost reduction. The overall feedback to</w:t>
      </w:r>
      <w:r>
        <w:t xml:space="preserve"> </w:t>
      </w:r>
      <w:r>
        <w:t xml:space="preserve">both targeted and public consultations also shows that limited negative impacts may be</w:t>
      </w:r>
      <w:r>
        <w:t xml:space="preserve"> </w:t>
      </w:r>
      <w:r>
        <w:t xml:space="preserve">expected with respect to the costs of interacting with public administrations, the costs borne</w:t>
      </w:r>
      <w:r>
        <w:t xml:space="preserve"> </w:t>
      </w:r>
      <w:r>
        <w:t xml:space="preserve">by public administrations in providing services, and research and innovation (with average</w:t>
      </w:r>
      <w:r>
        <w:t xml:space="preserve"> </w:t>
      </w:r>
      <w:r>
        <w:t xml:space="preserve">scores of -0.2 on a scale from -2 to 2, based on 121, 120 and 115 responses for each area,</w:t>
      </w:r>
      <w:r>
        <w:t xml:space="preserve"> </w:t>
      </w:r>
      <w:r>
        <w:t xml:space="preserve">respectively)111.</w:t>
      </w:r>
      <w:r>
        <w:br/>
      </w:r>
      <w:r>
        <w:t xml:space="preserve">Even though it seems likely that social and environmental impacts and the right of</w:t>
      </w:r>
      <w:r>
        <w:t xml:space="preserve"> </w:t>
      </w:r>
      <w:r>
        <w:t xml:space="preserve">individuals to freely move in the EU would not be negatively affected through the baseline</w:t>
      </w:r>
      <w:r>
        <w:t xml:space="preserve"> </w:t>
      </w:r>
      <w:r>
        <w:t xml:space="preserve">option, the potential benefits outlined in the introduction of this chapter would not be</w:t>
      </w:r>
      <w:r>
        <w:t xml:space="preserve"> </w:t>
      </w:r>
      <w:r>
        <w:t xml:space="preserve">unlocked.</w:t>
      </w:r>
      <w:r>
        <w:t xml:space="preserve"> </w:t>
      </w:r>
      <w:r>
        <w:t xml:space="preserve">In this option there are very limited incentives for the Union or its Member States to take a</w:t>
      </w:r>
      <w:r>
        <w:t xml:space="preserve"> </w:t>
      </w:r>
      <w:r>
        <w:t xml:space="preserve">more coordinated approach on the design, approval and take-up of shared interoperability</w:t>
      </w:r>
      <w:r>
        <w:t xml:space="preserve"> </w:t>
      </w:r>
      <w:r>
        <w:t xml:space="preserve">resources when implementing their policies. Ongoing policies will have an impact on</w:t>
      </w:r>
      <w:r>
        <w:t xml:space="preserve"> </w:t>
      </w:r>
      <w:r>
        <w:t xml:space="preserve">interoperability of data and public services cross-borders and across sectors at an EU level</w:t>
      </w:r>
      <w:r>
        <w:t xml:space="preserve"> </w:t>
      </w:r>
      <w:r>
        <w:t xml:space="preserve">(Digital Services Act, Data Governance Act and future Data act, Open Data Directive, Digital</w:t>
      </w:r>
      <w:r>
        <w:t xml:space="preserve"> </w:t>
      </w:r>
      <w:r>
        <w:t xml:space="preserve">Identity, Digitalisation of justice cross-borders, Single Digital Gateway Regulation etc.),</w:t>
      </w:r>
      <w:r>
        <w:t xml:space="preserve"> </w:t>
      </w:r>
      <w:r>
        <w:t xml:space="preserve">limited to their own specific scope without any coordination between measures that impact</w:t>
      </w:r>
      <w:r>
        <w:t xml:space="preserve"> </w:t>
      </w:r>
      <w:r>
        <w:t xml:space="preserve">implementation on the ground. Member States have complained repeatedly about the lack of</w:t>
      </w:r>
      <w:r>
        <w:t xml:space="preserve"> </w:t>
      </w:r>
      <w:r>
        <w:t xml:space="preserve">coordination at Commission level (see recommendations from the expert group) and will</w:t>
      </w:r>
      <w:r>
        <w:t xml:space="preserve"> </w:t>
      </w:r>
      <w:r>
        <w:t xml:space="preserve">continue to lack pragmatic guidance on implementation, leading to more delays for sectoral</w:t>
      </w:r>
      <w:r>
        <w:t xml:space="preserve"> </w:t>
      </w:r>
      <w:r>
        <w:t xml:space="preserve">policies. For instance, 18 Member States have had infringement proceedings open on</w:t>
      </w:r>
      <w:r>
        <w:t xml:space="preserve"> </w:t>
      </w:r>
      <w:r>
        <w:t xml:space="preserve">30/09/2021112 owing to the lack of transposition measures for the Open Data Directive</w:t>
      </w:r>
      <w:r>
        <w:t xml:space="preserve"> </w:t>
      </w:r>
      <w:r>
        <w:t xml:space="preserve">adopted in 2019.</w:t>
      </w:r>
      <w:r>
        <w:t xml:space="preserve"> </w:t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Impacts of Option 1: Non-legislative actions</w:t>
      </w:r>
      <w:r>
        <w:t xml:space="preserve"> </w:t>
      </w:r>
      <w:r>
        <w:t xml:space="preserve">Option 1 would be mainly a continuation of the current policy approach, updating the current</w:t>
      </w:r>
      <w:r>
        <w:t xml:space="preserve"> </w:t>
      </w:r>
      <w:r>
        <w:t xml:space="preserve">instruments without adding substantially new ones.</w:t>
      </w:r>
      <w:r>
        <w:br/>
      </w:r>
      <w:r>
        <w:t xml:space="preserve">This approach, very much in line with what has been put in place in 2017 with the current</w:t>
      </w:r>
      <w:r>
        <w:t xml:space="preserve"> </w:t>
      </w:r>
      <w:r>
        <w:t xml:space="preserve">version of the EIF, has been proven via the evaluations to provide limited contributions, when</w:t>
      </w:r>
      <w:r>
        <w:t xml:space="preserve"> </w:t>
      </w:r>
      <w:r>
        <w:t xml:space="preserve">it comes to developing more effective, simplified and user-friendly digital public services at</w:t>
      </w:r>
      <w:r>
        <w:t xml:space="preserve"> </w:t>
      </w:r>
      <w:r>
        <w:t xml:space="preserve">the national, regional and local levels 113.</w:t>
      </w:r>
      <w:r>
        <w:t xml:space="preserve"> </w:t>
      </w:r>
      <w:r>
        <w:t xml:space="preserve">In consequence this would mean that the possible positive economic impacts of such</w:t>
      </w:r>
      <w:r>
        <w:t xml:space="preserve"> </w:t>
      </w:r>
      <w:r>
        <w:t xml:space="preserve">interoperable services would most probably continue to remain untapped. This assessment has</w:t>
      </w:r>
      <w:r>
        <w:t xml:space="preserve"> </w:t>
      </w:r>
      <w:r>
        <w:t xml:space="preserve">been confirmed by the consulted stakeholders in both the targeted and public consultations:</w:t>
      </w:r>
      <w:r>
        <w:t xml:space="preserve"> </w:t>
      </w:r>
      <w:r>
        <w:t xml:space="preserve">option 1 is expected to bring only limited positive impacts on the free movement of goods,</w:t>
      </w:r>
      <w:r>
        <w:t xml:space="preserve"> </w:t>
      </w:r>
      <w:r>
        <w:t xml:space="preserve">services, capital, and workers across the Member States, and on research, development and</w:t>
      </w:r>
      <w:r>
        <w:t xml:space="preserve"> </w:t>
      </w:r>
      <w:r>
        <w:t xml:space="preserve">innovation (with an average score of 0.5 on a scale from -2 to 2, based on 112 responses).</w:t>
      </w:r>
    </w:p>
    <w:p>
      <w:pPr>
        <w:pStyle w:val="BodyText"/>
      </w:pPr>
      <w:r>
        <w:t xml:space="preserve">110</w:t>
      </w:r>
      <w:r>
        <w:br/>
      </w:r>
      <w:r>
        <w:t xml:space="preserve">Information on the budget allocated to ISA² actions throughout the duration of the programme is</w:t>
      </w:r>
      <w:r>
        <w:t xml:space="preserve"> </w:t>
      </w:r>
      <w:r>
        <w:t xml:space="preserve">available on the ISA² Dashboard: (retrieved on 3 June 2021).</w:t>
      </w:r>
      <w:r>
        <w:t xml:space="preserve"> </w:t>
      </w:r>
      <w:r>
        <w:t xml:space="preserve">111</w:t>
      </w:r>
      <w:r>
        <w:br/>
      </w:r>
      <w:r>
        <w:t xml:space="preserve">All the stakeholder inputs are detailed in Annex II Stakeholder consultation.</w:t>
      </w:r>
      <w:r>
        <w:t xml:space="preserve"> </w:t>
      </w:r>
      <w:r>
        <w:t xml:space="preserve">112</w:t>
      </w:r>
      <w:r>
        <w:br/>
      </w:r>
      <w:r>
        <w:t xml:space="preserve">Infringement Decisions (europa.eu).</w:t>
      </w:r>
      <w:r>
        <w:t xml:space="preserve"> </w:t>
      </w:r>
      <w:r>
        <w:t xml:space="preserve">113</w:t>
      </w:r>
      <w:r>
        <w:br/>
      </w:r>
      <w:r>
        <w:t xml:space="preserve">See Evaluation of the ISA² programme, COM(2021)965.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Under this option, the uptake of interoperability by public administrations across the EU</w:t>
      </w:r>
      <w:r>
        <w:t xml:space="preserve"> </w:t>
      </w:r>
      <w:r>
        <w:t xml:space="preserve">would remain voluntary as in the baseline and would most likely produce limited effects, in</w:t>
      </w:r>
      <w:r>
        <w:t xml:space="preserve"> </w:t>
      </w:r>
      <w:r>
        <w:t xml:space="preserve">line with the results of the current policy set-up for Interoperability shown in the evaluation</w:t>
      </w:r>
      <w:r>
        <w:t xml:space="preserve"> </w:t>
      </w:r>
      <w:r>
        <w:t xml:space="preserve">results for the EIF and ISA².</w:t>
      </w:r>
      <w:r>
        <w:t xml:space="preserve"> </w:t>
      </w:r>
      <w:r>
        <w:t xml:space="preserve">The interplay of Option 1 and other EU or Member State policies when it comes to design,</w:t>
      </w:r>
      <w:r>
        <w:t xml:space="preserve"> </w:t>
      </w:r>
      <w:r>
        <w:t xml:space="preserve">approval and take-up of shared interoperability resources will not substantially differ from the</w:t>
      </w:r>
      <w:r>
        <w:t xml:space="preserve"> </w:t>
      </w:r>
      <w:r>
        <w:t xml:space="preserve">base-line scenario. While an updated EIF would make more coherent links with the policy</w:t>
      </w:r>
      <w:r>
        <w:t xml:space="preserve"> </w:t>
      </w:r>
      <w:r>
        <w:t xml:space="preserve">developments since 2017, option 1 would not ensure that those policies would be</w:t>
      </w:r>
      <w:r>
        <w:t xml:space="preserve"> </w:t>
      </w:r>
      <w:r>
        <w:t xml:space="preserve">implemented in compliance with the EIF or could build on a more formal input from a public</w:t>
      </w:r>
      <w:r>
        <w:t xml:space="preserve"> </w:t>
      </w:r>
      <w:r>
        <w:t xml:space="preserve">sector community on the topic.</w:t>
      </w:r>
      <w:r>
        <w:t xml:space="preserve"> </w:t>
      </w:r>
      <w:r>
        <w:t xml:space="preserve">The direct costs of the current interoperability policy (EIF implementation) for EU countries</w:t>
      </w:r>
      <w:r>
        <w:t xml:space="preserve"> </w:t>
      </w:r>
      <w:r>
        <w:t xml:space="preserve">can be quantified more easily and are very low (see Table 1).</w:t>
      </w:r>
      <w:r>
        <w:t xml:space="preserve"> </w:t>
      </w:r>
      <w:r>
        <w:t xml:space="preserve">Table 1. Overview of costs and benefits identified in the EIF evaluation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Businesses</w:t>
      </w:r>
      <w:r>
        <w:t xml:space="preserve"> </w:t>
      </w:r>
      <w:r>
        <w:t xml:space="preserve">Public administrations</w:t>
      </w:r>
    </w:p>
    <w:p>
      <w:pPr>
        <w:pStyle w:val="BodyText"/>
      </w:pP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</w:t>
      </w:r>
      <w:r>
        <w:t xml:space="preserve"> </w:t>
      </w:r>
      <w:r>
        <w:t xml:space="preserve">t</w:t>
      </w:r>
      <w:r>
        <w:t xml:space="preserve"> </w:t>
      </w:r>
      <w:r>
        <w:t xml:space="preserve">Quantitat</w:t>
      </w:r>
      <w:r>
        <w:t xml:space="preserve"> </w:t>
      </w:r>
      <w:r>
        <w:t xml:space="preserve">ive</w:t>
      </w:r>
      <w:r>
        <w:t xml:space="preserve"> </w:t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Comment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Direct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costs:</w:t>
      </w:r>
      <w:r>
        <w:t xml:space="preserve"> </w:t>
      </w:r>
      <w:r>
        <w:t xml:space="preserve">Implementat</w:t>
      </w:r>
      <w:r>
        <w:t xml:space="preserve"> </w:t>
      </w:r>
      <w:r>
        <w:t xml:space="preserve">ion of the</w:t>
      </w:r>
      <w:r>
        <w:t xml:space="preserve"> </w:t>
      </w:r>
      <w:r>
        <w:t xml:space="preserve">EIF (one-off</w:t>
      </w:r>
      <w:r>
        <w:t xml:space="preserve"> </w:t>
      </w:r>
      <w:r>
        <w:t xml:space="preserve">costs)</w:t>
      </w:r>
      <w:r>
        <w:t xml:space="preserve"> </w:t>
      </w:r>
      <w:r>
        <w:t xml:space="preserve">0</w:t>
      </w:r>
      <w:r>
        <w:t xml:space="preserve"> </w:t>
      </w:r>
      <w:r>
        <w:t xml:space="preserve">No direct</w:t>
      </w:r>
      <w:r>
        <w:t xml:space="preserve"> </w:t>
      </w:r>
      <w:r>
        <w:t xml:space="preserve">complian</w:t>
      </w:r>
      <w:r>
        <w:t xml:space="preserve"> </w:t>
      </w:r>
      <w:r>
        <w:t xml:space="preserve">ce costs</w:t>
      </w:r>
      <w:r>
        <w:t xml:space="preserve"> </w:t>
      </w:r>
      <w:r>
        <w:t xml:space="preserve">applicabl</w:t>
      </w:r>
      <w:r>
        <w:t xml:space="preserve"> </w:t>
      </w:r>
      <w:r>
        <w:t xml:space="preserve">e.</w:t>
      </w:r>
      <w:r>
        <w:t xml:space="preserve"> </w:t>
      </w:r>
      <w:r>
        <w:t xml:space="preserve">No direct</w:t>
      </w:r>
      <w:r>
        <w:t xml:space="preserve"> </w:t>
      </w:r>
      <w:r>
        <w:t xml:space="preserve">complianc</w:t>
      </w:r>
      <w:r>
        <w:t xml:space="preserve"> </w:t>
      </w:r>
      <w:r>
        <w:t xml:space="preserve">e costs</w:t>
      </w:r>
      <w:r>
        <w:t xml:space="preserve"> </w:t>
      </w:r>
      <w:r>
        <w:t xml:space="preserve">applicable.</w:t>
      </w:r>
      <w:r>
        <w:t xml:space="preserve"> </w:t>
      </w:r>
      <w:r>
        <w:t xml:space="preserve">No direct</w:t>
      </w:r>
      <w:r>
        <w:t xml:space="preserve"> </w:t>
      </w:r>
      <w:r>
        <w:t xml:space="preserve">complian</w:t>
      </w:r>
      <w:r>
        <w:t xml:space="preserve"> </w:t>
      </w:r>
      <w:r>
        <w:t xml:space="preserve">ce costs</w:t>
      </w:r>
      <w:r>
        <w:t xml:space="preserve"> </w:t>
      </w:r>
      <w:r>
        <w:t xml:space="preserve">applicabl</w:t>
      </w:r>
      <w:r>
        <w:t xml:space="preserve"> </w:t>
      </w:r>
      <w:r>
        <w:t xml:space="preserve">e.</w:t>
      </w:r>
      <w:r>
        <w:t xml:space="preserve"> </w:t>
      </w:r>
      <w:r>
        <w:t xml:space="preserve">EUR</w:t>
      </w:r>
      <w:r>
        <w:t xml:space="preserve"> </w:t>
      </w:r>
      <w:r>
        <w:t xml:space="preserve">24 000 –</w:t>
      </w:r>
      <w:r>
        <w:t xml:space="preserve"> </w:t>
      </w:r>
      <w:r>
        <w:t xml:space="preserve">EUR</w:t>
      </w:r>
      <w:r>
        <w:t xml:space="preserve"> </w:t>
      </w:r>
      <w:r>
        <w:t xml:space="preserve">169 000,</w:t>
      </w:r>
      <w:r>
        <w:t xml:space="preserve"> </w:t>
      </w:r>
      <w:r>
        <w:t xml:space="preserve">correspond</w:t>
      </w:r>
      <w:r>
        <w:t xml:space="preserve"> </w:t>
      </w:r>
      <w:r>
        <w:t xml:space="preserve">ing</w:t>
      </w:r>
      <w:r>
        <w:t xml:space="preserve"> </w:t>
      </w:r>
      <w:r>
        <w:t xml:space="preserve">respectivel</w:t>
      </w:r>
      <w:r>
        <w:t xml:space="preserve"> </w:t>
      </w:r>
      <w:r>
        <w:t xml:space="preserve">y to 150</w:t>
      </w:r>
      <w:r>
        <w:t xml:space="preserve"> </w:t>
      </w:r>
      <w:r>
        <w:t xml:space="preserve">and 550</w:t>
      </w:r>
      <w:r>
        <w:t xml:space="preserve"> </w:t>
      </w:r>
      <w:r>
        <w:t xml:space="preserve">person-</w:t>
      </w:r>
      <w:r>
        <w:t xml:space="preserve"> </w:t>
      </w:r>
      <w:r>
        <w:t xml:space="preserve">days.</w:t>
      </w:r>
      <w:r>
        <w:t xml:space="preserve"> </w:t>
      </w:r>
      <w:r>
        <w:t xml:space="preserve">The costs of</w:t>
      </w:r>
      <w:r>
        <w:t xml:space="preserve"> </w:t>
      </w:r>
      <w:r>
        <w:t xml:space="preserve">implementat</w:t>
      </w:r>
      <w:r>
        <w:t xml:space="preserve"> </w:t>
      </w:r>
      <w:r>
        <w:t xml:space="preserve">ion of the</w:t>
      </w:r>
      <w:r>
        <w:t xml:space="preserve"> </w:t>
      </w:r>
      <w:r>
        <w:t xml:space="preserve">EIF vary</w:t>
      </w:r>
      <w:r>
        <w:t xml:space="preserve"> </w:t>
      </w:r>
      <w:r>
        <w:t xml:space="preserve">depending</w:t>
      </w:r>
      <w:r>
        <w:t xml:space="preserve"> </w:t>
      </w:r>
      <w:r>
        <w:t xml:space="preserve">on whether</w:t>
      </w:r>
      <w:r>
        <w:t xml:space="preserve"> </w:t>
      </w:r>
      <w:r>
        <w:t xml:space="preserve">the Member</w:t>
      </w:r>
      <w:r>
        <w:t xml:space="preserve"> </w:t>
      </w:r>
      <w:r>
        <w:t xml:space="preserve">State</w:t>
      </w:r>
      <w:r>
        <w:t xml:space="preserve"> </w:t>
      </w:r>
      <w:r>
        <w:t xml:space="preserve">updates</w:t>
      </w:r>
      <w:r>
        <w:t xml:space="preserve"> </w:t>
      </w:r>
      <w:r>
        <w:t xml:space="preserve">drafts of</w:t>
      </w:r>
      <w:r>
        <w:t xml:space="preserve"> </w:t>
      </w:r>
      <w:r>
        <w:t xml:space="preserve">existing</w:t>
      </w:r>
      <w:r>
        <w:t xml:space="preserve"> </w:t>
      </w:r>
      <w:r>
        <w:t xml:space="preserve">national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strategies</w:t>
      </w:r>
      <w:r>
        <w:t xml:space="preserve"> </w:t>
      </w:r>
      <w:r>
        <w:t xml:space="preserve">based on the</w:t>
      </w:r>
      <w:r>
        <w:t xml:space="preserve"> </w:t>
      </w:r>
      <w:r>
        <w:t xml:space="preserve">EIF or</w:t>
      </w:r>
      <w:r>
        <w:t xml:space="preserve"> </w:t>
      </w:r>
      <w:r>
        <w:t xml:space="preserve">designs</w:t>
      </w:r>
      <w:r>
        <w:t xml:space="preserve"> </w:t>
      </w:r>
      <w:r>
        <w:t xml:space="preserve">national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strategies</w:t>
      </w:r>
      <w:r>
        <w:t xml:space="preserve"> </w:t>
      </w:r>
      <w:r>
        <w:t xml:space="preserve">based on the</w:t>
      </w:r>
      <w:r>
        <w:t xml:space="preserve"> </w:t>
      </w:r>
      <w:r>
        <w:t xml:space="preserve">EIF without</w:t>
      </w:r>
      <w:r>
        <w:t xml:space="preserve"> </w:t>
      </w:r>
      <w:r>
        <w:t xml:space="preserve">relying on</w:t>
      </w:r>
      <w:r>
        <w:t xml:space="preserve"> </w:t>
      </w:r>
      <w:r>
        <w:t xml:space="preserve">any other</w:t>
      </w:r>
      <w:r>
        <w:t xml:space="preserve"> </w:t>
      </w:r>
      <w:r>
        <w:t xml:space="preserve">prior such</w:t>
      </w:r>
      <w:r>
        <w:t xml:space="preserve"> </w:t>
      </w:r>
      <w:r>
        <w:t xml:space="preserve">documents.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Businesses</w:t>
      </w:r>
      <w:r>
        <w:t xml:space="preserve"> </w:t>
      </w:r>
      <w:r>
        <w:t xml:space="preserve">Public administrations</w:t>
      </w:r>
    </w:p>
    <w:p>
      <w:pPr>
        <w:pStyle w:val="BodyText"/>
      </w:pP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</w:t>
      </w:r>
      <w:r>
        <w:t xml:space="preserve"> </w:t>
      </w:r>
      <w:r>
        <w:t xml:space="preserve">t</w:t>
      </w:r>
      <w:r>
        <w:t xml:space="preserve"> </w:t>
      </w:r>
      <w:r>
        <w:t xml:space="preserve">Quantitat</w:t>
      </w:r>
      <w:r>
        <w:t xml:space="preserve"> </w:t>
      </w:r>
      <w:r>
        <w:t xml:space="preserve">ive</w:t>
      </w:r>
      <w:r>
        <w:t xml:space="preserve"> </w:t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Comment</w:t>
      </w:r>
    </w:p>
    <w:p>
      <w:pPr>
        <w:pStyle w:val="BodyText"/>
      </w:pPr>
      <w:r>
        <w:t xml:space="preserve">General comment: The costs of implementing the EIF are borne by</w:t>
      </w:r>
      <w:r>
        <w:t xml:space="preserve"> </w:t>
      </w:r>
      <w:r>
        <w:t xml:space="preserve">public administrations only.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benefits:</w:t>
      </w:r>
      <w:r>
        <w:t xml:space="preserve"> </w:t>
      </w:r>
      <w:r>
        <w:t xml:space="preserve">additional</w:t>
      </w:r>
      <w:r>
        <w:t xml:space="preserve"> </w:t>
      </w:r>
      <w:r>
        <w:t xml:space="preserve">EU users of</w:t>
      </w:r>
      <w:r>
        <w:t xml:space="preserve"> </w:t>
      </w:r>
      <w:r>
        <w:t xml:space="preserve">the Internet</w:t>
      </w:r>
      <w:r>
        <w:t xml:space="preserve"> </w:t>
      </w:r>
      <w:r>
        <w:t xml:space="preserve">to interact</w:t>
      </w:r>
      <w:r>
        <w:t xml:space="preserve"> </w:t>
      </w:r>
      <w:r>
        <w:t xml:space="preserve">with their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</w:t>
      </w:r>
      <w:r>
        <w:t xml:space="preserve"> </w:t>
      </w:r>
      <w:r>
        <w:t xml:space="preserve">ons</w:t>
      </w:r>
      <w:r>
        <w:t xml:space="preserve"> </w:t>
      </w:r>
      <w:r>
        <w:t xml:space="preserve">(recurrent</w:t>
      </w:r>
      <w:r>
        <w:t xml:space="preserve"> </w:t>
      </w:r>
      <w:r>
        <w:t xml:space="preserve">benefits, but</w:t>
      </w:r>
      <w:r>
        <w:t xml:space="preserve"> </w:t>
      </w:r>
      <w:r>
        <w:t xml:space="preserve">expected to</w:t>
      </w:r>
      <w:r>
        <w:t xml:space="preserve"> </w:t>
      </w:r>
      <w:r>
        <w:t xml:space="preserve">decrease</w:t>
      </w:r>
      <w:r>
        <w:t xml:space="preserve"> </w:t>
      </w:r>
      <w:r>
        <w:t xml:space="preserve">over the</w:t>
      </w:r>
      <w:r>
        <w:t xml:space="preserve"> </w:t>
      </w:r>
      <w:r>
        <w:t xml:space="preserve">time)</w:t>
      </w:r>
      <w:r>
        <w:t xml:space="preserve"> </w:t>
      </w:r>
      <w:r>
        <w:t xml:space="preserve">A 10%</w:t>
      </w:r>
      <w:r>
        <w:t xml:space="preserve"> </w:t>
      </w:r>
      <w:r>
        <w:t xml:space="preserve">improveme</w:t>
      </w:r>
      <w:r>
        <w:t xml:space="preserve"> </w:t>
      </w:r>
      <w:r>
        <w:t xml:space="preserve">nt in the</w:t>
      </w:r>
      <w:r>
        <w:t xml:space="preserve"> </w:t>
      </w:r>
      <w:r>
        <w:t xml:space="preserve">quality of</w:t>
      </w:r>
      <w:r>
        <w:t xml:space="preserve"> </w:t>
      </w:r>
      <w:r>
        <w:t xml:space="preserve">online</w:t>
      </w:r>
      <w:r>
        <w:t xml:space="preserve"> </w:t>
      </w:r>
      <w:r>
        <w:t xml:space="preserve">public</w:t>
      </w:r>
      <w:r>
        <w:t xml:space="preserve"> </w:t>
      </w:r>
      <w:r>
        <w:t xml:space="preserve">services</w:t>
      </w:r>
      <w:r>
        <w:t xml:space="preserve"> </w:t>
      </w:r>
      <w:r>
        <w:t xml:space="preserve">would</w:t>
      </w:r>
      <w:r>
        <w:t xml:space="preserve"> </w:t>
      </w:r>
      <w:r>
        <w:t xml:space="preserve">encourage</w:t>
      </w:r>
      <w:r>
        <w:t xml:space="preserve"> </w:t>
      </w:r>
      <w:r>
        <w:t xml:space="preserve">approximat</w:t>
      </w:r>
      <w:r>
        <w:t xml:space="preserve"> </w:t>
      </w:r>
      <w:r>
        <w:t xml:space="preserve">ely 4.3</w:t>
      </w:r>
      <w:r>
        <w:t xml:space="preserve"> </w:t>
      </w:r>
      <w:r>
        <w:t xml:space="preserve">million to 5</w:t>
      </w:r>
      <w:r>
        <w:t xml:space="preserve"> </w:t>
      </w:r>
      <w:r>
        <w:t xml:space="preserve">million</w:t>
      </w:r>
      <w:r>
        <w:t xml:space="preserve"> </w:t>
      </w:r>
      <w:r>
        <w:t xml:space="preserve">more EU</w:t>
      </w:r>
      <w:r>
        <w:t xml:space="preserve"> </w:t>
      </w:r>
      <w:r>
        <w:t xml:space="preserve">citizens per</w:t>
      </w:r>
      <w:r>
        <w:t xml:space="preserve"> </w:t>
      </w:r>
      <w:r>
        <w:t xml:space="preserve">year</w:t>
      </w:r>
      <w:r>
        <w:t xml:space="preserve"> </w:t>
      </w:r>
      <w:r>
        <w:t xml:space="preserve">This</w:t>
      </w:r>
      <w:r>
        <w:t xml:space="preserve"> </w:t>
      </w:r>
      <w:r>
        <w:t xml:space="preserve">result is</w:t>
      </w:r>
      <w:r>
        <w:t xml:space="preserve"> </w:t>
      </w:r>
      <w:r>
        <w:t xml:space="preserve">part of an</w:t>
      </w:r>
      <w:r>
        <w:t xml:space="preserve"> </w:t>
      </w:r>
      <w:r>
        <w:t xml:space="preserve">economet</w:t>
      </w:r>
      <w:r>
        <w:t xml:space="preserve"> </w:t>
      </w:r>
      <w:r>
        <w:t xml:space="preserve">ric</w:t>
      </w:r>
      <w:r>
        <w:t xml:space="preserve"> </w:t>
      </w:r>
      <w:r>
        <w:t xml:space="preserve">analysis</w:t>
      </w:r>
      <w:r>
        <w:t xml:space="preserve"> </w:t>
      </w:r>
      <w:r>
        <w:t xml:space="preserve">run on 21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Iceland,</w:t>
      </w:r>
      <w:r>
        <w:t xml:space="preserve"> </w:t>
      </w:r>
      <w:r>
        <w:t xml:space="preserve">Norway,</w:t>
      </w:r>
      <w:r>
        <w:t xml:space="preserve"> </w:t>
      </w:r>
      <w:r>
        <w:t xml:space="preserve">Switzerla</w:t>
      </w:r>
      <w:r>
        <w:t xml:space="preserve"> </w:t>
      </w:r>
      <w:r>
        <w:t xml:space="preserve">nd and</w:t>
      </w:r>
      <w:r>
        <w:t xml:space="preserve"> </w:t>
      </w:r>
      <w:r>
        <w:t xml:space="preserve">the UK.</w:t>
      </w:r>
    </w:p>
    <w:p>
      <w:pPr>
        <w:pStyle w:val="BodyText"/>
      </w:pPr>
      <w:r>
        <w:t xml:space="preserve">General comment: It is important to note that although no benefits are</w:t>
      </w:r>
      <w:r>
        <w:t xml:space="preserve"> </w:t>
      </w:r>
      <w:r>
        <w:t xml:space="preserve">quantified for businesses and public administrations, the evaluation</w:t>
      </w:r>
      <w:r>
        <w:t xml:space="preserve"> </w:t>
      </w:r>
      <w:r>
        <w:t xml:space="preserve">supports qualitatively that benefits exceed the costs for public</w:t>
      </w:r>
      <w:r>
        <w:t xml:space="preserve"> </w:t>
      </w:r>
      <w:r>
        <w:t xml:space="preserve">administrations and bring substantial benefits to both businesses and</w:t>
      </w:r>
      <w:r>
        <w:t xml:space="preserve"> </w:t>
      </w:r>
      <w:r>
        <w:t xml:space="preserve">citizens.</w:t>
      </w:r>
      <w:r>
        <w:br/>
      </w:r>
      <w:r>
        <w:t xml:space="preserve">Source: Study supporting the evaluation of the implementation of the EIF</w:t>
      </w:r>
      <w:r>
        <w:t xml:space="preserve"> </w:t>
      </w:r>
      <w:r>
        <w:t xml:space="preserve">Also, for the impacts on the costs of interacting with public administrations and the costs</w:t>
      </w:r>
      <w:r>
        <w:t xml:space="preserve"> </w:t>
      </w:r>
      <w:r>
        <w:t xml:space="preserve">of doing business in the EU, option 1 is not expected to bring results much beyond the</w:t>
      </w:r>
      <w:r>
        <w:t xml:space="preserve"> </w:t>
      </w:r>
      <w:r>
        <w:t xml:space="preserve">limited contributions already achieved under the new EIF from its adoption in 2017 to 2020.</w:t>
      </w:r>
      <w:r>
        <w:t xml:space="preserve"> </w:t>
      </w:r>
      <w:r>
        <w:t xml:space="preserve">The 119 stakeholders contributing to the targeted and public consultations rate those impacts</w:t>
      </w:r>
      <w:r>
        <w:t xml:space="preserve"> </w:t>
      </w:r>
      <w:r>
        <w:t xml:space="preserve">with an average score of 0.3 on a scale from -2 to 2. An effective mechanism to ensure</w:t>
      </w:r>
      <w:r>
        <w:t xml:space="preserve"> </w:t>
      </w:r>
      <w:r>
        <w:t xml:space="preserve">synergies across funding programmes and EU policies could significantly enhance the</w:t>
      </w:r>
      <w:r>
        <w:t xml:space="preserve"> </w:t>
      </w:r>
      <w:r>
        <w:t xml:space="preserve">potential benefits114.</w:t>
      </w:r>
      <w:r>
        <w:t xml:space="preserve"> </w:t>
      </w:r>
      <w:r>
        <w:t xml:space="preserve">Option 1 only implies costs for public administrations (variable from country to country)</w:t>
      </w:r>
      <w:r>
        <w:t xml:space="preserve"> </w:t>
      </w:r>
      <w:r>
        <w:t xml:space="preserve">and no potential additional burdens on businesses and citizens. The potential costs</w:t>
      </w:r>
      <w:r>
        <w:t xml:space="preserve"> </w:t>
      </w:r>
      <w:r>
        <w:t xml:space="preserve">incurred by public administrations in implementing this option are expected to be low and are</w:t>
      </w:r>
      <w:r>
        <w:t xml:space="preserve"> </w:t>
      </w:r>
      <w:r>
        <w:t xml:space="preserve">based on the voluntary take-up of new guidance and its implementation in at least some areas</w:t>
      </w:r>
      <w:r>
        <w:t xml:space="preserve"> </w:t>
      </w:r>
      <w:r>
        <w:t xml:space="preserve">of activities of public administrations. With regards to the Commission, there would be</w:t>
      </w:r>
      <w:r>
        <w:t xml:space="preserve"> </w:t>
      </w:r>
      <w:r>
        <w:t xml:space="preserve">upfront costs involved in revising the EIF and costs in monitoring the progress of its</w:t>
      </w:r>
      <w:r>
        <w:t xml:space="preserve"> </w:t>
      </w:r>
      <w:r>
        <w:t xml:space="preserve">implementation in line with current costs.</w:t>
      </w:r>
    </w:p>
    <w:p>
      <w:pPr>
        <w:pStyle w:val="BodyText"/>
      </w:pPr>
      <w:r>
        <w:t xml:space="preserve">114</w:t>
      </w:r>
      <w:r>
        <w:br/>
      </w:r>
      <w:r>
        <w:t xml:space="preserve">Stakeholders rate this option with an average score of 0.8 on a scale from -2 to 2, based on 113</w:t>
      </w:r>
      <w:r>
        <w:t xml:space="preserve"> </w:t>
      </w:r>
      <w:r>
        <w:t xml:space="preserve">responses to the public and targeted consultations.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With respect to social impacts, Option 1 is expected to contribute to improve to a limited</w:t>
      </w:r>
      <w:r>
        <w:t xml:space="preserve"> </w:t>
      </w:r>
      <w:r>
        <w:t xml:space="preserve">extent the quality of the services provided by public administrations via updated guidance</w:t>
      </w:r>
      <w:r>
        <w:t xml:space="preserve"> </w:t>
      </w:r>
      <w:r>
        <w:t xml:space="preserve">and a common and human-centric EU approach to public sector interoperability. Respondents</w:t>
      </w:r>
      <w:r>
        <w:t xml:space="preserve"> </w:t>
      </w:r>
      <w:r>
        <w:t xml:space="preserve">to both the targeted and public consultations confirm that positive impacts may materialise</w:t>
      </w:r>
      <w:r>
        <w:t xml:space="preserve"> </w:t>
      </w:r>
      <w:r>
        <w:t xml:space="preserve">(with an average score of 0.5 on a scale from -2 to 2, based on 119 responses). An updated</w:t>
      </w:r>
      <w:r>
        <w:t xml:space="preserve"> </w:t>
      </w:r>
      <w:r>
        <w:t xml:space="preserve">EIF would allow for updated guidance and recommendations to be provided for the</w:t>
      </w:r>
      <w:r>
        <w:t xml:space="preserve"> </w:t>
      </w:r>
      <w:r>
        <w:t xml:space="preserve">development of digital and interoperable public services based, among others on the learnings</w:t>
      </w:r>
      <w:r>
        <w:t xml:space="preserve"> </w:t>
      </w:r>
      <w:r>
        <w:t xml:space="preserve">drawn from the evaluation of the EIF as well as the final evaluation of the ISA²</w:t>
      </w:r>
      <w:r>
        <w:t xml:space="preserve"> </w:t>
      </w:r>
      <w:r>
        <w:t xml:space="preserve">programme115.</w:t>
      </w:r>
      <w:r>
        <w:t xml:space="preserve"> </w:t>
      </w:r>
      <w:r>
        <w:t xml:space="preserve">Turning to environmental impacts, Option 1 is likely to have either limited positive or no</w:t>
      </w:r>
      <w:r>
        <w:t xml:space="preserve"> </w:t>
      </w:r>
      <w:r>
        <w:t xml:space="preserve">sizeable impacts on the green transition. The assessment focused on the potential (indirect)</w:t>
      </w:r>
      <w:r>
        <w:t xml:space="preserve"> </w:t>
      </w:r>
      <w:r>
        <w:t xml:space="preserve">impacts on the green transition in the EU, e.g., the role played by interoperability in the</w:t>
      </w:r>
      <w:r>
        <w:t xml:space="preserve"> </w:t>
      </w:r>
      <w:r>
        <w:t xml:space="preserve">development of the common European data spaces (with a common European Green Deal</w:t>
      </w:r>
      <w:r>
        <w:t xml:space="preserve"> </w:t>
      </w:r>
      <w:r>
        <w:t xml:space="preserve">data space foreseen in this framework)116. Common EU guidance on interoperability could</w:t>
      </w:r>
      <w:r>
        <w:t xml:space="preserve"> </w:t>
      </w:r>
      <w:r>
        <w:t xml:space="preserve">contribute to achieving some of the goals set through the European Green Deal117.</w:t>
      </w:r>
      <w:r>
        <w:t xml:space="preserve"> </w:t>
      </w:r>
      <w:r>
        <w:t xml:space="preserve">Finally, when it comes to impacts on fundamental rights the most imminent impact can be</w:t>
      </w:r>
      <w:r>
        <w:t xml:space="preserve"> </w:t>
      </w:r>
      <w:r>
        <w:t xml:space="preserve">seen on Article 41 of the EU Charter of Fundamental Rights (CFR), namely the ‘right to good</w:t>
      </w:r>
      <w:r>
        <w:t xml:space="preserve"> </w:t>
      </w:r>
      <w:r>
        <w:t xml:space="preserve">administration’118. Measures to support the digitalisation of public services can be seen as</w:t>
      </w:r>
      <w:r>
        <w:t xml:space="preserve"> </w:t>
      </w:r>
      <w:r>
        <w:t xml:space="preserve">enablers of the right to good administration, having the potential to contribute to the key</w:t>
      </w:r>
      <w:r>
        <w:t xml:space="preserve"> </w:t>
      </w:r>
      <w:r>
        <w:t xml:space="preserve">principles of good administration that include impartiality, fairness, and reasonable time of</w:t>
      </w:r>
      <w:r>
        <w:t xml:space="preserve"> </w:t>
      </w:r>
      <w:r>
        <w:t xml:space="preserve">resolving affairs119. No further action on the EIF and its related principles could also have</w:t>
      </w:r>
      <w:r>
        <w:t xml:space="preserve"> </w:t>
      </w:r>
      <w:r>
        <w:t xml:space="preserve">negative impacts, for instance on Art. 9 CFR, the right to protection of personal data; and Art.</w:t>
      </w:r>
      <w:r>
        <w:t xml:space="preserve"> </w:t>
      </w:r>
      <w:r>
        <w:t xml:space="preserve">22, CFR the right to linguistic diversity. When it comes to the right to move freely in the EU,</w:t>
      </w:r>
      <w:r>
        <w:t xml:space="preserve"> </w:t>
      </w:r>
      <w:r>
        <w:t xml:space="preserve">studies on SMEs show that non-interoperable administrative procedures hinder European</w:t>
      </w:r>
      <w:r>
        <w:t xml:space="preserve"> </w:t>
      </w:r>
      <w:r>
        <w:t xml:space="preserve">SMEs to do business in other EU countries and thus affect their right of freely acting in the</w:t>
      </w:r>
      <w:r>
        <w:t xml:space="preserve"> </w:t>
      </w:r>
      <w:r>
        <w:t xml:space="preserve">Single Market120.</w:t>
      </w:r>
      <w:r>
        <w:t xml:space="preserve"> </w:t>
      </w:r>
      <w:r>
        <w:t xml:space="preserve">Option 1 is technically feasible as it is mainly a continuation of current policy, and likely to</w:t>
      </w:r>
      <w:r>
        <w:t xml:space="preserve"> </w:t>
      </w:r>
      <w:r>
        <w:t xml:space="preserve">be politically feasible as it only introduces small changes, not expected to face strong</w:t>
      </w:r>
      <w:r>
        <w:t xml:space="preserve"> </w:t>
      </w:r>
      <w:r>
        <w:t xml:space="preserve">opposition. However, looking at the far-reaching recommendations of the expert group on</w:t>
      </w:r>
      <w:r>
        <w:t xml:space="preserve"> </w:t>
      </w:r>
      <w:r>
        <w:t xml:space="preserve">interoperability of public services and European Parliament121 voices on the topic, it is not</w:t>
      </w:r>
      <w:r>
        <w:t xml:space="preserve"> </w:t>
      </w:r>
      <w:r>
        <w:t xml:space="preserve">unlikely that the Parliament or the Council would ask for more ambitious measures.</w:t>
      </w:r>
      <w:r>
        <w:t xml:space="preserve"> </w:t>
      </w:r>
      <w:r>
        <w:t xml:space="preserve">In summary, this option would mostly be a continuation of the current system with all its</w:t>
      </w:r>
      <w:r>
        <w:t xml:space="preserve"> </w:t>
      </w:r>
      <w:r>
        <w:t xml:space="preserve">benefits and drawbacks, with some small improvements through updating of the current</w:t>
      </w:r>
      <w:r>
        <w:t xml:space="preserve"> </w:t>
      </w:r>
      <w:r>
        <w:t xml:space="preserve">Interoperability Framework setup. Its scope would however be limited as an update cannot</w:t>
      </w:r>
      <w:r>
        <w:t xml:space="preserve"> </w:t>
      </w:r>
      <w:r>
        <w:t xml:space="preserve">ensure that the framework stays future-proof and coherent, nor can it generate an overall</w:t>
      </w:r>
      <w:r>
        <w:t xml:space="preserve"> </w:t>
      </w:r>
      <w:r>
        <w:t xml:space="preserve">closer cooperation on the topic.</w:t>
      </w:r>
    </w:p>
    <w:p>
      <w:pPr>
        <w:pStyle w:val="BodyText"/>
      </w:pPr>
      <w:r>
        <w:t xml:space="preserve">115</w:t>
      </w:r>
      <w:r>
        <w:br/>
      </w:r>
      <w:r>
        <w:t xml:space="preserve">See COM/2021/965 final, SWD/2021/965 final and CEPS (2021), Study supporting the final evaluation</w:t>
      </w:r>
      <w:r>
        <w:t xml:space="preserve"> </w:t>
      </w:r>
      <w:r>
        <w:t xml:space="preserve">of the ISA2 programme. Study supporting the evaluation of the implementation of the EIF.</w:t>
      </w:r>
      <w:r>
        <w:t xml:space="preserve"> </w:t>
      </w:r>
      <w:r>
        <w:t xml:space="preserve">116</w:t>
      </w:r>
      <w:r>
        <w:br/>
      </w:r>
      <w:r>
        <w:t xml:space="preserve">COM(2020) 66 - A European strategy for data.</w:t>
      </w:r>
      <w:r>
        <w:t xml:space="preserve"> </w:t>
      </w:r>
      <w:r>
        <w:t xml:space="preserve">117</w:t>
      </w:r>
      <w:r>
        <w:br/>
      </w:r>
      <w:r>
        <w:t xml:space="preserve">ELISE - European Location Interoperability Solutions for e-Government: Energy &amp; Location</w:t>
      </w:r>
      <w:r>
        <w:t xml:space="preserve"> </w:t>
      </w:r>
      <w:r>
        <w:t xml:space="preserve">Applications.</w:t>
      </w:r>
      <w:r>
        <w:t xml:space="preserve"> </w:t>
      </w:r>
      <w:r>
        <w:t xml:space="preserve">118</w:t>
      </w:r>
      <w:r>
        <w:br/>
      </w:r>
      <w:r>
        <w:t xml:space="preserve">Even though the wording of the charter restricts that right to EU bodies, in the Case C-604/12 the CJEU</w:t>
      </w:r>
      <w:r>
        <w:t xml:space="preserve"> </w:t>
      </w:r>
      <w:r>
        <w:t xml:space="preserve">confirmed that it was applicable to national proceedings linked to EU law.</w:t>
      </w:r>
      <w:r>
        <w:t xml:space="preserve"> </w:t>
      </w:r>
      <w:r>
        <w:t xml:space="preserve">119</w:t>
      </w:r>
      <w:r>
        <w:br/>
      </w:r>
      <w:r>
        <w:t xml:space="preserve">Matusiak, J., Princ, M. (2018), EGovernment As an Element of the Right to Good Administration.</w:t>
      </w:r>
      <w:r>
        <w:t xml:space="preserve"> </w:t>
      </w:r>
      <w:r>
        <w:t xml:space="preserve">120</w:t>
      </w:r>
      <w:r>
        <w:br/>
      </w:r>
      <w:r>
        <w:t xml:space="preserve">SWD(2020) 54 final, Identifying and addressing barriers to the Single Market.</w:t>
      </w:r>
      <w:r>
        <w:t xml:space="preserve"> </w:t>
      </w:r>
      <w:r>
        <w:t xml:space="preserve">121</w:t>
      </w:r>
      <w:r>
        <w:br/>
      </w:r>
      <w:r>
        <w:t xml:space="preserve">See positions of Parliament on Interoperability in Annex VI.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Impacts of option 2: New legal framework for an interoperable EU public</w:t>
      </w:r>
      <w:r>
        <w:t xml:space="preserve"> </w:t>
      </w:r>
      <w:r>
        <w:t xml:space="preserve">sector infrastructure</w:t>
      </w:r>
      <w:r>
        <w:t xml:space="preserve"> </w:t>
      </w:r>
      <w:r>
        <w:t xml:space="preserve">In focusing on strengthened cooperation without centrally imposing uniform</w:t>
      </w:r>
      <w:r>
        <w:t xml:space="preserve"> </w:t>
      </w:r>
      <w:r>
        <w:t xml:space="preserve">implementation obligations, this option responds to the subsidiarity needs of public sector</w:t>
      </w:r>
      <w:r>
        <w:t xml:space="preserve"> </w:t>
      </w:r>
      <w:r>
        <w:t xml:space="preserve">digital transformation: Member States are sovereign in designing their government setup;</w:t>
      </w:r>
      <w:r>
        <w:t xml:space="preserve"> </w:t>
      </w:r>
      <w:r>
        <w:t xml:space="preserve">creating distributed but connected – interoperable – public sector ecosystems allows meeting</w:t>
      </w:r>
      <w:r>
        <w:t xml:space="preserve"> </w:t>
      </w:r>
      <w:r>
        <w:t xml:space="preserve">local needs while delivering on the objectives of interoperability.</w:t>
      </w:r>
      <w:r>
        <w:t xml:space="preserve"> </w:t>
      </w:r>
      <w:r>
        <w:t xml:space="preserve">This option is expected to generate an improved sense of ownership of interoperability by</w:t>
      </w:r>
      <w:r>
        <w:t xml:space="preserve"> </w:t>
      </w:r>
      <w:r>
        <w:t xml:space="preserve">offering a platform for structured cooperation on interoperability across the EU. The benefit</w:t>
      </w:r>
      <w:r>
        <w:t xml:space="preserve"> </w:t>
      </w:r>
      <w:r>
        <w:t xml:space="preserve">lies in more direct involvement in the development of interoperability initiatives, facilitating</w:t>
      </w:r>
      <w:r>
        <w:t xml:space="preserve"> </w:t>
      </w:r>
      <w:r>
        <w:t xml:space="preserve">the take-up of jointly piloted interoperability solutions. The speed of developments may</w:t>
      </w:r>
      <w:r>
        <w:t xml:space="preserve"> </w:t>
      </w:r>
      <w:r>
        <w:t xml:space="preserve">depend on the configuration of the governance and on the prioritisation of issues taken up by</w:t>
      </w:r>
      <w:r>
        <w:t xml:space="preserve"> </w:t>
      </w:r>
      <w:r>
        <w:t xml:space="preserve">it. Option 2 could be combined with introducing conditionalities for respecting</w:t>
      </w:r>
      <w:r>
        <w:t xml:space="preserve"> </w:t>
      </w:r>
      <w:r>
        <w:t xml:space="preserve">interoperability requirements to receive EU funding or a label to certify solutions that fulfil</w:t>
      </w:r>
      <w:r>
        <w:t xml:space="preserve"> </w:t>
      </w:r>
      <w:r>
        <w:t xml:space="preserve">the requirements are set-up by the collaboration platform on interoperability.</w:t>
      </w:r>
      <w:r>
        <w:t xml:space="preserve"> </w:t>
      </w:r>
      <w:r>
        <w:t xml:space="preserve">Against this background, the feedback from stakeholders indicates that Option 2 would likely</w:t>
      </w:r>
      <w:r>
        <w:t xml:space="preserve"> </w:t>
      </w:r>
      <w:r>
        <w:t xml:space="preserve">bring positive effects across all categories of impacts considered (see Annex II Stakeholder</w:t>
      </w:r>
      <w:r>
        <w:t xml:space="preserve"> </w:t>
      </w:r>
      <w:r>
        <w:t xml:space="preserve">consultations). Overall, responses from the citizens consulted through the public consultation</w:t>
      </w:r>
      <w:r>
        <w:t xml:space="preserve"> </w:t>
      </w:r>
      <w:r>
        <w:t xml:space="preserve">tend to be the most positive, followed by responses received from representatives of EU</w:t>
      </w:r>
      <w:r>
        <w:t xml:space="preserve"> </w:t>
      </w:r>
      <w:r>
        <w:t xml:space="preserve">public authorities (engaged in both the targeted and the public consultations). And this is the</w:t>
      </w:r>
      <w:r>
        <w:t xml:space="preserve"> </w:t>
      </w:r>
      <w:r>
        <w:t xml:space="preserve">option which is most in line with the recommendations of the expert group.</w:t>
      </w:r>
      <w:r>
        <w:t xml:space="preserve"> </w:t>
      </w:r>
      <w:r>
        <w:t xml:space="preserve">In terms of economic impacts, Option 2 is expected by stakeholders to have particularly</w:t>
      </w:r>
      <w:r>
        <w:t xml:space="preserve"> </w:t>
      </w:r>
      <w:r>
        <w:t xml:space="preserve">positive effects on the free movement of goods, services, capital and workers across the</w:t>
      </w:r>
      <w:r>
        <w:t xml:space="preserve"> </w:t>
      </w:r>
      <w:r>
        <w:t xml:space="preserve">Member States and on research, development and innovation (with average scores of 1 and</w:t>
      </w:r>
      <w:r>
        <w:t xml:space="preserve"> </w:t>
      </w:r>
      <w:r>
        <w:t xml:space="preserve">0.9 on a scale from -2 to 2, based on 116 and 117 responses, respectively). The positive</w:t>
      </w:r>
      <w:r>
        <w:t xml:space="preserve"> </w:t>
      </w:r>
      <w:r>
        <w:t xml:space="preserve">impacts are expected from enhanced cooperation across the EU, contributing to improving the</w:t>
      </w:r>
      <w:r>
        <w:t xml:space="preserve"> </w:t>
      </w:r>
      <w:r>
        <w:t xml:space="preserve">development and delivery of digital and interoperable public services. Similarly, Option 2 is</w:t>
      </w:r>
      <w:r>
        <w:t xml:space="preserve"> </w:t>
      </w:r>
      <w:r>
        <w:t xml:space="preserve">likely to lead to a reduction in the costs of interacting with public administrations as well</w:t>
      </w:r>
      <w:r>
        <w:t xml:space="preserve"> </w:t>
      </w:r>
      <w:r>
        <w:t xml:space="preserve">as the costs of doing business in the EU (according to feedback from stakeholders showing</w:t>
      </w:r>
      <w:r>
        <w:t xml:space="preserve"> </w:t>
      </w:r>
      <w:r>
        <w:t xml:space="preserve">average scores of 0.9 and 0.8 on a scale from -2 to 2, based on 122 and 115 responses,</w:t>
      </w:r>
      <w:r>
        <w:t xml:space="preserve"> </w:t>
      </w:r>
      <w:r>
        <w:t xml:space="preserve">respectively). Some positive overall economic impacts are especially expected from</w:t>
      </w:r>
      <w:r>
        <w:t xml:space="preserve"> </w:t>
      </w:r>
      <w:r>
        <w:t xml:space="preserve">introducing conditionalities. These include positive impacts on innovation and research (as</w:t>
      </w:r>
      <w:r>
        <w:t xml:space="preserve"> </w:t>
      </w:r>
      <w:r>
        <w:t xml:space="preserve">confirmed by respondents to both targeted and public consultations, with an average score of</w:t>
      </w:r>
      <w:r>
        <w:t xml:space="preserve"> </w:t>
      </w:r>
      <w:r>
        <w:t xml:space="preserve">1 on a scale of -2 to 2, based on 117 responses). To the extent that more interoperable projects</w:t>
      </w:r>
      <w:r>
        <w:t xml:space="preserve"> </w:t>
      </w:r>
      <w:r>
        <w:t xml:space="preserve">and services are developed, this may lead to cost reductions both for public administrations as</w:t>
      </w:r>
      <w:r>
        <w:t xml:space="preserve"> </w:t>
      </w:r>
      <w:r>
        <w:t xml:space="preserve">well as businesses and citizens interacting with public administrations.</w:t>
      </w:r>
      <w:r>
        <w:t xml:space="preserve"> </w:t>
      </w:r>
      <w:r>
        <w:t xml:space="preserve">By establishing a common governance with the mandate to issue agreed positions on the use</w:t>
      </w:r>
      <w:r>
        <w:t xml:space="preserve"> </w:t>
      </w:r>
      <w:r>
        <w:t xml:space="preserve">of interoperability resources, those resources could also be mandated for future EU funding</w:t>
      </w:r>
      <w:r>
        <w:t xml:space="preserve"> </w:t>
      </w:r>
      <w:r>
        <w:t xml:space="preserve">programmes. In this case, public administrations requesting EU funding and assistance for</w:t>
      </w:r>
      <w:r>
        <w:t xml:space="preserve"> </w:t>
      </w:r>
      <w:r>
        <w:t xml:space="preserve">their efforts to modernise and digitise their systems and processes would need to argue how</w:t>
      </w:r>
      <w:r>
        <w:t xml:space="preserve"> </w:t>
      </w:r>
      <w:r>
        <w:t xml:space="preserve">they plan to comply with or contribute to the agreed interoperability resources. Such a</w:t>
      </w:r>
      <w:r>
        <w:t xml:space="preserve"> </w:t>
      </w:r>
      <w:r>
        <w:t xml:space="preserve">measure would ensure that digitalisation efforts in public administrations build on existing</w:t>
      </w:r>
      <w:r>
        <w:t xml:space="preserve"> </w:t>
      </w:r>
      <w:r>
        <w:t xml:space="preserve">solutions, reduce the risk of duplication of work and contribute to a harmonised approach to</w:t>
      </w:r>
      <w:r>
        <w:t xml:space="preserve"> </w:t>
      </w:r>
      <w:r>
        <w:t xml:space="preserve">interoperability. In addition, relying on conditionalities can also ensure that solutions already</w:t>
      </w:r>
      <w:r>
        <w:t xml:space="preserve"> </w:t>
      </w:r>
      <w:r>
        <w:t xml:space="preserve">funded at the EU level are used. The result would be an emerging distributed trans-European</w:t>
      </w:r>
      <w:r>
        <w:t xml:space="preserve"> </w:t>
      </w:r>
      <w:r>
        <w:t xml:space="preserve">network of public administrations and services.</w:t>
      </w:r>
      <w:r>
        <w:t xml:space="preserve"> </w:t>
      </w:r>
      <w:r>
        <w:t xml:space="preserve">This is further supported by examples from Member States on cost-savings linked with</w:t>
      </w:r>
      <w:r>
        <w:t xml:space="preserve"> </w:t>
      </w:r>
      <w:r>
        <w:t xml:space="preserve">interoperable digital services, summarised in Table 2.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Table 2. Summary of the key findings for time and cost savings estimations</w:t>
      </w:r>
      <w:r>
        <w:t xml:space="preserve"> </w:t>
      </w:r>
      <w:r>
        <w:t xml:space="preserve">Geographical</w:t>
      </w:r>
      <w:r>
        <w:t xml:space="preserve"> </w:t>
      </w:r>
      <w:r>
        <w:t xml:space="preserve">coverage</w:t>
      </w:r>
      <w:r>
        <w:t xml:space="preserve"> </w:t>
      </w:r>
      <w:r>
        <w:t xml:space="preserve">Implemented solutions</w:t>
      </w:r>
      <w:r>
        <w:t xml:space="preserve"> </w:t>
      </w:r>
      <w:r>
        <w:t xml:space="preserve">Cost savings</w:t>
      </w:r>
      <w:r>
        <w:t xml:space="preserve"> </w:t>
      </w:r>
      <w:r>
        <w:t xml:space="preserve">Belgium122</w:t>
      </w:r>
      <w:r>
        <w:t xml:space="preserve"> </w:t>
      </w:r>
      <w:r>
        <w:t xml:space="preserve">Digital government solutions</w:t>
      </w:r>
      <w:r>
        <w:t xml:space="preserve"> </w:t>
      </w:r>
      <w:r>
        <w:t xml:space="preserve">Estimates for 2016:</w:t>
      </w:r>
      <w:r>
        <w:t xml:space="preserve"> </w:t>
      </w:r>
      <w:r>
        <w:t xml:space="preserve"> EUR 4.6 million for businesses; and</w:t>
      </w:r>
      <w:r>
        <w:t xml:space="preserve"> </w:t>
      </w:r>
      <w:r>
        <w:t xml:space="preserve"> EUR 28 million for citizens.</w:t>
      </w:r>
      <w:r>
        <w:t xml:space="preserve"> </w:t>
      </w:r>
      <w:r>
        <w:t xml:space="preserve">Estonia123</w:t>
      </w:r>
      <w:r>
        <w:t xml:space="preserve"> </w:t>
      </w:r>
      <w:r>
        <w:t xml:space="preserve">Digital signatures</w:t>
      </w:r>
      <w:r>
        <w:t xml:space="preserve"> </w:t>
      </w:r>
      <w:r>
        <w:t xml:space="preserve">2% of Estonia’s GDP saved (according to</w:t>
      </w:r>
      <w:r>
        <w:t xml:space="preserve"> </w:t>
      </w:r>
      <w:r>
        <w:t xml:space="preserve">2018 estimates)</w:t>
      </w:r>
      <w:r>
        <w:t xml:space="preserve"> </w:t>
      </w:r>
      <w:r>
        <w:t xml:space="preserve">The UK124</w:t>
      </w:r>
      <w:r>
        <w:t xml:space="preserve"> </w:t>
      </w:r>
      <w:r>
        <w:t xml:space="preserve">Digital strategies and</w:t>
      </w:r>
      <w:r>
        <w:t xml:space="preserve"> </w:t>
      </w:r>
      <w:r>
        <w:t xml:space="preserve">implementation of key</w:t>
      </w:r>
      <w:r>
        <w:t xml:space="preserve"> </w:t>
      </w:r>
      <w:r>
        <w:t xml:space="preserve">principles: digital-by-default</w:t>
      </w:r>
      <w:r>
        <w:t xml:space="preserve"> </w:t>
      </w:r>
      <w:r>
        <w:t xml:space="preserve">public services</w:t>
      </w:r>
      <w:r>
        <w:t xml:space="preserve"> </w:t>
      </w:r>
      <w:r>
        <w:t xml:space="preserve">GBP 1.7 billion to GBP 1.8 billion saved</w:t>
      </w:r>
      <w:r>
        <w:t xml:space="preserve"> </w:t>
      </w:r>
      <w:r>
        <w:t xml:space="preserve">every year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and</w:t>
      </w:r>
      <w:r>
        <w:t xml:space="preserve"> </w:t>
      </w:r>
      <w:r>
        <w:t xml:space="preserve">Belgium125</w:t>
      </w:r>
      <w:r>
        <w:t xml:space="preserve"> </w:t>
      </w:r>
      <w:r>
        <w:t xml:space="preserve">Digital strategies and</w:t>
      </w:r>
      <w:r>
        <w:t xml:space="preserve"> </w:t>
      </w:r>
      <w:r>
        <w:t xml:space="preserve">implementation of key</w:t>
      </w:r>
      <w:r>
        <w:t xml:space="preserve"> </w:t>
      </w:r>
      <w:r>
        <w:t xml:space="preserve">principles: once-only principle</w:t>
      </w:r>
      <w:r>
        <w:t xml:space="preserve"> </w:t>
      </w:r>
      <w:r>
        <w:t xml:space="preserve">Estimates from 2017: EUR 163 million</w:t>
      </w:r>
      <w:r>
        <w:t xml:space="preserve"> </w:t>
      </w:r>
      <w:r>
        <w:t xml:space="preserve">(Netherlands) and around EUR 100 million</w:t>
      </w:r>
      <w:r>
        <w:t xml:space="preserve"> </w:t>
      </w:r>
      <w:r>
        <w:t xml:space="preserve">(Belgium) saved per year</w:t>
      </w:r>
      <w:r>
        <w:br/>
      </w:r>
      <w:r>
        <w:t xml:space="preserve">Spain126</w:t>
      </w:r>
      <w:r>
        <w:t xml:space="preserve"> </w:t>
      </w:r>
      <w:r>
        <w:t xml:space="preserve">Digital strategies and</w:t>
      </w:r>
      <w:r>
        <w:t xml:space="preserve"> </w:t>
      </w:r>
      <w:r>
        <w:t xml:space="preserve">implementation of key</w:t>
      </w:r>
      <w:r>
        <w:t xml:space="preserve"> </w:t>
      </w:r>
      <w:r>
        <w:t xml:space="preserve">principles: e-administrations,</w:t>
      </w:r>
      <w:r>
        <w:t xml:space="preserve"> </w:t>
      </w:r>
      <w:r>
        <w:t xml:space="preserve">once-only principle, and</w:t>
      </w:r>
      <w:r>
        <w:t xml:space="preserve"> </w:t>
      </w:r>
      <w:r>
        <w:t xml:space="preserve">interoperability platforms</w:t>
      </w:r>
      <w:r>
        <w:t xml:space="preserve"> </w:t>
      </w:r>
      <w:r>
        <w:t xml:space="preserve">EUR 22 billion saved between 2008 and</w:t>
      </w:r>
      <w:r>
        <w:t xml:space="preserve"> </w:t>
      </w:r>
      <w:r>
        <w:t xml:space="preserve">2011, with:</w:t>
      </w:r>
      <w:r>
        <w:t xml:space="preserve"> </w:t>
      </w:r>
      <w:r>
        <w:t xml:space="preserve"> 60% e-administration;</w:t>
      </w:r>
      <w:r>
        <w:t xml:space="preserve"> </w:t>
      </w:r>
      <w:r>
        <w:t xml:space="preserve"> 20% implementation of once-only</w:t>
      </w:r>
      <w:r>
        <w:t xml:space="preserve"> </w:t>
      </w:r>
      <w:r>
        <w:t xml:space="preserve">principle;</w:t>
      </w:r>
      <w:r>
        <w:br/>
      </w:r>
      <w:r>
        <w:t xml:space="preserve"> 20% to interoperability platforms.</w:t>
      </w:r>
      <w:r>
        <w:t xml:space="preserve"> </w:t>
      </w:r>
      <w:r>
        <w:t xml:space="preserve">EU127</w:t>
      </w:r>
      <w:r>
        <w:t xml:space="preserve"> </w:t>
      </w:r>
      <w:r>
        <w:t xml:space="preserve">Digital strategies and</w:t>
      </w:r>
      <w:r>
        <w:t xml:space="preserve"> </w:t>
      </w:r>
      <w:r>
        <w:t xml:space="preserve">implementation of key</w:t>
      </w:r>
      <w:r>
        <w:t xml:space="preserve"> </w:t>
      </w:r>
      <w:r>
        <w:t xml:space="preserve">principles: once-only principle</w:t>
      </w:r>
      <w:r>
        <w:t xml:space="preserve"> </w:t>
      </w:r>
      <w:r>
        <w:t xml:space="preserve">and digital-by-default public</w:t>
      </w:r>
      <w:r>
        <w:t xml:space="preserve"> </w:t>
      </w:r>
      <w:r>
        <w:t xml:space="preserve">services</w:t>
      </w:r>
      <w:r>
        <w:t xml:space="preserve"> </w:t>
      </w:r>
      <w:r>
        <w:t xml:space="preserve">Estimates from 2014:</w:t>
      </w:r>
      <w:r>
        <w:t xml:space="preserve"> </w:t>
      </w:r>
      <w:r>
        <w:t xml:space="preserve"> EUR 5 billion saved per year linked to</w:t>
      </w:r>
      <w:r>
        <w:t xml:space="preserve"> </w:t>
      </w:r>
      <w:r>
        <w:t xml:space="preserve">the once-only-principle; and</w:t>
      </w:r>
      <w:r>
        <w:t xml:space="preserve"> </w:t>
      </w:r>
      <w:r>
        <w:t xml:space="preserve"> EUR 10 billion saved per year linked to</w:t>
      </w:r>
      <w:r>
        <w:t xml:space="preserve"> </w:t>
      </w:r>
      <w:r>
        <w:t xml:space="preserve">the digital-by-default principle.</w:t>
      </w:r>
      <w:r>
        <w:t xml:space="preserve"> </w:t>
      </w:r>
      <w:r>
        <w:t xml:space="preserve">EU</w:t>
      </w:r>
      <w:r>
        <w:t xml:space="preserve"> </w:t>
      </w:r>
      <w:r>
        <w:t xml:space="preserve">The use of open source</w:t>
      </w:r>
      <w:r>
        <w:t xml:space="preserve"> </w:t>
      </w:r>
      <w:r>
        <w:t xml:space="preserve">software</w:t>
      </w:r>
      <w:r>
        <w:t xml:space="preserve"> </w:t>
      </w:r>
      <w:r>
        <w:t xml:space="preserve">Estimated benefits from an increase of 10%</w:t>
      </w:r>
      <w:r>
        <w:t xml:space="preserve"> </w:t>
      </w:r>
      <w:r>
        <w:t xml:space="preserve">in open source software contributions:</w:t>
      </w:r>
      <w:r>
        <w:t xml:space="preserve"> </w:t>
      </w:r>
      <w:r>
        <w:t xml:space="preserve"> An additional 0.4% to 0.6% GDP per</w:t>
      </w:r>
      <w:r>
        <w:t xml:space="preserve"> </w:t>
      </w:r>
      <w:r>
        <w:t xml:space="preserve">year in the EU;</w:t>
      </w:r>
      <w:r>
        <w:t xml:space="preserve"> </w:t>
      </w:r>
      <w:r>
        <w:t xml:space="preserve"> Over 600 additional ICT start-ups per</w:t>
      </w:r>
      <w:r>
        <w:t xml:space="preserve"> </w:t>
      </w:r>
      <w:r>
        <w:t xml:space="preserve">year in the EU.</w:t>
      </w:r>
      <w:r>
        <w:t xml:space="preserve"> </w:t>
      </w:r>
      <w:r>
        <w:t xml:space="preserve">Source: Study supporting the impact assessment for a future interoperability strategy</w:t>
      </w:r>
    </w:p>
    <w:p>
      <w:pPr>
        <w:pStyle w:val="BodyText"/>
      </w:pPr>
      <w:r>
        <w:t xml:space="preserve">122</w:t>
      </w:r>
      <w:r>
        <w:br/>
      </w:r>
      <w:r>
        <w:t xml:space="preserve">Digital Dashboard Belgium, Evolution of cumulative annual cost reduction per target group 2016.</w:t>
      </w:r>
      <w:r>
        <w:t xml:space="preserve"> </w:t>
      </w:r>
      <w:r>
        <w:t xml:space="preserve">123</w:t>
      </w:r>
      <w:r>
        <w:br/>
      </w:r>
      <w:r>
        <w:t xml:space="preserve">For further details please see: e-Estonia guide 2020.</w:t>
      </w:r>
      <w:r>
        <w:t xml:space="preserve"> </w:t>
      </w:r>
      <w:r>
        <w:t xml:space="preserve">124</w:t>
      </w:r>
      <w:r>
        <w:br/>
      </w:r>
      <w:r>
        <w:t xml:space="preserve">For more details please see: How digital and technology transformation saved 1.7bn.</w:t>
      </w:r>
      <w:r>
        <w:t xml:space="preserve"> </w:t>
      </w:r>
      <w:r>
        <w:t xml:space="preserve">125</w:t>
      </w:r>
      <w:r>
        <w:br/>
      </w:r>
      <w:r>
        <w:t xml:space="preserve">For further details please see: Cave J. et al (2017), EU-wide digital Once-Only Principle for citizens and</w:t>
      </w:r>
      <w:r>
        <w:t xml:space="preserve"> </w:t>
      </w:r>
      <w:r>
        <w:t xml:space="preserve">businesses.</w:t>
      </w:r>
      <w:r>
        <w:t xml:space="preserve"> </w:t>
      </w:r>
      <w:r>
        <w:t xml:space="preserve">126</w:t>
      </w:r>
      <w:r>
        <w:br/>
      </w:r>
      <w:r>
        <w:t xml:space="preserve">Gallo, C., Giove, M., Millard, J., Thaarup, R. (2014), Study on eGovernment and the Reduction of</w:t>
      </w:r>
      <w:r>
        <w:t xml:space="preserve"> </w:t>
      </w:r>
      <w:r>
        <w:t xml:space="preserve">Administrative Burden, European Commission, p. 35.</w:t>
      </w:r>
      <w:r>
        <w:t xml:space="preserve"> </w:t>
      </w:r>
      <w:r>
        <w:t xml:space="preserve">127</w:t>
      </w:r>
      <w:r>
        <w:br/>
      </w:r>
      <w:r>
        <w:t xml:space="preserve">Ibid., p. 25, 48.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The impacts on the costs borne by public administrations in providing public services need to</w:t>
      </w:r>
      <w:r>
        <w:t xml:space="preserve"> </w:t>
      </w:r>
      <w:r>
        <w:t xml:space="preserve">be considered in terms of both shorter-term implications and potential longer-term benefits. In</w:t>
      </w:r>
      <w:r>
        <w:t xml:space="preserve"> </w:t>
      </w:r>
      <w:r>
        <w:t xml:space="preserve">the shorter run, public authorities may incur costs in setting up the mechanism for structured</w:t>
      </w:r>
      <w:r>
        <w:t xml:space="preserve"> </w:t>
      </w:r>
      <w:r>
        <w:t xml:space="preserve">cooperation among administrations in the EU and the Member States. These costs would be</w:t>
      </w:r>
      <w:r>
        <w:t xml:space="preserve"> </w:t>
      </w:r>
      <w:r>
        <w:t xml:space="preserve">offset over the longer term by the benefits generated through the improved cooperation and</w:t>
      </w:r>
      <w:r>
        <w:t xml:space="preserve"> </w:t>
      </w:r>
      <w:r>
        <w:t xml:space="preserve">the development and implementation of common interoperability measures for public</w:t>
      </w:r>
      <w:r>
        <w:t xml:space="preserve"> </w:t>
      </w:r>
      <w:r>
        <w:t xml:space="preserve">services, thus reducing duplications of efforts and unnecessary burdens. In addition, measures</w:t>
      </w:r>
      <w:r>
        <w:t xml:space="preserve"> </w:t>
      </w:r>
      <w:r>
        <w:t xml:space="preserve">such as interoperability checks on EU legislation and EU funding would ensure that EU funds</w:t>
      </w:r>
      <w:r>
        <w:t xml:space="preserve"> </w:t>
      </w:r>
      <w:r>
        <w:t xml:space="preserve">are spent in a much more cost-effective way, thus generating benefits such as facilitating data</w:t>
      </w:r>
      <w:r>
        <w:t xml:space="preserve"> </w:t>
      </w:r>
      <w:r>
        <w:t xml:space="preserve">sharing across sectors and the re-use of digital tools. Overall, the feedback from stakeholders</w:t>
      </w:r>
      <w:r>
        <w:t xml:space="preserve"> </w:t>
      </w:r>
      <w:r>
        <w:t xml:space="preserve">is positive, suggesting at least some reduction in the costs borne by public administrations in</w:t>
      </w:r>
      <w:r>
        <w:t xml:space="preserve"> </w:t>
      </w:r>
      <w:r>
        <w:t xml:space="preserve">providing public services (with an average score of 0.5 on a scale from -2 to 2, based on 118</w:t>
      </w:r>
      <w:r>
        <w:t xml:space="preserve"> </w:t>
      </w:r>
      <w:r>
        <w:t xml:space="preserve">responses).</w:t>
      </w:r>
      <w:r>
        <w:t xml:space="preserve"> </w:t>
      </w:r>
      <w:r>
        <w:t xml:space="preserve">This assessment is complemented by estimations of the benefits that are likely to result from</w:t>
      </w:r>
      <w:r>
        <w:t xml:space="preserve"> </w:t>
      </w:r>
      <w:r>
        <w:t xml:space="preserve">Option 2 (the summary of the estimations is presented in section 7.3 and Annex 4). In this</w:t>
      </w:r>
      <w:r>
        <w:t xml:space="preserve"> </w:t>
      </w:r>
      <w:r>
        <w:t xml:space="preserve">case, the scenario for the potential costs incurred assumes a higher commitment to</w:t>
      </w:r>
      <w:r>
        <w:t xml:space="preserve"> </w:t>
      </w:r>
      <w:r>
        <w:t xml:space="preserve">implementing common interoperability solutions based on the enhanced cooperation</w:t>
      </w:r>
      <w:r>
        <w:t xml:space="preserve"> </w:t>
      </w:r>
      <w:r>
        <w:t xml:space="preserve">mechanism on interoperability among EU and Member States’ public administrations. This</w:t>
      </w:r>
      <w:r>
        <w:t xml:space="preserve"> </w:t>
      </w:r>
      <w:r>
        <w:t xml:space="preserve">option is not expected to generate additional costs for citizens and businesses compared to the</w:t>
      </w:r>
      <w:r>
        <w:t xml:space="preserve"> </w:t>
      </w:r>
      <w:r>
        <w:t xml:space="preserve">baseline situation. Regarding social impacts, Option 2 is likely to lead to a significant</w:t>
      </w:r>
      <w:r>
        <w:t xml:space="preserve"> </w:t>
      </w:r>
      <w:r>
        <w:t xml:space="preserve">increase in the quality of the services provided by public administrations compared to the ‘no-</w:t>
      </w:r>
      <w:r>
        <w:t xml:space="preserve"> </w:t>
      </w:r>
      <w:r>
        <w:t xml:space="preserve">change’ scenario. The findings from the evaluations of the ISA² programme and the EIF as</w:t>
      </w:r>
      <w:r>
        <w:t xml:space="preserve"> </w:t>
      </w:r>
      <w:r>
        <w:t xml:space="preserve">well as the stakeholders consulted confirm this assessment (with an average score of 1.1 on a</w:t>
      </w:r>
      <w:r>
        <w:t xml:space="preserve"> </w:t>
      </w:r>
      <w:r>
        <w:t xml:space="preserve">scale from -2 to 2, based on 116 responses). Both evaluations emphasise the need for</w:t>
      </w:r>
      <w:r>
        <w:t xml:space="preserve"> </w:t>
      </w:r>
      <w:r>
        <w:t xml:space="preserve">enhanced governance and cooperation to help build a coherent landscape of public sector</w:t>
      </w:r>
      <w:r>
        <w:t xml:space="preserve"> </w:t>
      </w:r>
      <w:r>
        <w:t xml:space="preserve">interoperability across the EU128. This can in turn improve the provision and quality of public</w:t>
      </w:r>
      <w:r>
        <w:t xml:space="preserve"> </w:t>
      </w:r>
      <w:r>
        <w:t xml:space="preserve">services. Furthermore, the specialised literature underlines the importance of governance</w:t>
      </w:r>
      <w:r>
        <w:t xml:space="preserve"> </w:t>
      </w:r>
      <w:r>
        <w:t xml:space="preserve">mechanisms and cooperation for the success of digital government strategies and</w:t>
      </w:r>
      <w:r>
        <w:t xml:space="preserve"> </w:t>
      </w:r>
      <w:r>
        <w:t xml:space="preserve">implementation of interoperability requirements129. Interoperability can be a key enabler for</w:t>
      </w:r>
      <w:r>
        <w:t xml:space="preserve"> </w:t>
      </w:r>
      <w:r>
        <w:t xml:space="preserve">generating public value for stakeholders130, including to better equip public administrations</w:t>
      </w:r>
      <w:r>
        <w:t xml:space="preserve"> </w:t>
      </w:r>
      <w:r>
        <w:t xml:space="preserve">to address social challenges (the Dutch Government Data Agenda focuses particularly on the</w:t>
      </w:r>
      <w:r>
        <w:t xml:space="preserve"> </w:t>
      </w:r>
      <w:r>
        <w:t xml:space="preserve">role of data to tackle social issues)131. Interoperability can also contribute achieving the</w:t>
      </w:r>
      <w:r>
        <w:t xml:space="preserve"> </w:t>
      </w:r>
      <w:r>
        <w:t xml:space="preserve">Sustainable Development Goals132, seen as essential to foster positive social impacts</w:t>
      </w:r>
      <w:r>
        <w:t xml:space="preserve"> </w:t>
      </w:r>
      <w:r>
        <w:t xml:space="preserve">according to the UN133.</w:t>
      </w:r>
      <w:r>
        <w:t xml:space="preserve"> </w:t>
      </w:r>
      <w:r>
        <w:t xml:space="preserve">As far as environmental impacts are concerned, the measures proposed in Option 2 are</w:t>
      </w:r>
      <w:r>
        <w:t xml:space="preserve"> </w:t>
      </w:r>
      <w:r>
        <w:t xml:space="preserve">likely to have positive effects on the green transition in the EU. Interoperable processes,</w:t>
      </w:r>
      <w:r>
        <w:t xml:space="preserve"> </w:t>
      </w:r>
      <w:r>
        <w:t xml:space="preserve">and in particular, interoperable data play a significant role across policy areas, including the</w:t>
      </w:r>
      <w:r>
        <w:t xml:space="preserve"> </w:t>
      </w:r>
      <w:r>
        <w:t xml:space="preserve">green transition134. For instance, the 2021 Ministerial Declaration on A Green and Digital</w:t>
      </w:r>
      <w:r>
        <w:t xml:space="preserve"> </w:t>
      </w:r>
      <w:r>
        <w:t xml:space="preserve">Transformation of the EU reinforces the need to share data ‘through standardised and</w:t>
      </w:r>
      <w:r>
        <w:t xml:space="preserve"> </w:t>
      </w:r>
      <w:r>
        <w:t xml:space="preserve">interoperable common European data spaces to unleash the potential from data on realising</w:t>
      </w:r>
      <w:r>
        <w:t xml:space="preserve"> </w:t>
      </w:r>
      <w:r>
        <w:t xml:space="preserve">the European Green Deal’135. The role of interoperable data is also emphasised in the context</w:t>
      </w:r>
    </w:p>
    <w:p>
      <w:pPr>
        <w:pStyle w:val="BodyText"/>
      </w:pPr>
      <w:r>
        <w:t xml:space="preserve">128</w:t>
      </w:r>
      <w:r>
        <w:br/>
      </w:r>
      <w:r>
        <w:t xml:space="preserve">See EIF final evaluation SWD(2022) 720 final, and ISA² final evaluation SWD(2021) 965 final.</w:t>
      </w:r>
      <w:r>
        <w:t xml:space="preserve"> </w:t>
      </w:r>
      <w:r>
        <w:t xml:space="preserve">129</w:t>
      </w:r>
      <w:r>
        <w:br/>
      </w:r>
      <w:r>
        <w:t xml:space="preserve">Nielsen, M. M., Jordanoski, Z. (2020), Digital transformation, governance and coordination models: A</w:t>
      </w:r>
      <w:r>
        <w:t xml:space="preserve"> </w:t>
      </w:r>
      <w:r>
        <w:t xml:space="preserve">comparative study of Australia, Denmark and the Republic of Korea, pp. 285–293.</w:t>
      </w:r>
      <w:r>
        <w:t xml:space="preserve"> </w:t>
      </w:r>
      <w:r>
        <w:t xml:space="preserve">130</w:t>
      </w:r>
      <w:r>
        <w:br/>
      </w:r>
      <w:r>
        <w:t xml:space="preserve">Chantillon, M., Crompvoets, J., and Peristeras, V. (2020), Prioritizing Public Values in E-government</w:t>
      </w:r>
      <w:r>
        <w:t xml:space="preserve"> </w:t>
      </w:r>
      <w:r>
        <w:t xml:space="preserve">Policies: A Document Analysis, Information Policy.</w:t>
      </w:r>
      <w:r>
        <w:t xml:space="preserve"> </w:t>
      </w:r>
      <w:r>
        <w:t xml:space="preserve">131</w:t>
      </w:r>
      <w:r>
        <w:br/>
      </w:r>
      <w:r>
        <w:t xml:space="preserve">OECD (2019) The Path to Becoming a Data-Driven Public Sector.</w:t>
      </w:r>
      <w:r>
        <w:t xml:space="preserve"> </w:t>
      </w:r>
      <w:r>
        <w:t xml:space="preserve">132</w:t>
      </w:r>
      <w:r>
        <w:br/>
      </w:r>
      <w:r>
        <w:t xml:space="preserve">The Digital Public Goods Alliance, https://digitalpublicgoods.net/about/.</w:t>
      </w:r>
      <w:r>
        <w:t xml:space="preserve"> </w:t>
      </w:r>
      <w:r>
        <w:t xml:space="preserve">133</w:t>
      </w:r>
      <w:r>
        <w:br/>
      </w:r>
      <w:r>
        <w:t xml:space="preserve">UN (2020), The Impact of Digital Technologies, UN75 Issue Briefs.</w:t>
      </w:r>
      <w:r>
        <w:t xml:space="preserve"> </w:t>
      </w:r>
      <w:r>
        <w:t xml:space="preserve">134</w:t>
      </w:r>
      <w:r>
        <w:br/>
      </w:r>
      <w:r>
        <w:t xml:space="preserve">Towards a green competitive and resilient EU economy.</w:t>
      </w:r>
      <w:r>
        <w:t xml:space="preserve"> </w:t>
      </w:r>
      <w:r>
        <w:t xml:space="preserve">135</w:t>
      </w:r>
      <w:r>
        <w:br/>
      </w:r>
      <w:r>
        <w:t xml:space="preserve">Ministerial Declaration on A Green and Digital Transformation of the EU, 19 March 2021.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of the Zero Pollution Action Plan136. Combining different types of data (for instance</w:t>
      </w:r>
      <w:r>
        <w:t xml:space="preserve"> </w:t>
      </w:r>
      <w:r>
        <w:t xml:space="preserve">pollution-related data and spatial data) can bring innovations that help alleviate environmental</w:t>
      </w:r>
      <w:r>
        <w:t xml:space="preserve"> </w:t>
      </w:r>
      <w:r>
        <w:t xml:space="preserve">impacts from pollution. Establishing a common, machine-readable, way of defining and</w:t>
      </w:r>
      <w:r>
        <w:t xml:space="preserve"> </w:t>
      </w:r>
      <w:r>
        <w:t xml:space="preserve">exchanging environmental/climate footprint data with all market players could save the</w:t>
      </w:r>
      <w:r>
        <w:t xml:space="preserve"> </w:t>
      </w:r>
      <w:r>
        <w:t xml:space="preserve">burden in setting up and operating public procurement in an age in which everybody will be</w:t>
      </w:r>
      <w:r>
        <w:t xml:space="preserve"> </w:t>
      </w:r>
      <w:r>
        <w:t xml:space="preserve">responsible for knowing and reporting their own climate footprint (e.g. today every time</w:t>
      </w:r>
      <w:r>
        <w:t xml:space="preserve"> </w:t>
      </w:r>
      <w:r>
        <w:t xml:space="preserve">something is procured we need to define again and again how/when/in which way the vendor</w:t>
      </w:r>
      <w:r>
        <w:t xml:space="preserve"> </w:t>
      </w:r>
      <w:r>
        <w:t xml:space="preserve">should communicate such data). In addition, enhanced interoperability of data and processes</w:t>
      </w:r>
      <w:r>
        <w:t xml:space="preserve"> </w:t>
      </w:r>
      <w:r>
        <w:t xml:space="preserve">can also bring direct environmental impacts from reducing paper-based processes in the</w:t>
      </w:r>
      <w:r>
        <w:t xml:space="preserve"> </w:t>
      </w:r>
      <w:r>
        <w:t xml:space="preserve">public administrations as well as limiting physical travel required from the users of public</w:t>
      </w:r>
      <w:r>
        <w:t xml:space="preserve"> </w:t>
      </w:r>
      <w:r>
        <w:t xml:space="preserve">services when completing administrative procedures137.</w:t>
      </w:r>
      <w:r>
        <w:t xml:space="preserve"> </w:t>
      </w:r>
      <w:r>
        <w:t xml:space="preserve">Option 2 is also expected to have generally positive impacts on fundamental rights, in</w:t>
      </w:r>
      <w:r>
        <w:t xml:space="preserve"> </w:t>
      </w:r>
      <w:r>
        <w:t xml:space="preserve">particular on the individuals’ rights to move freely within the EU. The positive impacts would</w:t>
      </w:r>
      <w:r>
        <w:t xml:space="preserve"> </w:t>
      </w:r>
      <w:r>
        <w:t xml:space="preserve">come from the enhanced provision and higher quality of digital and interoperable public</w:t>
      </w:r>
      <w:r>
        <w:t xml:space="preserve"> </w:t>
      </w:r>
      <w:r>
        <w:t xml:space="preserve">services which may further facilitate this right. The feedback from stakeholders goes in this</w:t>
      </w:r>
      <w:r>
        <w:t xml:space="preserve"> </w:t>
      </w:r>
      <w:r>
        <w:t xml:space="preserve">sense (with an average score of 0.9 on a scale from very negative, -2, to very positive, 2,</w:t>
      </w:r>
      <w:r>
        <w:t xml:space="preserve"> </w:t>
      </w:r>
      <w:r>
        <w:t xml:space="preserve">based on 111 responses). From this perspective, Option 2 may also further support the right to</w:t>
      </w:r>
      <w:r>
        <w:t xml:space="preserve"> </w:t>
      </w:r>
      <w:r>
        <w:t xml:space="preserve">good administration as captured in Article 41 of the EU Charter of Fundamental Rights138.</w:t>
      </w:r>
      <w:r>
        <w:t xml:space="preserve"> </w:t>
      </w:r>
      <w:r>
        <w:t xml:space="preserve">Especially introducing conditionalities is expected to have positive impacts on the quality of</w:t>
      </w:r>
      <w:r>
        <w:t xml:space="preserve"> </w:t>
      </w:r>
      <w:r>
        <w:t xml:space="preserve">services (with an average score of 1.3 on a scale of -2 to 2, based on 56 and 54 responses,</w:t>
      </w:r>
      <w:r>
        <w:t xml:space="preserve"> </w:t>
      </w:r>
      <w:r>
        <w:t xml:space="preserve">respectively, received to the targeted consultations).</w:t>
      </w:r>
      <w:r>
        <w:t xml:space="preserve"> </w:t>
      </w:r>
      <w:r>
        <w:t xml:space="preserve">Looking at political feasibility, Option 2 is very closely aligned with the recommendations of</w:t>
      </w:r>
      <w:r>
        <w:t xml:space="preserve"> </w:t>
      </w:r>
      <w:r>
        <w:t xml:space="preserve">the expert group on interoperability of public services (see Annex V) and with the Berlin</w:t>
      </w:r>
      <w:r>
        <w:t xml:space="preserve"> </w:t>
      </w:r>
      <w:r>
        <w:t xml:space="preserve">declaration. It can therefore be expected to receive political support from Member States. The</w:t>
      </w:r>
      <w:r>
        <w:t xml:space="preserve"> </w:t>
      </w:r>
      <w:r>
        <w:t xml:space="preserve">European Parliament often underlines the importance of interoperability in its opinions (e.g. </w:t>
      </w:r>
      <w:r>
        <w:t xml:space="preserve"> </w:t>
      </w:r>
      <w:r>
        <w:t xml:space="preserve">in the recent discussions around the Digital Markets Act) we can assume that it would support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6.4.</w:t>
      </w:r>
      <w:r>
        <w:t xml:space="preserve"> </w:t>
      </w:r>
      <w:r>
        <w:t xml:space="preserve">6.4.</w:t>
      </w:r>
      <w:r>
        <w:t xml:space="preserve"> </w:t>
      </w:r>
      <w:r>
        <w:t xml:space="preserve">Impacts of option 3: Legal interoperability requirements for public sector</w:t>
      </w:r>
      <w:r>
        <w:t xml:space="preserve"> </w:t>
      </w:r>
      <w:r>
        <w:t xml:space="preserve">bodies</w:t>
      </w:r>
      <w:r>
        <w:t xml:space="preserve"> </w:t>
      </w:r>
      <w:r>
        <w:t xml:space="preserve">Option 3, focusing on a legislative approach based on interoperability requirements, is</w:t>
      </w:r>
      <w:r>
        <w:t xml:space="preserve"> </w:t>
      </w:r>
      <w:r>
        <w:t xml:space="preserve">expected by stakeholders to speed up the benefits in terms of harmonisation of the public</w:t>
      </w:r>
      <w:r>
        <w:t xml:space="preserve"> </w:t>
      </w:r>
      <w:r>
        <w:t xml:space="preserve">sector interoperability landscape in the EU. Such benefits, however, must be weighed against</w:t>
      </w:r>
      <w:r>
        <w:t xml:space="preserve"> </w:t>
      </w:r>
      <w:r>
        <w:t xml:space="preserve">the costs and the overall feasibility of implementation.</w:t>
      </w:r>
      <w:r>
        <w:t xml:space="preserve"> </w:t>
      </w:r>
      <w:r>
        <w:t xml:space="preserve">The benefits and costs linked with this option would derive from the binding approach taken.</w:t>
      </w:r>
      <w:r>
        <w:t xml:space="preserve"> </w:t>
      </w:r>
      <w:r>
        <w:t xml:space="preserve">This option includes making an updated EIF, or parts thereof, mandatory to be taken up in</w:t>
      </w:r>
      <w:r>
        <w:t xml:space="preserve"> </w:t>
      </w:r>
      <w:r>
        <w:t xml:space="preserve">national frameworks. The costs of implementing the EIF would thus vary across the EU</w:t>
      </w:r>
      <w:r>
        <w:t xml:space="preserve"> </w:t>
      </w:r>
      <w:r>
        <w:t xml:space="preserve">depending on whether only an update is required to the national framework or if the national</w:t>
      </w:r>
      <w:r>
        <w:t xml:space="preserve"> </w:t>
      </w:r>
      <w:r>
        <w:t xml:space="preserve">framework needs to be built from scratch (which would be the case for 5 Member States). In</w:t>
      </w:r>
      <w:r>
        <w:t xml:space="preserve"> </w:t>
      </w:r>
      <w:r>
        <w:t xml:space="preserve">addition, the binding approach would also see more common standards being taken up by</w:t>
      </w:r>
      <w:r>
        <w:t xml:space="preserve"> </w:t>
      </w:r>
      <w:r>
        <w:t xml:space="preserve">public administrations across the EU and associated maintenance costs. Relevant standards</w:t>
      </w:r>
      <w:r>
        <w:t xml:space="preserve"> </w:t>
      </w:r>
      <w:r>
        <w:t xml:space="preserve">would need to be developed and adopted in implementing acts before being implemented in</w:t>
      </w:r>
      <w:r>
        <w:t xml:space="preserve"> </w:t>
      </w:r>
      <w:r>
        <w:t xml:space="preserve">IT systems of EU public administrations. The high number of technical specifications and</w:t>
      </w:r>
    </w:p>
    <w:p>
      <w:pPr>
        <w:pStyle w:val="BodyText"/>
      </w:pPr>
      <w:r>
        <w:t xml:space="preserve">136</w:t>
      </w:r>
      <w:r>
        <w:br/>
      </w:r>
      <w:r>
        <w:t xml:space="preserve">SWD(2021) 140, Digital Solutions for Zero Pollution.</w:t>
      </w:r>
      <w:r>
        <w:t xml:space="preserve"> </w:t>
      </w:r>
      <w:r>
        <w:t xml:space="preserve">137</w:t>
      </w:r>
      <w:r>
        <w:br/>
      </w:r>
      <w:r>
        <w:t xml:space="preserve">The Once Only initiative – a stepping stone to Europe’s recovery; eGovernment Using technology to</w:t>
      </w:r>
      <w:r>
        <w:t xml:space="preserve"> </w:t>
      </w:r>
      <w:r>
        <w:t xml:space="preserve">improve public services and democratic participation. The environmental impact from improved digital</w:t>
      </w:r>
      <w:r>
        <w:t xml:space="preserve"> </w:t>
      </w:r>
      <w:r>
        <w:t xml:space="preserve">public services is also noted in several government strategies for digital government including the UK</w:t>
      </w:r>
      <w:r>
        <w:t xml:space="preserve"> </w:t>
      </w:r>
      <w:r>
        <w:t xml:space="preserve">(Greening Government: ICT Strategy 2011, p. 12, ) and Malta (A Strategic Plan for the Digital</w:t>
      </w:r>
      <w:r>
        <w:t xml:space="preserve"> </w:t>
      </w:r>
      <w:r>
        <w:t xml:space="preserve">Transformation of the Public Administration 2019 – 2021, p. 46, ).</w:t>
      </w:r>
      <w:r>
        <w:t xml:space="preserve"> </w:t>
      </w:r>
      <w:r>
        <w:t xml:space="preserve">138</w:t>
      </w:r>
      <w:r>
        <w:br/>
      </w:r>
      <w:r>
        <w:t xml:space="preserve">Regarding its applicability beyond proceedings of EU bodies see Case C-604/12.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standards implemented in ICT systems makes it impossible to use implementing acts to cover</w:t>
      </w:r>
      <w:r>
        <w:t xml:space="preserve"> </w:t>
      </w:r>
      <w:r>
        <w:t xml:space="preserve">anything beyond basic minimal requirements.</w:t>
      </w:r>
      <w:r>
        <w:t xml:space="preserve"> </w:t>
      </w:r>
      <w:r>
        <w:t xml:space="preserve">In terms of economic impacts, Option 3 is expected to have positive impacts on the free</w:t>
      </w:r>
      <w:r>
        <w:t xml:space="preserve"> </w:t>
      </w:r>
      <w:r>
        <w:t xml:space="preserve">movement of goods, services, capital and workers across the Member States as well as on</w:t>
      </w:r>
      <w:r>
        <w:t xml:space="preserve"> </w:t>
      </w:r>
      <w:r>
        <w:t xml:space="preserve">research, development and innovation. It would help establish common specifications across</w:t>
      </w:r>
      <w:r>
        <w:t xml:space="preserve"> </w:t>
      </w:r>
      <w:r>
        <w:t xml:space="preserve">the IT systems of Member States public sector and ensure smooth data flows which are a</w:t>
      </w:r>
      <w:r>
        <w:t xml:space="preserve"> </w:t>
      </w:r>
      <w:r>
        <w:t xml:space="preserve">basic requirement for free movement. In the long term it will likely contribute to a reduction</w:t>
      </w:r>
      <w:r>
        <w:t xml:space="preserve"> </w:t>
      </w:r>
      <w:r>
        <w:t xml:space="preserve">in the costs of interacting with public administrations as it would facilitate the ‘once-only</w:t>
      </w:r>
      <w:r>
        <w:t xml:space="preserve"> </w:t>
      </w:r>
      <w:r>
        <w:t xml:space="preserve">principle’. But Option 3 may have more limited positive effects on the costs borne by public</w:t>
      </w:r>
      <w:r>
        <w:t xml:space="preserve"> </w:t>
      </w:r>
      <w:r>
        <w:t xml:space="preserve">administrations in providing public services. This reflects the dual nature of costs: in the short</w:t>
      </w:r>
      <w:r>
        <w:t xml:space="preserve"> </w:t>
      </w:r>
      <w:r>
        <w:t xml:space="preserve">term, the introduction of minimum requirements for interoperability is likely to lead to an</w:t>
      </w:r>
      <w:r>
        <w:t xml:space="preserve"> </w:t>
      </w:r>
      <w:r>
        <w:t xml:space="preserve">important increase in the costs borne by public administrations; over the longer term, the</w:t>
      </w:r>
      <w:r>
        <w:t xml:space="preserve"> </w:t>
      </w:r>
      <w:r>
        <w:t xml:space="preserve">benefits from more coordination and harmonisation are expected to outweigh the initial costs.</w:t>
      </w:r>
      <w:r>
        <w:t xml:space="preserve"> </w:t>
      </w:r>
      <w:r>
        <w:t xml:space="preserve">However, the requirements may be more burdensome on countries already facing resource</w:t>
      </w:r>
      <w:r>
        <w:t xml:space="preserve"> </w:t>
      </w:r>
      <w:r>
        <w:t xml:space="preserve">scarcity issues (limited financial resources as well as qualified staff) or countries that already</w:t>
      </w:r>
      <w:r>
        <w:t xml:space="preserve"> </w:t>
      </w:r>
      <w:r>
        <w:t xml:space="preserve">have made high investments in their domestic interoperability landscape and have a high</w:t>
      </w:r>
      <w:r>
        <w:t xml:space="preserve"> </w:t>
      </w:r>
      <w:r>
        <w:t xml:space="preserve">number of legacy IT systems.</w:t>
      </w:r>
      <w:r>
        <w:t xml:space="preserve"> </w:t>
      </w:r>
      <w:r>
        <w:t xml:space="preserve">In terms of social impacts, significant positive impacts are expected by consulted</w:t>
      </w:r>
      <w:r>
        <w:t xml:space="preserve"> </w:t>
      </w:r>
      <w:r>
        <w:t xml:space="preserve">stakeholders when it comes to the quality of the services provided by public administrations</w:t>
      </w:r>
      <w:r>
        <w:t xml:space="preserve"> </w:t>
      </w:r>
      <w:r>
        <w:t xml:space="preserve">(with average scores of 1.2 and 1.1 on a scale from very negative, -2, to very positive, 2,</w:t>
      </w:r>
      <w:r>
        <w:t xml:space="preserve"> </w:t>
      </w:r>
      <w:r>
        <w:t xml:space="preserve">based on 119 and 112 responses, respectively, received to both the targeted and public</w:t>
      </w:r>
      <w:r>
        <w:t xml:space="preserve"> </w:t>
      </w:r>
      <w:r>
        <w:t xml:space="preserve">consultations). The implementation of minimum interoperability requirements, mandated</w:t>
      </w:r>
      <w:r>
        <w:t xml:space="preserve"> </w:t>
      </w:r>
      <w:r>
        <w:t xml:space="preserve">through a legal act, would likely contribute to a more harmonised landscape of public services</w:t>
      </w:r>
      <w:r>
        <w:t xml:space="preserve"> </w:t>
      </w:r>
      <w:r>
        <w:t xml:space="preserve">across the EU, facilitating the access to and quality of services, and it would further support</w:t>
      </w:r>
      <w:r>
        <w:t xml:space="preserve"> </w:t>
      </w:r>
      <w:r>
        <w:t xml:space="preserve">wider efforts for public sector digitalisation and innovation.</w:t>
      </w:r>
      <w:r>
        <w:t xml:space="preserve"> </w:t>
      </w:r>
      <w:r>
        <w:t xml:space="preserve">With regard to environmental impacts, the introduction of minimum requirements proposed</w:t>
      </w:r>
      <w:r>
        <w:t xml:space="preserve"> </w:t>
      </w:r>
      <w:r>
        <w:t xml:space="preserve">in Option 3 is expected to contribute to the green transition in the EU, even if indirectly in line</w:t>
      </w:r>
      <w:r>
        <w:t xml:space="preserve"> </w:t>
      </w:r>
      <w:r>
        <w:t xml:space="preserve">with Option 2.</w:t>
      </w:r>
      <w:r>
        <w:t xml:space="preserve"> </w:t>
      </w:r>
      <w:r>
        <w:t xml:space="preserve">Finally, Option 3 would also bring positive impacts on fundamental rights, further</w:t>
      </w:r>
      <w:r>
        <w:t xml:space="preserve"> </w:t>
      </w:r>
      <w:r>
        <w:t xml:space="preserve">facilitating the individuals’ rights to move freely within the EU. Stakeholders consulted in</w:t>
      </w:r>
      <w:r>
        <w:t xml:space="preserve"> </w:t>
      </w:r>
      <w:r>
        <w:t xml:space="preserve">both the targeted and the public consultations see particularly positive impacts stemming from</w:t>
      </w:r>
      <w:r>
        <w:t xml:space="preserve"> </w:t>
      </w:r>
      <w:r>
        <w:t xml:space="preserve">this option (as confirmed with an average score of 1 on a scale from very negative, -2, to very</w:t>
      </w:r>
      <w:r>
        <w:t xml:space="preserve"> </w:t>
      </w:r>
      <w:r>
        <w:t xml:space="preserve">positive, 2, from 106 answers). In addition, building on the identified social impacts, Option 3</w:t>
      </w:r>
      <w:r>
        <w:t xml:space="preserve"> </w:t>
      </w:r>
      <w:r>
        <w:t xml:space="preserve">may also further enable the right to good administration (Article 41 of the EU Charter of</w:t>
      </w:r>
      <w:r>
        <w:t xml:space="preserve"> </w:t>
      </w:r>
      <w:r>
        <w:t xml:space="preserve">Fundamental Rights139).</w:t>
      </w:r>
      <w:r>
        <w:t xml:space="preserve"> </w:t>
      </w:r>
      <w:r>
        <w:t xml:space="preserve">The option of introducing new minimum interoperability requirements through a legislative</w:t>
      </w:r>
      <w:r>
        <w:t xml:space="preserve"> </w:t>
      </w:r>
      <w:r>
        <w:t xml:space="preserve">act could potentially generate significant benefits for citizens, businesses, and public</w:t>
      </w:r>
      <w:r>
        <w:t xml:space="preserve"> </w:t>
      </w:r>
      <w:r>
        <w:t xml:space="preserve">administrations. It would, however, also create the highest costs among all options. While</w:t>
      </w:r>
      <w:r>
        <w:t xml:space="preserve"> </w:t>
      </w:r>
      <w:r>
        <w:t xml:space="preserve">Member States are still in the course of implementing several EU policies with high</w:t>
      </w:r>
      <w:r>
        <w:t xml:space="preserve"> </w:t>
      </w:r>
      <w:r>
        <w:t xml:space="preserve">interoperability implications (like the Digital Single Gateway or the Open Data Directive),</w:t>
      </w:r>
      <w:r>
        <w:t xml:space="preserve"> </w:t>
      </w:r>
      <w:r>
        <w:t xml:space="preserve">their preference is on establishing a good cooperation mechanism around the topic and not on</w:t>
      </w:r>
      <w:r>
        <w:t xml:space="preserve"> </w:t>
      </w:r>
      <w:r>
        <w:t xml:space="preserve">further legally binding result obligations (see Expert Group recommendation in Annex V).</w:t>
      </w:r>
      <w:r>
        <w:t xml:space="preserve"> </w:t>
      </w:r>
      <w:r>
        <w:t xml:space="preserve">A more in-depth feasibility assessment would be needed on this option as it is the one that has</w:t>
      </w:r>
      <w:r>
        <w:t xml:space="preserve"> </w:t>
      </w:r>
      <w:r>
        <w:t xml:space="preserve">the farthest-reaching impacts on existing and future policies both at Commission and Member</w:t>
      </w:r>
      <w:r>
        <w:t xml:space="preserve"> </w:t>
      </w:r>
      <w:r>
        <w:t xml:space="preserve">States level. Getting an agreement on common mandatory interoperability requirements at EU</w:t>
      </w:r>
      <w:r>
        <w:t xml:space="preserve"> </w:t>
      </w:r>
      <w:r>
        <w:t xml:space="preserve">level would be a major challenge, even more so if we factor in concerns of commercial actors</w:t>
      </w:r>
      <w:r>
        <w:t xml:space="preserve"> </w:t>
      </w:r>
      <w:r>
        <w:t xml:space="preserve">that could come up or the ones of all the different levels of administrations across the Member</w:t>
      </w:r>
    </w:p>
    <w:p>
      <w:pPr>
        <w:pStyle w:val="BodyText"/>
      </w:pPr>
      <w:r>
        <w:t xml:space="preserve">139</w:t>
      </w:r>
      <w:r>
        <w:br/>
      </w:r>
      <w:r>
        <w:t xml:space="preserve">Regarding its applicability beyond proceedings of EU bodies see Case C-604/12.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States. This would make it very difficult to align enough up-front to legislate on concrete</w:t>
      </w:r>
      <w:r>
        <w:t xml:space="preserve"> </w:t>
      </w:r>
      <w:r>
        <w:t xml:space="preserve">technical requirements via implementing or delegated acts. Where in Option 2 there is a focus</w:t>
      </w:r>
      <w:r>
        <w:t xml:space="preserve"> </w:t>
      </w:r>
      <w:r>
        <w:t xml:space="preserve">on ensuring the process is in place with some clear but limited obligations, roles and</w:t>
      </w:r>
      <w:r>
        <w:t xml:space="preserve"> </w:t>
      </w:r>
      <w:r>
        <w:t xml:space="preserve">mandates, Option 3 adds on top a ‘standardisation’ oriented approach which does not seem</w:t>
      </w:r>
      <w:r>
        <w:t xml:space="preserve"> </w:t>
      </w:r>
      <w:r>
        <w:t xml:space="preserve">appropriate considering the differences in levels of digitalisation of the Member States.</w:t>
      </w:r>
      <w:r>
        <w:br/>
      </w:r>
      <w:r>
        <w:t xml:space="preserve">The advantage of the process-focused approach in Option 2 is that issues can be taken up</w:t>
      </w:r>
      <w:r>
        <w:t xml:space="preserve"> </w:t>
      </w:r>
      <w:r>
        <w:t xml:space="preserve">when they are topical and ‘ripe’140, like for the COVID-19 ‘Green passes’, and not in</w:t>
      </w:r>
      <w:r>
        <w:t xml:space="preserve"> </w:t>
      </w:r>
      <w:r>
        <w:t xml:space="preserve">abstracto when it will be difficult to activate the relevant actors across multiple policy areas</w:t>
      </w:r>
      <w:r>
        <w:t xml:space="preserve"> </w:t>
      </w:r>
      <w:r>
        <w:t xml:space="preserve">to take a proportionate and technical sound decision. It is also easier to react to political</w:t>
      </w:r>
      <w:r>
        <w:t xml:space="preserve"> </w:t>
      </w:r>
      <w:r>
        <w:t xml:space="preserve">priorities in the first place, and to do so in a more flexible way.</w:t>
      </w:r>
      <w:r>
        <w:t xml:space="preserve"> </w:t>
      </w:r>
      <w:r>
        <w:t xml:space="preserve">Politically, Member States would most likely not be in favour of very strong legally binding</w:t>
      </w:r>
      <w:r>
        <w:t xml:space="preserve"> </w:t>
      </w:r>
      <w:r>
        <w:t xml:space="preserve">obligations (see expert group recommendations in Annex V) which may lead to this option</w:t>
      </w:r>
      <w:r>
        <w:t xml:space="preserve"> </w:t>
      </w:r>
      <w:r>
        <w:t xml:space="preserve">being blocked in Council discussions.</w:t>
      </w:r>
      <w:r>
        <w:br/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In this chapter, we compare the policy options on basis of the following five criteria:</w:t>
      </w:r>
      <w:r>
        <w:t xml:space="preserve"> </w:t>
      </w:r>
      <w:r>
        <w:t xml:space="preserve">- coherence with the existing legal framework at EU and national level;</w:t>
      </w:r>
      <w:r>
        <w:br/>
      </w:r>
      <w:r>
        <w:t xml:space="preserve">- effectiveness, in terms of the potential to achieve the general and specific objectives of the</w:t>
      </w:r>
      <w:r>
        <w:t xml:space="preserve"> </w:t>
      </w:r>
      <w:r>
        <w:t xml:space="preserve">initiative;</w:t>
      </w:r>
      <w:r>
        <w:t xml:space="preserve"> </w:t>
      </w:r>
      <w:r>
        <w:t xml:space="preserve">- efficiency, in terms of the benefits in time and cost-savings for citizens and businesses,</w:t>
      </w:r>
      <w:r>
        <w:t xml:space="preserve"> </w:t>
      </w:r>
      <w:r>
        <w:t xml:space="preserve">impacts on the quality of public services, impacts on green transition, fundamental rights,</w:t>
      </w:r>
      <w:r>
        <w:t xml:space="preserve"> </w:t>
      </w:r>
      <w:r>
        <w:t xml:space="preserve">implementation costs for public administrations, compliance costs for citizens and</w:t>
      </w:r>
      <w:r>
        <w:t xml:space="preserve"> </w:t>
      </w:r>
      <w:r>
        <w:t xml:space="preserve">businesses;</w:t>
      </w:r>
      <w:r>
        <w:br/>
      </w:r>
      <w:r>
        <w:t xml:space="preserve">- subsidiarity, in terms of what could be achieved by Member States acting alone, and</w:t>
      </w:r>
      <w:r>
        <w:t xml:space="preserve"> </w:t>
      </w:r>
      <w:r>
        <w:t xml:space="preserve">whether the objectives can be met more (cost-) efficiently at EU level; and</w:t>
      </w:r>
      <w:r>
        <w:t xml:space="preserve"> </w:t>
      </w:r>
      <w:r>
        <w:t xml:space="preserve">- expected support from stakeholders.</w:t>
      </w:r>
      <w:r>
        <w:t xml:space="preserve"> </w:t>
      </w:r>
      <w:r>
        <w:t xml:space="preserve">The results of the analysis are summarised in Table 3 and explained in further detail in this</w:t>
      </w:r>
      <w:r>
        <w:t xml:space="preserve"> </w:t>
      </w:r>
      <w:r>
        <w:t xml:space="preserve">section. The table should be read as follows: ‘0’ if no new impact compared to the status quo</w:t>
      </w:r>
      <w:r>
        <w:t xml:space="preserve"> </w:t>
      </w:r>
      <w:r>
        <w:t xml:space="preserve">is expected; ‘-’ if negative impacts are likely to arise; ‘- -’ if the option would result in very</w:t>
      </w:r>
      <w:r>
        <w:t xml:space="preserve"> </w:t>
      </w:r>
      <w:r>
        <w:t xml:space="preserve">negative impacts; ‘+’ pointing to positive impacts; ‘++’ referring to very positive impacts; and</w:t>
      </w:r>
      <w:r>
        <w:t xml:space="preserve"> </w:t>
      </w:r>
      <w:r>
        <w:t xml:space="preserve">‘+++’ to the best performance among the options.</w:t>
      </w:r>
      <w:r>
        <w:t xml:space="preserve"> </w:t>
      </w:r>
      <w:r>
        <w:t xml:space="preserve">Table 3. Comparison of options</w:t>
      </w:r>
      <w:r>
        <w:t xml:space="preserve"> </w:t>
      </w:r>
      <w:r>
        <w:t xml:space="preserve">Criteria</w:t>
      </w:r>
      <w:r>
        <w:t xml:space="preserve"> </w:t>
      </w:r>
      <w:r>
        <w:t xml:space="preserve">Core policy options</w:t>
      </w:r>
    </w:p>
    <w:p>
      <w:pPr>
        <w:pStyle w:val="BodyText"/>
      </w:pPr>
      <w:r>
        <w:t xml:space="preserve">Option 0 –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 –</w:t>
      </w:r>
      <w:r>
        <w:t xml:space="preserve"> </w:t>
      </w:r>
      <w:r>
        <w:t xml:space="preserve">revised</w:t>
      </w:r>
      <w:r>
        <w:t xml:space="preserve"> </w:t>
      </w:r>
      <w:r>
        <w:t xml:space="preserve">EIF</w:t>
      </w:r>
      <w:r>
        <w:t xml:space="preserve"> </w:t>
      </w:r>
      <w:r>
        <w:t xml:space="preserve">Option 2 –</w:t>
      </w:r>
      <w:r>
        <w:t xml:space="preserve"> </w:t>
      </w:r>
      <w:r>
        <w:t xml:space="preserve">Governance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Interop.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Coherence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br/>
      </w:r>
      <w:r>
        <w:t xml:space="preserve">LT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Coherence</w:t>
      </w:r>
      <w:r>
        <w:t xml:space="preserve"> </w:t>
      </w:r>
      <w:r>
        <w:t xml:space="preserve">with</w:t>
      </w:r>
      <w:r>
        <w:t xml:space="preserve"> </w:t>
      </w:r>
      <w:r>
        <w:t xml:space="preserve">ongoing</w:t>
      </w:r>
      <w:r>
        <w:t xml:space="preserve"> </w:t>
      </w:r>
      <w:r>
        <w:t xml:space="preserve">initiatives in the field of digital –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140</w:t>
      </w:r>
      <w:r>
        <w:br/>
      </w:r>
      <w:r>
        <w:t xml:space="preserve">The work of Commission, Member States and private actors on the COVID-19 ‘Green passes’ is a good</w:t>
      </w:r>
      <w:r>
        <w:t xml:space="preserve"> </w:t>
      </w:r>
      <w:r>
        <w:t xml:space="preserve">example of the success of standardisation and interoperability efforts now embodied in the EU Digital</w:t>
      </w:r>
      <w:r>
        <w:t xml:space="preserve"> </w:t>
      </w:r>
      <w:r>
        <w:t xml:space="preserve">Covid Certificate Regulation.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Criteria</w:t>
      </w:r>
      <w:r>
        <w:t xml:space="preserve"> </w:t>
      </w:r>
      <w:r>
        <w:t xml:space="preserve">Core policy options</w:t>
      </w:r>
    </w:p>
    <w:p>
      <w:pPr>
        <w:pStyle w:val="BodyText"/>
      </w:pPr>
      <w:r>
        <w:t xml:space="preserve">Option 0 –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 –</w:t>
      </w:r>
      <w:r>
        <w:t xml:space="preserve"> </w:t>
      </w:r>
      <w:r>
        <w:t xml:space="preserve">revised</w:t>
      </w:r>
      <w:r>
        <w:t xml:space="preserve"> </w:t>
      </w:r>
      <w:r>
        <w:t xml:space="preserve">EIF</w:t>
      </w:r>
      <w:r>
        <w:t xml:space="preserve"> </w:t>
      </w:r>
      <w:r>
        <w:t xml:space="preserve">Option 2 –</w:t>
      </w:r>
      <w:r>
        <w:t xml:space="preserve"> </w:t>
      </w:r>
      <w:r>
        <w:t xml:space="preserve">Governance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Interop.</w:t>
      </w:r>
      <w:r>
        <w:t xml:space="preserve"> </w:t>
      </w:r>
      <w:r>
        <w:t xml:space="preserve">requirements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-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ST</w:t>
      </w:r>
      <w:r>
        <w:br/>
      </w:r>
      <w:r>
        <w:t xml:space="preserve">LT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br/>
      </w:r>
      <w:r>
        <w:t xml:space="preserve">LT</w:t>
      </w:r>
      <w:r>
        <w:t xml:space="preserve"> </w:t>
      </w:r>
      <w:r>
        <w:t xml:space="preserve">Establish</w:t>
      </w:r>
      <w:r>
        <w:t xml:space="preserve"> </w:t>
      </w:r>
      <w:r>
        <w:t xml:space="preserve">an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governance</w:t>
      </w:r>
      <w:r>
        <w:br/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Coherent</w:t>
      </w:r>
      <w:r>
        <w:t xml:space="preserve"> </w:t>
      </w:r>
      <w:r>
        <w:t xml:space="preserve">approach</w:t>
      </w:r>
      <w:r>
        <w:t xml:space="preserve"> </w:t>
      </w:r>
      <w:r>
        <w:t xml:space="preserve">from</w:t>
      </w:r>
      <w:r>
        <w:t xml:space="preserve"> </w:t>
      </w:r>
      <w:r>
        <w:t xml:space="preserve">policymaking</w:t>
      </w:r>
      <w:r>
        <w:t xml:space="preserve"> </w:t>
      </w:r>
      <w:r>
        <w:t xml:space="preserve">to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Co-create</w:t>
      </w:r>
      <w:r>
        <w:t xml:space="preserve"> </w:t>
      </w:r>
      <w:r>
        <w:t xml:space="preserve">an</w:t>
      </w:r>
      <w:r>
        <w:t xml:space="preserve"> </w:t>
      </w:r>
      <w:r>
        <w:t xml:space="preserve">ecosystem</w:t>
      </w:r>
      <w:r>
        <w:t xml:space="preserve"> </w:t>
      </w:r>
      <w:r>
        <w:t xml:space="preserve">of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standards,</w:t>
      </w:r>
      <w:r>
        <w:t xml:space="preserve"> </w:t>
      </w:r>
      <w:r>
        <w:t xml:space="preserve">solutions and services for the</w:t>
      </w:r>
      <w:r>
        <w:t xml:space="preserve"> </w:t>
      </w:r>
      <w:r>
        <w:t xml:space="preserve">EU’s public sector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br/>
      </w:r>
      <w:r>
        <w:t xml:space="preserve">LT</w:t>
      </w:r>
      <w:r>
        <w:t xml:space="preserve"> </w:t>
      </w:r>
      <w:r>
        <w:t xml:space="preserve">ST</w:t>
      </w:r>
      <w:r>
        <w:br/>
      </w:r>
      <w:r>
        <w:t xml:space="preserve">LT</w:t>
      </w:r>
      <w:r>
        <w:t xml:space="preserve"> </w:t>
      </w:r>
      <w:r>
        <w:t xml:space="preserve">ST</w:t>
      </w:r>
      <w:r>
        <w:br/>
      </w:r>
      <w:r>
        <w:t xml:space="preserve">LT</w:t>
      </w:r>
      <w:r>
        <w:t xml:space="preserve"> </w:t>
      </w:r>
      <w:r>
        <w:t xml:space="preserve">Benefits (time- and/or cost-</w:t>
      </w:r>
      <w:r>
        <w:t xml:space="preserve"> </w:t>
      </w:r>
      <w:r>
        <w:t xml:space="preserve">savings)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Impacts on the quality of public</w:t>
      </w:r>
      <w:r>
        <w:t xml:space="preserve"> </w:t>
      </w:r>
      <w:r>
        <w:t xml:space="preserve">services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Impacts on the green transition</w:t>
      </w:r>
      <w:r>
        <w:t xml:space="preserve"> </w:t>
      </w:r>
      <w:r>
        <w:t xml:space="preserve">in the EU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Impacts on fundamental 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Implementation costs incurred</w:t>
      </w:r>
      <w:r>
        <w:t xml:space="preserve"> </w:t>
      </w:r>
      <w:r>
        <w:t xml:space="preserve">by public administrations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Compliance costs incurred by</w:t>
      </w:r>
      <w:r>
        <w:t xml:space="preserve"> </w:t>
      </w:r>
      <w:r>
        <w:t xml:space="preserve">citizens and businesses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t xml:space="preserve"> </w:t>
      </w:r>
      <w:r>
        <w:t xml:space="preserve">Subsidiarity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Stakeholders support</w:t>
      </w:r>
    </w:p>
    <w:p>
      <w:pPr>
        <w:pStyle w:val="BodyText"/>
      </w:pPr>
      <w:r>
        <w:t xml:space="preserve">Overall</w:t>
      </w:r>
      <w:r>
        <w:t xml:space="preserve"> </w:t>
      </w:r>
      <w:r>
        <w:t xml:space="preserve">respondents</w:t>
      </w:r>
      <w:r>
        <w:t xml:space="preserve"> </w:t>
      </w:r>
      <w:r>
        <w:t xml:space="preserve">to</w:t>
      </w:r>
      <w:r>
        <w:t xml:space="preserve"> </w:t>
      </w:r>
      <w:r>
        <w:t xml:space="preserve">consultations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National and regional 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46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Very positive impact</w:t>
      </w:r>
    </w:p>
    <w:p>
      <w:pPr>
        <w:pStyle w:val="Compact"/>
        <w:numPr>
          <w:ilvl w:val="0"/>
          <w:numId w:val="1001"/>
        </w:numPr>
      </w:pPr>
      <w:r>
        <w:t xml:space="preserve">Positive impact</w:t>
      </w:r>
      <w:r>
        <w:t xml:space="preserve"> </w:t>
      </w:r>
      <w:r>
        <w:t xml:space="preserve">0</w:t>
      </w:r>
      <w:r>
        <w:t xml:space="preserve"> </w:t>
      </w:r>
      <w:r>
        <w:t xml:space="preserve">Neutral impact</w:t>
      </w:r>
    </w:p>
    <w:p>
      <w:pPr>
        <w:pStyle w:val="Compact"/>
        <w:numPr>
          <w:ilvl w:val="0"/>
          <w:numId w:val="1001"/>
        </w:numPr>
      </w:pPr>
      <w:r>
        <w:t xml:space="preserve">Negative impact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Very negative impact</w:t>
      </w:r>
      <w:r>
        <w:t xml:space="preserve"> </w:t>
      </w:r>
      <w:r>
        <w:t xml:space="preserve">ST = short term; LT = long term</w:t>
      </w:r>
      <w:r>
        <w:t xml:space="preserve"> </w:t>
      </w:r>
      <w:r>
        <w:t xml:space="preserve">7.1.</w:t>
      </w:r>
      <w:r>
        <w:t xml:space="preserve"> </w:t>
      </w:r>
      <w:r>
        <w:t xml:space="preserve">7.1 Coherence</w:t>
      </w:r>
      <w:r>
        <w:t xml:space="preserve"> </w:t>
      </w:r>
      <w:r>
        <w:t xml:space="preserve">In terms of coherence with the ongoing initiatives in the field of digital public sector</w:t>
      </w:r>
      <w:r>
        <w:t xml:space="preserve"> </w:t>
      </w:r>
      <w:r>
        <w:t xml:space="preserve">transformation, the baseline (Option 0) has the clear disadvantage of a guiding policy</w:t>
      </w:r>
      <w:r>
        <w:t xml:space="preserve"> </w:t>
      </w:r>
      <w:r>
        <w:t xml:space="preserve">instrument (EIF) that is already outdated in a very dynamic policy field. It would have a very</w:t>
      </w:r>
      <w:r>
        <w:t xml:space="preserve"> </w:t>
      </w:r>
      <w:r>
        <w:t xml:space="preserve">negative impact as it would no longer be consistent and coherent with all initiatives adopted</w:t>
      </w:r>
      <w:r>
        <w:t xml:space="preserve"> </w:t>
      </w:r>
      <w:r>
        <w:t xml:space="preserve">since 2017 (see legal context). Updating the EIF as foreseen in Option 1 would in the short</w:t>
      </w:r>
      <w:r>
        <w:t xml:space="preserve"> </w:t>
      </w:r>
      <w:r>
        <w:t xml:space="preserve">term resolve this problem of coherence with newer policies but would not provide a</w:t>
      </w:r>
      <w:r>
        <w:t xml:space="preserve"> </w:t>
      </w:r>
      <w:r>
        <w:t xml:space="preserve">sustainable solution in the long term as the amount of policy initiatives with impacts on digital</w:t>
      </w:r>
      <w:r>
        <w:t xml:space="preserve"> </w:t>
      </w:r>
      <w:r>
        <w:t xml:space="preserve">is only expected to increase.</w:t>
      </w:r>
      <w:r>
        <w:t xml:space="preserve"> </w:t>
      </w:r>
      <w:r>
        <w:t xml:space="preserve">Option 2 scores best in terms of coherence as it offers a governance framework for an EU</w:t>
      </w:r>
      <w:r>
        <w:t xml:space="preserve"> </w:t>
      </w:r>
      <w:r>
        <w:t xml:space="preserve">public sector infrastructure that can develop and adapt over time to relevant new policy and</w:t>
      </w:r>
      <w:r>
        <w:t xml:space="preserve"> </w:t>
      </w:r>
      <w:r>
        <w:t xml:space="preserve">technological developments. Coherence would depend on the take-up of the agreed</w:t>
      </w:r>
      <w:r>
        <w:t xml:space="preserve"> </w:t>
      </w:r>
      <w:r>
        <w:t xml:space="preserve">interoperability specifications in other policy initiatives and instruments. This has the</w:t>
      </w:r>
      <w:r>
        <w:t xml:space="preserve"> </w:t>
      </w:r>
      <w:r>
        <w:t xml:space="preserve">downside that it needs to be ensured through Commission-internal rules in the first place141.</w:t>
      </w:r>
      <w:r>
        <w:t xml:space="preserve"> </w:t>
      </w:r>
      <w:r>
        <w:t xml:space="preserve">On the upside, it would avoid conflicting rules across policy fields – as it would foster clear</w:t>
      </w:r>
      <w:r>
        <w:t xml:space="preserve"> </w:t>
      </w:r>
      <w:r>
        <w:t xml:space="preserve">and dynamic links between the policies.</w:t>
      </w:r>
      <w:r>
        <w:t xml:space="preserve"> </w:t>
      </w:r>
      <w:r>
        <w:t xml:space="preserve">Option 3 would in the short term be problematic, as coherence with the existing and proposed</w:t>
      </w:r>
      <w:r>
        <w:t xml:space="preserve"> </w:t>
      </w:r>
      <w:r>
        <w:t xml:space="preserve">policies with high interoperability stake, like the Digital Services Act142, the Data Governance</w:t>
      </w:r>
      <w:r>
        <w:t xml:space="preserve"> </w:t>
      </w:r>
      <w:r>
        <w:t xml:space="preserve">Act143 a framework for a European Digital Identity144, and a Regulation laying down</w:t>
      </w:r>
      <w:r>
        <w:t xml:space="preserve"> </w:t>
      </w:r>
      <w:r>
        <w:t xml:space="preserve">harmonised AI rules would need to be created ex-post. In the medium and long term, it could</w:t>
      </w:r>
      <w:r>
        <w:t xml:space="preserve"> </w:t>
      </w:r>
      <w:r>
        <w:t xml:space="preserve">foster coherence as it would push for a stronger alignment of interoperability requirements set</w:t>
      </w:r>
      <w:r>
        <w:t xml:space="preserve"> </w:t>
      </w:r>
      <w:r>
        <w:t xml:space="preserve">in policies across different administrative levels, like those foreseen in a future Data act for</w:t>
      </w:r>
      <w:r>
        <w:t xml:space="preserve"> </w:t>
      </w:r>
      <w:r>
        <w:t xml:space="preserve">the data spaces. As standards and specifications would need to be set through implementing</w:t>
      </w:r>
      <w:r>
        <w:t xml:space="preserve"> </w:t>
      </w:r>
      <w:r>
        <w:t xml:space="preserve">acts, it would be a challenge to ensure alignment with rapid technical development and</w:t>
      </w:r>
      <w:r>
        <w:t xml:space="preserve"> </w:t>
      </w:r>
      <w:r>
        <w:t xml:space="preserve">maintain a coherent and up-to-date framework, also given the very large group of interested</w:t>
      </w:r>
    </w:p>
    <w:p>
      <w:pPr>
        <w:pStyle w:val="FirstParagraph"/>
      </w:pPr>
      <w:r>
        <w:t xml:space="preserve">141</w:t>
      </w:r>
      <w:r>
        <w:br/>
      </w:r>
      <w:r>
        <w:t xml:space="preserve">While the co-legislators could conceivably ensure such coherence as well, this task should naturally be</w:t>
      </w:r>
      <w:r>
        <w:t xml:space="preserve"> </w:t>
      </w:r>
      <w:r>
        <w:t xml:space="preserve">achieved upstream, from the very inception of a new policy proposal and through its elaboration by the</w:t>
      </w:r>
      <w:r>
        <w:t xml:space="preserve"> </w:t>
      </w:r>
      <w:r>
        <w:t xml:space="preserve">Commission services until its official adoption. Work on internal measures to support this are advanced</w:t>
      </w:r>
      <w:r>
        <w:t xml:space="preserve"> </w:t>
      </w:r>
      <w:r>
        <w:t xml:space="preserve">and continue.</w:t>
      </w:r>
      <w:r>
        <w:t xml:space="preserve"> </w:t>
      </w:r>
      <w:r>
        <w:t xml:space="preserve">142</w:t>
      </w:r>
      <w:r>
        <w:br/>
      </w:r>
      <w:r>
        <w:t xml:space="preserve">Proposal for a REGULATION OF THE EUROPEAN PARLIAMENT AND OF THE COUNCIL on a</w:t>
      </w:r>
      <w:r>
        <w:t xml:space="preserve"> </w:t>
      </w:r>
      <w:r>
        <w:t xml:space="preserve">Single Market For Digital Services (Digital Services Act) and amending Directive 2000/31/EC,</w:t>
      </w:r>
      <w:r>
        <w:t xml:space="preserve"> </w:t>
      </w:r>
      <w:r>
        <w:t xml:space="preserve">COM/2020/825 final.</w:t>
      </w:r>
      <w:r>
        <w:t xml:space="preserve"> </w:t>
      </w:r>
      <w:r>
        <w:t xml:space="preserve">143</w:t>
      </w:r>
      <w:r>
        <w:br/>
      </w:r>
      <w:r>
        <w:t xml:space="preserve">Proposal for a REGULATION OF THE EUROPEAN PARLIAMENT AND OF THE COUNCIL on</w:t>
      </w:r>
      <w:r>
        <w:t xml:space="preserve"> </w:t>
      </w:r>
      <w:r>
        <w:t xml:space="preserve">European data governance (Data Governance Act) COM/2020/767 final.</w:t>
      </w:r>
      <w:r>
        <w:t xml:space="preserve"> </w:t>
      </w:r>
      <w:r>
        <w:t xml:space="preserve">144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(EU) No 910/2014 as regards establishing a framework for a European Digital</w:t>
      </w:r>
      <w:r>
        <w:t xml:space="preserve"> </w:t>
      </w:r>
      <w:r>
        <w:t xml:space="preserve">Identity, COM/2021/281 final.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actors both in the public sector and among the private actors who have a commercial interest</w:t>
      </w:r>
      <w:r>
        <w:t xml:space="preserve"> </w:t>
      </w:r>
      <w:r>
        <w:t xml:space="preserve">in supplying digital technologies to the public sector. The focus on specific requirements</w:t>
      </w:r>
      <w:r>
        <w:t xml:space="preserve"> </w:t>
      </w:r>
      <w:r>
        <w:t xml:space="preserve">might not be fit to ensure long-term future coherence.</w:t>
      </w:r>
      <w:r>
        <w:br/>
      </w:r>
      <w:r>
        <w:t xml:space="preserve">Option 2 would not impose a harmonised and general interoperability obligation across</w:t>
      </w:r>
      <w:r>
        <w:t xml:space="preserve"> </w:t>
      </w:r>
      <w:r>
        <w:t xml:space="preserve">Europe (different from option 3) but would support gradually building up an interoperability</w:t>
      </w:r>
      <w:r>
        <w:t xml:space="preserve"> </w:t>
      </w:r>
      <w:r>
        <w:t xml:space="preserve">infrastructure with public administrations performing transparent assessments of the</w:t>
      </w:r>
      <w:r>
        <w:t xml:space="preserve"> </w:t>
      </w:r>
      <w:r>
        <w:t xml:space="preserve">possibilities for reusing and further developing common interoperability resources.</w:t>
      </w:r>
      <w:r>
        <w:br/>
      </w:r>
      <w:r>
        <w:t xml:space="preserve">7.2.</w:t>
      </w:r>
      <w:r>
        <w:t xml:space="preserve"> </w:t>
      </w:r>
      <w:r>
        <w:t xml:space="preserve">7.2 Effectiveness</w:t>
      </w:r>
      <w:r>
        <w:t xml:space="preserve"> </w:t>
      </w:r>
      <w:r>
        <w:t xml:space="preserve">The objective of establishing an interoperability governance designed to enable the different</w:t>
      </w:r>
      <w:r>
        <w:t xml:space="preserve"> </w:t>
      </w:r>
      <w:r>
        <w:t xml:space="preserve">administrative levels, sectors and stakeholders to work together is not delivered through</w:t>
      </w:r>
      <w:r>
        <w:t xml:space="preserve"> </w:t>
      </w:r>
      <w:r>
        <w:t xml:space="preserve">Options 0 or 1 and they would most probably have negative impacts as the body that was</w:t>
      </w:r>
      <w:r>
        <w:t xml:space="preserve"> </w:t>
      </w:r>
      <w:r>
        <w:t xml:space="preserve">governing the Interoperability Action plan – the ISA² committee, does not exist anymore (it</w:t>
      </w:r>
      <w:r>
        <w:t xml:space="preserve"> </w:t>
      </w:r>
      <w:r>
        <w:t xml:space="preserve">has been replaced by the higher level Digital Europe Programme committee). The</w:t>
      </w:r>
      <w:r>
        <w:t xml:space="preserve"> </w:t>
      </w:r>
      <w:r>
        <w:t xml:space="preserve">interoperability expert group would allow for limited and occasional involvement of relevant</w:t>
      </w:r>
      <w:r>
        <w:t xml:space="preserve"> </w:t>
      </w:r>
      <w:r>
        <w:t xml:space="preserve">Member State stakeholders.</w:t>
      </w:r>
      <w:r>
        <w:t xml:space="preserve"> </w:t>
      </w:r>
      <w:r>
        <w:t xml:space="preserve">The governance objective is expected to be most effectively achieved with Option 2. The</w:t>
      </w:r>
      <w:r>
        <w:t xml:space="preserve"> </w:t>
      </w:r>
      <w:r>
        <w:t xml:space="preserve">legislative proposal presented under this option would focus on defining a clear mandate,</w:t>
      </w:r>
      <w:r>
        <w:t xml:space="preserve"> </w:t>
      </w:r>
      <w:r>
        <w:t xml:space="preserve">roles and responsibilities for the relevant actors, ensuring continued delivery of the required</w:t>
      </w:r>
      <w:r>
        <w:t xml:space="preserve"> </w:t>
      </w:r>
      <w:r>
        <w:t xml:space="preserve">policy outcomes: common resources and aligned implementation. Option 3 can be expected</w:t>
      </w:r>
      <w:r>
        <w:t xml:space="preserve"> </w:t>
      </w:r>
      <w:r>
        <w:t xml:space="preserve">to be similarly effective, although the focus on mandatory requirements might overshadow the</w:t>
      </w:r>
      <w:r>
        <w:t xml:space="preserve"> </w:t>
      </w:r>
      <w:r>
        <w:t xml:space="preserve">cooperation potential.</w:t>
      </w:r>
      <w:r>
        <w:t xml:space="preserve"> </w:t>
      </w:r>
      <w:r>
        <w:t xml:space="preserve">Option 3 could give a strong push for digital-ready implementation of EU policies in</w:t>
      </w:r>
      <w:r>
        <w:t xml:space="preserve"> </w:t>
      </w:r>
      <w:r>
        <w:t xml:space="preserve">Member States by making interoperability requirements mandatory. Option 2 seems however</w:t>
      </w:r>
      <w:r>
        <w:t xml:space="preserve"> </w:t>
      </w:r>
      <w:r>
        <w:t xml:space="preserve">the best placed to ensure measures are fit-for-purpose in the short and in the long term by</w:t>
      </w:r>
      <w:r>
        <w:t xml:space="preserve"> </w:t>
      </w:r>
      <w:r>
        <w:t xml:space="preserve">establishing a mechanism that allows Member States to work permanently together on</w:t>
      </w:r>
      <w:r>
        <w:t xml:space="preserve"> </w:t>
      </w:r>
      <w:r>
        <w:t xml:space="preserve">interoperable solutions for the implementation of EU policies, based on their needs. Staying</w:t>
      </w:r>
      <w:r>
        <w:t xml:space="preserve"> </w:t>
      </w:r>
      <w:r>
        <w:t xml:space="preserve">with the baseline (Option 0) would be neutral to negative for this objective. The current EIF is</w:t>
      </w:r>
      <w:r>
        <w:t xml:space="preserve"> </w:t>
      </w:r>
      <w:r>
        <w:t xml:space="preserve">issuing just one high-level recommendation on the topic that would remain valid and could be</w:t>
      </w:r>
      <w:r>
        <w:t xml:space="preserve"> </w:t>
      </w:r>
      <w:r>
        <w:t xml:space="preserve">addressed with different measures also outside the current policy framework without creating</w:t>
      </w:r>
      <w:r>
        <w:t xml:space="preserve"> </w:t>
      </w:r>
      <w:r>
        <w:t xml:space="preserve">incoherencies. Negative impacts can be expected especially in the longer term with staying</w:t>
      </w:r>
      <w:r>
        <w:t xml:space="preserve"> </w:t>
      </w:r>
      <w:r>
        <w:t xml:space="preserve">with the status quo that would be less and less fit for purpose to be the main point of reference</w:t>
      </w:r>
      <w:r>
        <w:t xml:space="preserve"> </w:t>
      </w:r>
      <w:r>
        <w:t xml:space="preserve">for a strong and coherent EU approach. Option 1 could be a vehicle to clarify the</w:t>
      </w:r>
      <w:r>
        <w:t xml:space="preserve"> </w:t>
      </w:r>
      <w:r>
        <w:t xml:space="preserve">Commission’s commitment and continued engagement in the field, without a promise of</w:t>
      </w:r>
      <w:r>
        <w:t xml:space="preserve"> </w:t>
      </w:r>
      <w:r>
        <w:t xml:space="preserve">stronger impact.</w:t>
      </w:r>
      <w:r>
        <w:t xml:space="preserve"> </w:t>
      </w:r>
      <w:r>
        <w:t xml:space="preserve">Options 2 and 3 are considered most effective to reach the objective of co-creating an</w:t>
      </w:r>
      <w:r>
        <w:t xml:space="preserve"> </w:t>
      </w:r>
      <w:r>
        <w:t xml:space="preserve">ecosystem of interoperability standards, solutions and services for the EU’s public</w:t>
      </w:r>
      <w:r>
        <w:t xml:space="preserve"> </w:t>
      </w:r>
      <w:r>
        <w:t xml:space="preserve">sector. Option 2 would however be most effective in providing a framework for the consistent</w:t>
      </w:r>
      <w:r>
        <w:t xml:space="preserve"> </w:t>
      </w:r>
      <w:r>
        <w:t xml:space="preserve">and continued co-creation of such an eco-system. Option 1 would remain on the level of a</w:t>
      </w:r>
      <w:r>
        <w:t xml:space="preserve"> </w:t>
      </w:r>
      <w:r>
        <w:t xml:space="preserve">Commission statement of intention and the speed of development would most probably</w:t>
      </w:r>
      <w:r>
        <w:t xml:space="preserve"> </w:t>
      </w:r>
      <w:r>
        <w:t xml:space="preserve">remain on the level of the last 20 years, not meeting Member State and policy expectations.</w:t>
      </w:r>
      <w:r>
        <w:t xml:space="preserve"> </w:t>
      </w:r>
      <w:r>
        <w:t xml:space="preserve">While Option 3 would be very effective in pushing for a (limited) set-of reuse of shared</w:t>
      </w:r>
      <w:r>
        <w:t xml:space="preserve"> </w:t>
      </w:r>
      <w:r>
        <w:t xml:space="preserve">interoperability standards and solutions, it risks being overall less effective because it would</w:t>
      </w:r>
      <w:r>
        <w:t xml:space="preserve"> </w:t>
      </w:r>
      <w:r>
        <w:t xml:space="preserve">not be focused on an open and innovative growing ecosystem of diverse interoperable</w:t>
      </w:r>
      <w:r>
        <w:t xml:space="preserve"> </w:t>
      </w:r>
      <w:r>
        <w:t xml:space="preserve">solutions. It is less likely that regional and local public administrations would be actively and</w:t>
      </w:r>
      <w:r>
        <w:t xml:space="preserve"> </w:t>
      </w:r>
      <w:r>
        <w:t xml:space="preserve">constructively involved as the focus is more on the regulatory than on the community building</w:t>
      </w:r>
      <w:r>
        <w:t xml:space="preserve"> </w:t>
      </w:r>
      <w:r>
        <w:t xml:space="preserve">part. Moreover, option is 3 less likely to garner political support, due to its broad scope and</w:t>
      </w:r>
      <w:r>
        <w:t xml:space="preserve"> </w:t>
      </w:r>
      <w:r>
        <w:t xml:space="preserve">high subsidiarity sensitivity (e.g. as regards EU and Member States legacy systems).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Therefore, it is presumed to impact much less in guaranteeing a flexible and responsive</w:t>
      </w:r>
      <w:r>
        <w:t xml:space="preserve"> </w:t>
      </w:r>
      <w:r>
        <w:t xml:space="preserve">reaction to rapidly changing technological and policy requirements.</w:t>
      </w:r>
      <w:r>
        <w:t xml:space="preserve"> </w:t>
      </w:r>
      <w:r>
        <w:t xml:space="preserve">Whereas option 2 is less intrusive, striking a good balance between efficiency and political</w:t>
      </w:r>
      <w:r>
        <w:t xml:space="preserve"> </w:t>
      </w:r>
      <w:r>
        <w:t xml:space="preserve">engagement from Member States. It creates a much more realistic scenario of cooperation</w:t>
      </w:r>
      <w:r>
        <w:t xml:space="preserve"> </w:t>
      </w:r>
      <w:r>
        <w:t xml:space="preserve">between Member States and the European Commission to stablish a more flexible and</w:t>
      </w:r>
      <w:r>
        <w:t xml:space="preserve"> </w:t>
      </w:r>
      <w:r>
        <w:t xml:space="preserve">pragmatic governance that can adjust rapidly to keep up to new needs and technological</w:t>
      </w:r>
      <w:r>
        <w:t xml:space="preserve"> </w:t>
      </w:r>
      <w:r>
        <w:t xml:space="preserve">changes. It can also lead to option 3 gradually over time, once trustworthy relationships are</w:t>
      </w:r>
      <w:r>
        <w:t xml:space="preserve"> </w:t>
      </w:r>
      <w:r>
        <w:t xml:space="preserve">fostered.</w:t>
      </w:r>
      <w:r>
        <w:t xml:space="preserve"> </w:t>
      </w:r>
      <w:r>
        <w:t xml:space="preserve">7.3.</w:t>
      </w:r>
      <w:r>
        <w:t xml:space="preserve"> </w:t>
      </w:r>
      <w:r>
        <w:t xml:space="preserve">7.3 Efficiency</w:t>
      </w:r>
      <w:r>
        <w:t xml:space="preserve"> </w:t>
      </w:r>
      <w:r>
        <w:t xml:space="preserve">Most time- and/or cost-savings for businesses and citizens are expected from options 2 and 3.</w:t>
      </w:r>
      <w:r>
        <w:t xml:space="preserve"> </w:t>
      </w:r>
      <w:r>
        <w:t xml:space="preserve">The analysis conducted for this impact assessment report, reuses the study on Quantifying the</w:t>
      </w:r>
      <w:r>
        <w:t xml:space="preserve"> </w:t>
      </w:r>
      <w:r>
        <w:t xml:space="preserve">Benefits of Location Interoperability in the European Union by JRC and adapts it to a wider</w:t>
      </w:r>
      <w:r>
        <w:t xml:space="preserve"> </w:t>
      </w:r>
      <w:r>
        <w:t xml:space="preserve">area of digital services related to fundamental administrative procedures, as explained in</w:t>
      </w:r>
      <w:r>
        <w:t xml:space="preserve"> </w:t>
      </w:r>
      <w:r>
        <w:t xml:space="preserve">Annex IV. For policy option 2, the JRC study looks at the impact of increased interoperability</w:t>
      </w:r>
      <w:r>
        <w:t xml:space="preserve"> </w:t>
      </w:r>
      <w:r>
        <w:t xml:space="preserve">of public services for citizens, businesses and the public sector. It provides estimates of the</w:t>
      </w:r>
      <w:r>
        <w:t xml:space="preserve"> </w:t>
      </w:r>
      <w:r>
        <w:t xml:space="preserve">number of hours saved and its economic value (in EUR) under two scenarios: a static scenario</w:t>
      </w:r>
      <w:r>
        <w:t xml:space="preserve"> </w:t>
      </w:r>
      <w:r>
        <w:t xml:space="preserve">in which the time saved from interoperability comes only from existing online users, and a</w:t>
      </w:r>
      <w:r>
        <w:t xml:space="preserve"> </w:t>
      </w:r>
      <w:r>
        <w:t xml:space="preserve">dynamic scenario assuming a behavioural change in which the proportion of online users</w:t>
      </w:r>
      <w:r>
        <w:t xml:space="preserve"> </w:t>
      </w:r>
      <w:r>
        <w:t xml:space="preserve">increases.</w:t>
      </w:r>
      <w:r>
        <w:t xml:space="preserve"> </w:t>
      </w:r>
      <w:r>
        <w:t xml:space="preserve">For the purposes of the computation of the impacts associated to this initiative, i.e. the</w:t>
      </w:r>
      <w:r>
        <w:t xml:space="preserve"> </w:t>
      </w:r>
      <w:r>
        <w:t xml:space="preserve">benefits that can attributed to cross-border interoperability, further assumptions and</w:t>
      </w:r>
      <w:r>
        <w:t xml:space="preserve"> </w:t>
      </w:r>
      <w:r>
        <w:t xml:space="preserve">calculations were made on:</w:t>
      </w:r>
      <w:r>
        <w:t xml:space="preserve"> </w:t>
      </w:r>
      <w:r>
        <w:t xml:space="preserve"> Number of hours spent by businesses in dealing with administration. A sensitivity</w:t>
      </w:r>
      <w:r>
        <w:t xml:space="preserve"> </w:t>
      </w:r>
      <w:r>
        <w:t xml:space="preserve">analysis was performed using as parameter a percentage calculated as number of</w:t>
      </w:r>
      <w:r>
        <w:t xml:space="preserve"> </w:t>
      </w:r>
      <w:r>
        <w:t xml:space="preserve">hours spent by businesses in dealing with administration with respect to total hours</w:t>
      </w:r>
      <w:r>
        <w:t xml:space="preserve"> </w:t>
      </w:r>
      <w:r>
        <w:t xml:space="preserve">worked. Calculations were done for a 30% (the high variant, corresponding to the</w:t>
      </w:r>
      <w:r>
        <w:t xml:space="preserve"> </w:t>
      </w:r>
      <w:r>
        <w:t xml:space="preserve">original numbers used in the JRC report), 25%, 20%, 15% (as intermediate variants)</w:t>
      </w:r>
      <w:r>
        <w:t xml:space="preserve"> </w:t>
      </w:r>
      <w:r>
        <w:t xml:space="preserve">and 10% (for the low variant). In the case of citizens, such wide potential variations on</w:t>
      </w:r>
      <w:r>
        <w:t xml:space="preserve"> </w:t>
      </w:r>
      <w:r>
        <w:t xml:space="preserve">number of hours spent do not occur. As a matter of fact, according to Eurostat’s</w:t>
      </w:r>
      <w:r>
        <w:t xml:space="preserve"> </w:t>
      </w:r>
      <w:r>
        <w:t xml:space="preserve">Harmonised European Time Use Surveys145, the EU-27, on average, citizens spend 27</w:t>
      </w:r>
      <w:r>
        <w:t xml:space="preserve"> </w:t>
      </w:r>
      <w:r>
        <w:t xml:space="preserve">min per year dealing with the administration. This represents 0.01% of their working</w:t>
      </w:r>
      <w:r>
        <w:t xml:space="preserve"> </w:t>
      </w:r>
      <w:r>
        <w:t xml:space="preserve">time (excluding sleeping time, holidays and weekends). Any sensitivity analysis</w:t>
      </w:r>
      <w:r>
        <w:t xml:space="preserve"> </w:t>
      </w:r>
      <w:r>
        <w:t xml:space="preserve">around this figure would be little informative and not bring any meaningful fine-</w:t>
      </w:r>
      <w:r>
        <w:t xml:space="preserve"> </w:t>
      </w:r>
      <w:r>
        <w:t xml:space="preserve">grained cost saving analysis.</w:t>
      </w:r>
      <w:r>
        <w:t xml:space="preserve"> </w:t>
      </w:r>
      <w:r>
        <w:t xml:space="preserve"> Online public services available cross-border. Using data from the eGovernment</w:t>
      </w:r>
      <w:r>
        <w:t xml:space="preserve"> </w:t>
      </w:r>
      <w:r>
        <w:t xml:space="preserve">benchmark of 2021 and 2022, the proportion of public services offered online and</w:t>
      </w:r>
      <w:r>
        <w:t xml:space="preserve"> </w:t>
      </w:r>
      <w:r>
        <w:t xml:space="preserve">available cross-border was calculated. The EU-27 average is 21% for businesses and</w:t>
      </w:r>
      <w:r>
        <w:t xml:space="preserve"> </w:t>
      </w:r>
      <w:r>
        <w:t xml:space="preserve">12% for citizens. The calculations are made at country level, showing a high variation.</w:t>
      </w:r>
      <w:r>
        <w:t xml:space="preserve"> </w:t>
      </w:r>
      <w:r>
        <w:t xml:space="preserve">For instance, in the case of businesses for Greece the share is only 2% while is close to</w:t>
      </w:r>
      <w:r>
        <w:t xml:space="preserve"> </w:t>
      </w:r>
      <w:r>
        <w:t xml:space="preserve">40% in Spain. For citizens, it ranges from 3% in Romania to 35% in Malta.</w:t>
      </w:r>
      <w:r>
        <w:t xml:space="preserve"> </w:t>
      </w:r>
      <w:r>
        <w:t xml:space="preserve"> Degree of use. The fact that a service is available cross-border and online does not</w:t>
      </w:r>
      <w:r>
        <w:t xml:space="preserve"> </w:t>
      </w:r>
      <w:r>
        <w:t xml:space="preserve">guarantee that it is used. In order to estimate accurately the expect impact, the figures</w:t>
      </w:r>
      <w:r>
        <w:t xml:space="preserve"> </w:t>
      </w:r>
      <w:r>
        <w:t xml:space="preserve">are adjusted to take into account the intensity of use. To do so, data from Similarweb</w:t>
      </w:r>
    </w:p>
    <w:p>
      <w:pPr>
        <w:pStyle w:val="BodyText"/>
      </w:pPr>
      <w:r>
        <w:t xml:space="preserve">145</w:t>
      </w:r>
      <w:r>
        <w:br/>
      </w:r>
      <w:r>
        <w:t xml:space="preserve">https://ec.europa.eu/eurostat/web/time-use-surveys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on cross-border traffic to public sector websites offering services (extracted in the</w:t>
      </w:r>
      <w:r>
        <w:t xml:space="preserve"> </w:t>
      </w:r>
      <w:r>
        <w:t xml:space="preserve">previous step) was used. The EU-27 average is 12%, and the proportion of domestic</w:t>
      </w:r>
      <w:r>
        <w:t xml:space="preserve"> </w:t>
      </w:r>
      <w:r>
        <w:t xml:space="preserve">users of online public services is 88%. These figures are also at the country level, with</w:t>
      </w:r>
      <w:r>
        <w:t xml:space="preserve"> </w:t>
      </w:r>
      <w:r>
        <w:t xml:space="preserve">Greece showing the lowest intensity (5%) and Luxembourg the highest (35%).</w:t>
      </w:r>
      <w:r>
        <w:t xml:space="preserve"> </w:t>
      </w:r>
      <w:r>
        <w:t xml:space="preserve"> Intensity of cross-border usage. For policy option 3 an additional assumption is that</w:t>
      </w:r>
      <w:r>
        <w:t xml:space="preserve"> </w:t>
      </w:r>
      <w:r>
        <w:t xml:space="preserve">given the broader scope of the intervention, the intensity of cross border usage</w:t>
      </w:r>
      <w:r>
        <w:t xml:space="preserve"> </w:t>
      </w:r>
      <w:r>
        <w:t xml:space="preserve">would increase as it becomes easier to take care of cross-border online public services.</w:t>
      </w:r>
      <w:r>
        <w:t xml:space="preserve"> </w:t>
      </w:r>
      <w:r>
        <w:t xml:space="preserve">The JRC original results are re-scaled using the steps above to better approximate the impacts</w:t>
      </w:r>
      <w:r>
        <w:t xml:space="preserve"> </w:t>
      </w:r>
      <w:r>
        <w:t xml:space="preserve">of policy option 2. This results in ten different scenarios for businesses and two different</w:t>
      </w:r>
      <w:r>
        <w:t xml:space="preserve"> </w:t>
      </w:r>
      <w:r>
        <w:t xml:space="preserve">scenarios for citizens for each policy option in terms of savings (quantified as time and</w:t>
      </w:r>
      <w:r>
        <w:t xml:space="preserve"> </w:t>
      </w:r>
      <w:r>
        <w:t xml:space="preserve">money; see below).</w:t>
      </w:r>
      <w:r>
        <w:t xml:space="preserve"> </w:t>
      </w:r>
      <w:r>
        <w:t xml:space="preserve">Table 4. Policy option 2 savings</w:t>
      </w:r>
      <w:r>
        <w:t xml:space="preserve"> </w:t>
      </w:r>
      <w:r>
        <w:t xml:space="preserve">Policy option 2: Savings</w:t>
      </w:r>
      <w:r>
        <w:t xml:space="preserve"> </w:t>
      </w:r>
      <w:r>
        <w:t xml:space="preserve">Business</w:t>
      </w:r>
      <w:r>
        <w:t xml:space="preserve"> </w:t>
      </w:r>
      <w:r>
        <w:t xml:space="preserve">Citizen</w:t>
      </w:r>
      <w:r>
        <w:t xml:space="preserve"> </w:t>
      </w:r>
      <w:r>
        <w:t xml:space="preserve">s</w:t>
      </w:r>
      <w:r>
        <w:t xml:space="preserve"> </w:t>
      </w:r>
      <w:r>
        <w:t xml:space="preserve">Scenari</w:t>
      </w:r>
      <w:r>
        <w:t xml:space="preserve"> </w:t>
      </w:r>
      <w:r>
        <w:t xml:space="preserve">o 1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Intermediate</w:t>
      </w:r>
      <w:r>
        <w:t xml:space="preserve"> </w:t>
      </w:r>
      <w:r>
        <w:t xml:space="preserve">-low</w:t>
      </w:r>
      <w:r>
        <w:t xml:space="preserve"> </w:t>
      </w:r>
      <w:r>
        <w:t xml:space="preserve">Intermediat</w:t>
      </w:r>
      <w:r>
        <w:t xml:space="preserve"> </w:t>
      </w:r>
      <w:r>
        <w:t xml:space="preserve">e</w:t>
      </w:r>
      <w:r>
        <w:t xml:space="preserve"> </w:t>
      </w:r>
      <w:r>
        <w:t xml:space="preserve">Intermediate</w:t>
      </w:r>
      <w:r>
        <w:t xml:space="preserve"> </w:t>
      </w:r>
      <w:r>
        <w:t xml:space="preserve">-high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Mh</w:t>
      </w:r>
      <w:r>
        <w:t xml:space="preserve"> </w:t>
      </w:r>
      <w:r>
        <w:t xml:space="preserve">273.3</w:t>
      </w:r>
      <w:r>
        <w:t xml:space="preserve"> </w:t>
      </w:r>
      <w:r>
        <w:t xml:space="preserve">379.2</w:t>
      </w:r>
      <w:r>
        <w:t xml:space="preserve"> </w:t>
      </w:r>
      <w:r>
        <w:t xml:space="preserve">523.3</w:t>
      </w:r>
      <w:r>
        <w:t xml:space="preserve"> </w:t>
      </w:r>
      <w:r>
        <w:t xml:space="preserve">674.9</w:t>
      </w:r>
      <w:r>
        <w:t xml:space="preserve"> </w:t>
      </w:r>
      <w:r>
        <w:t xml:space="preserve">812.6</w:t>
      </w:r>
      <w:r>
        <w:t xml:space="preserve"> </w:t>
      </w:r>
      <w:r>
        <w:t xml:space="preserve">0.22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5 742.7</w:t>
      </w:r>
      <w:r>
        <w:t xml:space="preserve"> </w:t>
      </w:r>
      <w:r>
        <w:t xml:space="preserve">8 114.6</w:t>
      </w:r>
      <w:r>
        <w:t xml:space="preserve"> </w:t>
      </w:r>
      <w:r>
        <w:t xml:space="preserve">11 343.4</w:t>
      </w:r>
      <w:r>
        <w:t xml:space="preserve"> </w:t>
      </w:r>
      <w:r>
        <w:t xml:space="preserve">14 852.6</w:t>
      </w:r>
      <w:r>
        <w:t xml:space="preserve"> </w:t>
      </w:r>
      <w:r>
        <w:t xml:space="preserve">17</w:t>
      </w:r>
      <w:r>
        <w:t xml:space="preserve"> </w:t>
      </w:r>
      <w:r>
        <w:t xml:space="preserve">553.2</w:t>
      </w:r>
      <w:r>
        <w:t xml:space="preserve"> </w:t>
      </w:r>
      <w:r>
        <w:t xml:space="preserve">5.5</w:t>
      </w:r>
      <w:r>
        <w:t xml:space="preserve"> </w:t>
      </w:r>
      <w:r>
        <w:t xml:space="preserve">Scenario</w:t>
      </w:r>
      <w:r>
        <w:t xml:space="preserve"> </w:t>
      </w:r>
      <w:r>
        <w:t xml:space="preserve">2</w:t>
      </w:r>
      <w:r>
        <w:t xml:space="preserve"> </w:t>
      </w:r>
      <w:r>
        <w:t xml:space="preserve">Mh</w:t>
      </w:r>
      <w:r>
        <w:t xml:space="preserve"> </w:t>
      </w:r>
      <w:r>
        <w:t xml:space="preserve">297.8</w:t>
      </w:r>
      <w:r>
        <w:t xml:space="preserve"> </w:t>
      </w:r>
      <w:r>
        <w:t xml:space="preserve">413.9</w:t>
      </w:r>
      <w:r>
        <w:t xml:space="preserve"> </w:t>
      </w:r>
      <w:r>
        <w:t xml:space="preserve">570.3</w:t>
      </w:r>
      <w:r>
        <w:t xml:space="preserve"> </w:t>
      </w:r>
      <w:r>
        <w:t xml:space="preserve">738.1</w:t>
      </w:r>
      <w:r>
        <w:t xml:space="preserve"> </w:t>
      </w:r>
      <w:r>
        <w:t xml:space="preserve">888.1</w:t>
      </w:r>
      <w:r>
        <w:t xml:space="preserve"> </w:t>
      </w:r>
      <w:r>
        <w:t xml:space="preserve">0.26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6 259.5</w:t>
      </w:r>
      <w:r>
        <w:t xml:space="preserve"> </w:t>
      </w:r>
      <w:r>
        <w:t xml:space="preserve">8 865.2</w:t>
      </w:r>
      <w:r>
        <w:t xml:space="preserve"> </w:t>
      </w:r>
      <w:r>
        <w:t xml:space="preserve">12 352.8</w:t>
      </w:r>
      <w:r>
        <w:t xml:space="preserve"> </w:t>
      </w:r>
      <w:r>
        <w:t xml:space="preserve">15 948.6</w:t>
      </w:r>
      <w:r>
        <w:t xml:space="preserve"> </w:t>
      </w:r>
      <w:r>
        <w:t xml:space="preserve">19</w:t>
      </w:r>
      <w:r>
        <w:t xml:space="preserve"> </w:t>
      </w:r>
      <w:r>
        <w:t xml:space="preserve">190.7</w:t>
      </w:r>
      <w:r>
        <w:t xml:space="preserve"> </w:t>
      </w:r>
      <w:r>
        <w:t xml:space="preserve">6.3</w:t>
      </w:r>
      <w:r>
        <w:t xml:space="preserve"> </w:t>
      </w:r>
      <w:r>
        <w:t xml:space="preserve">Policy option 3 implies setting standards for the development of services of public interest to</w:t>
      </w:r>
      <w:r>
        <w:t xml:space="preserve"> </w:t>
      </w:r>
      <w:r>
        <w:t xml:space="preserve">be implemented by all public administrations in the Union. This would introduce strong</w:t>
      </w:r>
      <w:r>
        <w:t xml:space="preserve"> </w:t>
      </w:r>
      <w:r>
        <w:t xml:space="preserve">incentives to achieve higher interoperability targets for Member States while digitalising more</w:t>
      </w:r>
      <w:r>
        <w:t xml:space="preserve"> </w:t>
      </w:r>
      <w:r>
        <w:t xml:space="preserve">public services. It is expected that in this context, a larger proportion of users will move to the</w:t>
      </w:r>
      <w:r>
        <w:t xml:space="preserve"> </w:t>
      </w:r>
      <w:r>
        <w:t xml:space="preserve">online provision of the services. In this case, the results coming from scenario 2 seem more</w:t>
      </w:r>
      <w:r>
        <w:t xml:space="preserve"> </w:t>
      </w:r>
      <w:r>
        <w:t xml:space="preserve">realistic. As said earlier on, for policy option 3 an additional assumption is that given the</w:t>
      </w:r>
      <w:r>
        <w:t xml:space="preserve"> </w:t>
      </w:r>
      <w:r>
        <w:t xml:space="preserve">broader scope of the intervention, the intensity of cross border usage would increase as it</w:t>
      </w:r>
      <w:r>
        <w:t xml:space="preserve"> </w:t>
      </w:r>
      <w:r>
        <w:t xml:space="preserve">becomes easier to take care of cross-border online public services.</w:t>
      </w:r>
      <w:r>
        <w:t xml:space="preserve"> </w:t>
      </w:r>
      <w:r>
        <w:t xml:space="preserve">Table 5. Policy option 3 savings</w:t>
      </w:r>
      <w:r>
        <w:t xml:space="preserve"> </w:t>
      </w:r>
      <w:r>
        <w:t xml:space="preserve">Policy option 3: Savings</w:t>
      </w:r>
      <w:r>
        <w:t xml:space="preserve"> </w:t>
      </w:r>
      <w:r>
        <w:t xml:space="preserve">Business</w:t>
      </w:r>
      <w:r>
        <w:t xml:space="preserve"> </w:t>
      </w:r>
      <w:r>
        <w:t xml:space="preserve">Citizen</w:t>
      </w:r>
      <w:r>
        <w:t xml:space="preserve"> </w:t>
      </w:r>
      <w:r>
        <w:t xml:space="preserve">s</w:t>
      </w:r>
      <w:r>
        <w:t xml:space="preserve"> </w:t>
      </w:r>
      <w:r>
        <w:t xml:space="preserve">Scenario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Intermediate</w:t>
      </w:r>
      <w:r>
        <w:t xml:space="preserve"> </w:t>
      </w:r>
      <w:r>
        <w:t xml:space="preserve">-low</w:t>
      </w:r>
      <w:r>
        <w:t xml:space="preserve"> </w:t>
      </w:r>
      <w:r>
        <w:t xml:space="preserve">Intermediat</w:t>
      </w:r>
      <w:r>
        <w:t xml:space="preserve"> </w:t>
      </w:r>
      <w:r>
        <w:t xml:space="preserve">e</w:t>
      </w:r>
      <w:r>
        <w:t xml:space="preserve"> </w:t>
      </w:r>
      <w:r>
        <w:t xml:space="preserve">Intermediate</w:t>
      </w:r>
      <w:r>
        <w:t xml:space="preserve"> </w:t>
      </w:r>
      <w:r>
        <w:t xml:space="preserve">-high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Mh</w:t>
      </w:r>
      <w:r>
        <w:t xml:space="preserve"> </w:t>
      </w:r>
      <w:r>
        <w:t xml:space="preserve">314.3</w:t>
      </w:r>
      <w:r>
        <w:t xml:space="preserve"> </w:t>
      </w:r>
      <w:r>
        <w:t xml:space="preserve">436.0</w:t>
      </w:r>
      <w:r>
        <w:t xml:space="preserve"> </w:t>
      </w:r>
      <w:r>
        <w:t xml:space="preserve">601.8</w:t>
      </w:r>
      <w:r>
        <w:t xml:space="preserve"> </w:t>
      </w:r>
      <w:r>
        <w:t xml:space="preserve">776.1</w:t>
      </w:r>
      <w:r>
        <w:t xml:space="preserve"> </w:t>
      </w:r>
      <w:r>
        <w:t xml:space="preserve">934.5</w:t>
      </w:r>
      <w:r>
        <w:t xml:space="preserve"> </w:t>
      </w:r>
      <w:r>
        <w:t xml:space="preserve">0.45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6</w:t>
      </w:r>
      <w:r>
        <w:t xml:space="preserve"> </w:t>
      </w:r>
      <w:r>
        <w:t xml:space="preserve">604.1</w:t>
      </w:r>
      <w:r>
        <w:t xml:space="preserve"> </w:t>
      </w:r>
      <w:r>
        <w:t xml:space="preserve">9 331.8</w:t>
      </w:r>
      <w:r>
        <w:t xml:space="preserve"> </w:t>
      </w:r>
      <w:r>
        <w:t xml:space="preserve">13 044.9</w:t>
      </w:r>
      <w:r>
        <w:t xml:space="preserve"> </w:t>
      </w:r>
      <w:r>
        <w:t xml:space="preserve">16 770</w:t>
      </w:r>
      <w:r>
        <w:t xml:space="preserve"> </w:t>
      </w:r>
      <w:r>
        <w:t xml:space="preserve">20</w:t>
      </w:r>
      <w:r>
        <w:t xml:space="preserve"> </w:t>
      </w:r>
      <w:r>
        <w:t xml:space="preserve">186.2</w:t>
      </w:r>
      <w:r>
        <w:t xml:space="preserve"> </w:t>
      </w:r>
      <w:r>
        <w:t xml:space="preserve">11.7</w:t>
      </w:r>
      <w:r>
        <w:t xml:space="preserve"> </w:t>
      </w:r>
      <w:r>
        <w:t xml:space="preserve">Scenario</w:t>
      </w:r>
      <w:r>
        <w:t xml:space="preserve"> </w:t>
      </w:r>
      <w:r>
        <w:t xml:space="preserve">2</w:t>
      </w:r>
      <w:r>
        <w:t xml:space="preserve"> </w:t>
      </w:r>
      <w:r>
        <w:t xml:space="preserve">Mh</w:t>
      </w:r>
      <w:r>
        <w:t xml:space="preserve"> </w:t>
      </w:r>
      <w:r>
        <w:t xml:space="preserve">342.5</w:t>
      </w:r>
      <w:r>
        <w:t xml:space="preserve"> </w:t>
      </w:r>
      <w:r>
        <w:t xml:space="preserve">476.0</w:t>
      </w:r>
      <w:r>
        <w:t xml:space="preserve"> </w:t>
      </w:r>
      <w:r>
        <w:t xml:space="preserve">655.9</w:t>
      </w:r>
      <w:r>
        <w:t xml:space="preserve"> </w:t>
      </w:r>
      <w:r>
        <w:t xml:space="preserve">848.8 1 021.4</w:t>
      </w:r>
      <w:r>
        <w:t xml:space="preserve"> </w:t>
      </w:r>
      <w:r>
        <w:t xml:space="preserve">0.52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br/>
      </w:r>
      <w:r>
        <w:t xml:space="preserve">7</w:t>
      </w:r>
      <w:r>
        <w:t xml:space="preserve"> </w:t>
      </w:r>
      <w:r>
        <w:t xml:space="preserve">198.4</w:t>
      </w:r>
      <w:r>
        <w:t xml:space="preserve"> </w:t>
      </w:r>
      <w:r>
        <w:t xml:space="preserve">10 195</w:t>
      </w:r>
      <w:r>
        <w:t xml:space="preserve"> </w:t>
      </w:r>
      <w:r>
        <w:t xml:space="preserve">14 205.7</w:t>
      </w:r>
      <w:r>
        <w:t xml:space="preserve"> </w:t>
      </w:r>
      <w:r>
        <w:t xml:space="preserve">18 341</w:t>
      </w:r>
      <w:r>
        <w:t xml:space="preserve"> </w:t>
      </w:r>
      <w:r>
        <w:t xml:space="preserve">22 069</w:t>
      </w:r>
      <w:r>
        <w:t xml:space="preserve"> </w:t>
      </w:r>
      <w:r>
        <w:t xml:space="preserve">13.4</w:t>
      </w:r>
      <w:r>
        <w:t xml:space="preserve"> </w:t>
      </w:r>
      <w:r>
        <w:t xml:space="preserve">Based on the evaluation of the EIF and assuming that the speed of development would remain</w:t>
      </w:r>
      <w:r>
        <w:t xml:space="preserve"> </w:t>
      </w:r>
      <w:r>
        <w:t xml:space="preserve">the same, option 1 would in this respect also be expected to bring some results but more likely</w:t>
      </w:r>
      <w:r>
        <w:t xml:space="preserve"> </w:t>
      </w:r>
      <w:r>
        <w:t xml:space="preserve">in the (very) long term. The effects of Option 1 would likely be significantly higher if</w:t>
      </w:r>
      <w:r>
        <w:t xml:space="preserve"> </w:t>
      </w:r>
      <w:r>
        <w:t xml:space="preserve">introducing (Commission internal) interoperability synergies between EU funding</w:t>
      </w:r>
      <w:r>
        <w:t xml:space="preserve"> </w:t>
      </w:r>
      <w:r>
        <w:t xml:space="preserve">programmes (similar to option 2).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Regarding impacts on the quality of public services, the most positive impacts are, again,</w:t>
      </w:r>
      <w:r>
        <w:t xml:space="preserve"> </w:t>
      </w:r>
      <w:r>
        <w:t xml:space="preserve">expected from Options 2 and 3. Staying with the baseline and Option 1 might have negative</w:t>
      </w:r>
      <w:r>
        <w:t xml:space="preserve"> </w:t>
      </w:r>
      <w:r>
        <w:t xml:space="preserve">impacts while more and more recommendations for public sector service design, that in some</w:t>
      </w:r>
      <w:r>
        <w:t xml:space="preserve"> </w:t>
      </w:r>
      <w:r>
        <w:t xml:space="preserve">countries are even translated into legal provisions, become outdated.</w:t>
      </w:r>
      <w:r>
        <w:t xml:space="preserve"> </w:t>
      </w:r>
      <w:r>
        <w:t xml:space="preserve">As outlined in chapter 6, the initiative could have limited but positive effects on the green</w:t>
      </w:r>
      <w:r>
        <w:t xml:space="preserve"> </w:t>
      </w:r>
      <w:r>
        <w:t xml:space="preserve">transition, for example by enabling more reuse of data for decision-making and also saving</w:t>
      </w:r>
      <w:r>
        <w:t xml:space="preserve"> </w:t>
      </w:r>
      <w:r>
        <w:t xml:space="preserve">energy for the storing of duplicated data. These positive effects are most likely to be achieved</w:t>
      </w:r>
      <w:r>
        <w:t xml:space="preserve"> </w:t>
      </w:r>
      <w:r>
        <w:t xml:space="preserve">best in Option 2. While Option 3 introduces clear standards as of its adoption, under Option 2</w:t>
      </w:r>
      <w:r>
        <w:t xml:space="preserve"> </w:t>
      </w:r>
      <w:r>
        <w:t xml:space="preserve">these standards would still be co-developed but then in the long-term can be expected to be</w:t>
      </w:r>
      <w:r>
        <w:t xml:space="preserve"> </w:t>
      </w:r>
      <w:r>
        <w:t xml:space="preserve">more future proof because more flexibly adaptable.</w:t>
      </w:r>
      <w:r>
        <w:t xml:space="preserve"> </w:t>
      </w:r>
      <w:r>
        <w:t xml:space="preserve">By introducing mandatory minimum interoperability requirements Option 3 is likely to create</w:t>
      </w:r>
      <w:r>
        <w:t xml:space="preserve"> </w:t>
      </w:r>
      <w:r>
        <w:t xml:space="preserve">the highest friction in its development phase as well as the highest implementation costs for</w:t>
      </w:r>
      <w:r>
        <w:t xml:space="preserve"> </w:t>
      </w:r>
      <w:r>
        <w:t xml:space="preserve">public administrations. If requirements do not fit the existing the national IT architecture in</w:t>
      </w:r>
      <w:r>
        <w:t xml:space="preserve"> </w:t>
      </w:r>
      <w:r>
        <w:t xml:space="preserve">a Member State they might result in significant new investments in IT infrastructure as well as</w:t>
      </w:r>
      <w:r>
        <w:t xml:space="preserve"> </w:t>
      </w:r>
      <w:r>
        <w:t xml:space="preserve">potentially in costly and lengthy adaptation processes for their legacy systems. In the long-</w:t>
      </w:r>
      <w:r>
        <w:t xml:space="preserve"> </w:t>
      </w:r>
      <w:r>
        <w:t xml:space="preserve">term implementation costs could however be lower due to more possibilities to share solutions</w:t>
      </w:r>
      <w:r>
        <w:t xml:space="preserve"> </w:t>
      </w:r>
      <w:r>
        <w:t xml:space="preserve">among Member States public administrations. Also, here Option 2 appears to be the most</w:t>
      </w:r>
      <w:r>
        <w:t xml:space="preserve"> </w:t>
      </w:r>
      <w:r>
        <w:t xml:space="preserve">sustainable solution.</w:t>
      </w:r>
      <w:r>
        <w:t xml:space="preserve"> </w:t>
      </w:r>
      <w:r>
        <w:t xml:space="preserve">As the EIF is mostly implemented today, no implementation costs would result from staying</w:t>
      </w:r>
      <w:r>
        <w:t xml:space="preserve"> </w:t>
      </w:r>
      <w:r>
        <w:t xml:space="preserve">with the status quo. Based on the evaluation of the EIF and the costs that can be linked to the</w:t>
      </w:r>
      <w:r>
        <w:t xml:space="preserve"> </w:t>
      </w:r>
      <w:r>
        <w:t xml:space="preserve">implementation of that framework, it is likely that also the costs for an EIF update under</w:t>
      </w:r>
      <w:r>
        <w:t xml:space="preserve"> </w:t>
      </w:r>
      <w:r>
        <w:t xml:space="preserve">option 1 would be relatively low. The implementation costs for option 2 would very much</w:t>
      </w:r>
      <w:r>
        <w:t xml:space="preserve"> </w:t>
      </w:r>
      <w:r>
        <w:t xml:space="preserve">depend on the decisions of Member States and the different projects public administrations</w:t>
      </w:r>
      <w:r>
        <w:t xml:space="preserve"> </w:t>
      </w:r>
      <w:r>
        <w:t xml:space="preserve">would engage in. Implementation costs could be adapted according to the funding available</w:t>
      </w:r>
      <w:r>
        <w:t xml:space="preserve"> </w:t>
      </w:r>
      <w:r>
        <w:t xml:space="preserve">from different sources (EU programmes and MS funding).</w:t>
      </w:r>
      <w:r>
        <w:t xml:space="preserve"> </w:t>
      </w:r>
      <w:r>
        <w:t xml:space="preserve">As none of the options is proposing to introduce obligations to citizens and businesses, no</w:t>
      </w:r>
      <w:r>
        <w:t xml:space="preserve"> </w:t>
      </w:r>
      <w:r>
        <w:t xml:space="preserve">compliance costs are expected for them.</w:t>
      </w:r>
      <w:r>
        <w:t xml:space="preserve"> </w:t>
      </w:r>
      <w:r>
        <w:t xml:space="preserve">7.4.</w:t>
      </w:r>
      <w:r>
        <w:t xml:space="preserve"> </w:t>
      </w:r>
      <w:r>
        <w:t xml:space="preserve">7.4 Subsidiarity</w:t>
      </w:r>
      <w:r>
        <w:t xml:space="preserve"> </w:t>
      </w:r>
      <w:r>
        <w:t xml:space="preserve">This initiative is subsidiarity-sensitive by its very nature: Member States and their regional</w:t>
      </w:r>
      <w:r>
        <w:t xml:space="preserve"> </w:t>
      </w:r>
      <w:r>
        <w:t xml:space="preserve">and local authorities are sovereign in deciding their administrative organisation. It is the local</w:t>
      </w:r>
      <w:r>
        <w:t xml:space="preserve"> </w:t>
      </w:r>
      <w:r>
        <w:t xml:space="preserve">level with whom citizens and businesses interact most closely. It is essential to preserve the</w:t>
      </w:r>
      <w:r>
        <w:t xml:space="preserve"> </w:t>
      </w:r>
      <w:r>
        <w:t xml:space="preserve">freedom of administrations to act in their areas of responsibility. However, confronted with</w:t>
      </w:r>
      <w:r>
        <w:t xml:space="preserve"> </w:t>
      </w:r>
      <w:r>
        <w:t xml:space="preserve">shared challenges of digital transformation, administrations at all levels seek cooperation,</w:t>
      </w:r>
      <w:r>
        <w:t xml:space="preserve"> </w:t>
      </w:r>
      <w:r>
        <w:t xml:space="preserve">shared resources, and legal and investment certainty in their modernisation decisions. This</w:t>
      </w:r>
      <w:r>
        <w:t xml:space="preserve"> </w:t>
      </w:r>
      <w:r>
        <w:t xml:space="preserve">becomes evident from the Living-in.EU movement of local communities and the</w:t>
      </w:r>
      <w:r>
        <w:t xml:space="preserve"> </w:t>
      </w:r>
      <w:r>
        <w:t xml:space="preserve">recommendations from the Member State level expert group on interoperability.</w:t>
      </w:r>
      <w:r>
        <w:t xml:space="preserve"> </w:t>
      </w:r>
      <w:r>
        <w:t xml:space="preserve">Option 2 is expected to best uphold the subsidiarity principle as it intends to set up a multi-</w:t>
      </w:r>
      <w:r>
        <w:t xml:space="preserve"> </w:t>
      </w:r>
      <w:r>
        <w:t xml:space="preserve">level governance on interoperability, fostering the development of common, diverse yet</w:t>
      </w:r>
      <w:r>
        <w:t xml:space="preserve"> </w:t>
      </w:r>
      <w:r>
        <w:t xml:space="preserve">interoperable solutions. Co-ownership of EU level interoperability initiatives would foster</w:t>
      </w:r>
      <w:r>
        <w:t xml:space="preserve"> </w:t>
      </w:r>
      <w:r>
        <w:t xml:space="preserve">buy-in through self-regulation in a persistent and continuous fashion. Option 1, due to its non-</w:t>
      </w:r>
      <w:r>
        <w:t xml:space="preserve"> </w:t>
      </w:r>
      <w:r>
        <w:t xml:space="preserve">binding nature would also allow for a diverse ecosystem but be less effective in fostering</w:t>
      </w:r>
      <w:r>
        <w:t xml:space="preserve"> </w:t>
      </w:r>
      <w:r>
        <w:t xml:space="preserve">exchange and legal certainty over time.</w:t>
      </w:r>
      <w:r>
        <w:t xml:space="preserve"> </w:t>
      </w:r>
      <w:r>
        <w:t xml:space="preserve">The baseline and Option 3 are considered as neutral to negative in subsidiarity terms. The</w:t>
      </w:r>
      <w:r>
        <w:t xml:space="preserve"> </w:t>
      </w:r>
      <w:r>
        <w:t xml:space="preserve">baseline because necessary decisions on the update of the framework would not be taken, and</w:t>
      </w:r>
      <w:r>
        <w:t xml:space="preserve"> </w:t>
      </w:r>
      <w:r>
        <w:t xml:space="preserve">Option 3 because it focuses on one harmonised approach not necessarily supporting the</w:t>
      </w:r>
      <w:r>
        <w:t xml:space="preserve"> </w:t>
      </w:r>
      <w:r>
        <w:t xml:space="preserve">emergence of an ecosystem of different yet interoperable solutions and strong IT legacy in</w:t>
      </w:r>
      <w:r>
        <w:t xml:space="preserve"> </w:t>
      </w:r>
      <w:r>
        <w:t xml:space="preserve">numerous Member States and domain areas. The result would be formal compliance with the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subsidiarity principle but without the support (local) administrations need to make subsidiarity</w:t>
      </w:r>
      <w:r>
        <w:t xml:space="preserve"> </w:t>
      </w:r>
      <w:r>
        <w:t xml:space="preserve">a sustainable reality.</w:t>
      </w:r>
      <w:r>
        <w:t xml:space="preserve"> </w:t>
      </w:r>
      <w:r>
        <w:t xml:space="preserve">In conclusion, an interoperability governance as set out in Option 2, would establish a</w:t>
      </w:r>
      <w:r>
        <w:t xml:space="preserve"> </w:t>
      </w:r>
      <w:r>
        <w:t xml:space="preserve">minimally invasive and self-sustaining subsidiarity support mechanism for public</w:t>
      </w:r>
      <w:r>
        <w:t xml:space="preserve"> </w:t>
      </w:r>
      <w:r>
        <w:t xml:space="preserve">administrations at all levels; freedom to address local needs in service design while relying on</w:t>
      </w:r>
      <w:r>
        <w:t xml:space="preserve"> </w:t>
      </w:r>
      <w:r>
        <w:t xml:space="preserve">common interoperability resources to reduce development efforts and offer seamless public</w:t>
      </w:r>
      <w:r>
        <w:t xml:space="preserve"> </w:t>
      </w:r>
      <w:r>
        <w:t xml:space="preserve">services to citizens and businesses.</w:t>
      </w:r>
      <w:r>
        <w:t xml:space="preserve"> </w:t>
      </w:r>
      <w:r>
        <w:t xml:space="preserve">7.5.</w:t>
      </w:r>
      <w:r>
        <w:t xml:space="preserve"> </w:t>
      </w:r>
      <w:r>
        <w:t xml:space="preserve">7.5 Stakeholder support expected</w:t>
      </w:r>
      <w:r>
        <w:t xml:space="preserve"> </w:t>
      </w:r>
      <w:r>
        <w:t xml:space="preserve">When it comes to the expected support from stakeholders, different stakeholder groups have</w:t>
      </w:r>
      <w:r>
        <w:t xml:space="preserve"> </w:t>
      </w:r>
      <w:r>
        <w:t xml:space="preserve">to be distinguished: among contributors from EU institutions, in the overall consultations,</w:t>
      </w:r>
      <w:r>
        <w:t xml:space="preserve"> </w:t>
      </w:r>
      <w:r>
        <w:t xml:space="preserve">option 3 – with a strong legal framework – obtained the highest scores; among Member</w:t>
      </w:r>
      <w:r>
        <w:t xml:space="preserve"> </w:t>
      </w:r>
      <w:r>
        <w:t xml:space="preserve">States: option 2 is likely to have more support as it is most in line with the recommendations</w:t>
      </w:r>
      <w:r>
        <w:t xml:space="preserve"> </w:t>
      </w:r>
      <w:r>
        <w:t xml:space="preserve">on a future interoperability policy issued by the expert group on interoperability of public</w:t>
      </w:r>
      <w:r>
        <w:t xml:space="preserve"> </w:t>
      </w:r>
      <w:r>
        <w:t xml:space="preserve">services.</w:t>
      </w:r>
      <w:r>
        <w:t xml:space="preserve"> </w:t>
      </w:r>
      <w:r>
        <w:t xml:space="preserve">In the public consultations all stakeholders supported a stronger approach, introducing more</w:t>
      </w:r>
      <w:r>
        <w:t xml:space="preserve"> </w:t>
      </w:r>
      <w:r>
        <w:t xml:space="preserve">obligations on interoperability.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In the light of the above comparison, option 2 is the preferred option.</w:t>
      </w:r>
      <w:r>
        <w:br/>
      </w:r>
      <w:r>
        <w:t xml:space="preserve">The European Commission should propose a legislative act establishing an interoperable EU</w:t>
      </w:r>
      <w:r>
        <w:t xml:space="preserve"> </w:t>
      </w:r>
      <w:r>
        <w:t xml:space="preserve">public sector infrastructure and strengthened EU policy coordination. It should introduce</w:t>
      </w:r>
      <w:r>
        <w:t xml:space="preserve"> </w:t>
      </w:r>
      <w:r>
        <w:t xml:space="preserve">interoperability as a foundational principle for EU digital policies implementation, under a</w:t>
      </w:r>
      <w:r>
        <w:t xml:space="preserve"> </w:t>
      </w:r>
      <w:r>
        <w:t xml:space="preserve">governance shared between Member States and the Commission.</w:t>
      </w:r>
      <w:r>
        <w:br/>
      </w:r>
      <w:r>
        <w:t xml:space="preserve">Figure 9. Role of interoperability in the EU public sector digital infrastructures</w:t>
      </w:r>
    </w:p>
    <w:p>
      <w:pPr>
        <w:pStyle w:val="BodyText"/>
      </w:pPr>
      <w:r>
        <w:t xml:space="preserve">This would ensure building gradually a common European infrastructure of interoperable</w:t>
      </w:r>
      <w:r>
        <w:t xml:space="preserve"> </w:t>
      </w:r>
      <w:r>
        <w:t xml:space="preserve">public services and data exchange, successful examples for which can be found at Member</w:t>
      </w:r>
      <w:r>
        <w:t xml:space="preserve"> </w:t>
      </w:r>
      <w:r>
        <w:t xml:space="preserve">State level, for instance in Spain or Denmark. This option would over time build a trans-</w:t>
      </w:r>
      <w:r>
        <w:t xml:space="preserve"> </w:t>
      </w:r>
      <w:r>
        <w:t xml:space="preserve">European network of public services, evolving with EU and Member States policy needs and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implementation priorities; a subsidiarity enabling framework flexible enough to adjust to</w:t>
      </w:r>
      <w:r>
        <w:t xml:space="preserve"> </w:t>
      </w:r>
      <w:r>
        <w:t xml:space="preserve">adapting policy and implementation circumstances.</w:t>
      </w:r>
      <w:r>
        <w:t xml:space="preserve"> </w:t>
      </w:r>
      <w:r>
        <w:t xml:space="preserve">The recommendations from the expert group on Interoperability of European public services</w:t>
      </w:r>
      <w:r>
        <w:t xml:space="preserve"> </w:t>
      </w:r>
      <w:r>
        <w:t xml:space="preserve">on a future public sector interoperability policy, endorsed in October 2021 by all the Member</w:t>
      </w:r>
      <w:r>
        <w:t xml:space="preserve"> </w:t>
      </w:r>
      <w:r>
        <w:t xml:space="preserve">States, call for ‘a clear strategy focused on enabling delivery on the ground and a proper</w:t>
      </w:r>
      <w:r>
        <w:t xml:space="preserve"> </w:t>
      </w:r>
      <w:r>
        <w:t xml:space="preserve">governance at European level, that makes it possible to align and coordinate efforts of this</w:t>
      </w:r>
      <w:r>
        <w:t xml:space="preserve"> </w:t>
      </w:r>
      <w:r>
        <w:t xml:space="preserve">scale’. They request the European Commission to ‘establish a shared governance of</w:t>
      </w:r>
      <w:r>
        <w:t xml:space="preserve"> </w:t>
      </w:r>
      <w:r>
        <w:t xml:space="preserve">interoperability with a stronger, structural involvement of the Member States’146.</w:t>
      </w:r>
      <w:r>
        <w:t xml:space="preserve"> </w:t>
      </w:r>
      <w:r>
        <w:t xml:space="preserve">Such a common ‘Interoperable Europe’ governance secures full co-ownership by Member</w:t>
      </w:r>
      <w:r>
        <w:t xml:space="preserve"> </w:t>
      </w:r>
      <w:r>
        <w:t xml:space="preserve">States in a subsidiarity sensitive area and allows for the necessary sustainability of</w:t>
      </w:r>
      <w:r>
        <w:t xml:space="preserve"> </w:t>
      </w:r>
      <w:r>
        <w:t xml:space="preserve">interoperability solutions in a fast-changing technology and policy context. It would act in</w:t>
      </w:r>
      <w:r>
        <w:t xml:space="preserve"> </w:t>
      </w:r>
      <w:r>
        <w:t xml:space="preserve">cooperation with established European structures and policies (such as in standardisation,</w:t>
      </w:r>
      <w:r>
        <w:t xml:space="preserve"> </w:t>
      </w:r>
      <w:r>
        <w:t xml:space="preserve">Digital Decade, innovation or data protection) and facilitate sectoral policy implementation by</w:t>
      </w:r>
      <w:r>
        <w:t xml:space="preserve"> </w:t>
      </w:r>
      <w:r>
        <w:t xml:space="preserve">ensuring ‘interoperability by default’. A dedicated public sector interoperability governance is</w:t>
      </w:r>
      <w:r>
        <w:t xml:space="preserve"> </w:t>
      </w:r>
      <w:r>
        <w:t xml:space="preserve">a focused support instrument for better regulation, helping reduce policy implementation</w:t>
      </w:r>
      <w:r>
        <w:t xml:space="preserve"> </w:t>
      </w:r>
      <w:r>
        <w:t xml:space="preserve">effort and cost, and streamline investments.</w:t>
      </w:r>
      <w:r>
        <w:t xml:space="preserve"> </w:t>
      </w:r>
      <w:r>
        <w:t xml:space="preserve">An interoperability legislative act could be usefully presented in a package, combined with a</w:t>
      </w:r>
      <w:r>
        <w:t xml:space="preserve"> </w:t>
      </w:r>
      <w:r>
        <w:t xml:space="preserve">policy communication setting out the objectives of the strengthened European Public Sector</w:t>
      </w:r>
      <w:r>
        <w:t xml:space="preserve"> </w:t>
      </w:r>
      <w:r>
        <w:t xml:space="preserve">Interoperability Policy and its interaction with existing and emerging EU policies. It could</w:t>
      </w:r>
      <w:r>
        <w:t xml:space="preserve"> </w:t>
      </w:r>
      <w:r>
        <w:t xml:space="preserve">include as an annex the European Interoperability Framework for Smart Cities and</w:t>
      </w:r>
      <w:r>
        <w:t xml:space="preserve"> </w:t>
      </w:r>
      <w:r>
        <w:t xml:space="preserve">Communities. The policy communication could in addition set out the intention of the</w:t>
      </w:r>
      <w:r>
        <w:t xml:space="preserve"> </w:t>
      </w:r>
      <w:r>
        <w:t xml:space="preserve">European Commission to strengthen its own interoperability-ready policy-making principles,</w:t>
      </w:r>
      <w:r>
        <w:t xml:space="preserve"> </w:t>
      </w:r>
      <w:r>
        <w:t xml:space="preserve">by including regular digital and interoperability checks in its internal procedures, during</w:t>
      </w:r>
      <w:r>
        <w:t xml:space="preserve"> </w:t>
      </w:r>
      <w:r>
        <w:t xml:space="preserve">policy formulation, impact assessments and policy implementation.</w:t>
      </w:r>
      <w:r>
        <w:t xml:space="preserve"> </w:t>
      </w:r>
      <w:r>
        <w:t xml:space="preserve">Proportionality assessment of the preferred option</w:t>
      </w:r>
      <w:r>
        <w:t xml:space="preserve"> </w:t>
      </w:r>
      <w:r>
        <w:t xml:space="preserve">Despite imposing some obligations on Member States public administrations, the preferred</w:t>
      </w:r>
      <w:r>
        <w:t xml:space="preserve"> </w:t>
      </w:r>
      <w:r>
        <w:t xml:space="preserve">option would not require the adoption of measures that would burden them beyond what is</w:t>
      </w:r>
      <w:r>
        <w:t xml:space="preserve"> </w:t>
      </w:r>
      <w:r>
        <w:t xml:space="preserve">necessary for the achievement of this initiative’s objectives. Member States would have to</w:t>
      </w:r>
      <w:r>
        <w:t xml:space="preserve"> </w:t>
      </w:r>
      <w:r>
        <w:t xml:space="preserve">implement measures that ensure the functioning of the governance, designate a national</w:t>
      </w:r>
      <w:r>
        <w:t xml:space="preserve"> </w:t>
      </w:r>
      <w:r>
        <w:t xml:space="preserve">coordinator, publish references to EU funded interoperability resources they develop, enhance</w:t>
      </w:r>
      <w:r>
        <w:t xml:space="preserve"> </w:t>
      </w:r>
      <w:r>
        <w:t xml:space="preserve">the uptake and sharing of interoperability solutions.</w:t>
      </w:r>
      <w:r>
        <w:t xml:space="preserve"> </w:t>
      </w:r>
      <w:r>
        <w:t xml:space="preserve">The objectives to ensure a coherent EU approach, an EU-wide multi-level governance and a</w:t>
      </w:r>
      <w:r>
        <w:t xml:space="preserve"> </w:t>
      </w:r>
      <w:r>
        <w:t xml:space="preserve">dynamic ecosystem cannot be achieved by Member States action alone but need EU action.</w:t>
      </w:r>
      <w:r>
        <w:t xml:space="preserve"> </w:t>
      </w:r>
      <w:r>
        <w:t xml:space="preserve">The analysis of the options and the experience of the last 25 years of non-binding action in the</w:t>
      </w:r>
      <w:r>
        <w:t xml:space="preserve"> </w:t>
      </w:r>
      <w:r>
        <w:t xml:space="preserve">field, have shown that only a legislative approach introducing structural cooperation</w:t>
      </w:r>
      <w:r>
        <w:t xml:space="preserve"> </w:t>
      </w:r>
      <w:r>
        <w:t xml:space="preserve">requirements and a certain level of coherence on interoperability requirements is needed to</w:t>
      </w:r>
      <w:r>
        <w:t xml:space="preserve"> </w:t>
      </w:r>
      <w:r>
        <w:t xml:space="preserve">reach the objectives. The legislative obligations from Option 2 would thus be entirely</w:t>
      </w:r>
      <w:r>
        <w:t xml:space="preserve"> </w:t>
      </w:r>
      <w:r>
        <w:t xml:space="preserve">proportionate to the objectives of the initiative.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As detailed throughout the assessment, interoperability is an enabler for increased public</w:t>
      </w:r>
      <w:r>
        <w:t xml:space="preserve"> </w:t>
      </w:r>
      <w:r>
        <w:t xml:space="preserve">sector efficiency and more effective public services. It plays a central role in reducing</w:t>
      </w:r>
      <w:r>
        <w:t xml:space="preserve"> </w:t>
      </w:r>
      <w:r>
        <w:t xml:space="preserve">administrative barriers. Some of the recommendations of the EIF from 2017147 were around</w:t>
      </w:r>
      <w:r>
        <w:t xml:space="preserve"> </w:t>
      </w:r>
      <w:r>
        <w:t xml:space="preserve">administrative simplification and burden reduction.</w:t>
      </w:r>
      <w:r>
        <w:t xml:space="preserve"> </w:t>
      </w:r>
      <w:r>
        <w:t xml:space="preserve">The evaluation of the EIF shows that its’ benefits on burden reduction originate mostly from</w:t>
      </w:r>
      <w:r>
        <w:t xml:space="preserve"> </w:t>
      </w:r>
      <w:r>
        <w:t xml:space="preserve">two factors:</w:t>
      </w:r>
    </w:p>
    <w:p>
      <w:pPr>
        <w:pStyle w:val="BodyText"/>
      </w:pPr>
      <w:r>
        <w:t xml:space="preserve">146</w:t>
      </w:r>
      <w:r>
        <w:br/>
      </w:r>
      <w:r>
        <w:t xml:space="preserve">See Annex V.</w:t>
      </w:r>
      <w:r>
        <w:t xml:space="preserve"> </w:t>
      </w:r>
      <w:r>
        <w:t xml:space="preserve">147</w:t>
      </w:r>
      <w:r>
        <w:br/>
      </w:r>
      <w:r>
        <w:t xml:space="preserve">European Interoperability Framework (2017).</w:t>
      </w:r>
    </w:p>
    <w:bookmarkEnd w:id="12"/>
    <w:bookmarkStart w:id="13" w:name="section-2"/>
    <w:p>
      <w:pPr>
        <w:pStyle w:val="Heading2"/>
      </w:pPr>
      <w:r>
        <w:t xml:space="preserve">53</w:t>
      </w:r>
    </w:p>
    <w:p>
      <w:pPr>
        <w:pStyle w:val="FirstParagraph"/>
      </w:pPr>
      <w:r>
        <w:t xml:space="preserve">Affirming the importance of administrative simplicity. By streamlining and</w:t>
      </w:r>
      <w:r>
        <w:t xml:space="preserve"> </w:t>
      </w:r>
      <w:r>
        <w:t xml:space="preserve">simplifying the digital delivery of public services, the EIF’s implementation costs were</w:t>
      </w:r>
      <w:r>
        <w:t xml:space="preserve"> </w:t>
      </w:r>
      <w:r>
        <w:t xml:space="preserve">negligible in comparison to the cost savings associated with interactions between public</w:t>
      </w:r>
      <w:r>
        <w:t xml:space="preserve"> </w:t>
      </w:r>
      <w:r>
        <w:t xml:space="preserve">administrations, as well as between administrations and their constituents; and,</w:t>
      </w:r>
      <w:r>
        <w:t xml:space="preserve"> </w:t>
      </w:r>
      <w:r>
        <w:t xml:space="preserve">-</w:t>
      </w:r>
      <w:r>
        <w:t xml:space="preserve"> </w:t>
      </w:r>
      <w:r>
        <w:t xml:space="preserve">Encouraging data reuse. The EIF’s goal is to assist public administrations in avoiding</w:t>
      </w:r>
      <w:r>
        <w:t xml:space="preserve"> </w:t>
      </w:r>
      <w:r>
        <w:t xml:space="preserve">duplication of effort and effectively leveraging existing resources and information,</w:t>
      </w:r>
      <w:r>
        <w:t xml:space="preserve"> </w:t>
      </w:r>
      <w:r>
        <w:t xml:space="preserve">resulting in better service quality.</w:t>
      </w:r>
      <w:r>
        <w:t xml:space="preserve"> </w:t>
      </w:r>
      <w:r>
        <w:t xml:space="preserve">From Figure 10 we can see there is quite a strong correlation between the level of Digital</w:t>
      </w:r>
      <w:r>
        <w:t xml:space="preserve"> </w:t>
      </w:r>
      <w:r>
        <w:t xml:space="preserve">public services offered by a Member State and the perceived complexity of administrative</w:t>
      </w:r>
      <w:r>
        <w:t xml:space="preserve"> </w:t>
      </w:r>
      <w:r>
        <w:t xml:space="preserve">procedures: the highest-ranking states in digital public services and interoperability148 have</w:t>
      </w:r>
      <w:r>
        <w:t xml:space="preserve"> </w:t>
      </w:r>
      <w:r>
        <w:t xml:space="preserve">the lowest perceived complexity.</w:t>
      </w:r>
      <w:r>
        <w:t xml:space="preserve"> </w:t>
      </w:r>
      <w:r>
        <w:t xml:space="preserve">Figure 10. EUPACK study 2021 Administrative burden reduction and digitalisation</w:t>
      </w:r>
    </w:p>
    <w:p>
      <w:pPr>
        <w:pStyle w:val="BodyText"/>
      </w:pPr>
      <w:r>
        <w:t xml:space="preserve">The following table summarises the REFIT potential detected. Following the analysis, the</w:t>
      </w:r>
      <w:r>
        <w:t xml:space="preserve"> </w:t>
      </w:r>
      <w:r>
        <w:t xml:space="preserve">positive impacts of the preferred option on interoperability of the public sector are expected to</w:t>
      </w:r>
      <w:r>
        <w:t xml:space="preserve"> </w:t>
      </w:r>
      <w:r>
        <w:t xml:space="preserve">be far more important than those of the current EIF. With extra new measures which will</w:t>
      </w:r>
      <w:r>
        <w:t xml:space="preserve"> </w:t>
      </w:r>
      <w:r>
        <w:t xml:space="preserve">focus on ensuring more coherence in the implementation of EU policies, the potential for</w:t>
      </w:r>
      <w:r>
        <w:t xml:space="preserve"> </w:t>
      </w:r>
      <w:r>
        <w:t xml:space="preserve">simplification and improved efficiency of this policy is very high.</w:t>
      </w:r>
      <w:r>
        <w:t xml:space="preserve"> </w:t>
      </w:r>
      <w:r>
        <w:t xml:space="preserve">Table 6. REFIT cost savings</w:t>
      </w:r>
      <w:r>
        <w:t xml:space="preserve"> </w:t>
      </w:r>
      <w:r>
        <w:t xml:space="preserve">REFIT Cost Savings – Preferred Option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Stakeholders who save costs</w:t>
      </w:r>
      <w:r>
        <w:t xml:space="preserve"> </w:t>
      </w:r>
      <w:r>
        <w:t xml:space="preserve">Replacing proprietary</w:t>
      </w:r>
      <w:r>
        <w:t xml:space="preserve"> </w:t>
      </w:r>
      <w:r>
        <w:t xml:space="preserve">solutions with co-designed,</w:t>
      </w:r>
      <w:r>
        <w:t xml:space="preserve"> </w:t>
      </w:r>
      <w:r>
        <w:t xml:space="preserve">open solutions</w:t>
      </w:r>
      <w:r>
        <w:t xml:space="preserve"> </w:t>
      </w:r>
      <w:r>
        <w:t xml:space="preserve">2021 study149 on the role of</w:t>
      </w:r>
      <w:r>
        <w:t xml:space="preserve"> </w:t>
      </w:r>
      <w:r>
        <w:t xml:space="preserve">open-source software, an</w:t>
      </w:r>
      <w:r>
        <w:t xml:space="preserve"> </w:t>
      </w:r>
      <w:r>
        <w:t xml:space="preserve">increase of 10% in the use of</w:t>
      </w:r>
      <w:r>
        <w:t xml:space="preserve"> </w:t>
      </w:r>
      <w:r>
        <w:t xml:space="preserve">open-source software in the EU</w:t>
      </w:r>
      <w:r>
        <w:t xml:space="preserve"> </w:t>
      </w:r>
      <w:r>
        <w:t xml:space="preserve">may generate an additional</w:t>
      </w:r>
      <w:r>
        <w:t xml:space="preserve"> </w:t>
      </w:r>
      <w:r>
        <w:t xml:space="preserve">0.4% to 0.6% GDP per year</w:t>
      </w:r>
      <w:r>
        <w:t xml:space="preserve"> </w:t>
      </w:r>
      <w:r>
        <w:t xml:space="preserve">as well as more than 600</w:t>
      </w:r>
      <w:r>
        <w:t xml:space="preserve"> </w:t>
      </w:r>
      <w:r>
        <w:t xml:space="preserve">Public administrations</w:t>
      </w:r>
    </w:p>
    <w:p>
      <w:pPr>
        <w:pStyle w:val="BodyText"/>
      </w:pPr>
      <w:r>
        <w:t xml:space="preserve">148</w:t>
      </w:r>
      <w:r>
        <w:br/>
      </w:r>
      <w:r>
        <w:t xml:space="preserve">EIF Monitoring | Joinup (europa.eu).</w:t>
      </w:r>
      <w:r>
        <w:t xml:space="preserve"> </w:t>
      </w:r>
      <w:r>
        <w:t xml:space="preserve">149</w:t>
      </w:r>
      <w:r>
        <w:br/>
      </w:r>
      <w:r>
        <w:t xml:space="preserve">https://digital-strategy.ec.europa.eu/en/library/study-about-impact-open-source-software-and-hardware-</w:t>
      </w:r>
      <w:r>
        <w:t xml:space="preserve"> </w:t>
      </w:r>
      <w:r>
        <w:t xml:space="preserve">technological-independence-competitiveness-and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REFIT Cost Savings – Preferred Option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Stakeholders who save costs</w:t>
      </w:r>
      <w:r>
        <w:t xml:space="preserve"> </w:t>
      </w:r>
      <w:r>
        <w:t xml:space="preserve">additional ICT start-ups per year</w:t>
      </w:r>
      <w:r>
        <w:t xml:space="preserve"> </w:t>
      </w:r>
      <w:r>
        <w:t xml:space="preserve">in the EU</w:t>
      </w:r>
      <w:r>
        <w:t xml:space="preserve"> </w:t>
      </w:r>
      <w:r>
        <w:t xml:space="preserve">Digital-ready policies</w:t>
      </w:r>
      <w:r>
        <w:br/>
      </w:r>
      <w:r>
        <w:t xml:space="preserve">– implement at lower costs</w:t>
      </w:r>
      <w:r>
        <w:t xml:space="preserve"> </w:t>
      </w:r>
      <w:r>
        <w:t xml:space="preserve">Danish examples: Reducing</w:t>
      </w:r>
      <w:r>
        <w:t xml:space="preserve"> </w:t>
      </w:r>
      <w:r>
        <w:t xml:space="preserve">administrative burdens with</w:t>
      </w:r>
      <w:r>
        <w:t xml:space="preserve"> </w:t>
      </w:r>
      <w:r>
        <w:t xml:space="preserve">digital-ready legislation</w:t>
      </w:r>
      <w:r>
        <w:t xml:space="preserve"> </w:t>
      </w:r>
      <w:r>
        <w:t xml:space="preserve">- Public administrations</w:t>
      </w:r>
      <w:r>
        <w:t xml:space="preserve"> </w:t>
      </w:r>
      <w:r>
        <w:t xml:space="preserve">- Citizens and businesses</w:t>
      </w:r>
      <w:r>
        <w:t xml:space="preserve"> </w:t>
      </w:r>
      <w:r>
        <w:t xml:space="preserve">depending on the policy</w:t>
      </w:r>
      <w:r>
        <w:t xml:space="preserve"> </w:t>
      </w:r>
      <w:r>
        <w:t xml:space="preserve">More interoperable digital</w:t>
      </w:r>
      <w:r>
        <w:t xml:space="preserve"> </w:t>
      </w:r>
      <w:r>
        <w:t xml:space="preserve">services save time and</w:t>
      </w:r>
      <w:r>
        <w:t xml:space="preserve"> </w:t>
      </w:r>
      <w:r>
        <w:t xml:space="preserve">money for their users (see</w:t>
      </w:r>
      <w:r>
        <w:t xml:space="preserve"> </w:t>
      </w:r>
      <w:r>
        <w:t xml:space="preserve">more in Annex IV)</w:t>
      </w:r>
      <w:r>
        <w:br/>
      </w:r>
      <w:r>
        <w:t xml:space="preserve">JRC analysis performed for this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Savings for citizens in the EU</w:t>
      </w:r>
      <w:r>
        <w:t xml:space="preserve"> </w:t>
      </w:r>
      <w:r>
        <w:t xml:space="preserve">per year: ranging from 5.5 to 6.3</w:t>
      </w:r>
      <w:r>
        <w:t xml:space="preserve"> </w:t>
      </w:r>
      <w:r>
        <w:t xml:space="preserve">million EUR</w:t>
      </w:r>
      <w:r>
        <w:t xml:space="preserve"> </w:t>
      </w:r>
      <w:r>
        <w:t xml:space="preserve">Savings for businesses in the</w:t>
      </w:r>
      <w:r>
        <w:t xml:space="preserve"> </w:t>
      </w:r>
      <w:r>
        <w:t xml:space="preserve">EU per year: ranging from 5</w:t>
      </w:r>
      <w:r>
        <w:t xml:space="preserve"> </w:t>
      </w:r>
      <w:r>
        <w:t xml:space="preserve">743 to 19 190.7 million EUR</w:t>
      </w:r>
      <w:r>
        <w:t xml:space="preserve"> </w:t>
      </w:r>
      <w:r>
        <w:t xml:space="preserve">-</w:t>
      </w:r>
      <w:r>
        <w:t xml:space="preserve"> </w:t>
      </w:r>
      <w:r>
        <w:t xml:space="preserve">Citizens</w:t>
      </w:r>
      <w:r>
        <w:br/>
      </w:r>
      <w:r>
        <w:t xml:space="preserve">-</w:t>
      </w:r>
      <w:r>
        <w:t xml:space="preserve"> </w:t>
      </w:r>
      <w:r>
        <w:t xml:space="preserve">Businesses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More informed decisions</w:t>
      </w:r>
      <w:r>
        <w:t xml:space="preserve"> </w:t>
      </w:r>
      <w:r>
        <w:t xml:space="preserve">due to better data</w:t>
      </w:r>
    </w:p>
    <w:p>
      <w:pPr>
        <w:pStyle w:val="BodyText"/>
      </w:pPr>
      <w:r>
        <w:t xml:space="preserve">Not quantifiable – could</w:t>
      </w:r>
      <w:r>
        <w:t xml:space="preserve"> </w:t>
      </w:r>
      <w:r>
        <w:t xml:space="preserve">potentially sum up to the costs</w:t>
      </w:r>
      <w:r>
        <w:t xml:space="preserve"> </w:t>
      </w:r>
      <w:r>
        <w:t xml:space="preserve">of a pandemic that can be</w:t>
      </w:r>
      <w:r>
        <w:t xml:space="preserve"> </w:t>
      </w:r>
      <w:r>
        <w:t xml:space="preserve">prevented due to available data</w:t>
      </w:r>
      <w:r>
        <w:t xml:space="preserve"> </w:t>
      </w:r>
      <w:r>
        <w:t xml:space="preserve">for timely decisions or not</w:t>
      </w:r>
      <w:r>
        <w:t xml:space="preserve"> </w:t>
      </w:r>
      <w:r>
        <w:t xml:space="preserve">-</w:t>
      </w:r>
      <w:r>
        <w:t xml:space="preserve"> </w:t>
      </w:r>
      <w:r>
        <w:t xml:space="preserve">Citizens</w:t>
      </w:r>
      <w:r>
        <w:br/>
      </w:r>
      <w:r>
        <w:t xml:space="preserve">-</w:t>
      </w:r>
    </w:p>
    <w:p>
      <w:pPr>
        <w:pStyle w:val="Compact"/>
        <w:numPr>
          <w:ilvl w:val="0"/>
          <w:numId w:val="1004"/>
        </w:numPr>
      </w:pPr>
      <w:r>
        <w:t xml:space="preserve">HOW WILL ACTUAL IMPACTS BE MONITORED AND EVALUATED?</w:t>
      </w:r>
      <w:r>
        <w:t xml:space="preserve"> </w:t>
      </w:r>
      <w:r>
        <w:t xml:space="preserve">The initiative would ideally contribute to an integrated monitoring system involving different</w:t>
      </w:r>
      <w:r>
        <w:t xml:space="preserve"> </w:t>
      </w:r>
      <w:r>
        <w:t xml:space="preserve">Commission services – measuring the quality of (digital) public administration, its digital</w:t>
      </w:r>
      <w:r>
        <w:t xml:space="preserve"> </w:t>
      </w:r>
      <w:r>
        <w:t xml:space="preserve">maturity, especially the monitoring system that is planned to be established under the</w:t>
      </w:r>
      <w:r>
        <w:t xml:space="preserve"> </w:t>
      </w:r>
      <w:r>
        <w:t xml:space="preserve">proposed Decision ‘Path to the Digital Decade’150. In this context the national reports and</w:t>
      </w:r>
      <w:r>
        <w:t xml:space="preserve"> </w:t>
      </w:r>
      <w:r>
        <w:t xml:space="preserve">country recommendations could include topics emerging from the monitoring of the</w:t>
      </w:r>
      <w:r>
        <w:t xml:space="preserve"> </w:t>
      </w:r>
      <w:r>
        <w:t xml:space="preserve">Interoperability policy. Furthermore, the EIF evaluation recommends focussing future</w:t>
      </w:r>
      <w:r>
        <w:t xml:space="preserve"> </w:t>
      </w:r>
      <w:r>
        <w:t xml:space="preserve">monitoring on using developed technologies (e.g. through data mining) and providing a</w:t>
      </w:r>
      <w:r>
        <w:t xml:space="preserve"> </w:t>
      </w:r>
      <w:r>
        <w:t xml:space="preserve">better cost perspective.</w:t>
      </w:r>
      <w:r>
        <w:t xml:space="preserve"> </w:t>
      </w:r>
      <w:r>
        <w:t xml:space="preserve">The main indicators and tools that can be used for monitoring and evaluating the digitalisation</w:t>
      </w:r>
      <w:r>
        <w:t xml:space="preserve"> </w:t>
      </w:r>
      <w:r>
        <w:t xml:space="preserve">of the public sector are: the eGovernment Benchmark reports, the Digital Economy and</w:t>
      </w:r>
      <w:r>
        <w:t xml:space="preserve"> </w:t>
      </w:r>
      <w:r>
        <w:t xml:space="preserve">Society Index (DESI)151, the upcoming Local and Regional Digital Indicators framework</w:t>
      </w:r>
      <w:r>
        <w:t xml:space="preserve"> </w:t>
      </w:r>
      <w:r>
        <w:t xml:space="preserve">(LORDI)152 index, focusing on the local and regional levels. Turning to indicators specifically</w:t>
      </w:r>
      <w:r>
        <w:t xml:space="preserve"> </w:t>
      </w:r>
      <w:r>
        <w:t xml:space="preserve">designed to track progress in public sector interoperability, the monitoring work done for the</w:t>
      </w:r>
      <w:r>
        <w:t xml:space="preserve"> </w:t>
      </w:r>
      <w:r>
        <w:t xml:space="preserve">Berlin Declaration and the EIF could be continued and built upon. The current EIF</w:t>
      </w:r>
      <w:r>
        <w:t xml:space="preserve"> </w:t>
      </w:r>
      <w:r>
        <w:t xml:space="preserve">Monitoring Mechanism153 is a good basis for developing monitoring activities for the future</w:t>
      </w:r>
      <w:r>
        <w:t xml:space="preserve"> </w:t>
      </w:r>
      <w:r>
        <w:t xml:space="preserve">interoperability policy and can also provide reference points against which future</w:t>
      </w:r>
      <w:r>
        <w:t xml:space="preserve"> </w:t>
      </w:r>
      <w:r>
        <w:t xml:space="preserve">developments can be contrasted and compared. It can be complemented by the Digital Public</w:t>
      </w:r>
      <w:r>
        <w:t xml:space="preserve"> </w:t>
      </w:r>
      <w:r>
        <w:t xml:space="preserve">Administration Factsheets and the State of Play of Digital Public Administration. Beyond</w:t>
      </w:r>
    </w:p>
    <w:p>
      <w:pPr>
        <w:pStyle w:val="FirstParagraph"/>
      </w:pPr>
      <w:r>
        <w:t xml:space="preserve">150</w:t>
      </w:r>
      <w:r>
        <w:br/>
      </w:r>
      <w:r>
        <w:t xml:space="preserve">COM(2021) 574 final.</w:t>
      </w:r>
      <w:r>
        <w:t xml:space="preserve"> </w:t>
      </w:r>
      <w:r>
        <w:t xml:space="preserve">151</w:t>
      </w:r>
      <w:r>
        <w:br/>
      </w:r>
      <w:r>
        <w:t xml:space="preserve">https://digital-agenda-data.eu/charts/desi-composite.</w:t>
      </w:r>
      <w:r>
        <w:t xml:space="preserve"> </w:t>
      </w:r>
      <w:r>
        <w:t xml:space="preserve">152</w:t>
      </w:r>
      <w:r>
        <w:br/>
      </w:r>
      <w:r>
        <w:t xml:space="preserve">https://living-in.eu/groups/commitments/monitoring-measuring.</w:t>
      </w:r>
      <w:r>
        <w:t xml:space="preserve"> </w:t>
      </w:r>
      <w:r>
        <w:t xml:space="preserve">153</w:t>
      </w:r>
      <w:r>
        <w:br/>
      </w:r>
      <w:r>
        <w:t xml:space="preserve">EIF Monitoring | Joinup (europa.eu).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these, several interesting indicators in the field have been developed, like the ones of the</w:t>
      </w:r>
      <w:r>
        <w:t xml:space="preserve"> </w:t>
      </w:r>
      <w:r>
        <w:t xml:space="preserve">OECD Digital Government Index or the UN e-Government Development Index or Norway</w:t>
      </w:r>
      <w:r>
        <w:t xml:space="preserve"> </w:t>
      </w:r>
      <w:r>
        <w:t xml:space="preserve">and Australia.</w:t>
      </w:r>
      <w:r>
        <w:t xml:space="preserve"> </w:t>
      </w:r>
      <w:r>
        <w:t xml:space="preserve">A set of specific indicators for the initiative complementing the mentioned systems is</w:t>
      </w:r>
      <w:r>
        <w:t xml:space="preserve"> </w:t>
      </w:r>
      <w:r>
        <w:t xml:space="preserve">proposed in Table 7. A full evaluation every five years would be useful for assessing impacts</w:t>
      </w:r>
      <w:r>
        <w:t xml:space="preserve"> </w:t>
      </w:r>
      <w:r>
        <w:t xml:space="preserve">and contextual issues. It could look into the necessity for introducing a more binding approach</w:t>
      </w:r>
      <w:r>
        <w:t xml:space="preserve"> </w:t>
      </w:r>
      <w:r>
        <w:t xml:space="preserve">to interoperability standards across sectors or the need for a joint undertaking to further</w:t>
      </w:r>
      <w:r>
        <w:t xml:space="preserve"> </w:t>
      </w:r>
      <w:r>
        <w:t xml:space="preserve">enhance joint investments.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Table 7. Summary of potential indicators to monitor the intervention over time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br/>
      </w:r>
      <w:r>
        <w:t xml:space="preserve">Definition</w:t>
      </w:r>
      <w:r>
        <w:t xml:space="preserve"> </w:t>
      </w:r>
      <w:r>
        <w:t xml:space="preserve">Potential metric</w:t>
      </w:r>
      <w:r>
        <w:t xml:space="preserve"> </w:t>
      </w:r>
      <w:r>
        <w:t xml:space="preserve">Unit of</w:t>
      </w:r>
      <w:r>
        <w:t xml:space="preserve"> </w:t>
      </w:r>
      <w:r>
        <w:t xml:space="preserve">measure</w:t>
      </w:r>
      <w:r>
        <w:t xml:space="preserve"> </w:t>
      </w:r>
      <w:r>
        <w:t xml:space="preserve">Potential</w:t>
      </w:r>
      <w:r>
        <w:t xml:space="preserve"> </w:t>
      </w:r>
      <w:r>
        <w:t xml:space="preserve">data sources</w:t>
      </w:r>
      <w:r>
        <w:t xml:space="preserve"> </w:t>
      </w:r>
      <w:r>
        <w:t xml:space="preserve">Frequency of</w:t>
      </w:r>
      <w:r>
        <w:t xml:space="preserve"> </w:t>
      </w:r>
      <w:r>
        <w:t xml:space="preserve">measurement Target</w:t>
      </w:r>
      <w:r>
        <w:t xml:space="preserve"> </w:t>
      </w:r>
      <w:r>
        <w:t xml:space="preserve">Set up of a</w:t>
      </w:r>
      <w:r>
        <w:t xml:space="preserve"> </w:t>
      </w:r>
      <w:r>
        <w:t xml:space="preserve">multi-level</w:t>
      </w:r>
      <w:r>
        <w:t xml:space="preserve"> </w:t>
      </w:r>
      <w:r>
        <w:t xml:space="preserve">governance on</w:t>
      </w:r>
      <w:r>
        <w:t xml:space="preserve"> </w:t>
      </w:r>
      <w:r>
        <w:t xml:space="preserve">EU public</w:t>
      </w:r>
      <w:r>
        <w:t xml:space="preserve"> </w:t>
      </w:r>
      <w:r>
        <w:t xml:space="preserve">sector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Extend to</w:t>
      </w:r>
      <w:r>
        <w:t xml:space="preserve"> </w:t>
      </w:r>
      <w:r>
        <w:t xml:space="preserve">which a multi-</w:t>
      </w:r>
      <w:r>
        <w:t xml:space="preserve"> </w:t>
      </w:r>
      <w:r>
        <w:t xml:space="preserve">level</w:t>
      </w:r>
      <w:r>
        <w:t xml:space="preserve"> </w:t>
      </w:r>
      <w:r>
        <w:t xml:space="preserve">governance is</w:t>
      </w:r>
      <w:r>
        <w:t xml:space="preserve"> </w:t>
      </w:r>
      <w:r>
        <w:t xml:space="preserve">established and</w:t>
      </w:r>
      <w:r>
        <w:t xml:space="preserve"> </w:t>
      </w:r>
      <w:r>
        <w:t xml:space="preserve">functional.</w:t>
      </w:r>
      <w:r>
        <w:t xml:space="preserve"> </w:t>
      </w:r>
      <w:r>
        <w:t xml:space="preserve">The multi-</w:t>
      </w:r>
      <w:r>
        <w:t xml:space="preserve"> </w:t>
      </w:r>
      <w:r>
        <w:t xml:space="preserve">level</w:t>
      </w:r>
      <w:r>
        <w:t xml:space="preserve"> </w:t>
      </w:r>
      <w:r>
        <w:t xml:space="preserve">governance</w:t>
      </w:r>
      <w:r>
        <w:t xml:space="preserve"> </w:t>
      </w:r>
      <w:r>
        <w:t xml:space="preserve">should ensure</w:t>
      </w:r>
      <w:r>
        <w:t xml:space="preserve"> </w:t>
      </w:r>
      <w:r>
        <w:t xml:space="preserve">active</w:t>
      </w:r>
      <w:r>
        <w:t xml:space="preserve"> </w:t>
      </w:r>
      <w:r>
        <w:t xml:space="preserve">involvement of</w:t>
      </w:r>
      <w:r>
        <w:t xml:space="preserve"> </w:t>
      </w:r>
      <w:r>
        <w:t xml:space="preserve">the relevant</w:t>
      </w:r>
      <w:r>
        <w:t xml:space="preserve"> </w:t>
      </w:r>
      <w:r>
        <w:t xml:space="preserve">stakeholders in</w:t>
      </w:r>
      <w:r>
        <w:t xml:space="preserve"> </w:t>
      </w:r>
      <w:r>
        <w:t xml:space="preserve">EU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action and a</w:t>
      </w:r>
      <w:r>
        <w:t xml:space="preserve"> </w:t>
      </w:r>
      <w:r>
        <w:t xml:space="preserve">good</w:t>
      </w:r>
      <w:r>
        <w:t xml:space="preserve"> </w:t>
      </w:r>
      <w:r>
        <w:t xml:space="preserve">interlinkage</w:t>
      </w:r>
      <w:r>
        <w:t xml:space="preserve"> </w:t>
      </w:r>
      <w:r>
        <w:t xml:space="preserve">between</w:t>
      </w:r>
      <w:r>
        <w:t xml:space="preserve"> </w:t>
      </w:r>
      <w:r>
        <w:t xml:space="preserve">related</w:t>
      </w:r>
      <w:r>
        <w:t xml:space="preserve"> </w:t>
      </w:r>
      <w:r>
        <w:t xml:space="preserve">initiatives</w:t>
      </w:r>
      <w:r>
        <w:t xml:space="preserve"> </w:t>
      </w:r>
      <w:r>
        <w:t xml:space="preserve">National contact points</w:t>
      </w:r>
      <w:r>
        <w:t xml:space="preserve"> </w:t>
      </w:r>
      <w:r>
        <w:t xml:space="preserve">designated</w:t>
      </w:r>
    </w:p>
    <w:p>
      <w:pPr>
        <w:pStyle w:val="BodyText"/>
      </w:pPr>
      <w:r>
        <w:t xml:space="preserve">Number of involved</w:t>
      </w:r>
      <w:r>
        <w:t xml:space="preserve"> </w:t>
      </w:r>
      <w:r>
        <w:t xml:space="preserve">actors in strategic and</w:t>
      </w:r>
      <w:r>
        <w:t xml:space="preserve"> </w:t>
      </w:r>
      <w:r>
        <w:t xml:space="preserve">operational governance</w:t>
      </w:r>
      <w:r>
        <w:t xml:space="preserve"> </w:t>
      </w:r>
      <w:r>
        <w:t xml:space="preserve">by stakeholder group</w:t>
      </w:r>
    </w:p>
    <w:p>
      <w:pPr>
        <w:pStyle w:val="BodyText"/>
      </w:pPr>
      <w:r>
        <w:t xml:space="preserve">Number of new sub-</w:t>
      </w:r>
      <w:r>
        <w:t xml:space="preserve"> </w:t>
      </w:r>
      <w:r>
        <w:t xml:space="preserve">groups, number of</w:t>
      </w:r>
      <w:r>
        <w:t xml:space="preserve"> </w:t>
      </w:r>
      <w:r>
        <w:t xml:space="preserve">existing sub-groups</w:t>
      </w:r>
      <w:r>
        <w:t xml:space="preserve"> </w:t>
      </w:r>
      <w:r>
        <w:t xml:space="preserve">joining the governance</w:t>
      </w:r>
      <w:r>
        <w:t xml:space="preserve"> </w:t>
      </w:r>
      <w:r>
        <w:t xml:space="preserve">framework.</w:t>
      </w:r>
      <w:r>
        <w:t xml:space="preserve"> </w:t>
      </w:r>
      <w:r>
        <w:t xml:space="preserve">Numbers per</w:t>
      </w:r>
      <w:r>
        <w:t xml:space="preserve"> </w:t>
      </w:r>
      <w:r>
        <w:t xml:space="preserve">year</w:t>
      </w:r>
      <w:r>
        <w:t xml:space="preserve"> </w:t>
      </w:r>
      <w:r>
        <w:t xml:space="preserve">EC</w:t>
      </w:r>
      <w:r>
        <w:t xml:space="preserve"> </w:t>
      </w:r>
      <w:r>
        <w:t xml:space="preserve">monitoring</w:t>
      </w:r>
      <w:r>
        <w:t xml:space="preserve"> </w:t>
      </w:r>
      <w:r>
        <w:t xml:space="preserve">Continuous</w:t>
      </w:r>
      <w:r>
        <w:t xml:space="preserve"> </w:t>
      </w:r>
      <w:r>
        <w:t xml:space="preserve">score board</w:t>
      </w:r>
      <w:r>
        <w:t xml:space="preserve"> </w:t>
      </w:r>
      <w:r>
        <w:t xml:space="preserve">100% national</w:t>
      </w:r>
      <w:r>
        <w:t xml:space="preserve"> </w:t>
      </w:r>
      <w:r>
        <w:t xml:space="preserve">contacts</w:t>
      </w:r>
      <w:r>
        <w:t xml:space="preserve"> </w:t>
      </w:r>
      <w:r>
        <w:t xml:space="preserve">designated</w:t>
      </w:r>
      <w:r>
        <w:t xml:space="preserve"> </w:t>
      </w:r>
      <w:r>
        <w:t xml:space="preserve">within 12</w:t>
      </w:r>
      <w:r>
        <w:t xml:space="preserve"> </w:t>
      </w:r>
      <w:r>
        <w:t xml:space="preserve">months, all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involved,</w:t>
      </w:r>
      <w:r>
        <w:t xml:space="preserve"> </w:t>
      </w:r>
      <w:r>
        <w:t xml:space="preserve">+10% growth</w:t>
      </w:r>
      <w:r>
        <w:t xml:space="preserve"> </w:t>
      </w:r>
      <w:r>
        <w:t xml:space="preserve">of network per</w:t>
      </w:r>
      <w:r>
        <w:t xml:space="preserve"> </w:t>
      </w:r>
      <w:r>
        <w:t xml:space="preserve">year</w:t>
      </w:r>
      <w:r>
        <w:t xml:space="preserve"> </w:t>
      </w:r>
      <w:r>
        <w:t xml:space="preserve">Enhanced</w:t>
      </w:r>
      <w:r>
        <w:t xml:space="preserve"> </w:t>
      </w:r>
      <w:r>
        <w:t xml:space="preserve">multi-country</w:t>
      </w:r>
      <w:r>
        <w:t xml:space="preserve"> </w:t>
      </w:r>
      <w:r>
        <w:t xml:space="preserve">collaboration</w:t>
      </w:r>
      <w:r>
        <w:t xml:space="preserve"> </w:t>
      </w:r>
      <w:r>
        <w:t xml:space="preserve">Extent to</w:t>
      </w:r>
      <w:r>
        <w:t xml:space="preserve"> </w:t>
      </w:r>
      <w:r>
        <w:t xml:space="preserve">which 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work together</w:t>
      </w:r>
      <w:r>
        <w:t xml:space="preserve"> </w:t>
      </w:r>
      <w:r>
        <w:t xml:space="preserve">to develop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solutions</w:t>
      </w:r>
    </w:p>
    <w:p>
      <w:pPr>
        <w:pStyle w:val="BodyText"/>
      </w:pPr>
      <w:r>
        <w:t xml:space="preserve">Multi-country</w:t>
      </w:r>
      <w:r>
        <w:t xml:space="preserve"> </w:t>
      </w:r>
      <w:r>
        <w:t xml:space="preserve">projects can be</w:t>
      </w:r>
      <w:r>
        <w:t xml:space="preserve"> </w:t>
      </w:r>
      <w:r>
        <w:t xml:space="preserve">initiated</w:t>
      </w:r>
      <w:r>
        <w:t xml:space="preserve"> </w:t>
      </w:r>
      <w:r>
        <w:t xml:space="preserve">through the</w:t>
      </w:r>
      <w:r>
        <w:t xml:space="preserve"> </w:t>
      </w:r>
      <w:r>
        <w:t xml:space="preserve">governance or</w:t>
      </w:r>
      <w:r>
        <w:t xml:space="preserve"> </w:t>
      </w:r>
      <w:r>
        <w:t xml:space="preserve">initiated under</w:t>
      </w:r>
      <w:r>
        <w:t xml:space="preserve"> </w:t>
      </w:r>
      <w:r>
        <w:t xml:space="preserve">other</w:t>
      </w:r>
      <w:r>
        <w:t xml:space="preserve"> </w:t>
      </w:r>
      <w:r>
        <w:t xml:space="preserve">programmes</w:t>
      </w:r>
      <w:r>
        <w:t xml:space="preserve"> </w:t>
      </w:r>
      <w:r>
        <w:t xml:space="preserve">but making</w:t>
      </w:r>
      <w:r>
        <w:t xml:space="preserve"> </w:t>
      </w:r>
      <w:r>
        <w:t xml:space="preserve">links to the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Number of projects by</w:t>
      </w:r>
      <w:r>
        <w:t xml:space="preserve"> </w:t>
      </w:r>
      <w:r>
        <w:t xml:space="preserve">category and type and</w:t>
      </w:r>
      <w:r>
        <w:t xml:space="preserve"> </w:t>
      </w:r>
      <w:r>
        <w:t xml:space="preserve">number of involved</w:t>
      </w:r>
      <w:r>
        <w:t xml:space="preserve"> </w:t>
      </w:r>
      <w:r>
        <w:t xml:space="preserve">stakeholders and</w:t>
      </w:r>
      <w:r>
        <w:t xml:space="preserve"> </w:t>
      </w:r>
      <w:r>
        <w:t xml:space="preserve">outcome.</w:t>
      </w:r>
    </w:p>
    <w:p>
      <w:pPr>
        <w:pStyle w:val="BodyText"/>
      </w:pPr>
      <w:r>
        <w:t xml:space="preserve">Use of the regulatory</w:t>
      </w:r>
      <w:r>
        <w:t xml:space="preserve"> </w:t>
      </w:r>
      <w:r>
        <w:t xml:space="preserve">sandbox</w:t>
      </w:r>
    </w:p>
    <w:p>
      <w:pPr>
        <w:pStyle w:val="BodyText"/>
      </w:pPr>
      <w:r>
        <w:t xml:space="preserve">Numbers and</w:t>
      </w:r>
      <w:r>
        <w:t xml:space="preserve"> </w:t>
      </w:r>
      <w:r>
        <w:t xml:space="preserve">key topics</w:t>
      </w:r>
      <w:r>
        <w:t xml:space="preserve"> </w:t>
      </w:r>
      <w:r>
        <w:t xml:space="preserve">EC</w:t>
      </w:r>
      <w:r>
        <w:t xml:space="preserve"> </w:t>
      </w:r>
      <w:r>
        <w:t xml:space="preserve">monitoring</w:t>
      </w:r>
      <w:r>
        <w:t xml:space="preserve"> </w:t>
      </w:r>
      <w:r>
        <w:t xml:space="preserve">Continuous</w:t>
      </w:r>
      <w:r>
        <w:t xml:space="preserve"> </w:t>
      </w:r>
      <w:r>
        <w:t xml:space="preserve">score board</w:t>
      </w:r>
      <w:r>
        <w:t xml:space="preserve"> </w:t>
      </w:r>
      <w:r>
        <w:t xml:space="preserve">+10% of</w:t>
      </w:r>
      <w:r>
        <w:t xml:space="preserve"> </w:t>
      </w:r>
      <w:r>
        <w:t xml:space="preserve">multi-country</w:t>
      </w:r>
      <w:r>
        <w:t xml:space="preserve"> </w:t>
      </w:r>
      <w:r>
        <w:t xml:space="preserve">projects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br/>
      </w:r>
      <w:r>
        <w:t xml:space="preserve">Definition</w:t>
      </w:r>
      <w:r>
        <w:t xml:space="preserve"> </w:t>
      </w:r>
      <w:r>
        <w:t xml:space="preserve">Potential metric</w:t>
      </w:r>
      <w:r>
        <w:t xml:space="preserve"> </w:t>
      </w:r>
      <w:r>
        <w:t xml:space="preserve">Unit of</w:t>
      </w:r>
      <w:r>
        <w:t xml:space="preserve"> </w:t>
      </w:r>
      <w:r>
        <w:t xml:space="preserve">measure</w:t>
      </w:r>
      <w:r>
        <w:t xml:space="preserve"> </w:t>
      </w:r>
      <w:r>
        <w:t xml:space="preserve">Potential</w:t>
      </w:r>
      <w:r>
        <w:t xml:space="preserve"> </w:t>
      </w:r>
      <w:r>
        <w:t xml:space="preserve">data sources</w:t>
      </w:r>
      <w:r>
        <w:t xml:space="preserve"> </w:t>
      </w:r>
      <w:r>
        <w:t xml:space="preserve">Frequency of</w:t>
      </w:r>
      <w:r>
        <w:t xml:space="preserve"> </w:t>
      </w:r>
      <w:r>
        <w:t xml:space="preserve">measurement Target</w:t>
      </w:r>
      <w:r>
        <w:t xml:space="preserve"> </w:t>
      </w:r>
      <w:r>
        <w:t xml:space="preserve">governance.</w:t>
      </w:r>
      <w:r>
        <w:t xml:space="preserve"> </w:t>
      </w:r>
      <w:r>
        <w:t xml:space="preserve">EU approach</w:t>
      </w:r>
      <w:r>
        <w:t xml:space="preserve"> </w:t>
      </w:r>
      <w:r>
        <w:t xml:space="preserve">to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established</w:t>
      </w:r>
      <w:r>
        <w:t xml:space="preserve"> </w:t>
      </w:r>
      <w:r>
        <w:t xml:space="preserve">across sectors</w:t>
      </w:r>
      <w:r>
        <w:t xml:space="preserve"> </w:t>
      </w:r>
      <w:r>
        <w:t xml:space="preserve">Extent to</w:t>
      </w:r>
      <w:r>
        <w:t xml:space="preserve"> </w:t>
      </w:r>
      <w:r>
        <w:t xml:space="preserve">which new</w:t>
      </w:r>
      <w:r>
        <w:t xml:space="preserve"> </w:t>
      </w:r>
      <w:r>
        <w:t xml:space="preserve">proposals at</w:t>
      </w:r>
      <w:r>
        <w:t xml:space="preserve"> </w:t>
      </w:r>
      <w:r>
        <w:t xml:space="preserve">the EU level</w:t>
      </w:r>
      <w:r>
        <w:t xml:space="preserve"> </w:t>
      </w:r>
      <w:r>
        <w:t xml:space="preserve">with digital</w:t>
      </w:r>
      <w:r>
        <w:t xml:space="preserve"> </w:t>
      </w:r>
      <w:r>
        <w:t xml:space="preserve">impacts link to</w:t>
      </w:r>
      <w:r>
        <w:t xml:space="preserve"> </w:t>
      </w:r>
      <w:r>
        <w:t xml:space="preserve">the policy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 to</w:t>
      </w:r>
      <w:r>
        <w:t xml:space="preserve"> </w:t>
      </w:r>
      <w:r>
        <w:t xml:space="preserve">assess for</w:t>
      </w:r>
      <w:r>
        <w:t xml:space="preserve"> </w:t>
      </w:r>
      <w:r>
        <w:t xml:space="preserve">digital impacts</w:t>
      </w:r>
      <w:r>
        <w:t xml:space="preserve"> </w:t>
      </w:r>
      <w:r>
        <w:t xml:space="preserve">is part of the</w:t>
      </w:r>
      <w:r>
        <w:t xml:space="preserve"> </w:t>
      </w:r>
      <w:r>
        <w:t xml:space="preserve">new BR</w:t>
      </w:r>
      <w:r>
        <w:t xml:space="preserve"> </w:t>
      </w:r>
      <w:r>
        <w:t xml:space="preserve">guidelines. It</w:t>
      </w:r>
      <w:r>
        <w:t xml:space="preserve"> </w:t>
      </w:r>
      <w:r>
        <w:t xml:space="preserve">should be</w:t>
      </w:r>
      <w:r>
        <w:t xml:space="preserve"> </w:t>
      </w:r>
      <w:r>
        <w:t xml:space="preserve">monitored in</w:t>
      </w:r>
      <w:r>
        <w:t xml:space="preserve"> </w:t>
      </w:r>
      <w:r>
        <w:t xml:space="preserve">how far this,</w:t>
      </w:r>
      <w:r>
        <w:t xml:space="preserve"> </w:t>
      </w:r>
      <w:r>
        <w:t xml:space="preserve">combined with</w:t>
      </w:r>
      <w:r>
        <w:t xml:space="preserve"> </w:t>
      </w:r>
      <w:r>
        <w:t xml:space="preserve">a stronger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policy leads to</w:t>
      </w:r>
      <w:r>
        <w:t xml:space="preserve"> </w:t>
      </w:r>
      <w:r>
        <w:t xml:space="preserve">more</w:t>
      </w:r>
      <w:r>
        <w:t xml:space="preserve"> </w:t>
      </w:r>
      <w:r>
        <w:t xml:space="preserve">references.</w:t>
      </w:r>
      <w:r>
        <w:br/>
      </w:r>
      <w:r>
        <w:t xml:space="preserve">Number of EC policy</w:t>
      </w:r>
      <w:r>
        <w:t xml:space="preserve"> </w:t>
      </w:r>
      <w:r>
        <w:t xml:space="preserve">files with digital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Number of references</w:t>
      </w:r>
      <w:r>
        <w:t xml:space="preserve"> </w:t>
      </w:r>
      <w:r>
        <w:t xml:space="preserve">to interoperability</w:t>
      </w:r>
      <w:r>
        <w:t xml:space="preserve"> </w:t>
      </w:r>
      <w:r>
        <w:t xml:space="preserve">policy in proposed or</w:t>
      </w:r>
      <w:r>
        <w:t xml:space="preserve"> </w:t>
      </w:r>
      <w:r>
        <w:t xml:space="preserve">adopted policy files by</w:t>
      </w:r>
      <w:r>
        <w:t xml:space="preserve"> </w:t>
      </w:r>
      <w:r>
        <w:t xml:space="preserve">category and sector.</w:t>
      </w:r>
    </w:p>
    <w:p>
      <w:pPr>
        <w:pStyle w:val="BodyText"/>
      </w:pPr>
      <w:r>
        <w:t xml:space="preserve">Percentage of</w:t>
      </w:r>
      <w:r>
        <w:t xml:space="preserve"> </w:t>
      </w:r>
      <w:r>
        <w:t xml:space="preserve">total files per</w:t>
      </w:r>
      <w:r>
        <w:t xml:space="preserve"> </w:t>
      </w:r>
      <w:r>
        <w:t xml:space="preserve">year</w:t>
      </w:r>
      <w:r>
        <w:t xml:space="preserve"> </w:t>
      </w:r>
      <w:r>
        <w:t xml:space="preserve">SWD impact</w:t>
      </w:r>
      <w:r>
        <w:t xml:space="preserve"> </w:t>
      </w:r>
      <w:r>
        <w:t xml:space="preserve">assessments</w:t>
      </w:r>
      <w:r>
        <w:t xml:space="preserve"> </w:t>
      </w:r>
      <w:r>
        <w:t xml:space="preserve">and EU acts</w:t>
      </w:r>
      <w:r>
        <w:t xml:space="preserve"> </w:t>
      </w:r>
      <w:r>
        <w:t xml:space="preserve">published on</w:t>
      </w:r>
      <w:r>
        <w:t xml:space="preserve"> </w:t>
      </w:r>
      <w:r>
        <w:t xml:space="preserve">Eurlex</w:t>
      </w:r>
      <w:r>
        <w:t xml:space="preserve"> </w:t>
      </w:r>
      <w:r>
        <w:t xml:space="preserve">Continuous</w:t>
      </w:r>
      <w:r>
        <w:t xml:space="preserve"> </w:t>
      </w:r>
      <w:r>
        <w:t xml:space="preserve">score board</w:t>
      </w:r>
      <w:r>
        <w:t xml:space="preserve"> </w:t>
      </w:r>
      <w:r>
        <w:t xml:space="preserve">50% policy</w:t>
      </w:r>
      <w:r>
        <w:t xml:space="preserve"> </w:t>
      </w:r>
      <w:r>
        <w:t xml:space="preserve">files assess</w:t>
      </w:r>
      <w:r>
        <w:t xml:space="preserve"> </w:t>
      </w:r>
      <w:r>
        <w:t xml:space="preserve">digital impacts,</w:t>
      </w:r>
      <w:r>
        <w:t xml:space="preserve"> </w:t>
      </w:r>
      <w:r>
        <w:t xml:space="preserve">+10% per year</w:t>
      </w:r>
      <w:r>
        <w:t xml:space="preserve"> </w:t>
      </w:r>
      <w:r>
        <w:t xml:space="preserve">link to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policy</w:t>
      </w:r>
      <w:r>
        <w:br/>
      </w:r>
      <w:r>
        <w:t xml:space="preserve">Agreed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solutions</w:t>
      </w:r>
      <w:r>
        <w:t xml:space="preserve"> </w:t>
      </w:r>
      <w:r>
        <w:t xml:space="preserve">available</w:t>
      </w:r>
      <w:r>
        <w:t xml:space="preserve"> </w:t>
      </w:r>
      <w:r>
        <w:t xml:space="preserve">Extend to</w:t>
      </w:r>
      <w:r>
        <w:t xml:space="preserve"> </w:t>
      </w:r>
      <w:r>
        <w:t xml:space="preserve">which the</w:t>
      </w:r>
      <w:r>
        <w:t xml:space="preserve"> </w:t>
      </w:r>
      <w:r>
        <w:t xml:space="preserve">governance</w:t>
      </w:r>
      <w:r>
        <w:t xml:space="preserve"> </w:t>
      </w:r>
      <w:r>
        <w:t xml:space="preserve">agrees on</w:t>
      </w:r>
      <w:r>
        <w:t xml:space="preserve"> </w:t>
      </w:r>
      <w:r>
        <w:t xml:space="preserve">recommended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solutions</w:t>
      </w:r>
      <w:r>
        <w:t xml:space="preserve"> </w:t>
      </w:r>
      <w:r>
        <w:t xml:space="preserve">The</w:t>
      </w:r>
      <w:r>
        <w:t xml:space="preserve"> </w:t>
      </w:r>
      <w:r>
        <w:t xml:space="preserve">governance</w:t>
      </w:r>
      <w:r>
        <w:t xml:space="preserve"> </w:t>
      </w:r>
      <w:r>
        <w:t xml:space="preserve">would have the</w:t>
      </w:r>
      <w:r>
        <w:t xml:space="preserve"> </w:t>
      </w:r>
      <w:r>
        <w:t xml:space="preserve">mandate to</w:t>
      </w:r>
      <w:r>
        <w:t xml:space="preserve"> </w:t>
      </w:r>
      <w:r>
        <w:t xml:space="preserve">recommend</w:t>
      </w:r>
      <w:r>
        <w:t xml:space="preserve"> </w:t>
      </w:r>
      <w:r>
        <w:t xml:space="preserve">solutions. It</w:t>
      </w:r>
      <w:r>
        <w:t xml:space="preserve"> </w:t>
      </w:r>
      <w:r>
        <w:t xml:space="preserve">should be</w:t>
      </w:r>
      <w:r>
        <w:t xml:space="preserve"> </w:t>
      </w:r>
      <w:r>
        <w:t xml:space="preserve">monitored in</w:t>
      </w:r>
      <w:r>
        <w:t xml:space="preserve"> </w:t>
      </w:r>
      <w:r>
        <w:t xml:space="preserve">how far this</w:t>
      </w:r>
      <w:r>
        <w:t xml:space="preserve"> </w:t>
      </w:r>
      <w:r>
        <w:t xml:space="preserve">mechanism is</w:t>
      </w:r>
      <w:r>
        <w:t xml:space="preserve"> </w:t>
      </w:r>
      <w:r>
        <w:t xml:space="preserve">used.</w:t>
      </w:r>
      <w:r>
        <w:t xml:space="preserve"> </w:t>
      </w:r>
      <w:r>
        <w:t xml:space="preserve">Number of</w:t>
      </w:r>
      <w:r>
        <w:t xml:space="preserve"> </w:t>
      </w:r>
      <w:r>
        <w:t xml:space="preserve">recommended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solutions published</w:t>
      </w:r>
      <w:r>
        <w:t xml:space="preserve"> </w:t>
      </w:r>
      <w:r>
        <w:t xml:space="preserve">-</w:t>
      </w:r>
      <w:r>
        <w:t xml:space="preserve"> </w:t>
      </w:r>
      <w:r>
        <w:t xml:space="preserve">By type of solution</w:t>
      </w:r>
      <w:r>
        <w:t xml:space="preserve"> </w:t>
      </w:r>
      <w:r>
        <w:t xml:space="preserve">-</w:t>
      </w:r>
      <w:r>
        <w:t xml:space="preserve"> </w:t>
      </w:r>
      <w:r>
        <w:t xml:space="preserve">Share of machine-</w:t>
      </w:r>
      <w:r>
        <w:t xml:space="preserve"> </w:t>
      </w:r>
      <w:r>
        <w:t xml:space="preserve">readable solutions</w:t>
      </w:r>
      <w:r>
        <w:t xml:space="preserve"> </w:t>
      </w:r>
      <w:r>
        <w:t xml:space="preserve">Number</w:t>
      </w:r>
      <w:r>
        <w:t xml:space="preserve"> </w:t>
      </w:r>
      <w:r>
        <w:t xml:space="preserve">EC</w:t>
      </w:r>
      <w:r>
        <w:t xml:space="preserve"> </w:t>
      </w:r>
      <w:r>
        <w:t xml:space="preserve">monitoring</w:t>
      </w:r>
      <w:r>
        <w:t xml:space="preserve"> </w:t>
      </w:r>
      <w:r>
        <w:t xml:space="preserve">Continuous</w:t>
      </w:r>
      <w:r>
        <w:t xml:space="preserve"> </w:t>
      </w:r>
      <w:r>
        <w:t xml:space="preserve">score board</w:t>
      </w:r>
      <w:r>
        <w:t xml:space="preserve"> </w:t>
      </w:r>
      <w:r>
        <w:t xml:space="preserve">5 new</w:t>
      </w:r>
      <w:r>
        <w:t xml:space="preserve"> </w:t>
      </w:r>
      <w:r>
        <w:t xml:space="preserve">solutions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br/>
      </w:r>
      <w:r>
        <w:t xml:space="preserve">Definition</w:t>
      </w:r>
      <w:r>
        <w:t xml:space="preserve"> </w:t>
      </w:r>
      <w:r>
        <w:t xml:space="preserve">Potential metric</w:t>
      </w:r>
      <w:r>
        <w:t xml:space="preserve"> </w:t>
      </w:r>
      <w:r>
        <w:t xml:space="preserve">Unit of</w:t>
      </w:r>
      <w:r>
        <w:t xml:space="preserve"> </w:t>
      </w:r>
      <w:r>
        <w:t xml:space="preserve">measure</w:t>
      </w:r>
      <w:r>
        <w:t xml:space="preserve"> </w:t>
      </w:r>
      <w:r>
        <w:t xml:space="preserve">Potential</w:t>
      </w:r>
      <w:r>
        <w:t xml:space="preserve"> </w:t>
      </w:r>
      <w:r>
        <w:t xml:space="preserve">data sources</w:t>
      </w:r>
      <w:r>
        <w:t xml:space="preserve"> </w:t>
      </w:r>
      <w:r>
        <w:t xml:space="preserve">Frequency of</w:t>
      </w:r>
      <w:r>
        <w:t xml:space="preserve"> </w:t>
      </w:r>
      <w:r>
        <w:t xml:space="preserve">measurement Target</w:t>
      </w:r>
      <w:r>
        <w:t xml:space="preserve"> </w:t>
      </w:r>
      <w:r>
        <w:t xml:space="preserve">Uptake of</w:t>
      </w:r>
      <w:r>
        <w:t xml:space="preserve"> </w:t>
      </w:r>
      <w:r>
        <w:t xml:space="preserve">recommended</w:t>
      </w:r>
      <w:r>
        <w:t xml:space="preserve"> </w:t>
      </w:r>
      <w:r>
        <w:t xml:space="preserve">solutions</w:t>
      </w:r>
      <w:r>
        <w:t xml:space="preserve"> </w:t>
      </w:r>
      <w:r>
        <w:t xml:space="preserve">Extent to</w:t>
      </w:r>
      <w:r>
        <w:t xml:space="preserve"> </w:t>
      </w:r>
      <w:r>
        <w:t xml:space="preserve">which 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(EU, MS,</w:t>
      </w:r>
      <w:r>
        <w:t xml:space="preserve"> </w:t>
      </w:r>
      <w:r>
        <w:t xml:space="preserve">regions and</w:t>
      </w:r>
      <w:r>
        <w:t xml:space="preserve"> </w:t>
      </w:r>
      <w:r>
        <w:t xml:space="preserve">cities) use</w:t>
      </w:r>
      <w:r>
        <w:t xml:space="preserve"> </w:t>
      </w:r>
      <w:r>
        <w:t xml:space="preserve">recommended</w:t>
      </w:r>
      <w:r>
        <w:t xml:space="preserve"> </w:t>
      </w:r>
      <w:r>
        <w:t xml:space="preserve">solutions</w:t>
      </w:r>
      <w:r>
        <w:t xml:space="preserve"> </w:t>
      </w:r>
      <w:r>
        <w:t xml:space="preserve">The uptake of</w:t>
      </w:r>
      <w:r>
        <w:t xml:space="preserve"> </w:t>
      </w:r>
      <w:r>
        <w:t xml:space="preserve">recommended</w:t>
      </w:r>
      <w:r>
        <w:t xml:space="preserve"> </w:t>
      </w:r>
      <w:r>
        <w:t xml:space="preserve">solutions</w:t>
      </w:r>
      <w:r>
        <w:t xml:space="preserve"> </w:t>
      </w:r>
      <w:r>
        <w:t xml:space="preserve">ensures that</w:t>
      </w:r>
      <w:r>
        <w:t xml:space="preserve"> </w:t>
      </w:r>
      <w:r>
        <w:t xml:space="preserve">costs for</w:t>
      </w:r>
      <w:r>
        <w:t xml:space="preserve"> </w:t>
      </w:r>
      <w:r>
        <w:t xml:space="preserve">developing</w:t>
      </w:r>
      <w:r>
        <w:t xml:space="preserve"> </w:t>
      </w:r>
      <w:r>
        <w:t xml:space="preserve">ICT tools are</w:t>
      </w:r>
      <w:r>
        <w:t xml:space="preserve"> </w:t>
      </w:r>
      <w:r>
        <w:t xml:space="preserve">not duplicated</w:t>
      </w:r>
      <w:r>
        <w:t xml:space="preserve"> </w:t>
      </w:r>
      <w:r>
        <w:t xml:space="preserve">and it</w:t>
      </w:r>
      <w:r>
        <w:t xml:space="preserve"> </w:t>
      </w:r>
      <w:r>
        <w:t xml:space="preserve">contributes to a</w:t>
      </w:r>
      <w:r>
        <w:t xml:space="preserve"> </w:t>
      </w:r>
      <w:r>
        <w:t xml:space="preserve">harmonised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landscape of</w:t>
      </w:r>
      <w:r>
        <w:t xml:space="preserve"> </w:t>
      </w:r>
      <w:r>
        <w:t xml:space="preserve">common</w:t>
      </w:r>
      <w:r>
        <w:t xml:space="preserve"> </w:t>
      </w:r>
      <w:r>
        <w:t xml:space="preserve">solutions.</w:t>
      </w:r>
      <w:r>
        <w:t xml:space="preserve"> </w:t>
      </w:r>
      <w:r>
        <w:t xml:space="preserve">Number of downloads</w:t>
      </w:r>
      <w:r>
        <w:t xml:space="preserve"> </w:t>
      </w:r>
      <w:r>
        <w:t xml:space="preserve">of the solution, number</w:t>
      </w:r>
      <w:r>
        <w:t xml:space="preserve"> </w:t>
      </w:r>
      <w:r>
        <w:t xml:space="preserve">of mentioning in</w:t>
      </w:r>
      <w:r>
        <w:t xml:space="preserve"> </w:t>
      </w:r>
      <w:r>
        <w:t xml:space="preserve">related procurement</w:t>
      </w:r>
      <w:r>
        <w:t xml:space="preserve"> </w:t>
      </w:r>
      <w:r>
        <w:t xml:space="preserve">documents, number of</w:t>
      </w:r>
      <w:r>
        <w:t xml:space="preserve"> </w:t>
      </w:r>
      <w:r>
        <w:t xml:space="preserve">reported uptake in</w:t>
      </w:r>
      <w:r>
        <w:t xml:space="preserve"> </w:t>
      </w:r>
      <w:r>
        <w:t xml:space="preserve">annual monitoring</w:t>
      </w:r>
      <w:r>
        <w:t xml:space="preserve"> </w:t>
      </w:r>
      <w:r>
        <w:t xml:space="preserve">Number per</w:t>
      </w:r>
      <w:r>
        <w:t xml:space="preserve"> </w:t>
      </w:r>
      <w:r>
        <w:t xml:space="preserve">year per sector,</w:t>
      </w:r>
      <w:r>
        <w:t xml:space="preserve"> </w:t>
      </w:r>
      <w:r>
        <w:t xml:space="preserve">per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level (EU,</w:t>
      </w:r>
      <w:r>
        <w:t xml:space="preserve"> </w:t>
      </w:r>
      <w:r>
        <w:t xml:space="preserve">Member</w:t>
      </w:r>
      <w:r>
        <w:t xml:space="preserve"> </w:t>
      </w:r>
      <w:r>
        <w:t xml:space="preserve">States, regions,</w:t>
      </w:r>
      <w:r>
        <w:t xml:space="preserve"> </w:t>
      </w:r>
      <w:r>
        <w:t xml:space="preserve">cities.</w:t>
      </w:r>
    </w:p>
    <w:p>
      <w:pPr>
        <w:pStyle w:val="BodyText"/>
      </w:pPr>
      <w:r>
        <w:t xml:space="preserve">Platform data,</w:t>
      </w:r>
      <w:r>
        <w:t xml:space="preserve"> </w:t>
      </w:r>
      <w:r>
        <w:t xml:space="preserve">procurement</w:t>
      </w:r>
      <w:r>
        <w:t xml:space="preserve"> </w:t>
      </w:r>
      <w:r>
        <w:t xml:space="preserve">data, reporting</w:t>
      </w:r>
      <w:r>
        <w:t xml:space="preserve"> </w:t>
      </w:r>
      <w:r>
        <w:t xml:space="preserve">by Member</w:t>
      </w:r>
      <w:r>
        <w:t xml:space="preserve"> </w:t>
      </w:r>
      <w:r>
        <w:t xml:space="preserve">States</w:t>
      </w:r>
      <w:r>
        <w:t xml:space="preserve"> </w:t>
      </w:r>
      <w:r>
        <w:t xml:space="preserve">Yearly</w:t>
      </w:r>
      <w:r>
        <w:t xml:space="preserve"> </w:t>
      </w:r>
      <w:r>
        <w:t xml:space="preserve">+10% per year</w:t>
      </w:r>
      <w:r>
        <w:t xml:space="preserve"> </w:t>
      </w:r>
      <w:r>
        <w:t xml:space="preserve">Share and</w:t>
      </w:r>
      <w:r>
        <w:t xml:space="preserve"> </w:t>
      </w:r>
      <w:r>
        <w:t xml:space="preserve">reuse GovTech</w:t>
      </w:r>
      <w:r>
        <w:t xml:space="preserve"> </w:t>
      </w:r>
      <w:r>
        <w:t xml:space="preserve">ecosystem</w:t>
      </w:r>
      <w:r>
        <w:t xml:space="preserve"> </w:t>
      </w:r>
      <w:r>
        <w:t xml:space="preserve">Extent to</w:t>
      </w:r>
      <w:r>
        <w:t xml:space="preserve"> </w:t>
      </w:r>
      <w:r>
        <w:t xml:space="preserve">which 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share and reuse</w:t>
      </w:r>
      <w:r>
        <w:t xml:space="preserve"> </w:t>
      </w:r>
      <w:r>
        <w:t xml:space="preserve">existing</w:t>
      </w:r>
      <w:r>
        <w:t xml:space="preserve"> </w:t>
      </w:r>
      <w:r>
        <w:t xml:space="preserve">solutions in</w:t>
      </w:r>
      <w:r>
        <w:t xml:space="preserve"> </w:t>
      </w:r>
      <w:r>
        <w:t xml:space="preserve">developing</w:t>
      </w:r>
      <w:r>
        <w:t xml:space="preserve"> </w:t>
      </w:r>
      <w:r>
        <w:t xml:space="preserve">digital public</w:t>
      </w:r>
      <w:r>
        <w:t xml:space="preserve"> </w:t>
      </w:r>
      <w:r>
        <w:t xml:space="preserve">services in a</w:t>
      </w:r>
      <w:r>
        <w:t xml:space="preserve"> </w:t>
      </w:r>
      <w:r>
        <w:t xml:space="preserve">specific field</w:t>
      </w:r>
    </w:p>
    <w:p>
      <w:pPr>
        <w:pStyle w:val="BodyText"/>
      </w:pPr>
      <w:r>
        <w:t xml:space="preserve">The level of</w:t>
      </w:r>
      <w:r>
        <w:t xml:space="preserve"> </w:t>
      </w:r>
      <w:r>
        <w:t xml:space="preserve">re-use of</w:t>
      </w:r>
      <w:r>
        <w:t xml:space="preserve"> </w:t>
      </w:r>
      <w:r>
        <w:t xml:space="preserve">solutions</w:t>
      </w:r>
      <w:r>
        <w:t xml:space="preserve"> </w:t>
      </w:r>
      <w:r>
        <w:t xml:space="preserve">fulfils two</w:t>
      </w:r>
      <w:r>
        <w:t xml:space="preserve"> </w:t>
      </w:r>
      <w:r>
        <w:t xml:space="preserve">roles: it</w:t>
      </w:r>
      <w:r>
        <w:t xml:space="preserve"> </w:t>
      </w:r>
      <w:r>
        <w:t xml:space="preserve">ensures that</w:t>
      </w:r>
      <w:r>
        <w:t xml:space="preserve"> </w:t>
      </w:r>
      <w:r>
        <w:t xml:space="preserve">costs for</w:t>
      </w:r>
      <w:r>
        <w:t xml:space="preserve"> </w:t>
      </w:r>
      <w:r>
        <w:t xml:space="preserve">developing</w:t>
      </w:r>
      <w:r>
        <w:t xml:space="preserve"> </w:t>
      </w:r>
      <w:r>
        <w:t xml:space="preserve">ICT tools are</w:t>
      </w:r>
      <w:r>
        <w:t xml:space="preserve"> </w:t>
      </w:r>
      <w:r>
        <w:t xml:space="preserve">not duplicated</w:t>
      </w:r>
      <w:r>
        <w:t xml:space="preserve"> </w:t>
      </w:r>
      <w:r>
        <w:t xml:space="preserve">and it</w:t>
      </w:r>
      <w:r>
        <w:t xml:space="preserve"> </w:t>
      </w:r>
      <w:r>
        <w:t xml:space="preserve">contributes to a</w:t>
      </w:r>
      <w:r>
        <w:t xml:space="preserve"> </w:t>
      </w:r>
      <w:r>
        <w:t xml:space="preserve">harmonised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Number of solutions</w:t>
      </w:r>
      <w:r>
        <w:t xml:space="preserve"> </w:t>
      </w:r>
      <w:r>
        <w:t xml:space="preserve">added a common</w:t>
      </w:r>
      <w:r>
        <w:t xml:space="preserve"> </w:t>
      </w:r>
      <w:r>
        <w:t xml:space="preserve">platform</w:t>
      </w:r>
      <w:r>
        <w:t xml:space="preserve"> </w:t>
      </w:r>
      <w:r>
        <w:t xml:space="preserve">-</w:t>
      </w:r>
      <w:r>
        <w:t xml:space="preserve"> </w:t>
      </w:r>
      <w:r>
        <w:t xml:space="preserve">EU funded</w:t>
      </w:r>
      <w:r>
        <w:t xml:space="preserve"> </w:t>
      </w:r>
      <w:r>
        <w:t xml:space="preserve">-</w:t>
      </w:r>
      <w:r>
        <w:t xml:space="preserve"> </w:t>
      </w:r>
      <w:r>
        <w:t xml:space="preserve">Non EU funded</w:t>
      </w:r>
    </w:p>
    <w:p>
      <w:pPr>
        <w:pStyle w:val="BodyText"/>
      </w:pPr>
      <w:r>
        <w:t xml:space="preserve">Number of solutions</w:t>
      </w:r>
      <w:r>
        <w:t xml:space="preserve"> </w:t>
      </w:r>
      <w:r>
        <w:t xml:space="preserve">downloaded from the</w:t>
      </w:r>
      <w:r>
        <w:t xml:space="preserve"> </w:t>
      </w:r>
      <w:r>
        <w:t xml:space="preserve">common platform</w:t>
      </w:r>
    </w:p>
    <w:p>
      <w:pPr>
        <w:pStyle w:val="BodyText"/>
      </w:pPr>
      <w:r>
        <w:t xml:space="preserve">Reported instances of</w:t>
      </w:r>
      <w:r>
        <w:t xml:space="preserve"> </w:t>
      </w:r>
      <w:r>
        <w:t xml:space="preserve">reuse by Member State</w:t>
      </w:r>
      <w:r>
        <w:t xml:space="preserve"> </w:t>
      </w:r>
      <w:r>
        <w:t xml:space="preserve">Number of</w:t>
      </w:r>
      <w:r>
        <w:t xml:space="preserve"> </w:t>
      </w:r>
      <w:r>
        <w:t xml:space="preserve">uploads and</w:t>
      </w:r>
      <w:r>
        <w:t xml:space="preserve"> </w:t>
      </w:r>
      <w:r>
        <w:t xml:space="preserve">downloads of a</w:t>
      </w:r>
      <w:r>
        <w:t xml:space="preserve"> </w:t>
      </w:r>
      <w:r>
        <w:t xml:space="preserve">solution from a</w:t>
      </w:r>
      <w:r>
        <w:t xml:space="preserve"> </w:t>
      </w:r>
      <w:r>
        <w:t xml:space="preserve">central</w:t>
      </w:r>
      <w:r>
        <w:t xml:space="preserve"> </w:t>
      </w:r>
      <w:r>
        <w:t xml:space="preserve">platform and</w:t>
      </w:r>
      <w:r>
        <w:t xml:space="preserve"> </w:t>
      </w:r>
      <w:r>
        <w:t xml:space="preserve">Member States</w:t>
      </w:r>
      <w:r>
        <w:t xml:space="preserve"> </w:t>
      </w:r>
      <w:r>
        <w:t xml:space="preserve">reporting.</w:t>
      </w:r>
      <w:r>
        <w:t xml:space="preserve"> </w:t>
      </w:r>
      <w:r>
        <w:t xml:space="preserve">Number of</w:t>
      </w:r>
      <w:r>
        <w:t xml:space="preserve"> </w:t>
      </w:r>
      <w:r>
        <w:t xml:space="preserve">cases</w:t>
      </w:r>
      <w:r>
        <w:t xml:space="preserve"> </w:t>
      </w:r>
      <w:r>
        <w:t xml:space="preserve">Yearly</w:t>
      </w:r>
      <w:r>
        <w:t xml:space="preserve"> </w:t>
      </w:r>
      <w:r>
        <w:t xml:space="preserve">+5 % of shared</w:t>
      </w:r>
      <w:r>
        <w:t xml:space="preserve"> </w:t>
      </w:r>
      <w:r>
        <w:t xml:space="preserve">and +10 % of</w:t>
      </w:r>
      <w:r>
        <w:t xml:space="preserve"> </w:t>
      </w:r>
      <w:r>
        <w:t xml:space="preserve">reused solution</w:t>
      </w:r>
      <w:r>
        <w:t xml:space="preserve"> </w:t>
      </w:r>
      <w:r>
        <w:t xml:space="preserve">by year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br/>
      </w:r>
      <w:r>
        <w:t xml:space="preserve">Definition</w:t>
      </w:r>
      <w:r>
        <w:t xml:space="preserve"> </w:t>
      </w:r>
      <w:r>
        <w:t xml:space="preserve">Potential metric</w:t>
      </w:r>
      <w:r>
        <w:t xml:space="preserve"> </w:t>
      </w:r>
      <w:r>
        <w:t xml:space="preserve">Unit of</w:t>
      </w:r>
      <w:r>
        <w:t xml:space="preserve"> </w:t>
      </w:r>
      <w:r>
        <w:t xml:space="preserve">measure</w:t>
      </w:r>
      <w:r>
        <w:t xml:space="preserve"> </w:t>
      </w:r>
      <w:r>
        <w:t xml:space="preserve">Potential</w:t>
      </w:r>
      <w:r>
        <w:t xml:space="preserve"> </w:t>
      </w:r>
      <w:r>
        <w:t xml:space="preserve">data sources</w:t>
      </w:r>
      <w:r>
        <w:t xml:space="preserve"> </w:t>
      </w:r>
      <w:r>
        <w:t xml:space="preserve">Frequency of</w:t>
      </w:r>
      <w:r>
        <w:t xml:space="preserve"> </w:t>
      </w:r>
      <w:r>
        <w:t xml:space="preserve">measurement Target</w:t>
      </w:r>
      <w:r>
        <w:t xml:space="preserve"> </w:t>
      </w:r>
      <w:r>
        <w:t xml:space="preserve">landscape of</w:t>
      </w:r>
      <w:r>
        <w:t xml:space="preserve"> </w:t>
      </w:r>
      <w:r>
        <w:t xml:space="preserve">common</w:t>
      </w:r>
      <w:r>
        <w:t xml:space="preserve"> </w:t>
      </w:r>
      <w:r>
        <w:t xml:space="preserve">solutions.</w:t>
      </w:r>
      <w:r>
        <w:t xml:space="preserve"> </w:t>
      </w:r>
      <w:r>
        <w:t xml:space="preserve">and sector</w:t>
      </w:r>
    </w:p>
    <w:p>
      <w:pPr>
        <w:pStyle w:val="BodyText"/>
      </w:pPr>
      <w:r>
        <w:t xml:space="preserve">Interoperability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 future EU</w:t>
      </w:r>
      <w:r>
        <w:t xml:space="preserve"> </w:t>
      </w:r>
      <w:r>
        <w:t xml:space="preserve">funding</w:t>
      </w:r>
      <w:r>
        <w:t xml:space="preserve"> </w:t>
      </w:r>
      <w:r>
        <w:t xml:space="preserve">programmes</w:t>
      </w:r>
      <w:r>
        <w:t xml:space="preserve"> </w:t>
      </w:r>
      <w:r>
        <w:t xml:space="preserve">Extent to</w:t>
      </w:r>
      <w:r>
        <w:t xml:space="preserve"> </w:t>
      </w:r>
      <w:r>
        <w:t xml:space="preserve">which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are integrated</w:t>
      </w:r>
      <w:r>
        <w:t xml:space="preserve"> </w:t>
      </w:r>
      <w:r>
        <w:t xml:space="preserve">in the process</w:t>
      </w:r>
      <w:r>
        <w:t xml:space="preserve"> </w:t>
      </w:r>
      <w:r>
        <w:t xml:space="preserve">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EU funding</w:t>
      </w:r>
      <w:r>
        <w:t xml:space="preserve"> </w:t>
      </w:r>
      <w:r>
        <w:t xml:space="preserve">programmes</w:t>
      </w:r>
      <w:r>
        <w:t xml:space="preserve"> </w:t>
      </w:r>
      <w:r>
        <w:t xml:space="preserve">(e.g. at the</w:t>
      </w:r>
      <w:r>
        <w:t xml:space="preserve"> </w:t>
      </w:r>
      <w:r>
        <w:t xml:space="preserve">level of</w:t>
      </w:r>
      <w:r>
        <w:t xml:space="preserve"> </w:t>
      </w:r>
      <w:r>
        <w:t xml:space="preserve">proposals and</w:t>
      </w:r>
      <w:r>
        <w:t xml:space="preserve"> </w:t>
      </w:r>
      <w:r>
        <w:t xml:space="preserve">award of</w:t>
      </w:r>
      <w:r>
        <w:t xml:space="preserve"> </w:t>
      </w:r>
      <w:r>
        <w:t xml:space="preserve">funding)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 the design</w:t>
      </w:r>
      <w:r>
        <w:t xml:space="preserve"> </w:t>
      </w:r>
      <w:r>
        <w:t xml:space="preserve">and use of</w:t>
      </w:r>
      <w:r>
        <w:t xml:space="preserve"> </w:t>
      </w:r>
      <w:r>
        <w:t xml:space="preserve">funding would</w:t>
      </w:r>
      <w:r>
        <w:t xml:space="preserve"> </w:t>
      </w:r>
      <w:r>
        <w:t xml:space="preserve">reinforce</w:t>
      </w:r>
      <w:r>
        <w:t xml:space="preserve"> </w:t>
      </w:r>
      <w:r>
        <w:t xml:space="preserve">synergies</w:t>
      </w:r>
      <w:r>
        <w:t xml:space="preserve"> </w:t>
      </w:r>
      <w:r>
        <w:t xml:space="preserve">between the</w:t>
      </w:r>
      <w:r>
        <w:t xml:space="preserve"> </w:t>
      </w:r>
      <w:r>
        <w:t xml:space="preserve">future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policy and</w:t>
      </w:r>
      <w:r>
        <w:t xml:space="preserve"> </w:t>
      </w:r>
      <w:r>
        <w:t xml:space="preserve">existing</w:t>
      </w:r>
      <w:r>
        <w:t xml:space="preserve"> </w:t>
      </w:r>
      <w:r>
        <w:t xml:space="preserve">funding</w:t>
      </w:r>
      <w:r>
        <w:t xml:space="preserve"> </w:t>
      </w:r>
      <w:r>
        <w:t xml:space="preserve">programmes. It</w:t>
      </w:r>
      <w:r>
        <w:t xml:space="preserve"> </w:t>
      </w:r>
      <w:r>
        <w:t xml:space="preserve">would help</w:t>
      </w:r>
      <w:r>
        <w:t xml:space="preserve"> </w:t>
      </w:r>
      <w:r>
        <w:t xml:space="preserve">limit</w:t>
      </w:r>
      <w:r>
        <w:t xml:space="preserve"> </w:t>
      </w:r>
      <w:r>
        <w:t xml:space="preserve">inconsistencies</w:t>
      </w:r>
      <w:r>
        <w:t xml:space="preserve"> </w:t>
      </w:r>
      <w:r>
        <w:t xml:space="preserve">and ensure that</w:t>
      </w:r>
      <w:r>
        <w:t xml:space="preserve"> </w:t>
      </w:r>
      <w:r>
        <w:t xml:space="preserve">the funds are</w:t>
      </w:r>
      <w:r>
        <w:t xml:space="preserve"> </w:t>
      </w:r>
      <w:r>
        <w:t xml:space="preserve">used in a way</w:t>
      </w:r>
      <w:r>
        <w:t xml:space="preserve"> </w:t>
      </w:r>
      <w:r>
        <w:t xml:space="preserve">that supports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goals.</w:t>
      </w:r>
    </w:p>
    <w:p>
      <w:pPr>
        <w:pStyle w:val="BodyText"/>
      </w:pPr>
      <w:r>
        <w:t xml:space="preserve">Number of EU funding</w:t>
      </w:r>
      <w:r>
        <w:t xml:space="preserve"> </w:t>
      </w:r>
      <w:r>
        <w:t xml:space="preserve">programmes which</w:t>
      </w:r>
      <w:r>
        <w:t xml:space="preserve"> </w:t>
      </w:r>
      <w:r>
        <w:t xml:space="preserve">take-up interoperability</w:t>
      </w:r>
      <w:r>
        <w:t xml:space="preserve"> </w:t>
      </w:r>
      <w:r>
        <w:t xml:space="preserve">requirements as</w:t>
      </w:r>
      <w:r>
        <w:t xml:space="preserve"> </w:t>
      </w:r>
      <w:r>
        <w:t xml:space="preserve">eligibility criteria.</w:t>
      </w:r>
      <w:r>
        <w:t xml:space="preserve"> </w:t>
      </w:r>
      <w:r>
        <w:t xml:space="preserve">Discrete scale</w:t>
      </w:r>
      <w:r>
        <w:t xml:space="preserve"> </w:t>
      </w:r>
      <w:r>
        <w:t xml:space="preserve">(ranging from</w:t>
      </w:r>
      <w:r>
        <w:t xml:space="preserve"> </w:t>
      </w:r>
      <w:r>
        <w:t xml:space="preserve">no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to having it</w:t>
      </w:r>
      <w:r>
        <w:t xml:space="preserve"> </w:t>
      </w:r>
      <w:r>
        <w:t xml:space="preserve">among the</w:t>
      </w:r>
      <w:r>
        <w:t xml:space="preserve"> </w:t>
      </w:r>
      <w:r>
        <w:t xml:space="preserve">eligibility</w:t>
      </w:r>
      <w:r>
        <w:t xml:space="preserve"> </w:t>
      </w:r>
      <w:r>
        <w:t xml:space="preserve">criteria)</w:t>
      </w:r>
      <w:r>
        <w:t xml:space="preserve"> </w:t>
      </w:r>
      <w:r>
        <w:t xml:space="preserve">Eurlex data,</w:t>
      </w:r>
      <w:r>
        <w:t xml:space="preserve"> </w:t>
      </w:r>
      <w:r>
        <w:t xml:space="preserve">Questionnaire,</w:t>
      </w:r>
      <w:r>
        <w:t xml:space="preserve"> </w:t>
      </w:r>
      <w:r>
        <w:t xml:space="preserve">case studies.</w:t>
      </w:r>
    </w:p>
    <w:p>
      <w:pPr>
        <w:pStyle w:val="BodyText"/>
      </w:pPr>
      <w:r>
        <w:t xml:space="preserve">Yearly</w:t>
      </w:r>
      <w:r>
        <w:t xml:space="preserve"> </w:t>
      </w:r>
      <w:r>
        <w:t xml:space="preserve">High level of</w:t>
      </w:r>
      <w:r>
        <w:t xml:space="preserve"> </w:t>
      </w:r>
      <w:r>
        <w:t xml:space="preserve">consideration</w:t>
      </w:r>
      <w:r>
        <w:t xml:space="preserve"> </w:t>
      </w:r>
      <w:r>
        <w:t xml:space="preserve">Source: Study supporting the impact assessment for a future interoperability strategy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ANNEXES</w:t>
      </w:r>
      <w:r>
        <w:t xml:space="preserve"> </w:t>
      </w:r>
      <w:r>
        <w:t xml:space="preserve">Annex I. Procedural information</w:t>
      </w:r>
      <w:r>
        <w:t xml:space="preserve"> </w:t>
      </w:r>
      <w:r>
        <w:t xml:space="preserve">Lead DG: Directorate General for Informatics</w:t>
      </w:r>
      <w:r>
        <w:t xml:space="preserve"> </w:t>
      </w:r>
      <w:r>
        <w:t xml:space="preserve">Decide Planning: PLAN/2020/7507 - ‘Evaluation of the implementation of the European</w:t>
      </w:r>
      <w:r>
        <w:t xml:space="preserve"> </w:t>
      </w:r>
      <w:r>
        <w:t xml:space="preserve">Interoperability Framework (EIF) and proposal for an EU governments interoperability</w:t>
      </w:r>
      <w:r>
        <w:t xml:space="preserve"> </w:t>
      </w:r>
      <w:r>
        <w:t xml:space="preserve">strategy’.</w:t>
      </w:r>
      <w:r>
        <w:t xml:space="preserve"> </w:t>
      </w:r>
      <w:r>
        <w:t xml:space="preserve">The Initiative is part of CWP 2022 - REFIT initiatives, point 12, and is referenced under the</w:t>
      </w:r>
      <w:r>
        <w:t xml:space="preserve"> </w:t>
      </w:r>
      <w:r>
        <w:t xml:space="preserve">Policy objective ‘A Europe fit for the Digital Age’. The adoption is planned for Q2 (June</w:t>
      </w:r>
      <w:r>
        <w:t xml:space="preserve"> </w:t>
      </w:r>
      <w:r>
        <w:t xml:space="preserve">2022).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31/08/20</w:t>
      </w:r>
      <w:r>
        <w:t xml:space="preserve"> </w:t>
      </w:r>
      <w:r>
        <w:t xml:space="preserve">Decide Political Validation (Hahn, Vestager)</w:t>
      </w:r>
      <w:r>
        <w:t xml:space="preserve"> </w:t>
      </w:r>
      <w:r>
        <w:t xml:space="preserve">15/09/20</w:t>
      </w:r>
      <w:r>
        <w:t xml:space="preserve"> </w:t>
      </w:r>
      <w:r>
        <w:t xml:space="preserve">1st ISSG meeting</w:t>
      </w:r>
      <w:r>
        <w:br/>
      </w:r>
      <w:r>
        <w:t xml:space="preserve">Participating DGs: CNECT, DEFIS, DIGIT, ECFIN, EMPL,</w:t>
      </w:r>
      <w:r>
        <w:t xml:space="preserve"> </w:t>
      </w:r>
      <w:r>
        <w:t xml:space="preserve">ENER, ENV, ESTAT, FISMA, GROW, the JRC, JUST, MOVE,</w:t>
      </w:r>
      <w:r>
        <w:t xml:space="preserve"> </w:t>
      </w:r>
      <w:r>
        <w:t xml:space="preserve">NEAR, OP, REFORM, REGIO, RTD, SANTE, SG and</w:t>
      </w:r>
      <w:r>
        <w:t xml:space="preserve"> </w:t>
      </w:r>
      <w:r>
        <w:t xml:space="preserve">TAXUD</w:t>
      </w:r>
      <w:r>
        <w:t xml:space="preserve"> </w:t>
      </w:r>
      <w:r>
        <w:t xml:space="preserve">15/10/20</w:t>
      </w:r>
      <w:r>
        <w:t xml:space="preserve"> </w:t>
      </w:r>
      <w:r>
        <w:t xml:space="preserve">Publication of combined Evaluation Roadmap and Inception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01/02/21– 26/04/21 Public consultations</w:t>
      </w:r>
      <w:r>
        <w:t xml:space="preserve"> </w:t>
      </w:r>
      <w:r>
        <w:t xml:space="preserve">12/10/21</w:t>
      </w:r>
      <w:r>
        <w:t xml:space="preserve"> </w:t>
      </w:r>
      <w:r>
        <w:t xml:space="preserve">ISSG approval for supporting studies</w:t>
      </w:r>
      <w:r>
        <w:t xml:space="preserve"> </w:t>
      </w:r>
      <w:r>
        <w:t xml:space="preserve">15/10/21</w:t>
      </w:r>
      <w:r>
        <w:t xml:space="preserve"> </w:t>
      </w:r>
      <w:r>
        <w:t xml:space="preserve">Recommendations of the Expert Group on interoperability of</w:t>
      </w:r>
      <w:r>
        <w:t xml:space="preserve"> </w:t>
      </w:r>
      <w:r>
        <w:t xml:space="preserve">public services</w:t>
      </w:r>
      <w:r>
        <w:t xml:space="preserve"> </w:t>
      </w:r>
      <w:r>
        <w:t xml:space="preserve">24/11/21</w:t>
      </w:r>
      <w:r>
        <w:t xml:space="preserve"> </w:t>
      </w:r>
      <w:r>
        <w:t xml:space="preserve">9th ISSG meeting</w:t>
      </w:r>
      <w:r>
        <w:t xml:space="preserve"> </w:t>
      </w:r>
      <w:r>
        <w:t xml:space="preserve">Participating DGs: CNECT, ENV, ESTAT, GROW, JUST, the</w:t>
      </w:r>
      <w:r>
        <w:t xml:space="preserve"> </w:t>
      </w:r>
      <w:r>
        <w:t xml:space="preserve">JRC, MOVE, OP, REGIO, RTD, SANTE, SJ, SG, TAXUD,</w:t>
      </w:r>
      <w:r>
        <w:t xml:space="preserve"> </w:t>
      </w:r>
      <w:r>
        <w:t xml:space="preserve">DIGIT</w:t>
      </w:r>
      <w:r>
        <w:t xml:space="preserve"> </w:t>
      </w:r>
      <w:r>
        <w:t xml:space="preserve">19/01/22</w:t>
      </w:r>
      <w:r>
        <w:t xml:space="preserve"> </w:t>
      </w:r>
      <w:r>
        <w:t xml:space="preserve">RSB meeting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upstream meeting with the RSB took place on 12 March 2021, whose recommendations</w:t>
      </w:r>
      <w:r>
        <w:t xml:space="preserve"> </w:t>
      </w:r>
      <w:r>
        <w:t xml:space="preserve">were duly taken into account.</w:t>
      </w:r>
      <w:r>
        <w:br/>
      </w:r>
      <w:r>
        <w:t xml:space="preserve">This draft Impact assessment was submitted to RSB on 17 December 2021 towards the 19</w:t>
      </w:r>
      <w:r>
        <w:t xml:space="preserve"> </w:t>
      </w:r>
      <w:r>
        <w:t xml:space="preserve">January 2022 RSB hearing. It has received a positive with reservations opinion with the</w:t>
      </w:r>
      <w:r>
        <w:t xml:space="preserve"> </w:t>
      </w:r>
      <w:r>
        <w:t xml:space="preserve">following comments: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Table 8. Modifications to the draft Impact Assessment based on comments received from</w:t>
      </w:r>
      <w:r>
        <w:t xml:space="preserve"> </w:t>
      </w:r>
      <w:r>
        <w:t xml:space="preserve">the Regulatory Scrutiny Board</w:t>
      </w:r>
      <w:r>
        <w:t xml:space="preserve"> </w:t>
      </w:r>
      <w:r>
        <w:t xml:space="preserve">Main RSB considerations</w:t>
      </w:r>
      <w:r>
        <w:t xml:space="preserve"> </w:t>
      </w:r>
      <w:r>
        <w:t xml:space="preserve">Changes made to the IA</w:t>
      </w:r>
      <w:r>
        <w:t xml:space="preserve"> </w:t>
      </w:r>
      <w:r>
        <w:t xml:space="preserve">The report is not clear on the scope of</w:t>
      </w:r>
      <w:r>
        <w:t xml:space="preserve"> </w:t>
      </w:r>
      <w:r>
        <w:t xml:space="preserve">the initiative and its links to the</w:t>
      </w:r>
      <w:r>
        <w:t xml:space="preserve"> </w:t>
      </w:r>
      <w:r>
        <w:t xml:space="preserve">proposed legal base. The report does</w:t>
      </w:r>
      <w:r>
        <w:t xml:space="preserve"> </w:t>
      </w:r>
      <w:r>
        <w:t xml:space="preserve">not sufficiently explain the interaction</w:t>
      </w:r>
      <w:r>
        <w:t xml:space="preserve"> </w:t>
      </w:r>
      <w:r>
        <w:t xml:space="preserve">of the interoperability policy with other</w:t>
      </w:r>
      <w:r>
        <w:t xml:space="preserve"> </w:t>
      </w:r>
      <w:r>
        <w:t xml:space="preserve">related policies.</w:t>
      </w:r>
      <w:r>
        <w:t xml:space="preserve"> </w:t>
      </w:r>
      <w:r>
        <w:t xml:space="preserve">Chapter 1. ‘Introduction’, Chapter 3. ‘Legal</w:t>
      </w:r>
      <w:r>
        <w:t xml:space="preserve"> </w:t>
      </w:r>
      <w:r>
        <w:t xml:space="preserve">basis’, Chapter 4. ‘Objectives’ have been</w:t>
      </w:r>
      <w:r>
        <w:t xml:space="preserve"> </w:t>
      </w:r>
      <w:r>
        <w:t xml:space="preserve">reworked to better explain these aspects.</w:t>
      </w:r>
      <w:r>
        <w:t xml:space="preserve"> </w:t>
      </w:r>
      <w:r>
        <w:t xml:space="preserve">It has been clarified that the legal mandate for</w:t>
      </w:r>
      <w:r>
        <w:t xml:space="preserve"> </w:t>
      </w:r>
      <w:r>
        <w:t xml:space="preserve">binding</w:t>
      </w:r>
      <w:r>
        <w:t xml:space="preserve"> </w:t>
      </w:r>
      <w:r>
        <w:t xml:space="preserve">measures</w:t>
      </w:r>
      <w:r>
        <w:t xml:space="preserve"> </w:t>
      </w:r>
      <w:r>
        <w:t xml:space="preserve">covers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interoperability between public services. Cross-</w:t>
      </w:r>
      <w:r>
        <w:t xml:space="preserve"> </w:t>
      </w:r>
      <w:r>
        <w:t xml:space="preserve">border processes are however not restricted to</w:t>
      </w:r>
      <w:r>
        <w:t xml:space="preserve"> </w:t>
      </w:r>
      <w:r>
        <w:t xml:space="preserve">central government to central government</w:t>
      </w:r>
      <w:r>
        <w:t xml:space="preserve"> </w:t>
      </w:r>
      <w:r>
        <w:t xml:space="preserve">interactions. Therefore, they concern citizens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using</w:t>
      </w:r>
      <w:r>
        <w:t xml:space="preserve"> </w:t>
      </w:r>
      <w:r>
        <w:t xml:space="preserve">public</w:t>
      </w:r>
      <w:r>
        <w:t xml:space="preserve"> </w:t>
      </w:r>
      <w:r>
        <w:t xml:space="preserve">services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administrative levels.</w:t>
      </w:r>
      <w:r>
        <w:t xml:space="preserve"> </w:t>
      </w:r>
      <w:r>
        <w:t xml:space="preserve">The report does not provide sufficient</w:t>
      </w:r>
      <w:r>
        <w:t xml:space="preserve"> </w:t>
      </w:r>
      <w:r>
        <w:t xml:space="preserve">evidence of the identified problems nor</w:t>
      </w:r>
      <w:r>
        <w:t xml:space="preserve"> </w:t>
      </w:r>
      <w:r>
        <w:t xml:space="preserve">of their evolution in the future. It does</w:t>
      </w:r>
      <w:r>
        <w:t xml:space="preserve"> </w:t>
      </w:r>
      <w:r>
        <w:t xml:space="preserve">not explain why some Member States</w:t>
      </w:r>
      <w:r>
        <w:t xml:space="preserve"> </w:t>
      </w:r>
      <w:r>
        <w:t xml:space="preserve">have chosen not to implement an EIF-</w:t>
      </w:r>
      <w:r>
        <w:t xml:space="preserve"> </w:t>
      </w:r>
      <w:r>
        <w:t xml:space="preserve">inspired interoperability framework.</w:t>
      </w:r>
      <w:r>
        <w:br/>
      </w:r>
      <w:r>
        <w:t xml:space="preserve">Chapter 2. Problem definition has been reworked</w:t>
      </w:r>
      <w:r>
        <w:t xml:space="preserve"> </w:t>
      </w:r>
      <w:r>
        <w:t xml:space="preserve">to better show the evidence for the respective</w:t>
      </w:r>
      <w:r>
        <w:t xml:space="preserve"> </w:t>
      </w:r>
      <w:r>
        <w:t xml:space="preserve">relevant stakeholders and distinguish between</w:t>
      </w:r>
      <w:r>
        <w:t xml:space="preserve"> </w:t>
      </w:r>
      <w:r>
        <w:t xml:space="preserve">cross-border interoperability and interoperability</w:t>
      </w:r>
      <w:r>
        <w:t xml:space="preserve"> </w:t>
      </w:r>
      <w:r>
        <w:t xml:space="preserve">within countries, giving qualitative examples</w:t>
      </w:r>
      <w:r>
        <w:t xml:space="preserve"> </w:t>
      </w:r>
      <w:r>
        <w:t xml:space="preserve">where the data base is not sufficient.</w:t>
      </w:r>
      <w:r>
        <w:t xml:space="preserve"> </w:t>
      </w:r>
      <w:r>
        <w:t xml:space="preserve">We have further explained in this chapter the</w:t>
      </w:r>
      <w:r>
        <w:t xml:space="preserve"> </w:t>
      </w:r>
      <w:r>
        <w:t xml:space="preserve">factors that led some Member States not to</w:t>
      </w:r>
      <w:r>
        <w:t xml:space="preserve"> </w:t>
      </w:r>
      <w:r>
        <w:t xml:space="preserve">implement an EIF inspired interoperability</w:t>
      </w:r>
      <w:r>
        <w:t xml:space="preserve"> </w:t>
      </w:r>
      <w:r>
        <w:t xml:space="preserve">framework.</w:t>
      </w:r>
      <w:r>
        <w:t xml:space="preserve"> </w:t>
      </w:r>
      <w:r>
        <w:t xml:space="preserve">The content of the options is not</w:t>
      </w:r>
      <w:r>
        <w:t xml:space="preserve"> </w:t>
      </w:r>
      <w:r>
        <w:t xml:space="preserve">sufficiently clear. The report does not</w:t>
      </w:r>
      <w:r>
        <w:t xml:space="preserve"> </w:t>
      </w:r>
      <w:r>
        <w:t xml:space="preserve">explain how the policy options, in</w:t>
      </w:r>
      <w:r>
        <w:t xml:space="preserve"> </w:t>
      </w:r>
      <w:r>
        <w:t xml:space="preserve">particular the preferred one, would be</w:t>
      </w:r>
      <w:r>
        <w:t xml:space="preserve"> </w:t>
      </w:r>
      <w:r>
        <w:t xml:space="preserve">implemented in practice. In particular,</w:t>
      </w:r>
      <w:r>
        <w:t xml:space="preserve"> </w:t>
      </w:r>
      <w:r>
        <w:t xml:space="preserve">the role and decision-making power of</w:t>
      </w:r>
      <w:r>
        <w:t xml:space="preserve"> </w:t>
      </w:r>
      <w:r>
        <w:t xml:space="preserve">the envisaged governance bodies</w:t>
      </w:r>
      <w:r>
        <w:t xml:space="preserve"> </w:t>
      </w:r>
      <w:r>
        <w:t xml:space="preserve">remains too vague.</w:t>
      </w:r>
      <w:r>
        <w:t xml:space="preserve"> </w:t>
      </w:r>
      <w:r>
        <w:t xml:space="preserve">Chapter 5. ‘What are the available policy</w:t>
      </w:r>
      <w:r>
        <w:t xml:space="preserve"> </w:t>
      </w:r>
      <w:r>
        <w:t xml:space="preserve">options?’ has been refined based on the</w:t>
      </w:r>
      <w:r>
        <w:t xml:space="preserve"> </w:t>
      </w:r>
      <w:r>
        <w:t xml:space="preserve">comments provided, giving also examples of</w:t>
      </w:r>
      <w:r>
        <w:t xml:space="preserve"> </w:t>
      </w:r>
      <w:r>
        <w:t xml:space="preserve">their practical implementation.</w:t>
      </w:r>
      <w:r>
        <w:t xml:space="preserve"> </w:t>
      </w:r>
      <w:r>
        <w:t xml:space="preserve">The policy proposal is still under discussion and</w:t>
      </w:r>
      <w:r>
        <w:t xml:space="preserve"> </w:t>
      </w:r>
      <w:r>
        <w:t xml:space="preserve">not yet finalised. Expected implementation</w:t>
      </w:r>
      <w:r>
        <w:t xml:space="preserve"> </w:t>
      </w:r>
      <w:r>
        <w:t xml:space="preserve">practice has been further detailed in the updated</w:t>
      </w:r>
      <w:r>
        <w:t xml:space="preserve"> </w:t>
      </w:r>
      <w:r>
        <w:t xml:space="preserve">report in this chapter.</w:t>
      </w:r>
      <w:r>
        <w:t xml:space="preserve"> </w:t>
      </w:r>
      <w:r>
        <w:t xml:space="preserve">The differences between the cooperative, multi-</w:t>
      </w:r>
      <w:r>
        <w:t xml:space="preserve"> </w:t>
      </w:r>
      <w:r>
        <w:t xml:space="preserve">level governance introduced in Option 2 and the</w:t>
      </w:r>
      <w:r>
        <w:t xml:space="preserve"> </w:t>
      </w:r>
      <w:r>
        <w:t xml:space="preserve">EC led governance in Option 3 have been further</w:t>
      </w:r>
      <w:r>
        <w:t xml:space="preserve"> </w:t>
      </w:r>
      <w:r>
        <w:t xml:space="preserve">explained. We have clarified that the current</w:t>
      </w:r>
      <w:r>
        <w:t xml:space="preserve"> </w:t>
      </w:r>
      <w:r>
        <w:t xml:space="preserve">interoperability policy contains no formal</w:t>
      </w:r>
      <w:r>
        <w:t xml:space="preserve"> </w:t>
      </w:r>
      <w:r>
        <w:t xml:space="preserve">governance mechanism – it just has the European</w:t>
      </w:r>
      <w:r>
        <w:t xml:space="preserve"> </w:t>
      </w:r>
      <w:r>
        <w:t xml:space="preserve">Interoperability Framework as a guidance</w:t>
      </w:r>
      <w:r>
        <w:t xml:space="preserve"> </w:t>
      </w:r>
      <w:r>
        <w:t xml:space="preserve">document and funding for interoperability</w:t>
      </w:r>
      <w:r>
        <w:t xml:space="preserve"> </w:t>
      </w:r>
      <w:r>
        <w:t xml:space="preserve">projects through the Digital Europe Programme.</w:t>
      </w:r>
      <w:r>
        <w:t xml:space="preserve"> </w:t>
      </w:r>
      <w:r>
        <w:t xml:space="preserve">We have explained how these elements are</w:t>
      </w:r>
      <w:r>
        <w:t xml:space="preserve"> </w:t>
      </w:r>
      <w:r>
        <w:t xml:space="preserve">insufficient for the sustainable design and full</w:t>
      </w:r>
      <w:r>
        <w:t xml:space="preserve"> </w:t>
      </w:r>
      <w:r>
        <w:t xml:space="preserve">take up of interoperable digital services across</w:t>
      </w:r>
      <w:r>
        <w:t xml:space="preserve"> </w:t>
      </w:r>
      <w:r>
        <w:t xml:space="preserve">Europe.</w:t>
      </w:r>
      <w:r>
        <w:br/>
      </w:r>
      <w:r>
        <w:t xml:space="preserve">In the reviewed report we have further explained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Main RSB considerations</w:t>
      </w:r>
      <w:r>
        <w:t xml:space="preserve"> </w:t>
      </w:r>
      <w:r>
        <w:t xml:space="preserve">Changes made to the IA</w:t>
      </w:r>
      <w:r>
        <w:t xml:space="preserve"> </w:t>
      </w:r>
      <w:r>
        <w:t xml:space="preserve">the elements of the proposed measures and</w:t>
      </w:r>
      <w:r>
        <w:t xml:space="preserve"> </w:t>
      </w:r>
      <w:r>
        <w:t xml:space="preserve">shown more clearly how the preferred option is</w:t>
      </w:r>
      <w:r>
        <w:t xml:space="preserve"> </w:t>
      </w:r>
      <w:r>
        <w:t xml:space="preserve">expected to substantially contribute to the</w:t>
      </w:r>
      <w:r>
        <w:t xml:space="preserve"> </w:t>
      </w:r>
      <w:r>
        <w:t xml:space="preserve">specific objective of digital-ready policies</w:t>
      </w:r>
      <w:r>
        <w:t xml:space="preserve"> </w:t>
      </w:r>
      <w:r>
        <w:t xml:space="preserve">complementing the newly introduced EC internal</w:t>
      </w:r>
      <w:r>
        <w:t xml:space="preserve"> </w:t>
      </w:r>
      <w:r>
        <w:t xml:space="preserve">Better</w:t>
      </w:r>
      <w:r>
        <w:t xml:space="preserve"> </w:t>
      </w:r>
      <w:r>
        <w:t xml:space="preserve">Regulation</w:t>
      </w:r>
      <w:r>
        <w:t xml:space="preserve"> </w:t>
      </w:r>
      <w:r>
        <w:t xml:space="preserve">rules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needed</w:t>
      </w:r>
      <w:r>
        <w:t xml:space="preserve"> </w:t>
      </w:r>
      <w:r>
        <w:t xml:space="preserve">cooperation mechanism to put the theory into</w:t>
      </w:r>
      <w:r>
        <w:t xml:space="preserve"> </w:t>
      </w:r>
      <w:r>
        <w:t xml:space="preserve">practice.</w:t>
      </w:r>
      <w:r>
        <w:t xml:space="preserve"> </w:t>
      </w:r>
      <w:r>
        <w:t xml:space="preserve">The report does not sufficiently explain</w:t>
      </w:r>
      <w:r>
        <w:t xml:space="preserve"> </w:t>
      </w:r>
      <w:r>
        <w:t xml:space="preserve">the differences between the different</w:t>
      </w:r>
      <w:r>
        <w:t xml:space="preserve"> </w:t>
      </w:r>
      <w:r>
        <w:t xml:space="preserve">estimates of potential savings. In</w:t>
      </w:r>
      <w:r>
        <w:t xml:space="preserve"> </w:t>
      </w:r>
      <w:r>
        <w:t xml:space="preserve">particular, the report overestimates the</w:t>
      </w:r>
      <w:r>
        <w:t xml:space="preserve"> </w:t>
      </w:r>
      <w:r>
        <w:t xml:space="preserve">savings from interoperability, as it does</w:t>
      </w:r>
      <w:r>
        <w:t xml:space="preserve"> </w:t>
      </w:r>
      <w:r>
        <w:t xml:space="preserve">not disaggregate them from savings of</w:t>
      </w:r>
      <w:r>
        <w:t xml:space="preserve"> </w:t>
      </w:r>
      <w:r>
        <w:t xml:space="preserve">other simplification and digitalisation</w:t>
      </w:r>
      <w:r>
        <w:t xml:space="preserve"> </w:t>
      </w:r>
      <w:r>
        <w:t xml:space="preserve">policies.</w:t>
      </w:r>
      <w:r>
        <w:br/>
      </w:r>
      <w:r>
        <w:t xml:space="preserve">We have highlighted further the expected very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SMEs</w:t>
      </w:r>
      <w:r>
        <w:t xml:space="preserve"> </w:t>
      </w:r>
      <w:r>
        <w:t xml:space="preserve">(that</w:t>
      </w:r>
      <w:r>
        <w:t xml:space="preserve"> </w:t>
      </w:r>
      <w:r>
        <w:t xml:space="preserve">suffer</w:t>
      </w:r>
      <w:r>
        <w:t xml:space="preserve"> </w:t>
      </w:r>
      <w:r>
        <w:t xml:space="preserve">significantly</w:t>
      </w:r>
      <w:r>
        <w:t xml:space="preserve"> </w:t>
      </w:r>
      <w:r>
        <w:t xml:space="preserve">more</w:t>
      </w:r>
      <w:r>
        <w:t xml:space="preserve"> </w:t>
      </w:r>
      <w:r>
        <w:t xml:space="preserve">from</w:t>
      </w:r>
      <w:r>
        <w:t xml:space="preserve"> </w:t>
      </w:r>
      <w:r>
        <w:t xml:space="preserve">‘non-interoperable</w:t>
      </w:r>
      <w:r>
        <w:t xml:space="preserve"> </w:t>
      </w:r>
      <w:r>
        <w:t xml:space="preserve">public administrations’) and enhanced the</w:t>
      </w:r>
      <w:r>
        <w:t xml:space="preserve"> </w:t>
      </w:r>
      <w:r>
        <w:t xml:space="preserve">findings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positive</w:t>
      </w:r>
      <w:r>
        <w:t xml:space="preserve"> </w:t>
      </w:r>
      <w:r>
        <w:t xml:space="preserve">correlation</w:t>
      </w:r>
      <w:r>
        <w:t xml:space="preserve"> </w:t>
      </w:r>
      <w:r>
        <w:t xml:space="preserve">of</w:t>
      </w:r>
      <w:r>
        <w:t xml:space="preserve"> </w:t>
      </w:r>
      <w:r>
        <w:t xml:space="preserve">interoperability and innovation.</w:t>
      </w:r>
      <w:r>
        <w:t xml:space="preserve"> </w:t>
      </w:r>
      <w:r>
        <w:t xml:space="preserve">As seen from the studies and the various</w:t>
      </w:r>
      <w:r>
        <w:t xml:space="preserve"> </w:t>
      </w:r>
      <w:r>
        <w:t xml:space="preserve">quantifications methods we have used to assess</w:t>
      </w:r>
      <w:r>
        <w:t xml:space="preserve"> </w:t>
      </w:r>
      <w:r>
        <w:t xml:space="preserve">impacts, it is extremely difficult to isolate the</w:t>
      </w:r>
      <w:r>
        <w:t xml:space="preserve"> </w:t>
      </w:r>
      <w:r>
        <w:t xml:space="preserve">precise costs and benefits. Interoperability has</w:t>
      </w:r>
      <w:r>
        <w:t xml:space="preserve"> </w:t>
      </w:r>
      <w:r>
        <w:t xml:space="preserve">far-reaching impacts and is a foundational</w:t>
      </w:r>
      <w:r>
        <w:t xml:space="preserve"> </w:t>
      </w:r>
      <w:r>
        <w:t xml:space="preserve">enabler for digitalisation. It’s a key part of many</w:t>
      </w:r>
      <w:r>
        <w:t xml:space="preserve"> </w:t>
      </w:r>
      <w:r>
        <w:t xml:space="preserve">recent</w:t>
      </w:r>
      <w:r>
        <w:t xml:space="preserve"> </w:t>
      </w:r>
      <w:r>
        <w:t xml:space="preserve">EU</w:t>
      </w:r>
      <w:r>
        <w:t xml:space="preserve"> </w:t>
      </w:r>
      <w:r>
        <w:t xml:space="preserve">policies</w:t>
      </w:r>
      <w:r>
        <w:t xml:space="preserve"> </w:t>
      </w:r>
      <w:r>
        <w:t xml:space="preserve">(Data</w:t>
      </w:r>
      <w:r>
        <w:t xml:space="preserve"> </w:t>
      </w:r>
      <w:r>
        <w:t xml:space="preserve">act,</w:t>
      </w:r>
      <w:r>
        <w:t xml:space="preserve"> </w:t>
      </w:r>
      <w:r>
        <w:t xml:space="preserve">Justice</w:t>
      </w:r>
      <w:r>
        <w:t xml:space="preserve"> </w:t>
      </w:r>
      <w:r>
        <w:t xml:space="preserve">digitalisation, digital health, etc.). The policy</w:t>
      </w:r>
      <w:r>
        <w:t xml:space="preserve"> </w:t>
      </w:r>
      <w:r>
        <w:t xml:space="preserve">itself aims to support the deployment of EU</w:t>
      </w:r>
      <w:r>
        <w:t xml:space="preserve"> </w:t>
      </w:r>
      <w:r>
        <w:t xml:space="preserve">policies that are interoperable by design and will</w:t>
      </w:r>
      <w:r>
        <w:t xml:space="preserve"> </w:t>
      </w:r>
      <w:r>
        <w:t xml:space="preserve">start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interoperability specifications and solutions.</w:t>
      </w:r>
      <w:r>
        <w:t xml:space="preserve"> </w:t>
      </w:r>
      <w:r>
        <w:t xml:space="preserve">Nevertheless, we have reviewed further the costs</w:t>
      </w:r>
      <w:r>
        <w:t xml:space="preserve"> </w:t>
      </w:r>
      <w:r>
        <w:t xml:space="preserve">and benefits to try to isolate some of them more</w:t>
      </w:r>
      <w:r>
        <w:t xml:space="preserve"> </w:t>
      </w:r>
      <w:r>
        <w:t xml:space="preserve">specifically.</w:t>
      </w:r>
      <w:r>
        <w:t xml:space="preserve"> </w:t>
      </w:r>
      <w:r>
        <w:t xml:space="preserve">In fact, a streamlined analysis has been</w:t>
      </w:r>
      <w:r>
        <w:t xml:space="preserve"> </w:t>
      </w:r>
      <w:r>
        <w:t xml:space="preserve">conducted with the help of JRC to quantify the</w:t>
      </w:r>
      <w:r>
        <w:t xml:space="preserve"> </w:t>
      </w:r>
      <w:r>
        <w:t xml:space="preserve">cost savings, reusing the study on ‘Quantifying</w:t>
      </w:r>
      <w:r>
        <w:t xml:space="preserve"> </w:t>
      </w:r>
      <w:r>
        <w:t xml:space="preserve">the Benefits of Location Interoperability in the</w:t>
      </w:r>
      <w:r>
        <w:t xml:space="preserve"> </w:t>
      </w:r>
      <w:r>
        <w:t xml:space="preserve">European Union’ by JRC and adapting it to a</w:t>
      </w:r>
      <w:r>
        <w:t xml:space="preserve"> </w:t>
      </w:r>
      <w:r>
        <w:t xml:space="preserve">wider area of digital services related to</w:t>
      </w:r>
      <w:r>
        <w:t xml:space="preserve"> </w:t>
      </w:r>
      <w:r>
        <w:t xml:space="preserve">fundamental administrative procedures stemming</w:t>
      </w:r>
      <w:r>
        <w:t xml:space="preserve"> </w:t>
      </w:r>
      <w:r>
        <w:t xml:space="preserve">from the eGovernment benchmark report. It</w:t>
      </w:r>
      <w:r>
        <w:t xml:space="preserve"> </w:t>
      </w:r>
      <w:r>
        <w:t xml:space="preserve">provides estimates of the number of hours saved</w:t>
      </w:r>
      <w:r>
        <w:t xml:space="preserve"> </w:t>
      </w:r>
      <w:r>
        <w:t xml:space="preserve">and its economic value (in EUR) under two</w:t>
      </w:r>
      <w:r>
        <w:t xml:space="preserve"> </w:t>
      </w:r>
      <w:r>
        <w:t xml:space="preserve">scenarios: a static scenario in which the time</w:t>
      </w:r>
      <w:r>
        <w:t xml:space="preserve"> </w:t>
      </w:r>
      <w:r>
        <w:t xml:space="preserve">saved from interoperability comes only from</w:t>
      </w:r>
      <w:r>
        <w:t xml:space="preserve"> </w:t>
      </w:r>
      <w:r>
        <w:t xml:space="preserve">existing online users, and a dynamic scenario</w:t>
      </w:r>
      <w:r>
        <w:t xml:space="preserve"> </w:t>
      </w:r>
      <w:r>
        <w:t xml:space="preserve">assuming a behavioural change in which the</w:t>
      </w:r>
      <w:r>
        <w:t xml:space="preserve"> </w:t>
      </w:r>
      <w:r>
        <w:t xml:space="preserve">proportion of online users increases. This has</w:t>
      </w:r>
      <w:r>
        <w:t xml:space="preserve"> </w:t>
      </w:r>
      <w:r>
        <w:t xml:space="preserve">been carried out for policy options 2 and 3. The</w:t>
      </w:r>
      <w:r>
        <w:t xml:space="preserve"> </w:t>
      </w:r>
      <w:r>
        <w:t xml:space="preserve">whole methodology and approach is described in</w:t>
      </w:r>
      <w:r>
        <w:t xml:space="preserve"> </w:t>
      </w:r>
      <w:r>
        <w:t xml:space="preserve">detail in Annex IV.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Main RSB considerations</w:t>
      </w:r>
      <w:r>
        <w:t xml:space="preserve"> </w:t>
      </w:r>
      <w:r>
        <w:t xml:space="preserve">Changes made to the IA</w:t>
      </w:r>
      <w:r>
        <w:t xml:space="preserve"> </w:t>
      </w:r>
      <w:r>
        <w:t xml:space="preserve">The report has been reworked to introduce more</w:t>
      </w:r>
      <w:r>
        <w:t xml:space="preserve"> </w:t>
      </w:r>
      <w:r>
        <w:t xml:space="preserve">stakeholder concerns on the various policy</w:t>
      </w:r>
      <w:r>
        <w:t xml:space="preserve"> </w:t>
      </w:r>
      <w:r>
        <w:t xml:space="preserve">options, particularly with regards to expectations</w:t>
      </w:r>
      <w:r>
        <w:t xml:space="preserve"> </w:t>
      </w:r>
      <w:r>
        <w:t xml:space="preserve">from Member States Chief Information Officers</w:t>
      </w:r>
      <w:r>
        <w:t xml:space="preserve"> </w:t>
      </w:r>
      <w:r>
        <w:t xml:space="preserve">which are consistently addressed throughout the</w:t>
      </w:r>
      <w:r>
        <w:t xml:space="preserve"> </w:t>
      </w:r>
      <w:r>
        <w:t xml:space="preserve">report, given their role as core interoperability</w:t>
      </w:r>
      <w:r>
        <w:t xml:space="preserve"> </w:t>
      </w:r>
      <w:r>
        <w:t xml:space="preserve">stakeholders. We have further detailed in the</w:t>
      </w:r>
      <w:r>
        <w:t xml:space="preserve"> </w:t>
      </w:r>
      <w:r>
        <w:t xml:space="preserve">report</w:t>
      </w:r>
      <w:r>
        <w:t xml:space="preserve"> </w:t>
      </w:r>
      <w:r>
        <w:t xml:space="preserve">how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addressed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recommendations issued by the expert group on</w:t>
      </w:r>
      <w:r>
        <w:t xml:space="preserve"> </w:t>
      </w:r>
      <w:r>
        <w:t xml:space="preserve">Interoperability in the proposed policy options</w:t>
      </w:r>
      <w:r>
        <w:t xml:space="preserve"> </w:t>
      </w:r>
      <w:r>
        <w:t xml:space="preserve">and how differing views from stakeholders have</w:t>
      </w:r>
      <w:r>
        <w:t xml:space="preserve"> </w:t>
      </w:r>
      <w:r>
        <w:t xml:space="preserve">been included, particularly on the elements part</w:t>
      </w:r>
      <w:r>
        <w:t xml:space="preserve"> </w:t>
      </w:r>
      <w:r>
        <w:t xml:space="preserve">of the different options.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Commission has been working for more than 25 years now on interoperability at EU</w:t>
      </w:r>
      <w:r>
        <w:t xml:space="preserve"> </w:t>
      </w:r>
      <w:r>
        <w:t xml:space="preserve">level with different stakeholders involved in the digital transformation of the public sector and</w:t>
      </w:r>
      <w:r>
        <w:t xml:space="preserve"> </w:t>
      </w:r>
      <w:r>
        <w:t xml:space="preserve">creation of EU-wide digital public services.</w:t>
      </w:r>
      <w:r>
        <w:br/>
      </w:r>
      <w:r>
        <w:t xml:space="preserve">The evidence used in the Impact Assessment have been collected from the following main</w:t>
      </w:r>
      <w:r>
        <w:t xml:space="preserve"> </w:t>
      </w:r>
      <w:r>
        <w:t xml:space="preserve">sources and has been used at different steps in the preparation of the initiative:</w:t>
      </w:r>
      <w:r>
        <w:t xml:space="preserve"> </w:t>
      </w:r>
      <w:r>
        <w:t xml:space="preserve"> National Interoperability Framework Observatory (NIFO) data collection:</w:t>
      </w:r>
      <w:r>
        <w:t xml:space="preserve"> </w:t>
      </w:r>
      <w:r>
        <w:t xml:space="preserve">o The Digital Public Administration Factsheets collected and published yearly;</w:t>
      </w:r>
      <w:r>
        <w:t xml:space="preserve"> </w:t>
      </w:r>
      <w:r>
        <w:t xml:space="preserve">available on the Joinup platform;154</w:t>
      </w:r>
      <w:r>
        <w:t xml:space="preserve"> </w:t>
      </w:r>
      <w:r>
        <w:t xml:space="preserve">o The European Interoperability Framework (EIF) Monitoring Mechanism;155</w:t>
      </w:r>
      <w:r>
        <w:t xml:space="preserve"> </w:t>
      </w:r>
      <w:r>
        <w:t xml:space="preserve"> Other databases including: Eurostat, the World Bank Worldwide Governance</w:t>
      </w:r>
      <w:r>
        <w:t xml:space="preserve"> </w:t>
      </w:r>
      <w:r>
        <w:t xml:space="preserve">Indicators, United Nations e-Government survey, and the Organisation for Economic</w:t>
      </w:r>
      <w:r>
        <w:t xml:space="preserve"> </w:t>
      </w:r>
      <w:r>
        <w:t xml:space="preserve">Co-operation and Development (OECD) Digital Infrastructure indicators; the datasets</w:t>
      </w:r>
      <w:r>
        <w:t xml:space="preserve"> </w:t>
      </w:r>
      <w:r>
        <w:t xml:space="preserve">related to the e-Government Benchmark reports156;</w:t>
      </w:r>
      <w:r>
        <w:t xml:space="preserve"> </w:t>
      </w:r>
      <w:r>
        <w:t xml:space="preserve"> Expert Group on interoperability of public services inputs and recommendations</w:t>
      </w:r>
      <w:r>
        <w:t xml:space="preserve"> </w:t>
      </w:r>
      <w:r>
        <w:t xml:space="preserve">o The interoperability expert group was created on 14/02/2020 with representatives</w:t>
      </w:r>
      <w:r>
        <w:t xml:space="preserve"> </w:t>
      </w:r>
      <w:r>
        <w:t xml:space="preserve">of the national administrations CIO offices, members appointed for all 27 Member</w:t>
      </w:r>
      <w:r>
        <w:t xml:space="preserve"> </w:t>
      </w:r>
      <w:r>
        <w:t xml:space="preserve">States and observers from EFTA and Western Balkans countries</w:t>
      </w:r>
      <w:r>
        <w:t xml:space="preserve"> </w:t>
      </w:r>
      <w:r>
        <w:t xml:space="preserve">o Position papers from 18 Member States: In December 2020 the Commission</w:t>
      </w:r>
      <w:r>
        <w:t xml:space="preserve"> </w:t>
      </w:r>
      <w:r>
        <w:t xml:space="preserve">kindly asked the members of the expert group to react on a short policy paper with</w:t>
      </w:r>
      <w:r>
        <w:t xml:space="preserve"> </w:t>
      </w:r>
      <w:r>
        <w:t xml:space="preserve">some initial ideas for the next interoperability policy (vision, general approach,</w:t>
      </w:r>
      <w:r>
        <w:t xml:space="preserve"> </w:t>
      </w:r>
      <w:r>
        <w:t xml:space="preserve">policy instruments, etc.);</w:t>
      </w:r>
      <w:r>
        <w:t xml:space="preserve"> </w:t>
      </w:r>
      <w:r>
        <w:t xml:space="preserve">o Co-creation workshops – five informal discussions and brainstorming sessions</w:t>
      </w:r>
      <w:r>
        <w:t xml:space="preserve"> </w:t>
      </w:r>
      <w:r>
        <w:t xml:space="preserve">took place between January and December 2021 with more than 200 participants;</w:t>
      </w:r>
      <w:r>
        <w:t xml:space="preserve"> </w:t>
      </w:r>
      <w:r>
        <w:t xml:space="preserve">o Bilaterals – the Commission organised 26 bilateral calls with 26 different Member</w:t>
      </w:r>
      <w:r>
        <w:t xml:space="preserve"> </w:t>
      </w:r>
      <w:r>
        <w:t xml:space="preserve">States between July and September 2021;</w:t>
      </w:r>
      <w:r>
        <w:t xml:space="preserve"> </w:t>
      </w:r>
      <w:r>
        <w:t xml:space="preserve">o Policy recommendations – they were formally endorsed by consensus of the whole</w:t>
      </w:r>
      <w:r>
        <w:t xml:space="preserve"> </w:t>
      </w:r>
      <w:r>
        <w:t xml:space="preserve">group on the 5th of October 2021. Those recommendations served as a basis to</w:t>
      </w:r>
      <w:r>
        <w:t xml:space="preserve"> </w:t>
      </w:r>
      <w:r>
        <w:t xml:space="preserve">build the draft legal text and the two dedicated workshops.</w:t>
      </w:r>
    </w:p>
    <w:p>
      <w:pPr>
        <w:pStyle w:val="BodyText"/>
      </w:pPr>
      <w:r>
        <w:t xml:space="preserve">154 The factsheets can be consulted on Joinup.</w:t>
      </w:r>
      <w:r>
        <w:t xml:space="preserve"> </w:t>
      </w:r>
      <w:r>
        <w:t xml:space="preserve">155 An overview of the EIF Monitoring Mechanism.</w:t>
      </w:r>
      <w:r>
        <w:t xml:space="preserve"> </w:t>
      </w:r>
      <w:r>
        <w:t xml:space="preserve">156 The e-Government Benchmark datasets are available at: https://digital-agenda-ata.eu/datasets/e-gov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o Two workshops on legal draft – They took place in November 2021 gathering both</w:t>
      </w:r>
      <w:r>
        <w:t xml:space="preserve"> </w:t>
      </w:r>
      <w:r>
        <w:t xml:space="preserve">around 40 external participants each.</w:t>
      </w:r>
      <w:r>
        <w:br/>
      </w:r>
      <w:r>
        <w:t xml:space="preserve"> CEPS external supporting studies - The Commission contracted the Centre for</w:t>
      </w:r>
      <w:r>
        <w:t xml:space="preserve"> </w:t>
      </w:r>
      <w:r>
        <w:t xml:space="preserve">European Policy Studies (CEPS) to conduct three independent supporting studies</w:t>
      </w:r>
      <w:r>
        <w:t xml:space="preserve"> </w:t>
      </w:r>
      <w:r>
        <w:t xml:space="preserve">between September 2020 and October 2021.</w:t>
      </w:r>
      <w:r>
        <w:t xml:space="preserve"> </w:t>
      </w:r>
      <w:r>
        <w:t xml:space="preserve">o Supporting study for the evaluation of the ISA² programme</w:t>
      </w:r>
      <w:r>
        <w:t xml:space="preserve"> </w:t>
      </w:r>
      <w:r>
        <w:t xml:space="preserve">o Supporting study for the evaluation of the EIF</w:t>
      </w:r>
      <w:r>
        <w:t xml:space="preserve"> </w:t>
      </w:r>
      <w:r>
        <w:t xml:space="preserve">o Supporting study on the impact assessment for a future interoperability strategy</w:t>
      </w:r>
      <w:r>
        <w:br/>
      </w:r>
      <w:r>
        <w:t xml:space="preserve"> Joint Research centre (JRC) analysis – JRC has provided extensive support in</w:t>
      </w:r>
      <w:r>
        <w:t xml:space="preserve"> </w:t>
      </w:r>
      <w:r>
        <w:t xml:space="preserve">preparation of the Impact Assessment, in particular with a study on quantifying the</w:t>
      </w:r>
      <w:r>
        <w:t xml:space="preserve"> </w:t>
      </w:r>
      <w:r>
        <w:t xml:space="preserve">benefits of Location Interoperability and general costs of interoperability in the EU (in</w:t>
      </w:r>
      <w:r>
        <w:t xml:space="preserve"> </w:t>
      </w:r>
      <w:r>
        <w:t xml:space="preserve">publication)</w:t>
      </w:r>
      <w:r>
        <w:t xml:space="preserve"> </w:t>
      </w:r>
      <w:r>
        <w:t xml:space="preserve"> Input received to the Inception Impact Assessment feedback period157, 13</w:t>
      </w:r>
      <w:r>
        <w:t xml:space="preserve"> </w:t>
      </w:r>
      <w:r>
        <w:t xml:space="preserve">responses that are summarised in Annex II.</w:t>
      </w:r>
      <w:r>
        <w:t xml:space="preserve"> </w:t>
      </w:r>
      <w:r>
        <w:t xml:space="preserve"> Targeted online survey 94 responses that informed the analysis and the conclusions</w:t>
      </w:r>
      <w:r>
        <w:t xml:space="preserve"> </w:t>
      </w:r>
      <w:r>
        <w:t xml:space="preserve">of the study, summarised in Annex II.</w:t>
      </w:r>
      <w:r>
        <w:t xml:space="preserve"> </w:t>
      </w:r>
      <w:r>
        <w:t xml:space="preserve"> In-depth interviews with 23 experts and stakeholders</w:t>
      </w:r>
      <w:r>
        <w:t xml:space="preserve"> </w:t>
      </w:r>
      <w:r>
        <w:t xml:space="preserve"> Input from Public Consultation launched for 12 weeks, from 01/02/21– 26/04/21,</w:t>
      </w:r>
      <w:r>
        <w:t xml:space="preserve"> </w:t>
      </w:r>
      <w:r>
        <w:t xml:space="preserve">summarised in Annex II.</w:t>
      </w:r>
      <w:r>
        <w:t xml:space="preserve"> </w:t>
      </w:r>
      <w:r>
        <w:t xml:space="preserve"> 4 public workshops: 1 inception workshop and 2 validation workshops in the</w:t>
      </w:r>
      <w:r>
        <w:t xml:space="preserve"> </w:t>
      </w:r>
      <w:r>
        <w:t xml:space="preserve">framework of the DIGITall conference, 1 public expert panel on options for a legal</w:t>
      </w:r>
      <w:r>
        <w:t xml:space="preserve"> </w:t>
      </w:r>
      <w:r>
        <w:t xml:space="preserve">instrument, more than 200 participants overall</w:t>
      </w:r>
      <w:r>
        <w:t xml:space="preserve"> </w:t>
      </w:r>
      <w:r>
        <w:t xml:space="preserve">The Impact Assessment was based on certain assumptions, namely:</w:t>
      </w:r>
      <w:r>
        <w:br/>
      </w:r>
      <w:r>
        <w:t xml:space="preserve"> It was estimated that the number of cross-border cases of usage of digital public</w:t>
      </w:r>
      <w:r>
        <w:t xml:space="preserve"> </w:t>
      </w:r>
      <w:r>
        <w:t xml:space="preserve">services would be growing with the increase of the number of people living and</w:t>
      </w:r>
      <w:r>
        <w:t xml:space="preserve"> </w:t>
      </w:r>
      <w:r>
        <w:t xml:space="preserve">working in a Member State different from the one of their origin and with the increase</w:t>
      </w:r>
      <w:r>
        <w:t xml:space="preserve"> </w:t>
      </w:r>
      <w:r>
        <w:t xml:space="preserve">of the number of people traveling for tourism purposes.</w:t>
      </w:r>
      <w:r>
        <w:t xml:space="preserve"> </w:t>
      </w:r>
      <w:r>
        <w:t xml:space="preserve">The data limitations encountered in this Impact Assessment were the following:</w:t>
      </w:r>
      <w:r>
        <w:br/>
      </w:r>
      <w:r>
        <w:t xml:space="preserve"> lack of data focusing solely on the benefits and costs of interoperability;</w:t>
      </w:r>
      <w:r>
        <w:t xml:space="preserve"> </w:t>
      </w:r>
      <w:r>
        <w:t xml:space="preserve"> lack of comparable data on the costs and benefits of transposing the EIF into national</w:t>
      </w:r>
      <w:r>
        <w:t xml:space="preserve"> </w:t>
      </w:r>
      <w:r>
        <w:t xml:space="preserve">frameworks, due to the voluntary nature and heterogeneous uptake of the framework;</w:t>
      </w:r>
      <w:r>
        <w:t xml:space="preserve"> </w:t>
      </w:r>
      <w:r>
        <w:t xml:space="preserve"> relatively low number of respondents to the different surveys and online consultations;</w:t>
      </w:r>
      <w:r>
        <w:t xml:space="preserve"> </w:t>
      </w:r>
      <w:r>
        <w:t xml:space="preserve"> limited availability of data on local effects. Therefore the analysis focuses mainly on</w:t>
      </w:r>
      <w:r>
        <w:t xml:space="preserve"> </w:t>
      </w:r>
      <w:r>
        <w:t xml:space="preserve">the EU and national levels and may underestimate the calculated costs as it focuses on</w:t>
      </w:r>
      <w:r>
        <w:t xml:space="preserve"> </w:t>
      </w:r>
      <w:r>
        <w:t xml:space="preserve">general costs at the national level.</w:t>
      </w:r>
      <w:r>
        <w:t xml:space="preserve"> </w:t>
      </w:r>
      <w:r>
        <w:t xml:space="preserve">To mitigate the impact of the data limitations (to the extent possible), the external contractor</w:t>
      </w:r>
      <w:r>
        <w:t xml:space="preserve"> </w:t>
      </w:r>
      <w:r>
        <w:t xml:space="preserve">followed up directly with some of the stakeholders to clarify certain aspects via targeted</w:t>
      </w:r>
      <w:r>
        <w:t xml:space="preserve"> </w:t>
      </w:r>
      <w:r>
        <w:t xml:space="preserve">interviews. The Joint Research Centre kindly offered their expertise and has developed a more</w:t>
      </w:r>
      <w:r>
        <w:t xml:space="preserve"> </w:t>
      </w:r>
      <w:r>
        <w:t xml:space="preserve">specific study that took both a qualitative approach (20 use cases on location data</w:t>
      </w:r>
      <w:r>
        <w:t xml:space="preserve"> </w:t>
      </w:r>
      <w:r>
        <w:t xml:space="preserve">interoperability) and quantitative (estimation of general costs of interoperability at EU level).</w:t>
      </w:r>
      <w:r>
        <w:t xml:space="preserve"> </w:t>
      </w:r>
      <w:r>
        <w:t xml:space="preserve">In addition, where quantification of costs and benefits was not feasible, a qualitative approach</w:t>
      </w:r>
      <w:r>
        <w:t xml:space="preserve"> </w:t>
      </w:r>
      <w:r>
        <w:t xml:space="preserve">was chosen instead (description of practices, processes and types of costs and benefits</w:t>
      </w:r>
      <w:r>
        <w:t xml:space="preserve"> </w:t>
      </w:r>
      <w:r>
        <w:t xml:space="preserve">deriving from the options). To increase the number of stakeholders involved an important</w:t>
      </w:r>
      <w:r>
        <w:t xml:space="preserve"> </w:t>
      </w:r>
      <w:r>
        <w:t xml:space="preserve">number of consultation activities public and targeted were put in place.</w:t>
      </w:r>
    </w:p>
    <w:p>
      <w:pPr>
        <w:pStyle w:val="BodyText"/>
      </w:pPr>
      <w:r>
        <w:t xml:space="preserve">157 See relevant web page on Europa Have your say, available here.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Annex II. Stakeholder consultation</w:t>
      </w:r>
      <w:r>
        <w:t xml:space="preserve"> </w:t>
      </w:r>
      <w:r>
        <w:t xml:space="preserve">Summary of the stakeholder strategy</w:t>
      </w:r>
      <w:r>
        <w:t xml:space="preserve"> </w:t>
      </w:r>
      <w:r>
        <w:t xml:space="preserve">A continuous and active stakeholder consultation strategy was designed and followed in</w:t>
      </w:r>
      <w:r>
        <w:t xml:space="preserve"> </w:t>
      </w:r>
      <w:r>
        <w:t xml:space="preserve">preparation for the Impact Assessment on the EU public sector interoperability policy. It was</w:t>
      </w:r>
      <w:r>
        <w:t xml:space="preserve"> </w:t>
      </w:r>
      <w:r>
        <w:t xml:space="preserve">complemented by active communication activities on our dedicated social media channels</w:t>
      </w:r>
      <w:r>
        <w:t xml:space="preserve"> </w:t>
      </w:r>
      <w:r>
        <w:t xml:space="preserve">(Twitter, LinkedIn, YouTube).</w:t>
      </w:r>
      <w:r>
        <w:t xml:space="preserve"> </w:t>
      </w:r>
      <w:r>
        <w:t xml:space="preserve">A broad range of activities were put in place to ensure that all interested parties and</w:t>
      </w:r>
      <w:r>
        <w:t xml:space="preserve"> </w:t>
      </w:r>
      <w:r>
        <w:t xml:space="preserve">stakeholders will have the opportunity to provide feedback on the various policy options that</w:t>
      </w:r>
      <w:r>
        <w:t xml:space="preserve"> </w:t>
      </w:r>
      <w:r>
        <w:t xml:space="preserve">the Commission has identified with regard to its initiative, and their likely impacts, as well as</w:t>
      </w:r>
      <w:r>
        <w:t xml:space="preserve"> </w:t>
      </w:r>
      <w:r>
        <w:t xml:space="preserve">on the relevance, effectiveness, efficiency and the added value of the initiative. In that</w:t>
      </w:r>
      <w:r>
        <w:t xml:space="preserve"> </w:t>
      </w:r>
      <w:r>
        <w:t xml:space="preserve">context, the Commission reached out to a broad range of stakeholders, including Member</w:t>
      </w:r>
      <w:r>
        <w:t xml:space="preserve"> </w:t>
      </w:r>
      <w:r>
        <w:t xml:space="preserve">State national authorities, non-governmental organisations, professional associations, business</w:t>
      </w:r>
      <w:r>
        <w:t xml:space="preserve"> </w:t>
      </w:r>
      <w:r>
        <w:t xml:space="preserve">organisations and individual citizens.</w:t>
      </w:r>
      <w:r>
        <w:t xml:space="preserve"> </w:t>
      </w:r>
      <w:r>
        <w:t xml:space="preserve">To involve a broader range of stakeholders the following consultation activities were</w:t>
      </w:r>
      <w:r>
        <w:t xml:space="preserve"> </w:t>
      </w:r>
      <w:r>
        <w:t xml:space="preserve">conducted:</w:t>
      </w:r>
      <w:r>
        <w:t xml:space="preserve"> </w:t>
      </w:r>
      <w:r>
        <w:t xml:space="preserve"> Public consultation on the inception impact assessment (15/10/21): The key ideas for</w:t>
      </w:r>
      <w:r>
        <w:t xml:space="preserve"> </w:t>
      </w:r>
      <w:r>
        <w:t xml:space="preserve">the review of the European Interoperability Framework and a future policy were</w:t>
      </w:r>
      <w:r>
        <w:t xml:space="preserve"> </w:t>
      </w:r>
      <w:r>
        <w:t xml:space="preserve">outlined in an Inception Impact Assessment (IIA). The published IIA informed</w:t>
      </w:r>
      <w:r>
        <w:t xml:space="preserve"> </w:t>
      </w:r>
      <w:r>
        <w:t xml:space="preserve">citizens and stakeholders about the Commissions’ plans in order to allow them to</w:t>
      </w:r>
      <w:r>
        <w:t xml:space="preserve"> </w:t>
      </w:r>
      <w:r>
        <w:t xml:space="preserve">provide feedback on the intended initiative. This fed into the subsequent consultation</w:t>
      </w:r>
      <w:r>
        <w:t xml:space="preserve"> </w:t>
      </w:r>
      <w:r>
        <w:t xml:space="preserve">activities that ensured an inclusive process with all interested parties being actively</w:t>
      </w:r>
      <w:r>
        <w:t xml:space="preserve"> </w:t>
      </w:r>
      <w:r>
        <w:t xml:space="preserve">invited to contribute.</w:t>
      </w:r>
      <w:r>
        <w:t xml:space="preserve"> </w:t>
      </w:r>
      <w:r>
        <w:t xml:space="preserve"> Online kick-off workshop ‘How interoperability can achieve seamless data flows and</w:t>
      </w:r>
      <w:r>
        <w:t xml:space="preserve"> </w:t>
      </w:r>
      <w:r>
        <w:t xml:space="preserve">services for the EU’s public sector’, conducted on 3 December 2020. It aimed at</w:t>
      </w:r>
      <w:r>
        <w:t xml:space="preserve"> </w:t>
      </w:r>
      <w:r>
        <w:t xml:space="preserve">raising awareness about the EIF evaluation and the impact assessment process and</w:t>
      </w:r>
      <w:r>
        <w:t xml:space="preserve"> </w:t>
      </w:r>
      <w:r>
        <w:t xml:space="preserve">engaging stakeholders in the process.</w:t>
      </w:r>
      <w:r>
        <w:t xml:space="preserve"> </w:t>
      </w:r>
      <w:r>
        <w:t xml:space="preserve"> Online survey (19 January – 7 March 2021), targeting specific stakeholder groups.</w:t>
      </w:r>
      <w:r>
        <w:t xml:space="preserve"> </w:t>
      </w:r>
      <w:r>
        <w:t xml:space="preserve"> In-depth interviews (1 February – 8 March 2021) with 19 selected stakeholders to</w:t>
      </w:r>
      <w:r>
        <w:t xml:space="preserve"> </w:t>
      </w:r>
      <w:r>
        <w:t xml:space="preserve">collect detailed data and information contributing to the EIF evaluation (12</w:t>
      </w:r>
      <w:r>
        <w:t xml:space="preserve"> </w:t>
      </w:r>
      <w:r>
        <w:t xml:space="preserve">stakeholders) and the impact assessment (7 stakeholders), respectively. The interviews</w:t>
      </w:r>
      <w:r>
        <w:t xml:space="preserve"> </w:t>
      </w:r>
      <w:r>
        <w:t xml:space="preserve">are complemented by expert assessments conducted by independent experts who were</w:t>
      </w:r>
      <w:r>
        <w:t xml:space="preserve"> </w:t>
      </w:r>
      <w:r>
        <w:t xml:space="preserve">tasked with, inter alia, completing the questionnaire that served as the basis for the in-</w:t>
      </w:r>
      <w:r>
        <w:t xml:space="preserve"> </w:t>
      </w:r>
      <w:r>
        <w:t xml:space="preserve">depth interviews158.</w:t>
      </w:r>
      <w:r>
        <w:t xml:space="preserve"> </w:t>
      </w:r>
      <w:r>
        <w:t xml:space="preserve"> A 12-week long, Internet-based public consultation (1 February – 26 April 2021),</w:t>
      </w:r>
      <w:r>
        <w:t xml:space="preserve"> </w:t>
      </w:r>
      <w:r>
        <w:t xml:space="preserve">open to the wider public and available in English, German, and French.</w:t>
      </w:r>
      <w:r>
        <w:t xml:space="preserve"> </w:t>
      </w:r>
      <w:r>
        <w:t xml:space="preserve"> Validation workshop in the digitalALL conference159 on 22 April 2021 presenting</w:t>
      </w:r>
      <w:r>
        <w:t xml:space="preserve"> </w:t>
      </w:r>
      <w:r>
        <w:t xml:space="preserve">and validating the outcome of the consultation activities with 126 registered</w:t>
      </w:r>
      <w:r>
        <w:t xml:space="preserve"> </w:t>
      </w:r>
      <w:r>
        <w:t xml:space="preserve">participants.</w:t>
      </w:r>
      <w:r>
        <w:t xml:space="preserve"> </w:t>
      </w:r>
      <w:r>
        <w:t xml:space="preserve"> An innovative co-creation, co-design process has been put in place with the</w:t>
      </w:r>
      <w:r>
        <w:t xml:space="preserve"> </w:t>
      </w:r>
      <w:r>
        <w:t xml:space="preserve">interoperability expert group with Member States. Workshops and roundtables</w:t>
      </w:r>
      <w:r>
        <w:t xml:space="preserve"> </w:t>
      </w:r>
      <w:r>
        <w:t xml:space="preserve">following design-thinking methodologies and participatory practices were led with the</w:t>
      </w:r>
      <w:r>
        <w:t xml:space="preserve"> </w:t>
      </w:r>
      <w:r>
        <w:t xml:space="preserve">experts to discuss and develop the needs for a future interoperability policy: 5</w:t>
      </w:r>
      <w:r>
        <w:t xml:space="preserve"> </w:t>
      </w:r>
      <w:r>
        <w:t xml:space="preserve">brainstorming sessions with more than 200 representatives from Member States, 5</w:t>
      </w:r>
      <w:r>
        <w:t xml:space="preserve"> </w:t>
      </w:r>
      <w:r>
        <w:t xml:space="preserve">formal expert group meetings with also more than 200 participants overall, 18 position</w:t>
      </w:r>
    </w:p>
    <w:p>
      <w:pPr>
        <w:pStyle w:val="BodyText"/>
      </w:pPr>
      <w:r>
        <w:t xml:space="preserve">158</w:t>
      </w:r>
      <w:r>
        <w:br/>
      </w:r>
      <w:r>
        <w:t xml:space="preserve">Five independent experts provided their assessment for the EIF evaluation and four for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159</w:t>
      </w:r>
      <w:r>
        <w:br/>
      </w:r>
      <w:r>
        <w:t xml:space="preserve">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https://app.swapcard.com/event/digitall-</w:t>
      </w:r>
      <w:r>
        <w:t xml:space="preserve"> </w:t>
      </w:r>
      <w:r>
        <w:t xml:space="preserve">public/planning/UGxhbm5pbmdfMzk2Mzcw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papers issued by the Member States, 26 Member States bilaterals throughout the</w:t>
      </w:r>
      <w:r>
        <w:t xml:space="preserve"> </w:t>
      </w:r>
      <w:r>
        <w:t xml:space="preserve">summer of 2021.</w:t>
      </w:r>
      <w:r>
        <w:t xml:space="preserve"> </w:t>
      </w:r>
      <w:r>
        <w:t xml:space="preserve"> The topic was also presented and discussed in 2 meetings of the Chief Information</w:t>
      </w:r>
      <w:r>
        <w:t xml:space="preserve"> </w:t>
      </w:r>
      <w:r>
        <w:t xml:space="preserve">Officers network organised by the Presidencies of the European Council (Portugal -</w:t>
      </w:r>
      <w:r>
        <w:t xml:space="preserve"> </w:t>
      </w:r>
      <w:r>
        <w:t xml:space="preserve">May 2021, Germany - December 2020) and presented to the digital attachés in the</w:t>
      </w:r>
      <w:r>
        <w:t xml:space="preserve"> </w:t>
      </w:r>
      <w:r>
        <w:t xml:space="preserve">Telecom Working Party of the Council in April and November 2021. Member States</w:t>
      </w:r>
      <w:r>
        <w:t xml:space="preserve"> </w:t>
      </w:r>
      <w:r>
        <w:t xml:space="preserve">have provided us with positive and constructive feedback which has been taken into</w:t>
      </w:r>
      <w:r>
        <w:t xml:space="preserve"> </w:t>
      </w:r>
      <w:r>
        <w:t xml:space="preserve">account in the construction of the proposal.</w:t>
      </w:r>
      <w:r>
        <w:t xml:space="preserve"> </w:t>
      </w:r>
      <w:r>
        <w:t xml:space="preserve">Summary of the feedback on the Inception impact assessment</w:t>
      </w:r>
      <w:r>
        <w:t xml:space="preserve"> </w:t>
      </w:r>
      <w:r>
        <w:t xml:space="preserve">Input on the Inception Impact assessment (IIA)</w:t>
      </w:r>
      <w:r>
        <w:t xml:space="preserve"> </w:t>
      </w:r>
      <w:r>
        <w:t xml:space="preserve">In total there were 13 feedback replies on the IIA from 8 different EU countries (3 from</w:t>
      </w:r>
      <w:r>
        <w:t xml:space="preserve"> </w:t>
      </w:r>
      <w:r>
        <w:t xml:space="preserve">Germany, 2 from Spain and Belgium, 1 from each Sweden, Italy, Greece, France and Finland)</w:t>
      </w:r>
      <w:r>
        <w:t xml:space="preserve"> </w:t>
      </w:r>
      <w:r>
        <w:t xml:space="preserve">and one non-EU country (Norway) and different stakeholder groups (see Figure 11).</w:t>
      </w:r>
      <w:r>
        <w:t xml:space="preserve"> </w:t>
      </w:r>
      <w:r>
        <w:t xml:space="preserve">Figure 11. Feedback on the IIA by category of respondent</w:t>
      </w:r>
    </w:p>
    <w:p>
      <w:pPr>
        <w:pStyle w:val="BodyText"/>
      </w:pPr>
      <w:r>
        <w:t xml:space="preserve">Source: Have Your Say Portal</w:t>
      </w:r>
      <w:r>
        <w:t xml:space="preserve"> </w:t>
      </w:r>
      <w:r>
        <w:t xml:space="preserve">The input was relevant for the formulation of problem and objectives as well as for the policy</w:t>
      </w:r>
      <w:r>
        <w:t xml:space="preserve"> </w:t>
      </w:r>
      <w:r>
        <w:t xml:space="preserve">options and the impacts and it is summarized below.</w:t>
      </w:r>
      <w:r>
        <w:t xml:space="preserve"> </w:t>
      </w:r>
      <w:r>
        <w:t xml:space="preserve">On the problems stakeholders highlighted the effects of competing and non-open standards.</w:t>
      </w:r>
      <w:r>
        <w:t xml:space="preserve"> </w:t>
      </w:r>
      <w:r>
        <w:t xml:space="preserve">One stakeholder suggested that the EIF evaluation should include an analysis on the reasons</w:t>
      </w:r>
      <w:r>
        <w:t xml:space="preserve"> </w:t>
      </w:r>
      <w:r>
        <w:t xml:space="preserve">that led to some recommendations to be better implemented than others. This suggestion was</w:t>
      </w:r>
      <w:r>
        <w:t xml:space="preserve"> </w:t>
      </w:r>
      <w:r>
        <w:t xml:space="preserve">taken up in the EIF evaluation.</w:t>
      </w:r>
      <w:r>
        <w:br/>
      </w:r>
      <w:r>
        <w:t xml:space="preserve">On the objectives several stakeholders draw links to public values beyond digitalisation as</w:t>
      </w:r>
      <w:r>
        <w:t xml:space="preserve"> </w:t>
      </w:r>
      <w:r>
        <w:t xml:space="preserve">such. They suggested to highlight the value of interoperability for the democratisation of</w:t>
      </w:r>
      <w:r>
        <w:t xml:space="preserve"> </w:t>
      </w:r>
      <w:r>
        <w:t xml:space="preserve">public knowledge, civil rights, digital involvement of all citizens and diversity.</w:t>
      </w:r>
      <w:r>
        <w:br/>
      </w:r>
      <w:r>
        <w:t xml:space="preserve">One stakeholder suggested to strengthen the ambition of EIF beyond guaranteeing the</w:t>
      </w:r>
      <w:r>
        <w:t xml:space="preserve"> </w:t>
      </w:r>
      <w:r>
        <w:t xml:space="preserve">necessary state tasks, public services should support the optimal processing and easy usage of</w:t>
      </w:r>
      <w:r>
        <w:t xml:space="preserve"> </w:t>
      </w:r>
      <w:r>
        <w:t xml:space="preserve">digital data. In general, most stakeholders advocate to strengthen the principle of openness for</w:t>
      </w:r>
      <w:r>
        <w:t xml:space="preserve"> </w:t>
      </w:r>
      <w:r>
        <w:t xml:space="preserve">the reuse of technical solutions as a core principle. One suggests including codified design</w:t>
      </w:r>
      <w:r>
        <w:t xml:space="preserve"> </w:t>
      </w:r>
      <w:r>
        <w:t xml:space="preserve">principles and to encourage an API centric approach. Another stakeholder suggests that the</w:t>
      </w:r>
      <w:r>
        <w:t xml:space="preserve"> </w:t>
      </w:r>
      <w:r>
        <w:t xml:space="preserve">EIF should more explicitly be also addressed to regions and sectors.</w:t>
      </w:r>
      <w:r>
        <w:t xml:space="preserve"> </w:t>
      </w:r>
      <w:r>
        <w:t xml:space="preserve">Eight of the 13 contributions mention explicitly the need for agreed and open standards.</w:t>
      </w:r>
      <w:r>
        <w:t xml:space="preserve"> </w:t>
      </w:r>
      <w:r>
        <w:t xml:space="preserve">Two stakeholders request to include specific reference to interoperability between</w:t>
      </w:r>
      <w:r>
        <w:t xml:space="preserve"> </w:t>
      </w:r>
      <w:r>
        <w:t xml:space="preserve">blockchains into the EIF with a clear definition and open standards. One stakeholder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highlights that this should include standards around metadata, another the importance of</w:t>
      </w:r>
      <w:r>
        <w:t xml:space="preserve"> </w:t>
      </w:r>
      <w:r>
        <w:t xml:space="preserve">unique and trusted digital identifiers. Two stakeholders ask for more and coordinated</w:t>
      </w:r>
      <w:r>
        <w:t xml:space="preserve"> </w:t>
      </w:r>
      <w:r>
        <w:t xml:space="preserve">involvement of the public sector in standardisation organisations.</w:t>
      </w:r>
      <w:r>
        <w:br/>
      </w:r>
      <w:r>
        <w:t xml:space="preserve">Five stakeholders bring forward the idea of fostering and EU-wide sharing and reuse of</w:t>
      </w:r>
      <w:r>
        <w:t xml:space="preserve"> </w:t>
      </w:r>
      <w:r>
        <w:t xml:space="preserve">mature, reusable and open source interoperable solutions for public administrations. One</w:t>
      </w:r>
      <w:r>
        <w:t xml:space="preserve"> </w:t>
      </w:r>
      <w:r>
        <w:t xml:space="preserve">stakeholder asks to facilitate the multiple use of the same privacy by design infrastructure at</w:t>
      </w:r>
      <w:r>
        <w:t xml:space="preserve"> </w:t>
      </w:r>
      <w:r>
        <w:t xml:space="preserve">no extra cost. The future policy should incentivise the sharing of design costs around usable,</w:t>
      </w:r>
      <w:r>
        <w:t xml:space="preserve"> </w:t>
      </w:r>
      <w:r>
        <w:t xml:space="preserve">trusted and secure solutions also between public and private stakeholders.</w:t>
      </w:r>
      <w:r>
        <w:t xml:space="preserve"> </w:t>
      </w:r>
      <w:r>
        <w:t xml:space="preserve">Three stakeholders mention the need for more guidance on the use of open standards and</w:t>
      </w:r>
      <w:r>
        <w:t xml:space="preserve"> </w:t>
      </w:r>
      <w:r>
        <w:t xml:space="preserve">open source, including clear definitions. One stakeholder asks for a dedicated task force for</w:t>
      </w:r>
      <w:r>
        <w:t xml:space="preserve"> </w:t>
      </w:r>
      <w:r>
        <w:t xml:space="preserve">immediate, middle term and long-term technical assistance at all levels to support any</w:t>
      </w:r>
      <w:r>
        <w:t xml:space="preserve"> </w:t>
      </w:r>
      <w:r>
        <w:t xml:space="preserve">interoperability action, including relevant training resources in the Interoperability Academy.</w:t>
      </w:r>
      <w:r>
        <w:t xml:space="preserve"> </w:t>
      </w:r>
      <w:r>
        <w:t xml:space="preserve">One stakeholder asks for a certification programme for interoperability trainers.</w:t>
      </w:r>
      <w:r>
        <w:t xml:space="preserve"> </w:t>
      </w:r>
      <w:r>
        <w:t xml:space="preserve">Three stakeholders highlight the importance of making the interoperability policy</w:t>
      </w:r>
      <w:r>
        <w:t xml:space="preserve"> </w:t>
      </w:r>
      <w:r>
        <w:t xml:space="preserve">consistent with other EU policies like the EU AI strategy. Two stakeholders brought forward</w:t>
      </w:r>
      <w:r>
        <w:t xml:space="preserve"> </w:t>
      </w:r>
      <w:r>
        <w:t xml:space="preserve">the idea of a reference implementation on the city level published under a free software</w:t>
      </w:r>
      <w:r>
        <w:t xml:space="preserve"> </w:t>
      </w:r>
      <w:r>
        <w:t xml:space="preserve">license which would act as formal specification and can be implemented directly. This idea is</w:t>
      </w:r>
      <w:r>
        <w:t xml:space="preserve"> </w:t>
      </w:r>
      <w:r>
        <w:t xml:space="preserve">mentioned linked to EU policies but also to EIF standards, that should come with at least one</w:t>
      </w:r>
      <w:r>
        <w:t xml:space="preserve"> </w:t>
      </w:r>
      <w:r>
        <w:t xml:space="preserve">Open-Source implementation to confirm its implementability.</w:t>
      </w:r>
      <w:r>
        <w:t xml:space="preserve"> </w:t>
      </w:r>
      <w:r>
        <w:t xml:space="preserve">For the policy instrument two stakeholders suggest a more binding instrument, one of them a</w:t>
      </w:r>
      <w:r>
        <w:t xml:space="preserve"> </w:t>
      </w:r>
      <w:r>
        <w:t xml:space="preserve">consolidated EU Regulation while another sees the risk that a strict legal framework might</w:t>
      </w:r>
      <w:r>
        <w:t xml:space="preserve"> </w:t>
      </w:r>
      <w:r>
        <w:t xml:space="preserve">hinder interoperability – but harmonisation of organisational procedures could be beneficiary.</w:t>
      </w:r>
      <w:r>
        <w:t xml:space="preserve"> </w:t>
      </w:r>
      <w:r>
        <w:t xml:space="preserve">One stakeholder highlights the importance for the different sectors on the example of authors’</w:t>
      </w:r>
      <w:r>
        <w:t xml:space="preserve"> </w:t>
      </w:r>
      <w:r>
        <w:t xml:space="preserve">rights. It asks not only for effective cooperation mechanism but also for effective safeguards</w:t>
      </w:r>
      <w:r>
        <w:t xml:space="preserve"> </w:t>
      </w:r>
      <w:r>
        <w:t xml:space="preserve">to ensure their respect. Another stakeholder has a similar idea in developing a process for</w:t>
      </w:r>
      <w:r>
        <w:t xml:space="preserve"> </w:t>
      </w:r>
      <w:r>
        <w:t xml:space="preserve">assessing compliance with the EIF.</w:t>
      </w:r>
      <w:r>
        <w:br/>
      </w:r>
      <w:r>
        <w:t xml:space="preserve">Stakeholders highlighted the potential impact of a holistic transformation of (digital) public</w:t>
      </w:r>
      <w:r>
        <w:t xml:space="preserve"> </w:t>
      </w:r>
      <w:r>
        <w:t xml:space="preserve">services on the private ICT sector with the potential to create an ecosystem of related apps</w:t>
      </w:r>
      <w:r>
        <w:t xml:space="preserve"> </w:t>
      </w:r>
      <w:r>
        <w:t xml:space="preserve">and services.</w:t>
      </w:r>
      <w:r>
        <w:t xml:space="preserve"> </w:t>
      </w:r>
      <w:r>
        <w:t xml:space="preserve">Consultation activities for the EIF evaluation and Impact assessment</w:t>
      </w:r>
      <w:r>
        <w:t xml:space="preserve"> </w:t>
      </w:r>
      <w:r>
        <w:t xml:space="preserve">The consultation activities led by the contractor targeted several groups of stakeholders.</w:t>
      </w:r>
      <w:r>
        <w:t xml:space="preserve"> </w:t>
      </w:r>
      <w:r>
        <w:t xml:space="preserve">The following grouping is used to analyse the feedback to the consultation activities:</w:t>
      </w:r>
      <w:r>
        <w:t xml:space="preserve"> </w:t>
      </w:r>
      <w:r>
        <w:t xml:space="preserve">o Civil society;</w:t>
      </w:r>
      <w:r>
        <w:t xml:space="preserve"> </w:t>
      </w:r>
      <w:r>
        <w:t xml:space="preserve">o Companies and business associations;</w:t>
      </w:r>
      <w:r>
        <w:t xml:space="preserve"> </w:t>
      </w:r>
      <w:r>
        <w:t xml:space="preserve">o EU and non-EU citizens;</w:t>
      </w:r>
      <w:r>
        <w:t xml:space="preserve"> </w:t>
      </w:r>
      <w:r>
        <w:t xml:space="preserve">o EU public authorities;</w:t>
      </w:r>
      <w:r>
        <w:t xml:space="preserve"> </w:t>
      </w:r>
      <w:r>
        <w:t xml:space="preserve">o Experts and academia (including the independent expert assessments);</w:t>
      </w:r>
      <w:r>
        <w:t xml:space="preserve"> </w:t>
      </w:r>
      <w:r>
        <w:t xml:space="preserve">o National and sub-national public authorities in the Member States.</w:t>
      </w:r>
      <w:r>
        <w:t xml:space="preserve"> </w:t>
      </w:r>
      <w:r>
        <w:t xml:space="preserve">The questionnaires used throughout the consultation activities mainly used Likert scale</w:t>
      </w:r>
      <w:r>
        <w:t xml:space="preserve"> </w:t>
      </w:r>
      <w:r>
        <w:t xml:space="preserve">responses, referring to a scale from (1) to (5), (-2) to (2) or (–) to (++), depending on the type</w:t>
      </w:r>
      <w:r>
        <w:t xml:space="preserve"> </w:t>
      </w:r>
      <w:r>
        <w:t xml:space="preserve">of question160:</w:t>
      </w:r>
      <w:r>
        <w:t xml:space="preserve"> </w:t>
      </w:r>
      <w:r>
        <w:t xml:space="preserve">1. (1) – not at all; (2) – to a limited extent; (3) – to some extent; (4) – to a great extent; or (5)</w:t>
      </w:r>
      <w:r>
        <w:t xml:space="preserve"> </w:t>
      </w:r>
      <w:r>
        <w:t xml:space="preserve">– completely;</w:t>
      </w:r>
    </w:p>
    <w:p>
      <w:pPr>
        <w:pStyle w:val="BodyText"/>
      </w:pPr>
      <w:r>
        <w:t xml:space="preserve">160</w:t>
      </w:r>
      <w:r>
        <w:br/>
      </w:r>
      <w:r>
        <w:t xml:space="preserve">For each question, the respondent also had the possibility to select the answer ‘don’t know/no opinion’.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2. (-2) – definitely would not; (-1) – probably would not; (1) – probably would; (2) –</w:t>
      </w:r>
      <w:r>
        <w:t xml:space="preserve"> </w:t>
      </w:r>
      <w:r>
        <w:t xml:space="preserve">definitely would;</w:t>
      </w:r>
      <w:r>
        <w:t xml:space="preserve"> </w:t>
      </w:r>
      <w:r>
        <w:t xml:space="preserve">3. (–) – very negative; (-) – negative; (+) – positive; (++) – very positive.</w:t>
      </w:r>
      <w:r>
        <w:t xml:space="preserve"> </w:t>
      </w:r>
      <w:r>
        <w:t xml:space="preserve">With a total of 112 respondents for the EIF Evaluation and 134 respondents for the</w:t>
      </w:r>
      <w:r>
        <w:t xml:space="preserve"> </w:t>
      </w:r>
      <w:r>
        <w:t xml:space="preserve">Impact Assessment for a Future Interoperability Strategy, the consultation activities</w:t>
      </w:r>
      <w:r>
        <w:t xml:space="preserve"> </w:t>
      </w:r>
      <w:r>
        <w:t xml:space="preserve">reached all types of stakeholders described in Table 9. In what follows, the feedback received</w:t>
      </w:r>
      <w:r>
        <w:t xml:space="preserve"> </w:t>
      </w:r>
      <w:r>
        <w:t xml:space="preserve">during the consultation activities are presented according to the type of consultation, i.e. </w:t>
      </w:r>
      <w:r>
        <w:t xml:space="preserve"> </w:t>
      </w:r>
      <w:r>
        <w:t xml:space="preserve">public versus targeted consultation161. Feedback received during in-depth interviews are</w:t>
      </w:r>
      <w:r>
        <w:t xml:space="preserve"> </w:t>
      </w:r>
      <w:r>
        <w:t xml:space="preserve">grouped together with those from the targeted online survey since both consultation activities</w:t>
      </w:r>
      <w:r>
        <w:t xml:space="preserve"> </w:t>
      </w:r>
      <w:r>
        <w:t xml:space="preserve">were based on the same questionnaire; only more qualitative feedback was sought in the in-</w:t>
      </w:r>
      <w:r>
        <w:t xml:space="preserve"> </w:t>
      </w:r>
      <w:r>
        <w:t xml:space="preserve">depth interviews.</w:t>
      </w:r>
      <w:r>
        <w:t xml:space="preserve"> </w:t>
      </w:r>
      <w:r>
        <w:t xml:space="preserve">Table 9. Overview of responses to the EIF Evaluation (EIF) and the Impact Assessment</w:t>
      </w:r>
      <w:r>
        <w:t xml:space="preserve"> </w:t>
      </w:r>
      <w:r>
        <w:t xml:space="preserve">(IA) by stakeholder group</w:t>
      </w:r>
      <w:r>
        <w:t xml:space="preserve"> </w:t>
      </w:r>
      <w:r>
        <w:t xml:space="preserve">Consultation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In-depth</w:t>
      </w:r>
      <w:r>
        <w:t xml:space="preserve"> </w:t>
      </w:r>
      <w:r>
        <w:t xml:space="preserve">interview</w:t>
      </w:r>
      <w:r>
        <w:t xml:space="preserve"> </w:t>
      </w:r>
      <w:r>
        <w:t xml:space="preserve">Online survey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TOTAL</w:t>
      </w:r>
      <w:r>
        <w:t xml:space="preserve"> </w:t>
      </w:r>
      <w:r>
        <w:t xml:space="preserve">EIF</w:t>
      </w:r>
      <w:r>
        <w:t xml:space="preserve"> </w:t>
      </w:r>
      <w:r>
        <w:t xml:space="preserve">IA</w:t>
      </w:r>
      <w:r>
        <w:t xml:space="preserve"> </w:t>
      </w:r>
      <w:r>
        <w:t xml:space="preserve">EIF</w:t>
      </w:r>
      <w:r>
        <w:t xml:space="preserve"> </w:t>
      </w:r>
      <w:r>
        <w:t xml:space="preserve">IA</w:t>
      </w:r>
      <w:r>
        <w:t xml:space="preserve"> </w:t>
      </w:r>
      <w:r>
        <w:t xml:space="preserve">EIF</w:t>
      </w:r>
      <w:r>
        <w:t xml:space="preserve"> </w:t>
      </w:r>
      <w:r>
        <w:t xml:space="preserve">IA</w:t>
      </w:r>
      <w:r>
        <w:t xml:space="preserve"> </w:t>
      </w:r>
      <w:r>
        <w:t xml:space="preserve">EIF</w:t>
      </w:r>
      <w:r>
        <w:t xml:space="preserve"> </w:t>
      </w:r>
      <w:r>
        <w:t xml:space="preserve">IA</w:t>
      </w:r>
      <w:r>
        <w:t xml:space="preserve"> </w:t>
      </w:r>
      <w:r>
        <w:t xml:space="preserve">Civil society (all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stakeholders)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  <w:r>
        <w:t xml:space="preserve"> </w:t>
      </w:r>
      <w:r>
        <w:t xml:space="preserve">18</w:t>
      </w:r>
      <w:r>
        <w:t xml:space="preserve"> </w:t>
      </w:r>
      <w:r>
        <w:t xml:space="preserve">EU and non-EU</w:t>
      </w:r>
      <w:r>
        <w:t xml:space="preserve"> </w:t>
      </w:r>
      <w:r>
        <w:t xml:space="preserve">citizens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18</w:t>
      </w:r>
      <w:r>
        <w:t xml:space="preserve"> </w:t>
      </w:r>
      <w:r>
        <w:t xml:space="preserve">31</w:t>
      </w:r>
      <w:r>
        <w:t xml:space="preserve"> </w:t>
      </w:r>
      <w:r>
        <w:t xml:space="preserve">20</w:t>
      </w:r>
      <w:r>
        <w:t xml:space="preserve"> </w:t>
      </w:r>
      <w:r>
        <w:t xml:space="preserve">35</w:t>
      </w:r>
      <w:r>
        <w:t xml:space="preserve"> </w:t>
      </w:r>
      <w:r>
        <w:t xml:space="preserve">EU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Experts</w:t>
      </w:r>
      <w:r>
        <w:t xml:space="preserve"> </w:t>
      </w:r>
      <w:r>
        <w:t xml:space="preserve">and</w:t>
      </w:r>
      <w:r>
        <w:t xml:space="preserve"> </w:t>
      </w:r>
      <w:r>
        <w:t xml:space="preserve">academia</w:t>
      </w:r>
      <w:r>
        <w:t xml:space="preserve"> </w:t>
      </w:r>
      <w:r>
        <w:t xml:space="preserve">6*</w:t>
      </w:r>
      <w:r>
        <w:t xml:space="preserve"> </w:t>
      </w:r>
      <w:r>
        <w:t xml:space="preserve">6*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National</w:t>
      </w:r>
      <w:r>
        <w:t xml:space="preserve"> </w:t>
      </w:r>
      <w:r>
        <w:t xml:space="preserve">and</w:t>
      </w:r>
      <w:r>
        <w:t xml:space="preserve"> </w:t>
      </w:r>
      <w:r>
        <w:t xml:space="preserve">sub-national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25**</w:t>
      </w:r>
      <w:r>
        <w:t xml:space="preserve"> </w:t>
      </w:r>
      <w:r>
        <w:t xml:space="preserve">28**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39</w:t>
      </w:r>
      <w:r>
        <w:t xml:space="preserve"> </w:t>
      </w:r>
      <w:r>
        <w:t xml:space="preserve">44</w:t>
      </w:r>
      <w:r>
        <w:t xml:space="preserve"> </w:t>
      </w:r>
      <w:r>
        <w:t xml:space="preserve">TOTAL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44</w:t>
      </w:r>
      <w:r>
        <w:t xml:space="preserve"> </w:t>
      </w:r>
      <w:r>
        <w:t xml:space="preserve">50</w:t>
      </w:r>
      <w:r>
        <w:t xml:space="preserve"> </w:t>
      </w:r>
      <w:r>
        <w:t xml:space="preserve">55</w:t>
      </w:r>
      <w:r>
        <w:t xml:space="preserve"> </w:t>
      </w:r>
      <w:r>
        <w:t xml:space="preserve">73</w:t>
      </w:r>
      <w:r>
        <w:t xml:space="preserve"> </w:t>
      </w:r>
      <w:r>
        <w:t xml:space="preserve">112</w:t>
      </w:r>
      <w:r>
        <w:t xml:space="preserve"> </w:t>
      </w:r>
      <w:r>
        <w:t xml:space="preserve">134</w:t>
      </w:r>
      <w:r>
        <w:t xml:space="preserve"> </w:t>
      </w:r>
      <w:r>
        <w:t xml:space="preserve">*The six in-depth interviews include the five expert assessments.</w:t>
      </w:r>
      <w:r>
        <w:t xml:space="preserve"> </w:t>
      </w:r>
      <w:r>
        <w:t xml:space="preserve">**One follow-up interview to the targeted online survey was conducted in the scope of the EIF Evaluation and</w:t>
      </w:r>
      <w:r>
        <w:t xml:space="preserve"> </w:t>
      </w:r>
      <w:r>
        <w:t xml:space="preserve">one was conducted in the scope of the Impact Assessment.</w:t>
      </w:r>
      <w:r>
        <w:t xml:space="preserve"> </w:t>
      </w:r>
      <w:r>
        <w:t xml:space="preserve">Source: Study supporting the impact assessment for a future interoperability strategy</w:t>
      </w:r>
      <w:r>
        <w:t xml:space="preserve"> </w:t>
      </w:r>
      <w:r>
        <w:t xml:space="preserve">In the public consultations, feedback was received from 13 Member States, with the highest</w:t>
      </w:r>
      <w:r>
        <w:t xml:space="preserve"> </w:t>
      </w:r>
      <w:r>
        <w:t xml:space="preserve">number of received answers from Spain (see Figure 12). In addition, six respondents are non-</w:t>
      </w:r>
      <w:r>
        <w:t xml:space="preserve"> </w:t>
      </w:r>
      <w:r>
        <w:t xml:space="preserve">EU citizens. For the work with the Expert Group all 27 Member States provided input.</w:t>
      </w:r>
    </w:p>
    <w:p>
      <w:pPr>
        <w:pStyle w:val="BodyText"/>
      </w:pPr>
      <w:r>
        <w:t xml:space="preserve">161</w:t>
      </w:r>
      <w:r>
        <w:br/>
      </w:r>
      <w:r>
        <w:t xml:space="preserve">Averages do not account for respondents answering ‘don’t know/no opinion’.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Figure 12. Geographical distribution per stakeholders’ category</w:t>
      </w:r>
    </w:p>
    <w:p>
      <w:pPr>
        <w:pStyle w:val="BodyText"/>
      </w:pPr>
      <w:r>
        <w:t xml:space="preserve">Source: Study supporting the impact assessment for a future interoperability strategy</w:t>
      </w:r>
      <w:r>
        <w:t xml:space="preserve"> </w:t>
      </w:r>
      <w:r>
        <w:t xml:space="preserve">The group of respondents to the public consultations from public authorities includes a mix of</w:t>
      </w:r>
      <w:r>
        <w:t xml:space="preserve"> </w:t>
      </w:r>
      <w:r>
        <w:t xml:space="preserve">administrations exercising at the international (3 respondents), national (4 respondents),</w:t>
      </w:r>
      <w:r>
        <w:t xml:space="preserve"> </w:t>
      </w:r>
      <w:r>
        <w:t xml:space="preserve">regional (6 respondents) and local (3 respondents) levels (see Figure 13).</w:t>
      </w:r>
      <w:r>
        <w:t xml:space="preserve"> </w:t>
      </w:r>
      <w:r>
        <w:t xml:space="preserve">Figure 13. Scope of public authorities (share of respondents and number of respondents in</w:t>
      </w:r>
      <w:r>
        <w:t xml:space="preserve"> </w:t>
      </w:r>
      <w:r>
        <w:t xml:space="preserve">brackets)</w:t>
      </w:r>
    </w:p>
    <w:p>
      <w:pPr>
        <w:pStyle w:val="BodyText"/>
      </w:pPr>
      <w:r>
        <w:t xml:space="preserve">Source: Study supporting the impact assessment for a future interoperability strategy</w:t>
      </w:r>
      <w:r>
        <w:t xml:space="preserve"> </w:t>
      </w:r>
      <w:r>
        <w:t xml:space="preserve">On average, respondents have a good level of knowledge in the field, noting they are familiar</w:t>
      </w:r>
      <w:r>
        <w:t xml:space="preserve"> </w:t>
      </w:r>
      <w:r>
        <w:t xml:space="preserve">to a great extent with digital public services and interoperability (see Figure 14). When it</w:t>
      </w:r>
      <w:r>
        <w:t xml:space="preserve"> </w:t>
      </w:r>
      <w:r>
        <w:t xml:space="preserve">comes to specific knowledge about the EIF, the difference between the respondents to the</w:t>
      </w:r>
      <w:r>
        <w:t xml:space="preserve"> </w:t>
      </w:r>
      <w:r>
        <w:t xml:space="preserve">targeted consultation and those contributing to the public consultation is more pronounced,</w:t>
      </w:r>
      <w:r>
        <w:t xml:space="preserve"> </w:t>
      </w:r>
      <w:r>
        <w:t xml:space="preserve">with respondents to the public consultation reflecting a relatively lower level of knowledge</w:t>
      </w:r>
      <w:r>
        <w:t xml:space="preserve"> </w:t>
      </w:r>
      <w:r>
        <w:t xml:space="preserve">(see Figure 15). Nevertheless, the consulted stakeholders are on average familiar at least to</w:t>
      </w:r>
      <w:r>
        <w:t xml:space="preserve"> </w:t>
      </w:r>
      <w:r>
        <w:t xml:space="preserve">some extent with the EIF.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Figure 14. Knowledge of digital public services and interoperability (breakdown by type of</w:t>
      </w:r>
      <w:r>
        <w:t xml:space="preserve"> </w:t>
      </w:r>
      <w:r>
        <w:t xml:space="preserve">consultation; average score and 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</w:t>
      </w:r>
      <w:r>
        <w:t xml:space="preserve"> </w:t>
      </w:r>
      <w:r>
        <w:t xml:space="preserve">Source: Study supporting the impact assessment for a future interoperability strategy</w:t>
      </w:r>
      <w:r>
        <w:t xml:space="preserve"> </w:t>
      </w:r>
      <w:r>
        <w:t xml:space="preserve">Figure 15. Knowledge of the EIF (breakdown by type of consultation; average score and</w:t>
      </w:r>
      <w:r>
        <w:t xml:space="preserve"> </w:t>
      </w:r>
      <w:r>
        <w:t xml:space="preserve">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</w:t>
      </w:r>
      <w:r>
        <w:br/>
      </w:r>
      <w:r>
        <w:t xml:space="preserve">Source: Study supporting the impact assessment for a future interoperability strategy</w:t>
      </w:r>
      <w:r>
        <w:t xml:space="preserve"> </w:t>
      </w:r>
      <w:r>
        <w:t xml:space="preserve">Results: EIF Evaluation</w:t>
      </w:r>
      <w:r>
        <w:t xml:space="preserve"> </w:t>
      </w:r>
      <w:r>
        <w:t xml:space="preserve">The framework is deemed to be relevant to some extent. The needs and problems originally</w:t>
      </w:r>
      <w:r>
        <w:t xml:space="preserve"> </w:t>
      </w:r>
      <w:r>
        <w:t xml:space="preserve">identified by the EIF continue to be experienced across the relevant stakeholders and the</w:t>
      </w:r>
      <w:r>
        <w:t xml:space="preserve"> </w:t>
      </w:r>
      <w:r>
        <w:t xml:space="preserve">framework has only partially addressed them (see Figure 16). Respondents to the targeted</w:t>
      </w:r>
      <w:r>
        <w:t xml:space="preserve"> </w:t>
      </w:r>
      <w:r>
        <w:t xml:space="preserve">consultations call for more guidance for public administrations to improve the governance of</w:t>
      </w:r>
      <w:r>
        <w:t xml:space="preserve"> </w:t>
      </w:r>
      <w:r>
        <w:t xml:space="preserve">their interoperability activities and address the problems linked to the fragmentation in the</w:t>
      </w:r>
      <w:r>
        <w:t xml:space="preserve"> </w:t>
      </w:r>
      <w:r>
        <w:t xml:space="preserve">delivery of digital public services and the organisation and format of public data. Public</w:t>
      </w:r>
      <w:r>
        <w:t xml:space="preserve"> </w:t>
      </w:r>
      <w:r>
        <w:t xml:space="preserve">administrations particularly point to the need for more cooperation, especially in specific</w:t>
      </w:r>
      <w:r>
        <w:t xml:space="preserve"> </w:t>
      </w:r>
      <w:r>
        <w:t xml:space="preserve">sectors (e.g., health). Several other needs were highlighted, such as the need to increase</w:t>
      </w:r>
      <w:r>
        <w:t xml:space="preserve"> </w:t>
      </w:r>
      <w:r>
        <w:t xml:space="preserve">awareness, for staff with IT skills in public administrations and to build investment capacity</w:t>
      </w:r>
      <w:r>
        <w:t xml:space="preserve"> </w:t>
      </w:r>
      <w:r>
        <w:t xml:space="preserve">to keep pace with rapid technological change and bridge technological barriers.</w:t>
      </w:r>
      <w:r>
        <w:t xml:space="preserve"> </w:t>
      </w:r>
      <w:r>
        <w:t xml:space="preserve">Figure 16. Extent to which the following needs and problems are currently experienced by</w:t>
      </w:r>
      <w:r>
        <w:t xml:space="preserve"> </w:t>
      </w:r>
      <w:r>
        <w:t xml:space="preserve">European public administrations, businesses and/or citizens (breakdown by type of</w:t>
      </w:r>
      <w:r>
        <w:t xml:space="preserve"> </w:t>
      </w:r>
      <w:r>
        <w:t xml:space="preserve">consultation; average score and number of respondents)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Score: (1) not at all; (2) to a limited extent; (3) to some extent; (4) to a great extent; or (5) completely.</w:t>
      </w:r>
      <w:r>
        <w:br/>
      </w:r>
      <w:r>
        <w:t xml:space="preserve">Source: Study supporting the evaluation of the implementation of the EIF</w:t>
      </w:r>
      <w:r>
        <w:t xml:space="preserve"> </w:t>
      </w:r>
      <w:r>
        <w:t xml:space="preserve">Stakeholders participating in both consultations consider that the recommendations of the EIF</w:t>
      </w:r>
      <w:r>
        <w:t xml:space="preserve"> </w:t>
      </w:r>
      <w:r>
        <w:t xml:space="preserve">have been effective to some extent in achieving the objectives (see Figure 17). However, the</w:t>
      </w:r>
      <w:r>
        <w:t xml:space="preserve"> </w:t>
      </w:r>
      <w:r>
        <w:t xml:space="preserve">EIF has been seeking to achieve broad objectives and the recommendations require more</w:t>
      </w:r>
      <w:r>
        <w:t xml:space="preserve"> </w:t>
      </w:r>
      <w:r>
        <w:t xml:space="preserve">granularity. The targeted consultation generally emphasises the contribution of the framework</w:t>
      </w:r>
      <w:r>
        <w:t xml:space="preserve"> </w:t>
      </w:r>
      <w:r>
        <w:t xml:space="preserve">to raising awareness of the importance of cross-border interoperability, although more needs</w:t>
      </w:r>
      <w:r>
        <w:t xml:space="preserve"> </w:t>
      </w:r>
      <w:r>
        <w:t xml:space="preserve">to be done at the sub-national level. The principles set out by the EIF have enhanced</w:t>
      </w:r>
      <w:r>
        <w:t xml:space="preserve"> </w:t>
      </w:r>
      <w:r>
        <w:t xml:space="preserve">interoperable digital public services but are difficult to assess due to their abstract nature or</w:t>
      </w:r>
      <w:r>
        <w:t xml:space="preserve"> </w:t>
      </w:r>
      <w:r>
        <w:t xml:space="preserve">still limited achievements. Stakeholders call for more clarification when it comes to</w:t>
      </w:r>
      <w:r>
        <w:t xml:space="preserve"> </w:t>
      </w:r>
      <w:r>
        <w:t xml:space="preserve">transparency, technological neutrality and user-centricity. The layered interoperability and the</w:t>
      </w:r>
      <w:r>
        <w:t xml:space="preserve"> </w:t>
      </w:r>
      <w:r>
        <w:t xml:space="preserve">conceptual model could be improved with more practical guidance for implementing the</w:t>
      </w:r>
      <w:r>
        <w:t xml:space="preserve"> </w:t>
      </w:r>
      <w:r>
        <w:t xml:space="preserve">models. Overall, positive impacts have been experienced across stakeholders, in particular in</w:t>
      </w:r>
      <w:r>
        <w:t xml:space="preserve"> </w:t>
      </w:r>
      <w:r>
        <w:t xml:space="preserve">enhancing the quality of services provided by public administrations and in fostering the free</w:t>
      </w:r>
      <w:r>
        <w:t xml:space="preserve"> </w:t>
      </w:r>
      <w:r>
        <w:t xml:space="preserve">movement of goods, services, capital and workers across the EU. Nevertheless, more could be</w:t>
      </w:r>
      <w:r>
        <w:t xml:space="preserve"> </w:t>
      </w:r>
      <w:r>
        <w:t xml:space="preserve">achieved to increase the direct and indirect benefits gained by stakeholders.</w:t>
      </w:r>
      <w:r>
        <w:t xml:space="preserve"> </w:t>
      </w:r>
      <w:r>
        <w:t xml:space="preserve">Figure 17. Extent to which the recommendations listed in the EIF have contributed so far</w:t>
      </w:r>
      <w:r>
        <w:t xml:space="preserve"> </w:t>
      </w:r>
      <w:r>
        <w:t xml:space="preserve">to the achievement of the following objectives (breakdown by type of consultation; average</w:t>
      </w:r>
      <w:r>
        <w:t xml:space="preserve"> </w:t>
      </w:r>
      <w:r>
        <w:t xml:space="preserve">score and 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</w:t>
      </w:r>
      <w:r>
        <w:t xml:space="preserve"> </w:t>
      </w:r>
      <w:r>
        <w:t xml:space="preserve">Source: Study supporting the evaluation of the implementation of the EIF</w:t>
      </w:r>
      <w:r>
        <w:t xml:space="preserve"> </w:t>
      </w:r>
      <w:r>
        <w:t xml:space="preserve">Although costs and benefits are difficult to assess due to a plethora of factors, stakeholders</w:t>
      </w:r>
      <w:r>
        <w:t xml:space="preserve"> </w:t>
      </w:r>
      <w:r>
        <w:t xml:space="preserve">participating in the targeted consultation acknowledge that, in the long run, the EIF brings</w:t>
      </w:r>
      <w:r>
        <w:t xml:space="preserve"> </w:t>
      </w:r>
      <w:r>
        <w:t xml:space="preserve">benefits that exceed the cost of implementation. The EIF results in efficiency gains by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supporting data re-use, enabling synergies in implementing and designing new services and</w:t>
      </w:r>
      <w:r>
        <w:t xml:space="preserve"> </w:t>
      </w:r>
      <w:r>
        <w:t xml:space="preserve">streamlining administrative procedures. A representative from a national public</w:t>
      </w:r>
      <w:r>
        <w:t xml:space="preserve"> </w:t>
      </w:r>
      <w:r>
        <w:t xml:space="preserve">administration noted that the costs of several ICT projects have been eliminated due to timely</w:t>
      </w:r>
      <w:r>
        <w:t xml:space="preserve"> </w:t>
      </w:r>
      <w:r>
        <w:t xml:space="preserve">considerations of interoperability. The costs of implementing the framework are relatively</w:t>
      </w:r>
      <w:r>
        <w:t xml:space="preserve"> </w:t>
      </w:r>
      <w:r>
        <w:t xml:space="preserve">moderate, both at the national and EU levels; initial investments can be challenging, but over</w:t>
      </w:r>
      <w:r>
        <w:t xml:space="preserve"> </w:t>
      </w:r>
      <w:r>
        <w:t xml:space="preserve">time the benefits outweigh the costs and expand beyond a single administration.</w:t>
      </w:r>
      <w:r>
        <w:t xml:space="preserve"> </w:t>
      </w:r>
      <w:r>
        <w:t xml:space="preserve">In terms of internal coherence, the respondents consider that the components of the EIF are</w:t>
      </w:r>
      <w:r>
        <w:t xml:space="preserve"> </w:t>
      </w:r>
      <w:r>
        <w:t xml:space="preserve">generally synergetic (see Figure 18); the framework could be improved by better linking the</w:t>
      </w:r>
      <w:r>
        <w:t xml:space="preserve"> </w:t>
      </w:r>
      <w:r>
        <w:t xml:space="preserve">conceptual model with the principles and the layered interoperability model. In addition,</w:t>
      </w:r>
      <w:r>
        <w:t xml:space="preserve"> </w:t>
      </w:r>
      <w:r>
        <w:t xml:space="preserve">clarification of some thematically overlapping sets of recommendations would make the</w:t>
      </w:r>
      <w:r>
        <w:t xml:space="preserve"> </w:t>
      </w:r>
      <w:r>
        <w:t xml:space="preserve">framework more actionable. At the level of external coherence, synergies are identified with</w:t>
      </w:r>
      <w:r>
        <w:t xml:space="preserve"> </w:t>
      </w:r>
      <w:r>
        <w:t xml:space="preserve">the Single Digital Gateway, the Digital Single Market Strategy and the Data Strategy;</w:t>
      </w:r>
      <w:r>
        <w:t xml:space="preserve"> </w:t>
      </w:r>
      <w:r>
        <w:t xml:space="preserve">overlaps and inconsistencies remain limited, but challenges may arise within own frameworks</w:t>
      </w:r>
      <w:r>
        <w:t xml:space="preserve"> </w:t>
      </w:r>
      <w:r>
        <w:t xml:space="preserve">that are developed as part of sectoral initiatives (see Figure 18).</w:t>
      </w:r>
      <w:r>
        <w:t xml:space="preserve"> </w:t>
      </w:r>
      <w:r>
        <w:t xml:space="preserve">Figure 18. Extent to which there are synergies, overlaps between the EIF and other EU</w:t>
      </w:r>
      <w:r>
        <w:t xml:space="preserve"> </w:t>
      </w:r>
      <w:r>
        <w:t xml:space="preserve">initiatives with similar objective (breakdown by type of consultation; average score and</w:t>
      </w:r>
      <w:r>
        <w:t xml:space="preserve"> </w:t>
      </w:r>
      <w:r>
        <w:t xml:space="preserve">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</w:t>
      </w:r>
      <w:r>
        <w:br/>
      </w:r>
      <w:r>
        <w:t xml:space="preserve">Source: Study supporting the evaluation of the implementation of the EIF</w:t>
      </w:r>
      <w:r>
        <w:t xml:space="preserve"> </w:t>
      </w:r>
      <w:r>
        <w:t xml:space="preserve">Finally, respondents to both types of consultations generally agree that national or sub-</w:t>
      </w:r>
      <w:r>
        <w:t xml:space="preserve"> </w:t>
      </w:r>
      <w:r>
        <w:t xml:space="preserve">national initiatives would bring only limited contributions to the objectives pursued by the</w:t>
      </w:r>
      <w:r>
        <w:t xml:space="preserve"> </w:t>
      </w:r>
      <w:r>
        <w:t xml:space="preserve">EIF, confirming its EU added value (see Figure 19). In particular, the cross-border dimension</w:t>
      </w:r>
      <w:r>
        <w:t xml:space="preserve"> </w:t>
      </w:r>
      <w:r>
        <w:t xml:space="preserve">cannot be achieved solely by national or sub-national administrations. The EIF is not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sufficiently used across areas and by Commission services. Furthermore, cross-border</w:t>
      </w:r>
      <w:r>
        <w:t xml:space="preserve"> </w:t>
      </w:r>
      <w:r>
        <w:t xml:space="preserve">interoperability remains limited and is driven by specific sectoral needs.</w:t>
      </w:r>
      <w:r>
        <w:t xml:space="preserve"> </w:t>
      </w:r>
      <w:r>
        <w:t xml:space="preserve">Figure 19. Extent to which national or sub-national interventions (in the absence of the</w:t>
      </w:r>
      <w:r>
        <w:t xml:space="preserve"> </w:t>
      </w:r>
      <w:r>
        <w:t xml:space="preserve">EIF) would be able to achieve the following objectives (breakdown by type of consultation;</w:t>
      </w:r>
      <w:r>
        <w:t xml:space="preserve"> </w:t>
      </w:r>
      <w:r>
        <w:t xml:space="preserve">average score and 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</w:t>
      </w:r>
      <w:r>
        <w:br/>
      </w:r>
      <w:r>
        <w:t xml:space="preserve">Source: Study supporting the evaluation of the implementation of the EIF</w:t>
      </w:r>
      <w:r>
        <w:t xml:space="preserve"> </w:t>
      </w:r>
      <w:r>
        <w:t xml:space="preserve">Results: Impact Assessment</w:t>
      </w:r>
      <w:r>
        <w:t xml:space="preserve"> </w:t>
      </w:r>
      <w:r>
        <w:t xml:space="preserve">On average, there is broad agreement among respondents that the specific objectives defined</w:t>
      </w:r>
      <w:r>
        <w:t xml:space="preserve"> </w:t>
      </w:r>
      <w:r>
        <w:t xml:space="preserve">by the impact assessment are largely relevant, with the caveat that many of these objectives</w:t>
      </w:r>
      <w:r>
        <w:t xml:space="preserve"> </w:t>
      </w:r>
      <w:r>
        <w:t xml:space="preserve">are interrelated and cannot be achieved separately. Several additional objectives are</w:t>
      </w:r>
      <w:r>
        <w:t xml:space="preserve"> </w:t>
      </w:r>
      <w:r>
        <w:t xml:space="preserve">mentioned by stakeholders participating in both consultations: the development and</w:t>
      </w:r>
      <w:r>
        <w:t xml:space="preserve"> </w:t>
      </w:r>
      <w:r>
        <w:t xml:space="preserve">promotion of specific standards and guidelines that could guide public administrations</w:t>
      </w:r>
      <w:r>
        <w:t xml:space="preserve"> </w:t>
      </w:r>
      <w:r>
        <w:t xml:space="preserve">towards interoperability-by-design, a shift towards pro-active and self-sovereign services,</w:t>
      </w:r>
      <w:r>
        <w:t xml:space="preserve"> </w:t>
      </w:r>
      <w:r>
        <w:t xml:space="preserve">enhancing transparency through the implementation of the once-only principle and a system</w:t>
      </w:r>
      <w:r>
        <w:t xml:space="preserve"> </w:t>
      </w:r>
      <w:r>
        <w:t xml:space="preserve">that centralises users’ information.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Figure 20. Extent to which a future interoperability policy of the EU’s public sector should</w:t>
      </w:r>
      <w:r>
        <w:t xml:space="preserve"> </w:t>
      </w:r>
      <w:r>
        <w:t xml:space="preserve">aim to achieve the following objectives (breakdown by group of stakeholders, average score</w:t>
      </w:r>
      <w:r>
        <w:t xml:space="preserve"> </w:t>
      </w:r>
      <w:r>
        <w:t xml:space="preserve">and 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</w:t>
      </w:r>
      <w:r>
        <w:t xml:space="preserve"> </w:t>
      </w:r>
      <w:r>
        <w:t xml:space="preserve">Note: Averages do not account for respondents answering ‘don’t know/no opinion’ (DK/NO).</w:t>
      </w:r>
      <w:r>
        <w:t xml:space="preserve"> </w:t>
      </w:r>
      <w:r>
        <w:t xml:space="preserve">Source: Study supporting the impact assessment for a future interoperability strategy</w:t>
      </w:r>
      <w:r>
        <w:t xml:space="preserve"> </w:t>
      </w:r>
      <w:r>
        <w:t xml:space="preserve">The policy options on which stakeholders have been consulted come from the CEPS ‘Study</w:t>
      </w:r>
      <w:r>
        <w:t xml:space="preserve"> </w:t>
      </w:r>
      <w:r>
        <w:t xml:space="preserve">supporting the impact assessment for a future interoperability strategy‘. Options 0 and 1 are</w:t>
      </w:r>
      <w:r>
        <w:t xml:space="preserve"> </w:t>
      </w:r>
      <w:r>
        <w:t xml:space="preserve">well aligned with the ones detailed in the impact assessment. Option 2 and 3 in the impact</w:t>
      </w:r>
      <w:r>
        <w:t xml:space="preserve"> </w:t>
      </w:r>
      <w:r>
        <w:t xml:space="preserve">assessment already include the add-on options from the study and reflect the evolution of the</w:t>
      </w:r>
      <w:r>
        <w:t xml:space="preserve"> </w:t>
      </w:r>
      <w:r>
        <w:t xml:space="preserve">proposals over time.</w:t>
      </w:r>
      <w:r>
        <w:t xml:space="preserve"> </w:t>
      </w:r>
      <w:r>
        <w:t xml:space="preserve">Stakeholders provided feedback on the impacts expected to stem from the core and add-on</w:t>
      </w:r>
      <w:r>
        <w:t xml:space="preserve"> </w:t>
      </w:r>
      <w:r>
        <w:t xml:space="preserve">policies option (see Figure 21). Only limited impacts are expected to stem from the baseline</w:t>
      </w:r>
      <w:r>
        <w:t xml:space="preserve"> </w:t>
      </w:r>
      <w:r>
        <w:t xml:space="preserve">option (option 0). The soft law approach (option 1) is expected to have some minor positive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impacts. A soft law approach may provide enhanced guidance and contribute to some extent</w:t>
      </w:r>
      <w:r>
        <w:t xml:space="preserve"> </w:t>
      </w:r>
      <w:r>
        <w:t xml:space="preserve">to interoperability in the EU, but a voluntary approach would likely make a limited</w:t>
      </w:r>
      <w:r>
        <w:t xml:space="preserve"> </w:t>
      </w:r>
      <w:r>
        <w:t xml:space="preserve">contribution. A governance mechanism for interoperability initiatives at the EU level, rooted</w:t>
      </w:r>
      <w:r>
        <w:t xml:space="preserve"> </w:t>
      </w:r>
      <w:r>
        <w:t xml:space="preserve">in a legal act, (option 2) is expected to have positive impacts. The coordination approach</w:t>
      </w:r>
      <w:r>
        <w:t xml:space="preserve"> </w:t>
      </w:r>
      <w:r>
        <w:t xml:space="preserve">through hard law will contribute to interoperability across the different areas of impact</w:t>
      </w:r>
      <w:r>
        <w:t xml:space="preserve"> </w:t>
      </w:r>
      <w:r>
        <w:t xml:space="preserve">identified; nevertheless, coordination without stricter measures for enhancing implementation</w:t>
      </w:r>
      <w:r>
        <w:t xml:space="preserve"> </w:t>
      </w:r>
      <w:r>
        <w:t xml:space="preserve">can only bring limited contributions. Finally, mandating the implementation of minimum</w:t>
      </w:r>
      <w:r>
        <w:t xml:space="preserve"> </w:t>
      </w:r>
      <w:r>
        <w:t xml:space="preserve">interoperability requirements at the Member State level (option 3) is likely to bring the</w:t>
      </w:r>
      <w:r>
        <w:t xml:space="preserve"> </w:t>
      </w:r>
      <w:r>
        <w:t xml:space="preserve">highest level of positive impacts among the core options based on the feedback from</w:t>
      </w:r>
      <w:r>
        <w:t xml:space="preserve"> </w:t>
      </w:r>
      <w:r>
        <w:t xml:space="preserve">stakeholders.</w:t>
      </w:r>
      <w:r>
        <w:t xml:space="preserve"> </w:t>
      </w:r>
      <w:r>
        <w:t xml:space="preserve">Respondents across most stakeholder groups and consultation activities generally confirm that</w:t>
      </w:r>
      <w:r>
        <w:t xml:space="preserve"> </w:t>
      </w:r>
      <w:r>
        <w:t xml:space="preserve">add-on option 1 (providing incentives for the development and take-up of interoperability</w:t>
      </w:r>
      <w:r>
        <w:t xml:space="preserve"> </w:t>
      </w:r>
      <w:r>
        <w:t xml:space="preserve">solutions) would have positive impacts to a certain degree, in particular with respect to</w:t>
      </w:r>
      <w:r>
        <w:t xml:space="preserve"> </w:t>
      </w:r>
      <w:r>
        <w:t xml:space="preserve">research, development and innovation in the EU. While add-on option 2 (conditionalities) is</w:t>
      </w:r>
      <w:r>
        <w:t xml:space="preserve"> </w:t>
      </w:r>
      <w:r>
        <w:t xml:space="preserve">generally expected to improve the quality of the services provided by public administrations,</w:t>
      </w:r>
      <w:r>
        <w:t xml:space="preserve"> </w:t>
      </w:r>
      <w:r>
        <w:t xml:space="preserve">conditionalities are expected to have a more limited positive impact on the costs borne by</w:t>
      </w:r>
      <w:r>
        <w:t xml:space="preserve"> </w:t>
      </w:r>
      <w:r>
        <w:t xml:space="preserve">public administrations in providing public services. Using the European Semester as a tool to</w:t>
      </w:r>
      <w:r>
        <w:t xml:space="preserve"> </w:t>
      </w:r>
      <w:r>
        <w:t xml:space="preserve">monitor the progress made in the field of interoperability (add-on option 3) can bring</w:t>
      </w:r>
      <w:r>
        <w:t xml:space="preserve"> </w:t>
      </w:r>
      <w:r>
        <w:t xml:space="preserve">positive impacts primarily with respect to the quality of public services.</w:t>
      </w:r>
      <w:r>
        <w:t xml:space="preserve"> </w:t>
      </w:r>
      <w:r>
        <w:t xml:space="preserve">When it comes to the effectiveness of the options, hard law approaches accompanied by</w:t>
      </w:r>
      <w:r>
        <w:t xml:space="preserve"> </w:t>
      </w:r>
      <w:r>
        <w:t xml:space="preserve">add-options are preferred in order to bolster interoperability, with a particular preference for</w:t>
      </w:r>
      <w:r>
        <w:t xml:space="preserve"> </w:t>
      </w:r>
      <w:r>
        <w:t xml:space="preserve">option 3. Stakeholders responding to both types of consultation emphasised that a directive</w:t>
      </w:r>
      <w:r>
        <w:t xml:space="preserve"> </w:t>
      </w:r>
      <w:r>
        <w:t xml:space="preserve">would provide targets at different levels of maturity and thus allow countries to progress in</w:t>
      </w:r>
      <w:r>
        <w:t xml:space="preserve"> </w:t>
      </w:r>
      <w:r>
        <w:t xml:space="preserve">the same direction. The legal framework should be flexible enough to account for local</w:t>
      </w:r>
      <w:r>
        <w:t xml:space="preserve"> </w:t>
      </w:r>
      <w:r>
        <w:t xml:space="preserve">conditions and sector specificities.</w:t>
      </w:r>
      <w:r>
        <w:t xml:space="preserve"> </w:t>
      </w:r>
      <w:r>
        <w:t xml:space="preserve">In terms of the efficiency of options, feedback is mixed depending on the type of the option.</w:t>
      </w:r>
      <w:r>
        <w:t xml:space="preserve"> </w:t>
      </w:r>
      <w:r>
        <w:t xml:space="preserve">Participants to the targeted consultation generally noted that implementing a hard law might</w:t>
      </w:r>
      <w:r>
        <w:t xml:space="preserve"> </w:t>
      </w:r>
      <w:r>
        <w:t xml:space="preserve">be more costly for Member States. At the same time, the add-on options are more widely</w:t>
      </w:r>
      <w:r>
        <w:t xml:space="preserve"> </w:t>
      </w:r>
      <w:r>
        <w:t xml:space="preserve">supported.</w:t>
      </w:r>
      <w:r>
        <w:t xml:space="preserve"> </w:t>
      </w:r>
      <w:r>
        <w:t xml:space="preserve">The core options 1, 2 and 3 as well as the add-on options are coherent with other EU</w:t>
      </w:r>
      <w:r>
        <w:t xml:space="preserve"> </w:t>
      </w:r>
      <w:r>
        <w:t xml:space="preserve">initiatives at least to some extent. In particular, the Data Governance Act could pave the way</w:t>
      </w:r>
      <w:r>
        <w:t xml:space="preserve"> </w:t>
      </w:r>
      <w:r>
        <w:t xml:space="preserve">for the design of a governance mechanism for interoperability and enhanced EU-level</w:t>
      </w:r>
      <w:r>
        <w:t xml:space="preserve"> </w:t>
      </w:r>
      <w:r>
        <w:t xml:space="preserve">cooperation (option 2). In addition, the approach outlined in option 3 has complementarities</w:t>
      </w:r>
      <w:r>
        <w:t xml:space="preserve"> </w:t>
      </w:r>
      <w:r>
        <w:t xml:space="preserve">with the INSPIRE Directive in terms of the general approach of relying on a directive with</w:t>
      </w:r>
      <w:r>
        <w:t xml:space="preserve"> </w:t>
      </w:r>
      <w:r>
        <w:t xml:space="preserve">requirements for interoperability.</w:t>
      </w:r>
      <w:r>
        <w:br/>
      </w:r>
      <w:r>
        <w:t xml:space="preserve">Finally, the feasibility of options varies, but respondents to the targeted and public</w:t>
      </w:r>
      <w:r>
        <w:t xml:space="preserve"> </w:t>
      </w:r>
      <w:r>
        <w:t xml:space="preserve">consultations consider, on average, that the implementation of the options will be supported to</w:t>
      </w:r>
      <w:r>
        <w:t xml:space="preserve"> </w:t>
      </w:r>
      <w:r>
        <w:t xml:space="preserve">some extent. Option 2 and 3 require a need for discussion and cooperation. Option 3 raises, in</w:t>
      </w:r>
      <w:r>
        <w:t xml:space="preserve"> </w:t>
      </w:r>
      <w:r>
        <w:t xml:space="preserve">particular, potential burdens through the stricter focus on implementation which may in turn</w:t>
      </w:r>
      <w:r>
        <w:t xml:space="preserve"> </w:t>
      </w:r>
      <w:r>
        <w:t xml:space="preserve">limit its feasibility. By contrast, a soft law through updated guidance (Option 1) approach may</w:t>
      </w:r>
      <w:r>
        <w:t xml:space="preserve"> </w:t>
      </w:r>
      <w:r>
        <w:t xml:space="preserve">encounter more limited resistance.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Figure 21. Impacts of the different Policy Options (breakdown by type of consultation;</w:t>
      </w:r>
      <w:r>
        <w:t xml:space="preserve"> </w:t>
      </w:r>
      <w:r>
        <w:t xml:space="preserve">average score and number of respondents)</w:t>
      </w:r>
    </w:p>
    <w:p>
      <w:pPr>
        <w:pStyle w:val="BodyText"/>
      </w:pPr>
      <w:r>
        <w:t xml:space="preserve">Score: (-2) very negative; (-1) negative; (1) positive; or (2) very positive.</w:t>
      </w:r>
      <w:r>
        <w:br/>
      </w:r>
      <w:r>
        <w:t xml:space="preserve">Source: Study supporting the impact assessment for a future interoperability strategy.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Stakeholders from different stakeholder groups in the public and targeted consultations</w:t>
      </w:r>
      <w:r>
        <w:t xml:space="preserve"> </w:t>
      </w:r>
      <w:r>
        <w:t xml:space="preserve">estimated the impacts quite differently. Stakeholders from companies and businesses saw the</w:t>
      </w:r>
      <w:r>
        <w:t xml:space="preserve"> </w:t>
      </w:r>
      <w:r>
        <w:t xml:space="preserve">highest negative impacts of staying with the status quo. Stakeholders from EU public</w:t>
      </w:r>
      <w:r>
        <w:t xml:space="preserve"> </w:t>
      </w:r>
      <w:r>
        <w:t xml:space="preserve">administrations associated the highest positive impacts with policy option 3 of introducing</w:t>
      </w:r>
      <w:r>
        <w:t xml:space="preserve"> </w:t>
      </w:r>
      <w:r>
        <w:t xml:space="preserve">new interoperability minimum requirements. In the consultations also national public</w:t>
      </w:r>
      <w:r>
        <w:t xml:space="preserve"> </w:t>
      </w:r>
      <w:r>
        <w:t xml:space="preserve">administrations gave the highest rating for option 3. The co-design process with the Expert</w:t>
      </w:r>
      <w:r>
        <w:t xml:space="preserve"> </w:t>
      </w:r>
      <w:r>
        <w:t xml:space="preserve">Group however showed more support for the option 2.</w:t>
      </w:r>
      <w:r>
        <w:t xml:space="preserve"> </w:t>
      </w:r>
      <w:r>
        <w:t xml:space="preserve">Figure 22. Impact of option 0 (baseline) on… (breakdown by group of stakeholders;</w:t>
      </w:r>
      <w:r>
        <w:t xml:space="preserve"> </w:t>
      </w:r>
      <w:r>
        <w:t xml:space="preserve">average score and number of respondents)</w:t>
      </w:r>
    </w:p>
    <w:p>
      <w:pPr>
        <w:pStyle w:val="BodyText"/>
      </w:pPr>
      <w:r>
        <w:t xml:space="preserve">Scale: (–) very negative; (-) negative; (0) neutral; (+) positive; or (++) very positive.</w:t>
      </w:r>
      <w:r>
        <w:t xml:space="preserve"> </w:t>
      </w:r>
      <w:r>
        <w:t xml:space="preserve">Note: Averages do not account for respondents answering ‘don’t know/no opinion’ (DK/NO).</w:t>
      </w:r>
      <w:r>
        <w:t xml:space="preserve"> </w:t>
      </w:r>
      <w:r>
        <w:t xml:space="preserve">Source: Study supporting the impact assessment for a future interoperability strategy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Figure 23. Impact of Option 1 on… (breakdown by group of stakeholders; average score</w:t>
      </w:r>
      <w:r>
        <w:t xml:space="preserve"> </w:t>
      </w:r>
      <w:r>
        <w:t xml:space="preserve">and number of respondents)</w:t>
      </w:r>
    </w:p>
    <w:p>
      <w:pPr>
        <w:pStyle w:val="BodyText"/>
      </w:pPr>
      <w:r>
        <w:t xml:space="preserve">Scale: (–) very negative; (-) negative; (0) neutral; (+) positive; or (++) very positive.</w:t>
      </w:r>
      <w:r>
        <w:t xml:space="preserve"> </w:t>
      </w:r>
      <w:r>
        <w:t xml:space="preserve">Note: Averages do not account for respondents answering ‘don’t know/no opinion’ (DK/NO).</w:t>
      </w:r>
      <w:r>
        <w:t xml:space="preserve"> </w:t>
      </w:r>
      <w:r>
        <w:t xml:space="preserve">Source: Study supporting the impact assessment for a future interoperability strategy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Figure 24. Impact of option 2 on… (breakdown by group of stakeholders; average score</w:t>
      </w:r>
      <w:r>
        <w:t xml:space="preserve"> </w:t>
      </w:r>
      <w:r>
        <w:t xml:space="preserve">and number of respondents)</w:t>
      </w:r>
    </w:p>
    <w:p>
      <w:pPr>
        <w:pStyle w:val="BodyText"/>
      </w:pPr>
      <w:r>
        <w:t xml:space="preserve">Scale: (–) very negative; (-) negative; (0) neutral; (+) positive; or (++) very positive.</w:t>
      </w:r>
      <w:r>
        <w:t xml:space="preserve"> </w:t>
      </w:r>
      <w:r>
        <w:t xml:space="preserve">Note: Averages do not account for respondents answering ‘don’t know/no opinion’ (DK/NO).</w:t>
      </w:r>
      <w:r>
        <w:t xml:space="preserve"> </w:t>
      </w:r>
      <w:r>
        <w:t xml:space="preserve">Source: Study supporting the impact assessment for a future interoperability strategy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Figure 25. Impact of option 3 on… (breakdown by group of stakeholders; average score</w:t>
      </w:r>
      <w:r>
        <w:t xml:space="preserve"> </w:t>
      </w:r>
      <w:r>
        <w:t xml:space="preserve">and number of respondents)</w:t>
      </w:r>
    </w:p>
    <w:p>
      <w:pPr>
        <w:pStyle w:val="BodyText"/>
      </w:pPr>
      <w:r>
        <w:t xml:space="preserve">Scale: (–) very negative; (-) negative; (0) neutral; (+) positive; or (++) very positive.</w:t>
      </w:r>
      <w:r>
        <w:t xml:space="preserve"> </w:t>
      </w:r>
      <w:r>
        <w:t xml:space="preserve">Note: Averages do not account for respondents answering ‘don’t know/no opinion’ (DK/NO).</w:t>
      </w:r>
      <w:r>
        <w:t xml:space="preserve"> </w:t>
      </w:r>
      <w:r>
        <w:t xml:space="preserve">Source: Study supporting the impact assessment for a future interoperability strategy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Input of the Expert Group co-design process</w:t>
      </w:r>
      <w:r>
        <w:t xml:space="preserve"> </w:t>
      </w:r>
      <w:r>
        <w:t xml:space="preserve">We have put in place an innovative co-creation, co-design process with the interoperability</w:t>
      </w:r>
      <w:r>
        <w:t xml:space="preserve"> </w:t>
      </w:r>
      <w:r>
        <w:t xml:space="preserve">expert group162 with Member States that encourages open cooperation and transparency. This</w:t>
      </w:r>
      <w:r>
        <w:t xml:space="preserve"> </w:t>
      </w:r>
      <w:r>
        <w:t xml:space="preserve">has led to a constant increase in the engagement and interaction in meetings. Moving all</w:t>
      </w:r>
      <w:r>
        <w:t xml:space="preserve"> </w:t>
      </w:r>
      <w:r>
        <w:t xml:space="preserve">discussions online since more than 18 months now has also led to an increase in the number</w:t>
      </w:r>
      <w:r>
        <w:t xml:space="preserve"> </w:t>
      </w:r>
      <w:r>
        <w:t xml:space="preserve">of participants. In physical meetings we would have had 1 or maximum 2 representatives per</w:t>
      </w:r>
      <w:r>
        <w:t xml:space="preserve"> </w:t>
      </w:r>
      <w:r>
        <w:t xml:space="preserve">Member State for a maximum of 35 approximately, whereas online we regularly have more</w:t>
      </w:r>
      <w:r>
        <w:t xml:space="preserve"> </w:t>
      </w:r>
      <w:r>
        <w:t xml:space="preserve">than 54 participants. Workshops and roundtables follow design-thinking methodologies and</w:t>
      </w:r>
      <w:r>
        <w:t xml:space="preserve"> </w:t>
      </w:r>
      <w:r>
        <w:t xml:space="preserve">participatory practices. We organised since mid-2020: five brainstorming sessions with more</w:t>
      </w:r>
      <w:r>
        <w:t xml:space="preserve"> </w:t>
      </w:r>
      <w:r>
        <w:t xml:space="preserve">than 200 representatives from Member States, five formal expert group meetings with also</w:t>
      </w:r>
      <w:r>
        <w:t xml:space="preserve"> </w:t>
      </w:r>
      <w:r>
        <w:t xml:space="preserve">more than 200 participants overall. Member States issued 18 position papers and we met them</w:t>
      </w:r>
      <w:r>
        <w:t xml:space="preserve"> </w:t>
      </w:r>
      <w:r>
        <w:t xml:space="preserve">throughout the summer of 2021 in 26 bilaterals to discuss around the recommendations on the</w:t>
      </w:r>
      <w:r>
        <w:t xml:space="preserve"> </w:t>
      </w:r>
      <w:r>
        <w:t xml:space="preserve">future policy.</w:t>
      </w:r>
      <w:r>
        <w:t xml:space="preserve"> </w:t>
      </w:r>
      <w:r>
        <w:t xml:space="preserve">The main result of this process with the expert group are the recommendations on a future</w:t>
      </w:r>
      <w:r>
        <w:t xml:space="preserve"> </w:t>
      </w:r>
      <w:r>
        <w:t xml:space="preserve">interoperability policy (Annex VI). Other intermediate results can be interesting to understand</w:t>
      </w:r>
      <w:r>
        <w:t xml:space="preserve"> </w:t>
      </w:r>
      <w:r>
        <w:t xml:space="preserve">the view of the stakeholders that are likely to be the most affected by the policy initiative.</w:t>
      </w:r>
      <w:r>
        <w:t xml:space="preserve"> </w:t>
      </w:r>
      <w:r>
        <w:t xml:space="preserve">Figure 26. Co-design process with the Expert Group</w:t>
      </w:r>
    </w:p>
    <w:p>
      <w:pPr>
        <w:pStyle w:val="BodyText"/>
      </w:pPr>
      <w:r>
        <w:t xml:space="preserve">The co-design process with the expert group was structured around five work phases:</w:t>
      </w:r>
      <w:r>
        <w:t xml:space="preserve"> </w:t>
      </w:r>
      <w:r>
        <w:t xml:space="preserve"> Position papers from 18 Member States – CIOs office – In December 2020 the</w:t>
      </w:r>
      <w:r>
        <w:t xml:space="preserve"> </w:t>
      </w:r>
      <w:r>
        <w:t xml:space="preserve">Commission kindly asked the members of the expert group to react on a short policy paper</w:t>
      </w:r>
      <w:r>
        <w:t xml:space="preserve"> </w:t>
      </w:r>
      <w:r>
        <w:t xml:space="preserve">with some initial ideas for the next interoperability policy (vision, general approach,</w:t>
      </w:r>
      <w:r>
        <w:t xml:space="preserve"> </w:t>
      </w:r>
      <w:r>
        <w:t xml:space="preserve">policy instruments, etc.). This was only on a voluntary basis, however two-third of the</w:t>
      </w:r>
      <w:r>
        <w:t xml:space="preserve"> </w:t>
      </w:r>
      <w:r>
        <w:t xml:space="preserve">members replied positively and shared position papers explaining their views on the</w:t>
      </w:r>
      <w:r>
        <w:t xml:space="preserve"> </w:t>
      </w:r>
      <w:r>
        <w:t xml:space="preserve">upcoming policy and the proposed instruments;</w:t>
      </w:r>
      <w:r>
        <w:t xml:space="preserve"> </w:t>
      </w:r>
      <w:r>
        <w:t xml:space="preserve"> Co-creation workshops – five informal discussion sessions took place between January</w:t>
      </w:r>
      <w:r>
        <w:t xml:space="preserve"> </w:t>
      </w:r>
      <w:r>
        <w:t xml:space="preserve">and December 2021 (see the list below), involving around 40-45 members of EU national</w:t>
      </w:r>
      <w:r>
        <w:t xml:space="preserve"> </w:t>
      </w:r>
      <w:r>
        <w:t xml:space="preserve">administrations each time. The working methodology was based on design-thinking</w:t>
      </w:r>
      <w:r>
        <w:t xml:space="preserve"> </w:t>
      </w:r>
      <w:r>
        <w:t xml:space="preserve">principles, including ‘diverge’ and ‘converge’ working phases, and participants were</w:t>
      </w:r>
      <w:r>
        <w:t xml:space="preserve"> </w:t>
      </w:r>
      <w:r>
        <w:t xml:space="preserve">sometimes asked to fill polls (e.g. see below a poll from the workshop on the 30th of</w:t>
      </w:r>
      <w:r>
        <w:t xml:space="preserve"> </w:t>
      </w:r>
      <w:r>
        <w:t xml:space="preserve">April). These meetings were moderated using Chatham House rules (no recording,</w:t>
      </w:r>
    </w:p>
    <w:p>
      <w:pPr>
        <w:pStyle w:val="BodyText"/>
      </w:pPr>
      <w:r>
        <w:t xml:space="preserve">162</w:t>
      </w:r>
      <w:r>
        <w:br/>
      </w:r>
      <w:r>
        <w:t xml:space="preserve">https://ec.europa.eu/transparency/expert-groups-register/screen/expert-</w:t>
      </w:r>
      <w:r>
        <w:t xml:space="preserve"> </w:t>
      </w:r>
      <w:r>
        <w:t xml:space="preserve">groups/consult?lang=en&amp;groupID=3714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participants do not formally engage their country), in order to foster interactions between</w:t>
      </w:r>
      <w:r>
        <w:t xml:space="preserve"> </w:t>
      </w:r>
      <w:r>
        <w:t xml:space="preserve">people and ideation. Several working papers were circulated to stabilize ideas along the</w:t>
      </w:r>
      <w:r>
        <w:t xml:space="preserve"> </w:t>
      </w:r>
      <w:r>
        <w:t xml:space="preserve">process and the subjects of these workshops helped build the structure of the draft policy</w:t>
      </w:r>
      <w:r>
        <w:t xml:space="preserve"> </w:t>
      </w:r>
      <w:r>
        <w:t xml:space="preserve">recommendations of the group (see point d.). All papers were available to all the</w:t>
      </w:r>
      <w:r>
        <w:t xml:space="preserve"> </w:t>
      </w:r>
      <w:r>
        <w:t xml:space="preserve">participants and we encouraged transparent feedbacks directly on a Teams space.</w:t>
      </w:r>
      <w:r>
        <w:t xml:space="preserve"> </w:t>
      </w:r>
      <w:r>
        <w:t xml:space="preserve">o 04/02/2021 - General debate on the policy approach for the next interoperability</w:t>
      </w:r>
      <w:r>
        <w:t xml:space="preserve"> </w:t>
      </w:r>
      <w:r>
        <w:t xml:space="preserve">policy following the position papers (e.g. vision, priorities, etc.)</w:t>
      </w:r>
      <w:r>
        <w:t xml:space="preserve"> </w:t>
      </w:r>
      <w:r>
        <w:t xml:space="preserve">o 14/04/2021 - Communities of Practioners (e.g. topics, organisation and</w:t>
      </w:r>
      <w:r>
        <w:t xml:space="preserve"> </w:t>
      </w:r>
      <w:r>
        <w:t xml:space="preserve">composition, etc.)</w:t>
      </w:r>
      <w:r>
        <w:br/>
      </w:r>
      <w:r>
        <w:t xml:space="preserve">o 30/04/2021 - Synergies and Funding (e.g. links with other EU digital policies,</w:t>
      </w:r>
      <w:r>
        <w:t xml:space="preserve"> </w:t>
      </w:r>
      <w:r>
        <w:t xml:space="preserve">financial support to Member States for interoperability implementation)</w:t>
      </w:r>
      <w:r>
        <w:t xml:space="preserve"> </w:t>
      </w:r>
      <w:r>
        <w:t xml:space="preserve">o 20/05/2021 - Digital Checks and digital-ready policy (e.g. experience from</w:t>
      </w:r>
      <w:r>
        <w:t xml:space="preserve"> </w:t>
      </w:r>
      <w:r>
        <w:t xml:space="preserve">Member States, replicability at the EU institutional level)</w:t>
      </w:r>
      <w:r>
        <w:br/>
      </w:r>
      <w:r>
        <w:t xml:space="preserve">o 10/06/2021 - Governance (e.g. composition, structure and mandate of a</w:t>
      </w:r>
      <w:r>
        <w:t xml:space="preserve"> </w:t>
      </w:r>
      <w:r>
        <w:t xml:space="preserve">strengthened EU interoperability governance)</w:t>
      </w:r>
      <w:r>
        <w:t xml:space="preserve"> </w:t>
      </w:r>
      <w:r>
        <w:t xml:space="preserve">Figure 27. Example of poll during the co-creation workshop on the 30th of April 2021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 Bilaterals – the Commission organised 26 bilateral calls with 26 Member States between</w:t>
      </w:r>
      <w:r>
        <w:t xml:space="preserve"> </w:t>
      </w:r>
      <w:r>
        <w:t xml:space="preserve">July and September 2021 (only one country did not reply because of a lack of internal</w:t>
      </w:r>
      <w:r>
        <w:t xml:space="preserve"> </w:t>
      </w:r>
      <w:r>
        <w:t xml:space="preserve">resources at that time). Each of these informal discussions lasted between 45 and 120</w:t>
      </w:r>
      <w:r>
        <w:t xml:space="preserve"> </w:t>
      </w:r>
      <w:r>
        <w:t xml:space="preserve">minutes. They were very rich in terms of content and feedback received, while helping the</w:t>
      </w:r>
      <w:r>
        <w:t xml:space="preserve"> </w:t>
      </w:r>
      <w:r>
        <w:t xml:space="preserve">Commission to identify points of tension, test ideas with the Member States and build</w:t>
      </w:r>
      <w:r>
        <w:t xml:space="preserve"> </w:t>
      </w:r>
      <w:r>
        <w:t xml:space="preserve">mutual trust;</w:t>
      </w:r>
      <w:r>
        <w:t xml:space="preserve"> </w:t>
      </w:r>
      <w:r>
        <w:t xml:space="preserve"> Policy recommendations – this is the main outcome of the expert group since its creation</w:t>
      </w:r>
      <w:r>
        <w:t xml:space="preserve"> </w:t>
      </w:r>
      <w:r>
        <w:t xml:space="preserve">in February 2020. They were formally endorsed by consensus of the whole group on the</w:t>
      </w:r>
      <w:r>
        <w:t xml:space="preserve"> </w:t>
      </w:r>
      <w:r>
        <w:t xml:space="preserve">5th of October 2021. The document includes 27 recommendations structured around three</w:t>
      </w:r>
      <w:r>
        <w:t xml:space="preserve"> </w:t>
      </w:r>
      <w:r>
        <w:t xml:space="preserve">chapters, each of them reflecting the common ideas expressed by the Member States in the</w:t>
      </w:r>
      <w:r>
        <w:t xml:space="preserve"> </w:t>
      </w:r>
      <w:r>
        <w:t xml:space="preserve">position papers, the co-creation workshops and the bilaterals:</w:t>
      </w:r>
      <w:r>
        <w:t xml:space="preserve"> </w:t>
      </w:r>
      <w:r>
        <w:t xml:space="preserve">o Chapter 1 - A strengthened governance</w:t>
      </w:r>
      <w:r>
        <w:t xml:space="preserve"> </w:t>
      </w:r>
      <w:r>
        <w:t xml:space="preserve">o Chapter 2 - Interoperability for better EU policies</w:t>
      </w:r>
      <w:r>
        <w:t xml:space="preserve"> </w:t>
      </w:r>
      <w:r>
        <w:t xml:space="preserve">o Chapter 3 - Upgrade EU interoperable solutions</w:t>
      </w:r>
      <w:r>
        <w:t xml:space="preserve"> </w:t>
      </w:r>
      <w:r>
        <w:t xml:space="preserve">Those recommendations served as a basis to build the draft legal text and the two</w:t>
      </w:r>
      <w:r>
        <w:t xml:space="preserve"> </w:t>
      </w:r>
      <w:r>
        <w:t xml:space="preserve">dedicated workshops;</w:t>
      </w:r>
      <w:r>
        <w:t xml:space="preserve"> </w:t>
      </w:r>
      <w:r>
        <w:t xml:space="preserve"> Two workshops on the legal draft – They took place in October and November 2021.</w:t>
      </w:r>
      <w:r>
        <w:t xml:space="preserve"> </w:t>
      </w:r>
      <w:r>
        <w:t xml:space="preserve">The first one gathered around 40 external participants who expressed their views on the</w:t>
      </w:r>
      <w:r>
        <w:t xml:space="preserve"> </w:t>
      </w:r>
      <w:r>
        <w:t xml:space="preserve">legal concepts introduced by the Commission and discussed the composition and mandate</w:t>
      </w:r>
      <w:r>
        <w:t xml:space="preserve"> </w:t>
      </w:r>
      <w:r>
        <w:t xml:space="preserve">of the future strengthened EU interoperability governance. Following the first workshop,</w:t>
      </w:r>
      <w:r>
        <w:t xml:space="preserve"> </w:t>
      </w:r>
      <w:r>
        <w:t xml:space="preserve">the Commission circulated a first draft of the legal text with the members of the expert</w:t>
      </w:r>
      <w:r>
        <w:t xml:space="preserve"> </w:t>
      </w:r>
      <w:r>
        <w:t xml:space="preserve">group and organised a workshop to collect preliminary ideas and suggestions to be</w:t>
      </w:r>
      <w:r>
        <w:t xml:space="preserve"> </w:t>
      </w:r>
      <w:r>
        <w:t xml:space="preserve">integrated in the impact assessment and the upcoming legal proposal. Member States</w:t>
      </w:r>
      <w:r>
        <w:t xml:space="preserve"> </w:t>
      </w:r>
      <w:r>
        <w:t xml:space="preserve">provided written feedback by the 3rd of December 2021.</w:t>
      </w:r>
      <w:r>
        <w:t xml:space="preserve"> </w:t>
      </w:r>
      <w:r>
        <w:t xml:space="preserve">Main outcomes of the public workshop on legal draft – 28th of October, 2021</w:t>
      </w:r>
      <w:r>
        <w:br/>
      </w:r>
      <w:r>
        <w:t xml:space="preserve">Title: ‘Regulating public sector interoperability – How to?’</w:t>
      </w:r>
      <w:r>
        <w:t xml:space="preserve"> </w:t>
      </w:r>
      <w:r>
        <w:t xml:space="preserve">Registered participants: 50 from 20 different Member States</w:t>
      </w:r>
      <w:r>
        <w:t xml:space="preserve"> </w:t>
      </w:r>
      <w:r>
        <w:t xml:space="preserve">Expert panel:</w:t>
      </w:r>
      <w:r>
        <w:br/>
      </w:r>
      <w:r>
        <w:t xml:space="preserve">1. Joep Cromepvoets, professor for Information management in the Public Sector and</w:t>
      </w:r>
      <w:r>
        <w:t xml:space="preserve"> </w:t>
      </w:r>
      <w:r>
        <w:t xml:space="preserve">senior researcher in: e-Government, Digital Government, Public Sector innovation,</w:t>
      </w:r>
      <w:r>
        <w:t xml:space="preserve"> </w:t>
      </w:r>
      <w:r>
        <w:t xml:space="preserve">GIS, and Spatial Data Infrastructures at KU Leuven,</w:t>
      </w:r>
      <w:r>
        <w:br/>
      </w:r>
      <w:r>
        <w:t xml:space="preserve">2. Laurence Diver, Postdoctoral legal researcher at the ’Counting as a Human Being in</w:t>
      </w:r>
      <w:r>
        <w:t xml:space="preserve"> </w:t>
      </w:r>
      <w:r>
        <w:t xml:space="preserve">the Era of Computational Law’ project at the Vrije Universiteit Brussel and co-</w:t>
      </w:r>
      <w:r>
        <w:t xml:space="preserve"> </w:t>
      </w:r>
      <w:r>
        <w:t xml:space="preserve">founder, with Mireille Hildebrandt, of the new open-access Journal of Cross-</w:t>
      </w:r>
      <w:r>
        <w:t xml:space="preserve"> </w:t>
      </w:r>
      <w:r>
        <w:t xml:space="preserve">disciplinary Research in Computational Law (CRCL).</w:t>
      </w:r>
      <w:r>
        <w:br/>
      </w:r>
      <w:r>
        <w:t xml:space="preserve">3. Sachiko Muto, Chief Executive Officer of OpenForum Europe (OFE), a Brussels-</w:t>
      </w:r>
      <w:r>
        <w:t xml:space="preserve"> </w:t>
      </w:r>
      <w:r>
        <w:t xml:space="preserve">based think tank that promotes openness in ICT and a level playing field for open</w:t>
      </w:r>
      <w:r>
        <w:t xml:space="preserve"> </w:t>
      </w:r>
      <w:r>
        <w:t xml:space="preserve">source software, researching at TU Delft on the social and political implications</w:t>
      </w:r>
      <w:r>
        <w:t xml:space="preserve"> </w:t>
      </w:r>
      <w:r>
        <w:t xml:space="preserve">of technological change.</w:t>
      </w:r>
      <w:r>
        <w:t xml:space="preserve"> </w:t>
      </w:r>
      <w:r>
        <w:t xml:space="preserve">4. Arne Pilniok, Assistant Professor for Public Law, Public Administration and Legal</w:t>
      </w:r>
      <w:r>
        <w:t xml:space="preserve"> </w:t>
      </w:r>
      <w:r>
        <w:t xml:space="preserve">Education at Uni Hamburg, researching on legal questions of digital public</w:t>
      </w:r>
      <w:r>
        <w:t xml:space="preserve"> </w:t>
      </w:r>
      <w:r>
        <w:t xml:space="preserve">administration in the European context.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Main outcomes of the discussion</w:t>
      </w:r>
      <w:r>
        <w:t xml:space="preserve"> </w:t>
      </w:r>
      <w:r>
        <w:t xml:space="preserve">Between guiding implementation and influencing policy design - What is the EU right to</w:t>
      </w:r>
      <w:r>
        <w:t xml:space="preserve"> </w:t>
      </w:r>
      <w:r>
        <w:t xml:space="preserve">take action in the field?</w:t>
      </w:r>
      <w:r>
        <w:t xml:space="preserve"> </w:t>
      </w:r>
      <w:r>
        <w:t xml:space="preserve">Legal basis single market Art. 114 TFEU or better Art. 172 TFEU?</w:t>
      </w:r>
      <w:r>
        <w:t xml:space="preserve"> </w:t>
      </w:r>
      <w:r>
        <w:t xml:space="preserve"> case law confirmed Art. 172 TFEU as a legal basis</w:t>
      </w:r>
      <w:r>
        <w:t xml:space="preserve"> </w:t>
      </w:r>
      <w:r>
        <w:t xml:space="preserve"> for topic digital-ready policymaking:</w:t>
      </w:r>
      <w:r>
        <w:t xml:space="preserve"> </w:t>
      </w:r>
      <w:r>
        <w:t xml:space="preserve">o measures cannot restrict right of initiative of the Commission</w:t>
      </w:r>
      <w:r>
        <w:br/>
      </w:r>
      <w:r>
        <w:t xml:space="preserve">o success depends on institutional commitment</w:t>
      </w:r>
      <w:r>
        <w:br/>
      </w:r>
      <w:r>
        <w:t xml:space="preserve">o suggestion for an updated inter-institutional agreement on better</w:t>
      </w:r>
      <w:r>
        <w:t xml:space="preserve"> </w:t>
      </w:r>
      <w:r>
        <w:t xml:space="preserve">regulation</w:t>
      </w:r>
      <w:r>
        <w:t xml:space="preserve"> </w:t>
      </w:r>
      <w:r>
        <w:t xml:space="preserve"> for implementation support:</w:t>
      </w:r>
      <w:r>
        <w:t xml:space="preserve"> </w:t>
      </w:r>
      <w:r>
        <w:t xml:space="preserve">o right for action depends on the degree to which the initiative is binding and</w:t>
      </w:r>
      <w:r>
        <w:t xml:space="preserve"> </w:t>
      </w:r>
      <w:r>
        <w:t xml:space="preserve">on the decision-making procedures suggested</w:t>
      </w:r>
      <w:r>
        <w:t xml:space="preserve"> </w:t>
      </w:r>
      <w:r>
        <w:t xml:space="preserve">o flexibility in decision making should be built in law</w:t>
      </w:r>
      <w:r>
        <w:t xml:space="preserve"> </w:t>
      </w:r>
      <w:r>
        <w:t xml:space="preserve">What kind of governance for public sector interoperability is needed and who should be</w:t>
      </w:r>
      <w:r>
        <w:t xml:space="preserve"> </w:t>
      </w:r>
      <w:r>
        <w:t xml:space="preserve">involved?</w:t>
      </w:r>
      <w:r>
        <w:br/>
      </w:r>
      <w:r>
        <w:t xml:space="preserve">A. Governance around interoperability of public services is the instrument to create to public</w:t>
      </w:r>
      <w:r>
        <w:t xml:space="preserve"> </w:t>
      </w:r>
      <w:r>
        <w:t xml:space="preserve">value and not only for costs cutting</w:t>
      </w:r>
      <w:r>
        <w:t xml:space="preserve"> </w:t>
      </w:r>
      <w:r>
        <w:t xml:space="preserve"> Governance should bring together MS and EU ‘permanently’ in sort of</w:t>
      </w:r>
      <w:r>
        <w:t xml:space="preserve"> </w:t>
      </w:r>
      <w:r>
        <w:t xml:space="preserve">interoperability board,</w:t>
      </w:r>
      <w:r>
        <w:br/>
      </w:r>
      <w:r>
        <w:t xml:space="preserve"> To develop solutions a multi-level setup is needed to involve: End-users, private</w:t>
      </w:r>
      <w:r>
        <w:t xml:space="preserve"> </w:t>
      </w:r>
      <w:r>
        <w:t xml:space="preserve">sector, regions and cities</w:t>
      </w:r>
      <w:r>
        <w:t xml:space="preserve"> </w:t>
      </w:r>
      <w:r>
        <w:t xml:space="preserve">B. Tech is not neutral! Interoperability should mean also ensuring legal protection by design</w:t>
      </w:r>
      <w:r>
        <w:t xml:space="preserve"> </w:t>
      </w:r>
      <w:r>
        <w:t xml:space="preserve">of GovTech solutions</w:t>
      </w:r>
      <w:r>
        <w:t xml:space="preserve"> </w:t>
      </w:r>
      <w:r>
        <w:t xml:space="preserve"> requirements need to be assessed before taking policy decisions;</w:t>
      </w:r>
      <w:r>
        <w:t xml:space="preserve"> </w:t>
      </w:r>
      <w:r>
        <w:t xml:space="preserve"> running services need continuous governance;</w:t>
      </w:r>
      <w:r>
        <w:t xml:space="preserve"> </w:t>
      </w:r>
      <w:r>
        <w:t xml:space="preserve"> GovTech cannot be steered by market instruments alone.</w:t>
      </w:r>
      <w:r>
        <w:t xml:space="preserve"> </w:t>
      </w:r>
      <w:r>
        <w:t xml:space="preserve">What kind of issues need binding interoperability agreements and for whom?</w:t>
      </w:r>
      <w:r>
        <w:br/>
      </w:r>
      <w:r>
        <w:t xml:space="preserve"> With Tallinn, Berlin declaration far reaching commitments but no instruments to bind</w:t>
      </w:r>
      <w:r>
        <w:t xml:space="preserve"> </w:t>
      </w:r>
      <w:r>
        <w:t xml:space="preserve">parties around the implementation.</w:t>
      </w:r>
      <w:r>
        <w:t xml:space="preserve"> </w:t>
      </w:r>
      <w:r>
        <w:t xml:space="preserve"> If IT is regulated with binding - need flexible way to change ‘binding’ parts to keep</w:t>
      </w:r>
      <w:r>
        <w:t xml:space="preserve"> </w:t>
      </w:r>
      <w:r>
        <w:t xml:space="preserve">them future proof.</w:t>
      </w:r>
      <w:r>
        <w:t xml:space="preserve"> </w:t>
      </w:r>
      <w:r>
        <w:t xml:space="preserve"> Anything binding needs to be open by default.</w:t>
      </w:r>
      <w:r>
        <w:t xml:space="preserve"> </w:t>
      </w:r>
      <w:r>
        <w:t xml:space="preserve">What are issues that could profit from incentives in law?</w:t>
      </w:r>
      <w:r>
        <w:br/>
      </w:r>
      <w:r>
        <w:t xml:space="preserve"> Open-source communities show that cooperation around tech can be very fruitful – public</w:t>
      </w:r>
      <w:r>
        <w:t xml:space="preserve"> </w:t>
      </w:r>
      <w:r>
        <w:t xml:space="preserve">sector to learn from it and link to it</w:t>
      </w:r>
      <w:r>
        <w:t xml:space="preserve"> </w:t>
      </w:r>
      <w:r>
        <w:t xml:space="preserve"> Stability of cooperation depends also on availability of funding – incentives in EU funding</w:t>
      </w:r>
      <w:r>
        <w:t xml:space="preserve"> </w:t>
      </w:r>
      <w:r>
        <w:t xml:space="preserve">to produce interoperability solutions and profit from the cooperation framework</w:t>
      </w:r>
      <w:r>
        <w:t xml:space="preserve"> </w:t>
      </w:r>
      <w:r>
        <w:t xml:space="preserve"> Incentives to cooperate on digital implementation of EU policies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 To consider the use benchmarking for monitoring</w:t>
      </w:r>
      <w:r>
        <w:t xml:space="preserve"> </w:t>
      </w:r>
      <w:r>
        <w:t xml:space="preserve">A legal text can contribute to clarity of roles, co-ownership but actions beyond legal text</w:t>
      </w:r>
      <w:r>
        <w:t xml:space="preserve"> </w:t>
      </w:r>
      <w:r>
        <w:t xml:space="preserve">needed – a cultural change, people willing to cooperate, skills, catalogues.</w:t>
      </w:r>
      <w:r>
        <w:t xml:space="preserve"> </w:t>
      </w:r>
      <w:r>
        <w:t xml:space="preserve">Annex III. Who is affected and how?</w:t>
      </w:r>
      <w:r>
        <w:t xml:space="preserve"> </w:t>
      </w:r>
      <w:r>
        <w:t xml:space="preserve">The benefits of the various policy options for citizens and businesses were estimated based on</w:t>
      </w:r>
      <w:r>
        <w:t xml:space="preserve"> </w:t>
      </w:r>
      <w:r>
        <w:t xml:space="preserve">a study163 of the European Commission’s Joint Research Centre (JRC) that provides an</w:t>
      </w:r>
      <w:r>
        <w:t xml:space="preserve"> </w:t>
      </w:r>
      <w:r>
        <w:t xml:space="preserve">economic impact assessment of public sector interoperability in general. A sensitivity analysis</w:t>
      </w:r>
      <w:r>
        <w:t xml:space="preserve"> </w:t>
      </w:r>
      <w:r>
        <w:t xml:space="preserve">was applied to the original findings, and additional calculations (using the eGovernment</w:t>
      </w:r>
      <w:r>
        <w:t xml:space="preserve"> </w:t>
      </w:r>
      <w:r>
        <w:t xml:space="preserve">Benchmark reports of 2021164 and 2022165) were used to estimate the share of cross-border</w:t>
      </w:r>
      <w:r>
        <w:t xml:space="preserve"> </w:t>
      </w:r>
      <w:r>
        <w:t xml:space="preserve">interoperability.</w:t>
      </w:r>
      <w:r>
        <w:t xml:space="preserve"> </w:t>
      </w:r>
      <w:r>
        <w:t xml:space="preserve">On this basis the preferred policy option would affect the following stakeholders in the</w:t>
      </w:r>
      <w:r>
        <w:t xml:space="preserve"> </w:t>
      </w:r>
      <w:r>
        <w:t xml:space="preserve">following ways:</w:t>
      </w:r>
      <w:r>
        <w:t xml:space="preserve"> </w:t>
      </w:r>
      <w:r>
        <w:t xml:space="preserve">Citizens</w:t>
      </w:r>
      <w:r>
        <w:t xml:space="preserve"> </w:t>
      </w:r>
      <w:r>
        <w:t xml:space="preserve">Citizens receive benefits from enhanced interoperability at the national level (when they need</w:t>
      </w:r>
      <w:r>
        <w:t xml:space="preserve"> </w:t>
      </w:r>
      <w:r>
        <w:t xml:space="preserve">to use national public services) and at the cross-border level (e.g. when they settle, travel,</w:t>
      </w:r>
      <w:r>
        <w:t xml:space="preserve"> </w:t>
      </w:r>
      <w:r>
        <w:t xml:space="preserve">study in another Member State) as interoperability helps reduce barriers for citizens to act.</w:t>
      </w:r>
      <w:r>
        <w:t xml:space="preserve"> </w:t>
      </w:r>
      <w:r>
        <w:t xml:space="preserve">The use of digital tools will not require significant costs of investments on the part of the</w:t>
      </w:r>
      <w:r>
        <w:t xml:space="preserve"> </w:t>
      </w:r>
      <w:r>
        <w:t xml:space="preserve">citizens.</w:t>
      </w:r>
      <w:r>
        <w:t xml:space="preserve"> </w:t>
      </w:r>
      <w:r>
        <w:t xml:space="preserve">We have considered that an increase in interoperability would reduce exclusively the time</w:t>
      </w:r>
      <w:r>
        <w:t xml:space="preserve"> </w:t>
      </w:r>
      <w:r>
        <w:t xml:space="preserve">devoted by those individuals already using the internet to deal with the administration. We did</w:t>
      </w:r>
      <w:r>
        <w:t xml:space="preserve"> </w:t>
      </w:r>
      <w:r>
        <w:t xml:space="preserve">exclude the effect that enhanced interoperability, due to improved accessibility and service</w:t>
      </w:r>
      <w:r>
        <w:t xml:space="preserve"> </w:t>
      </w:r>
      <w:r>
        <w:t xml:space="preserve">quality, might also motivate some individuals to engage with the administration online.</w:t>
      </w:r>
      <w:r>
        <w:t xml:space="preserve"> </w:t>
      </w:r>
      <w:r>
        <w:t xml:space="preserve">Businesses and SMEs</w:t>
      </w:r>
      <w:r>
        <w:t xml:space="preserve"> </w:t>
      </w:r>
      <w:r>
        <w:t xml:space="preserve">The businesses will be affected by the new initiative in a similar manner as the citizens. There</w:t>
      </w:r>
      <w:r>
        <w:t xml:space="preserve"> </w:t>
      </w:r>
      <w:r>
        <w:t xml:space="preserve">are no specific costs that are foreseen for businesses – in order to make use of the digital tools,</w:t>
      </w:r>
      <w:r>
        <w:t xml:space="preserve"> </w:t>
      </w:r>
      <w:r>
        <w:t xml:space="preserve">they need to possess a computer and to have access to the internet.</w:t>
      </w:r>
      <w:r>
        <w:br/>
      </w:r>
      <w:r>
        <w:t xml:space="preserve">Businesses interacting online with public administrations, will benefit from a reduction in the</w:t>
      </w:r>
      <w:r>
        <w:t xml:space="preserve"> </w:t>
      </w:r>
      <w:r>
        <w:t xml:space="preserve">time spent on filling in administrative forms or from better availability of the information they</w:t>
      </w:r>
      <w:r>
        <w:t xml:space="preserve"> </w:t>
      </w:r>
      <w:r>
        <w:t xml:space="preserve">seek (e.g. to start a business, VAT rules and rates, open a branch, finding partners, standards</w:t>
      </w:r>
      <w:r>
        <w:t xml:space="preserve"> </w:t>
      </w:r>
      <w:r>
        <w:t xml:space="preserve">in Europe, providing services abroad, resolving disputes, access to finance, and exchanges for</w:t>
      </w:r>
      <w:r>
        <w:t xml:space="preserve"> </w:t>
      </w:r>
      <w:r>
        <w:t xml:space="preserve">new entrepreneurs). Similarly, businesses and SMEs involved in cross-border transactions are</w:t>
      </w:r>
      <w:r>
        <w:t xml:space="preserve"> </w:t>
      </w:r>
      <w:r>
        <w:t xml:space="preserve">expected to benefit directly from the improved interoperability of digital public services (e.g. </w:t>
      </w:r>
      <w:r>
        <w:t xml:space="preserve"> </w:t>
      </w:r>
      <w:r>
        <w:t xml:space="preserve">multilingual digital public services). This could also give impetus to the SMEs to engage</w:t>
      </w:r>
      <w:r>
        <w:t xml:space="preserve"> </w:t>
      </w:r>
      <w:r>
        <w:t xml:space="preserve">more in cross-border transactions within EU. The private companies who provide digital</w:t>
      </w:r>
      <w:r>
        <w:t xml:space="preserve"> </w:t>
      </w:r>
      <w:r>
        <w:t xml:space="preserve">solutions for public services as well as other relevant stakeholders will have no new</w:t>
      </w:r>
      <w:r>
        <w:t xml:space="preserve"> </w:t>
      </w:r>
      <w:r>
        <w:t xml:space="preserve">obligations. They will benefit from new or increased opportunities, for example for publishing</w:t>
      </w:r>
      <w:r>
        <w:t xml:space="preserve"> </w:t>
      </w:r>
      <w:r>
        <w:t xml:space="preserve">open-source solutions on a share and reuse platform that could be picked up to be certified by</w:t>
      </w:r>
      <w:r>
        <w:t xml:space="preserve"> </w:t>
      </w:r>
      <w:r>
        <w:t xml:space="preserve">the governance as a recommended solution or by contributing to the work of a community in</w:t>
      </w:r>
      <w:r>
        <w:t xml:space="preserve"> </w:t>
      </w:r>
      <w:r>
        <w:t xml:space="preserve">the new framework.</w:t>
      </w:r>
      <w:r>
        <w:t xml:space="preserve"> </w:t>
      </w:r>
      <w:r>
        <w:t xml:space="preserve">Again, we have considered that an increase in interoperability would reduce exclusively the</w:t>
      </w:r>
      <w:r>
        <w:t xml:space="preserve"> </w:t>
      </w:r>
      <w:r>
        <w:t xml:space="preserve">time devoted by those individuals already using the internet to deal with the administration.</w:t>
      </w:r>
    </w:p>
    <w:p>
      <w:pPr>
        <w:pStyle w:val="BodyText"/>
      </w:pPr>
      <w:r>
        <w:t xml:space="preserve">163</w:t>
      </w:r>
      <w:r>
        <w:br/>
      </w:r>
      <w:r>
        <w:t xml:space="preserve">Baseline for the estimates of the JRC: ‘Quantifying the Benefits of Location Interoperability in the</w:t>
      </w:r>
      <w:r>
        <w:t xml:space="preserve"> </w:t>
      </w:r>
      <w:r>
        <w:t xml:space="preserve">European Union’ (2022).</w:t>
      </w:r>
      <w:r>
        <w:t xml:space="preserve"> </w:t>
      </w:r>
      <w:r>
        <w:t xml:space="preserve">164</w:t>
      </w:r>
      <w:r>
        <w:br/>
      </w:r>
      <w:r>
        <w:t xml:space="preserve">Data from the ‘eGovernment benchmark of 2021’.</w:t>
      </w:r>
      <w:r>
        <w:t xml:space="preserve"> </w:t>
      </w:r>
      <w:r>
        <w:t xml:space="preserve">165</w:t>
      </w:r>
      <w:r>
        <w:br/>
      </w:r>
      <w:r>
        <w:t xml:space="preserve">Data from the ‘eGovernment benchmark of 2022’.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Public sector authorities</w:t>
      </w:r>
      <w:r>
        <w:t xml:space="preserve"> </w:t>
      </w:r>
      <w:r>
        <w:t xml:space="preserve">Public administrations are the main beneficiaries of improved interoperability measures, as</w:t>
      </w:r>
      <w:r>
        <w:t xml:space="preserve"> </w:t>
      </w:r>
      <w:r>
        <w:t xml:space="preserve">they can reduce the time spent resolving customised requests, processing the same</w:t>
      </w:r>
      <w:r>
        <w:t xml:space="preserve"> </w:t>
      </w:r>
      <w:r>
        <w:t xml:space="preserve">information several times or searching for data through more centralised systems between</w:t>
      </w:r>
      <w:r>
        <w:t xml:space="preserve"> </w:t>
      </w:r>
      <w:r>
        <w:t xml:space="preserve">national and cross-border public administrations.</w:t>
      </w:r>
      <w:r>
        <w:t xml:space="preserve"> </w:t>
      </w:r>
      <w:r>
        <w:t xml:space="preserve">The implementation of the preferred policy option would have practical implications foremost</w:t>
      </w:r>
      <w:r>
        <w:t xml:space="preserve"> </w:t>
      </w:r>
      <w:r>
        <w:t xml:space="preserve">for public sector bodies. There would be a general obligation to contribute to the Interoperable</w:t>
      </w:r>
      <w:r>
        <w:t xml:space="preserve"> </w:t>
      </w:r>
      <w:r>
        <w:t xml:space="preserve">Europe governance body and to assign a responsible authority in the Member State. They</w:t>
      </w:r>
      <w:r>
        <w:t xml:space="preserve"> </w:t>
      </w:r>
      <w:r>
        <w:t xml:space="preserve">would have new obligations around transparency: for example, an obligation to reference all</w:t>
      </w:r>
      <w:r>
        <w:t xml:space="preserve"> </w:t>
      </w:r>
      <w:r>
        <w:t xml:space="preserve">public sector IT solutions and specifications developed throughout the Union with EU</w:t>
      </w:r>
      <w:r>
        <w:t xml:space="preserve"> </w:t>
      </w:r>
      <w:r>
        <w:t xml:space="preserve">funding on a central platform, or to assess the possibility for reuse of common solutions. Most</w:t>
      </w:r>
      <w:r>
        <w:t xml:space="preserve"> </w:t>
      </w:r>
      <w:r>
        <w:t xml:space="preserve">practical implications however translate into more opportunities to work together with public</w:t>
      </w:r>
      <w:r>
        <w:t xml:space="preserve"> </w:t>
      </w:r>
      <w:r>
        <w:t xml:space="preserve">sector bodies from other Member States on interoperable solutions, in enhanced legal</w:t>
      </w:r>
      <w:r>
        <w:t xml:space="preserve"> </w:t>
      </w:r>
      <w:r>
        <w:t xml:space="preserve">certainty around topics like share and reuse and the possibility of co-developing innovative</w:t>
      </w:r>
      <w:r>
        <w:t xml:space="preserve"> </w:t>
      </w:r>
      <w:r>
        <w:t xml:space="preserve">cross-border digital solutions.</w:t>
      </w:r>
      <w:r>
        <w:br/>
      </w:r>
      <w:r>
        <w:t xml:space="preserve">However, as previously explained (section 7.3 and developed in Annex IV) citizens and</w:t>
      </w:r>
      <w:r>
        <w:t xml:space="preserve"> </w:t>
      </w:r>
      <w:r>
        <w:t xml:space="preserve">business benefit substantially from saved hours spent to deal with administrative</w:t>
      </w:r>
      <w:r>
        <w:t xml:space="preserve"> </w:t>
      </w:r>
      <w:r>
        <w:t xml:space="preserve">obligations.</w:t>
      </w:r>
      <w:r>
        <w:t xml:space="preserve"> </w:t>
      </w:r>
      <w:r>
        <w:t xml:space="preserve">Overview of cost savings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 (total EU-27)</w:t>
      </w:r>
      <w:r>
        <w:t xml:space="preserve"> </w:t>
      </w:r>
      <w:r>
        <w:t xml:space="preserve">One-off Recurrent 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(EUR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5.5</w:t>
      </w:r>
    </w:p>
    <w:p>
      <w:pPr>
        <w:pStyle w:val="BodyText"/>
      </w:pPr>
      <w:r>
        <w:t xml:space="preserve">5 742.7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(EUR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Annex IV. Methodology</w:t>
      </w:r>
      <w:r>
        <w:t xml:space="preserve"> </w:t>
      </w:r>
      <w:r>
        <w:t xml:space="preserve">This annex presents the methodology employed for the back-to-back evaluation and impact</w:t>
      </w:r>
      <w:r>
        <w:t xml:space="preserve"> </w:t>
      </w:r>
      <w:r>
        <w:t xml:space="preserve">assessment. It details the types of data collected and their validation, the methods used, and</w:t>
      </w:r>
      <w:r>
        <w:t xml:space="preserve"> </w:t>
      </w:r>
      <w:r>
        <w:t xml:space="preserve">the main limitations of the analysis.</w:t>
      </w:r>
      <w:r>
        <w:t xml:space="preserve"> </w:t>
      </w:r>
      <w:r>
        <w:t xml:space="preserve">Overview of information and data sources</w:t>
      </w:r>
      <w:r>
        <w:t xml:space="preserve"> </w:t>
      </w:r>
      <w:r>
        <w:t xml:space="preserve">In the Data Collection Phase, a mix of data collection methods and desk research was</w:t>
      </w:r>
      <w:r>
        <w:t xml:space="preserve"> </w:t>
      </w:r>
      <w:r>
        <w:t xml:space="preserve">employed to gather both primary and secondary information and data, as follows:</w:t>
      </w:r>
      <w:r>
        <w:t xml:space="preserve"> </w:t>
      </w:r>
      <w:r>
        <w:t xml:space="preserve"> Primary information and data were collected via the following consultation</w:t>
      </w:r>
      <w:r>
        <w:t xml:space="preserve"> </w:t>
      </w:r>
      <w:r>
        <w:t xml:space="preserve">activities: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o Work on recommendations with the Expert Group on Public Sector</w:t>
      </w:r>
      <w:r>
        <w:t xml:space="preserve"> </w:t>
      </w:r>
      <w:r>
        <w:t xml:space="preserve">interoperability;</w:t>
      </w:r>
      <w:r>
        <w:t xml:space="preserve"> </w:t>
      </w:r>
      <w:r>
        <w:t xml:space="preserve">o Targeted in-depth interviews;</w:t>
      </w:r>
      <w:r>
        <w:t xml:space="preserve"> </w:t>
      </w:r>
      <w:r>
        <w:t xml:space="preserve">o Targeted online survey;</w:t>
      </w:r>
      <w:r>
        <w:t xml:space="preserve"> </w:t>
      </w:r>
      <w:r>
        <w:t xml:space="preserve">o Public consultation;</w:t>
      </w:r>
      <w:r>
        <w:t xml:space="preserve"> </w:t>
      </w:r>
      <w:r>
        <w:t xml:space="preserve">o feedback received on the Combined EIF Evaluation Roadmap and</w:t>
      </w:r>
      <w:r>
        <w:t xml:space="preserve"> </w:t>
      </w:r>
      <w:r>
        <w:t xml:space="preserve">Inception Impact Assessment166.</w:t>
      </w:r>
      <w:r>
        <w:t xml:space="preserve"> </w:t>
      </w:r>
      <w:r>
        <w:t xml:space="preserve"> Secondary information and data were collected by reviewing:</w:t>
      </w:r>
      <w:r>
        <w:t xml:space="preserve"> </w:t>
      </w:r>
      <w:r>
        <w:t xml:space="preserve">o The Digital Public Administration Factsheets, developed as part of the NIFO</w:t>
      </w:r>
      <w:r>
        <w:t xml:space="preserve"> </w:t>
      </w:r>
      <w:r>
        <w:t xml:space="preserve">action and available on the Joinup platform167;</w:t>
      </w:r>
      <w:r>
        <w:t xml:space="preserve"> </w:t>
      </w:r>
      <w:r>
        <w:t xml:space="preserve">o The EIF Monitoring Mechanism168;</w:t>
      </w:r>
      <w:r>
        <w:t xml:space="preserve"> </w:t>
      </w:r>
      <w:r>
        <w:t xml:space="preserve">o Relevant literature;</w:t>
      </w:r>
      <w:r>
        <w:t xml:space="preserve"> </w:t>
      </w:r>
      <w:r>
        <w:t xml:space="preserve">o Official EU-level documents such as communications, regulations, and</w:t>
      </w:r>
      <w:r>
        <w:t xml:space="preserve"> </w:t>
      </w:r>
      <w:r>
        <w:t xml:space="preserve">directives;</w:t>
      </w:r>
      <w:r>
        <w:t xml:space="preserve"> </w:t>
      </w:r>
      <w:r>
        <w:t xml:space="preserve">o Official national-level documents such as national interoperability frameworks;</w:t>
      </w:r>
      <w:r>
        <w:t xml:space="preserve"> </w:t>
      </w:r>
      <w:r>
        <w:t xml:space="preserve">o Databases including Eurostat, the World Bank Worldwide Governance</w:t>
      </w:r>
      <w:r>
        <w:t xml:space="preserve"> </w:t>
      </w:r>
      <w:r>
        <w:t xml:space="preserve">Indicators and Doing Business report, and the Organisation for Economic Co-</w:t>
      </w:r>
      <w:r>
        <w:t xml:space="preserve"> </w:t>
      </w:r>
      <w:r>
        <w:t xml:space="preserve">operation and Development (OECD) Digital Infrastructure indicators; and</w:t>
      </w:r>
      <w:r>
        <w:t xml:space="preserve"> </w:t>
      </w:r>
      <w:r>
        <w:t xml:space="preserve">o The datasets related to the e-Government Benchmark reports169.</w:t>
      </w:r>
      <w:r>
        <w:t xml:space="preserve"> </w:t>
      </w:r>
      <w:r>
        <w:t xml:space="preserve">The above-mentioned sources were complemented by expert assessments conducted by five</w:t>
      </w:r>
      <w:r>
        <w:t xml:space="preserve"> </w:t>
      </w:r>
      <w:r>
        <w:t xml:space="preserve">independent experts who were part of the Team on the supporting studies conducted by</w:t>
      </w:r>
      <w:r>
        <w:t xml:space="preserve"> </w:t>
      </w:r>
      <w:r>
        <w:t xml:space="preserve">CEPS, in accordance with the Technical Proposal. The independent experts were tasked with</w:t>
      </w:r>
      <w:r>
        <w:t xml:space="preserve"> </w:t>
      </w:r>
      <w:r>
        <w:t xml:space="preserve">completing the questionnaire that served as the basis for the in-depth interviews and with</w:t>
      </w:r>
      <w:r>
        <w:t xml:space="preserve"> </w:t>
      </w:r>
      <w:r>
        <w:t xml:space="preserve">providing additional expert input to support the evaluation and impact assessment.</w:t>
      </w:r>
      <w:r>
        <w:t xml:space="preserve"> </w:t>
      </w:r>
      <w:r>
        <w:t xml:space="preserve">Several of the secondary data sources170 mentioned above were used by the JRC to quantity</w:t>
      </w:r>
      <w:r>
        <w:t xml:space="preserve"> </w:t>
      </w:r>
      <w:r>
        <w:t xml:space="preserve">the general benefits of interoperability in the European Union, and to respectively estimate the</w:t>
      </w:r>
      <w:r>
        <w:t xml:space="preserve"> </w:t>
      </w:r>
      <w:r>
        <w:t xml:space="preserve">proportion of these benefits that can be attributed to cross-border interoperability.</w:t>
      </w:r>
      <w:r>
        <w:t xml:space="preserve"> </w:t>
      </w:r>
      <w:r>
        <w:t xml:space="preserve">Furthermore, to follow a conservative approach, a sensitivity analysis has been applied to the</w:t>
      </w:r>
      <w:r>
        <w:t xml:space="preserve"> </w:t>
      </w:r>
      <w:r>
        <w:t xml:space="preserve">benefits for businesses.</w:t>
      </w:r>
      <w:r>
        <w:t xml:space="preserve"> </w:t>
      </w:r>
      <w:r>
        <w:t xml:space="preserve">Primary data</w:t>
      </w:r>
      <w:r>
        <w:t xml:space="preserve"> </w:t>
      </w:r>
      <w:r>
        <w:t xml:space="preserve">The consultation activities were launched in December 2020 (with a kick-off workshop to</w:t>
      </w:r>
      <w:r>
        <w:t xml:space="preserve"> </w:t>
      </w:r>
      <w:r>
        <w:t xml:space="preserve">raise awareness on the evaluation process) and lasted until the end of April 2021 (marked by</w:t>
      </w:r>
      <w:r>
        <w:t xml:space="preserve"> </w:t>
      </w:r>
      <w:r>
        <w:t xml:space="preserve">the end of the public consultation). The duration of each consultation activity was planned to</w:t>
      </w:r>
      <w:r>
        <w:t xml:space="preserve"> </w:t>
      </w:r>
      <w:r>
        <w:t xml:space="preserve">ensure that stakeholders had enough time to provide their inputs. This was complemented</w:t>
      </w:r>
      <w:r>
        <w:t xml:space="preserve"> </w:t>
      </w:r>
      <w:r>
        <w:t xml:space="preserve">with a co-creation process with the Expert Group on interoperability of public services (see</w:t>
      </w:r>
      <w:r>
        <w:t xml:space="preserve"> </w:t>
      </w:r>
      <w:r>
        <w:t xml:space="preserve">Annex II).</w:t>
      </w:r>
      <w:r>
        <w:t xml:space="preserve"> </w:t>
      </w:r>
      <w:r>
        <w:t xml:space="preserve">The general consultation activities resulted in a total of 134 responses for the impact</w:t>
      </w:r>
      <w:r>
        <w:t xml:space="preserve"> </w:t>
      </w:r>
      <w:r>
        <w:t xml:space="preserve">assessment and 112 responses for the EIF evaluation, which can be divided into six</w:t>
      </w:r>
      <w:r>
        <w:t xml:space="preserve"> </w:t>
      </w:r>
      <w:r>
        <w:t xml:space="preserve">stakeholder groups as presented in Table 10. The stakeholder categories were defined on the</w:t>
      </w:r>
    </w:p>
    <w:p>
      <w:pPr>
        <w:pStyle w:val="BodyText"/>
      </w:pPr>
      <w:r>
        <w:t xml:space="preserve">166</w:t>
      </w:r>
      <w:r>
        <w:br/>
      </w:r>
      <w:r>
        <w:t xml:space="preserve">The feedback of stakeholders can be consulted at: https://ec.europa.eu/info/law/better-regulation/have-</w:t>
      </w:r>
      <w:r>
        <w:t xml:space="preserve"> </w:t>
      </w:r>
      <w:r>
        <w:t xml:space="preserve">your-say/initiatives/12579-European-Interoperability-Framework-EIF-evaluation-and-EU-</w:t>
      </w:r>
      <w:r>
        <w:t xml:space="preserve"> </w:t>
      </w:r>
      <w:r>
        <w:t xml:space="preserve">governments-interoperability-strategy/feedback?p_id=9804060&amp;page=1</w:t>
      </w:r>
      <w:r>
        <w:t xml:space="preserve"> </w:t>
      </w:r>
      <w:r>
        <w:t xml:space="preserve">167</w:t>
      </w:r>
      <w:r>
        <w:br/>
      </w:r>
      <w:r>
        <w:t xml:space="preserve">The factsheets can be consulted on Joinup: https://joinup.ec.europa.eu/collection/nifo-national-</w:t>
      </w:r>
      <w:r>
        <w:t xml:space="preserve"> </w:t>
      </w:r>
      <w:r>
        <w:t xml:space="preserve">interoperability-framework-observatory/digital-public-administration-factsheets</w:t>
      </w:r>
      <w:r>
        <w:t xml:space="preserve"> </w:t>
      </w:r>
      <w:r>
        <w:t xml:space="preserve">168</w:t>
      </w:r>
      <w:r>
        <w:br/>
      </w:r>
      <w:r>
        <w:t xml:space="preserve">An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EIF</w:t>
      </w:r>
      <w:r>
        <w:t xml:space="preserve"> </w:t>
      </w:r>
      <w:r>
        <w:t xml:space="preserve">Monitoring</w:t>
      </w:r>
      <w:r>
        <w:t xml:space="preserve"> </w:t>
      </w:r>
      <w:r>
        <w:t xml:space="preserve">Mechanism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https://joinup.ec.europa.eu/collection/nifo-national-interoperability-framework-observatory/eif-</w:t>
      </w:r>
      <w:r>
        <w:t xml:space="preserve"> </w:t>
      </w:r>
      <w:r>
        <w:t xml:space="preserve">monitoring-mechanism</w:t>
      </w:r>
      <w:r>
        <w:t xml:space="preserve"> </w:t>
      </w:r>
      <w:r>
        <w:t xml:space="preserve">169</w:t>
      </w:r>
      <w:r>
        <w:br/>
      </w:r>
      <w:r>
        <w:t xml:space="preserve">The e-Government Benchmark datasets are available at: https://digital-agenda-ata.eu/datasets/e-gov</w:t>
      </w:r>
      <w:r>
        <w:t xml:space="preserve"> </w:t>
      </w:r>
      <w:r>
        <w:t xml:space="preserve">170</w:t>
      </w:r>
      <w:r>
        <w:br/>
      </w:r>
      <w:r>
        <w:t xml:space="preserve">Details are explained in the JRC report ‘Quantifying the Benefits of Location Interoperability in the</w:t>
      </w:r>
      <w:r>
        <w:t xml:space="preserve"> </w:t>
      </w:r>
      <w:r>
        <w:t xml:space="preserve">European Union’ (2022), and as part of the methodology section (below).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basis of the assessment of relevant stakeholders conducted in the inception phase and by</w:t>
      </w:r>
      <w:r>
        <w:t xml:space="preserve"> </w:t>
      </w:r>
      <w:r>
        <w:t xml:space="preserve">taking into account the need to ensure the comparability of results between the three strands</w:t>
      </w:r>
      <w:r>
        <w:t xml:space="preserve"> </w:t>
      </w:r>
      <w:r>
        <w:t xml:space="preserve">of the consultation activities: in-depth interviews, online survey, and public consultation</w:t>
      </w:r>
      <w:r>
        <w:t xml:space="preserve"> </w:t>
      </w:r>
      <w:r>
        <w:t xml:space="preserve">(considering in particular the mandatory template for background information used for public</w:t>
      </w:r>
      <w:r>
        <w:t xml:space="preserve"> </w:t>
      </w:r>
      <w:r>
        <w:t xml:space="preserve">consultations).</w:t>
      </w:r>
      <w:r>
        <w:t xml:space="preserve"> </w:t>
      </w:r>
      <w:r>
        <w:t xml:space="preserve">Table 10. Overview of responses to the consultation activities by stakeholder group for the</w:t>
      </w:r>
      <w:r>
        <w:t xml:space="preserve"> </w:t>
      </w:r>
      <w:r>
        <w:t xml:space="preserve">impact assessment/evaluation</w:t>
      </w:r>
      <w:r>
        <w:t xml:space="preserve"> </w:t>
      </w:r>
      <w:r>
        <w:t xml:space="preserve">Consultation</w:t>
      </w:r>
      <w:r>
        <w:t xml:space="preserve"> </w:t>
      </w:r>
      <w:r>
        <w:t xml:space="preserve">Stakeholders</w:t>
      </w:r>
      <w:r>
        <w:br/>
      </w:r>
      <w:r>
        <w:t xml:space="preserve">In-depth</w:t>
      </w:r>
      <w:r>
        <w:t xml:space="preserve"> </w:t>
      </w:r>
      <w:r>
        <w:t xml:space="preserve">interview</w:t>
      </w:r>
      <w:r>
        <w:t xml:space="preserve"> </w:t>
      </w:r>
      <w:r>
        <w:t xml:space="preserve">Online survey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TOTAL</w:t>
      </w:r>
      <w:r>
        <w:t xml:space="preserve"> </w:t>
      </w:r>
      <w:r>
        <w:t xml:space="preserve">Civil society (all other</w:t>
      </w:r>
      <w:r>
        <w:t xml:space="preserve"> </w:t>
      </w:r>
      <w:r>
        <w:t xml:space="preserve">stakeholders)</w:t>
      </w:r>
      <w:r>
        <w:t xml:space="preserve"> </w:t>
      </w:r>
      <w:r>
        <w:t xml:space="preserve">1/-</w:t>
      </w:r>
      <w:r>
        <w:t xml:space="preserve"> </w:t>
      </w:r>
      <w:r>
        <w:t xml:space="preserve">1/2</w:t>
      </w:r>
      <w:r>
        <w:t xml:space="preserve"> </w:t>
      </w:r>
      <w:r>
        <w:t xml:space="preserve">8/7</w:t>
      </w:r>
      <w:r>
        <w:t xml:space="preserve"> </w:t>
      </w:r>
      <w:r>
        <w:t xml:space="preserve">10/9</w:t>
      </w:r>
      <w:r>
        <w:t xml:space="preserve"> </w:t>
      </w:r>
      <w:r>
        <w:t xml:space="preserve">Companies and 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-/-</w:t>
      </w:r>
      <w:r>
        <w:t xml:space="preserve"> </w:t>
      </w:r>
      <w:r>
        <w:t xml:space="preserve">5/3</w:t>
      </w:r>
      <w:r>
        <w:t xml:space="preserve"> </w:t>
      </w:r>
      <w:r>
        <w:t xml:space="preserve">13/14</w:t>
      </w:r>
      <w:r>
        <w:t xml:space="preserve"> </w:t>
      </w:r>
      <w:r>
        <w:t xml:space="preserve">18/17</w:t>
      </w:r>
      <w:r>
        <w:t xml:space="preserve"> </w:t>
      </w:r>
      <w:r>
        <w:t xml:space="preserve">EU and non-EU citizens</w:t>
      </w:r>
      <w:r>
        <w:t xml:space="preserve"> </w:t>
      </w:r>
      <w:r>
        <w:t xml:space="preserve">-/-</w:t>
      </w:r>
      <w:r>
        <w:t xml:space="preserve"> </w:t>
      </w:r>
      <w:r>
        <w:t xml:space="preserve">4/2</w:t>
      </w:r>
      <w:r>
        <w:t xml:space="preserve"> </w:t>
      </w:r>
      <w:r>
        <w:t xml:space="preserve">31/18</w:t>
      </w:r>
      <w:r>
        <w:t xml:space="preserve"> </w:t>
      </w:r>
      <w:r>
        <w:t xml:space="preserve">35/20</w:t>
      </w:r>
      <w:r>
        <w:t xml:space="preserve"> </w:t>
      </w:r>
      <w:r>
        <w:t xml:space="preserve">EU public authorities</w:t>
      </w:r>
      <w:r>
        <w:t xml:space="preserve"> </w:t>
      </w:r>
      <w:r>
        <w:t xml:space="preserve">3/5</w:t>
      </w:r>
      <w:r>
        <w:t xml:space="preserve"> </w:t>
      </w:r>
      <w:r>
        <w:t xml:space="preserve">10/8</w:t>
      </w:r>
      <w:r>
        <w:t xml:space="preserve"> </w:t>
      </w:r>
      <w:r>
        <w:t xml:space="preserve">-</w:t>
      </w:r>
      <w:r>
        <w:t xml:space="preserve"> </w:t>
      </w:r>
      <w:r>
        <w:t xml:space="preserve">13/13</w:t>
      </w:r>
      <w:r>
        <w:t xml:space="preserve"> </w:t>
      </w:r>
      <w:r>
        <w:t xml:space="preserve">Experts and academia</w:t>
      </w:r>
      <w:r>
        <w:t xml:space="preserve"> </w:t>
      </w:r>
      <w:r>
        <w:t xml:space="preserve">(including the independent</w:t>
      </w:r>
      <w:r>
        <w:t xml:space="preserve"> </w:t>
      </w:r>
      <w:r>
        <w:t xml:space="preserve">expert assessments)</w:t>
      </w:r>
      <w:r>
        <w:t xml:space="preserve"> </w:t>
      </w:r>
      <w:r>
        <w:t xml:space="preserve">6</w:t>
      </w:r>
      <w:r>
        <w:rPr>
          <w:i/>
          <w:iCs/>
        </w:rPr>
        <w:t xml:space="preserve">/6</w:t>
      </w:r>
      <w:r>
        <w:t xml:space="preserve"> </w:t>
      </w:r>
      <w:r>
        <w:t xml:space="preserve">3/4</w:t>
      </w:r>
      <w:r>
        <w:t xml:space="preserve"> </w:t>
      </w:r>
      <w:r>
        <w:t xml:space="preserve">5/4</w:t>
      </w:r>
      <w:r>
        <w:t xml:space="preserve"> </w:t>
      </w:r>
      <w:r>
        <w:t xml:space="preserve">14/14</w:t>
      </w:r>
      <w:r>
        <w:t xml:space="preserve"> </w:t>
      </w:r>
      <w:r>
        <w:t xml:space="preserve">National public authorities</w:t>
      </w:r>
      <w:r>
        <w:t xml:space="preserve"> </w:t>
      </w:r>
      <w:r>
        <w:t xml:space="preserve">-/2</w:t>
      </w:r>
      <w:r>
        <w:t xml:space="preserve"> </w:t>
      </w:r>
      <w:r>
        <w:t xml:space="preserve">27/25**</w:t>
      </w:r>
      <w:r>
        <w:t xml:space="preserve"> </w:t>
      </w:r>
      <w:r>
        <w:t xml:space="preserve">16/12</w:t>
      </w:r>
      <w:r>
        <w:t xml:space="preserve"> </w:t>
      </w:r>
      <w:r>
        <w:t xml:space="preserve">44/39</w:t>
      </w:r>
      <w:r>
        <w:t xml:space="preserve"> </w:t>
      </w:r>
      <w:r>
        <w:t xml:space="preserve">TOTAL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73</w:t>
      </w:r>
      <w:r>
        <w:t xml:space="preserve"> </w:t>
      </w:r>
      <w:r>
        <w:t xml:space="preserve">134/112</w:t>
      </w:r>
      <w:r>
        <w:t xml:space="preserve"> </w:t>
      </w:r>
      <w:r>
        <w:t xml:space="preserve">Note: x/y:x: Number of participants in impact assessment, y: number of participants for EIF evaluation.</w:t>
      </w:r>
      <w:r>
        <w:t xml:space="preserve"> </w:t>
      </w:r>
      <w:r>
        <w:t xml:space="preserve">* In-depth interviews conducted with experts and academia include four independent expert assessments.</w:t>
      </w:r>
      <w:r>
        <w:t xml:space="preserve"> </w:t>
      </w:r>
      <w:r>
        <w:t xml:space="preserve">**One follow-up interview to the targeted online survey was conducted.</w:t>
      </w:r>
      <w:r>
        <w:br/>
      </w:r>
      <w:r>
        <w:t xml:space="preserve">Source: Study supporting the impact assessment for a future interoperability strategy</w:t>
      </w:r>
      <w:r>
        <w:t xml:space="preserve"> </w:t>
      </w:r>
      <w:r>
        <w:t xml:space="preserve">In order to facilitate the comparison of stakeholders’ responses, the questionnaire of each</w:t>
      </w:r>
      <w:r>
        <w:t xml:space="preserve"> </w:t>
      </w:r>
      <w:r>
        <w:t xml:space="preserve">consultation activity relied on Likert scales. Respondents were thus asked to provide their</w:t>
      </w:r>
      <w:r>
        <w:t xml:space="preserve"> </w:t>
      </w:r>
      <w:r>
        <w:t xml:space="preserve">feedback by referring to a scale from (1) to (5) or (–) to (++), depending on the type of</w:t>
      </w:r>
      <w:r>
        <w:t xml:space="preserve"> </w:t>
      </w:r>
      <w:r>
        <w:t xml:space="preserve">question:171</w:t>
      </w:r>
      <w:r>
        <w:br/>
      </w:r>
      <w:r>
        <w:t xml:space="preserve">1.</w:t>
      </w:r>
      <w:r>
        <w:t xml:space="preserve"> </w:t>
      </w:r>
      <w:r>
        <w:t xml:space="preserve">(1) – not at all; (2) – to a limited extent; (3) – to some extent; (4) – to a great extent; or</w:t>
      </w:r>
      <w:r>
        <w:t xml:space="preserve"> </w:t>
      </w:r>
      <w:r>
        <w:t xml:space="preserve">(5) – completely;</w:t>
      </w:r>
      <w:r>
        <w:t xml:space="preserve"> </w:t>
      </w:r>
      <w:r>
        <w:t xml:space="preserve">2.</w:t>
      </w:r>
      <w:r>
        <w:t xml:space="preserve"> </w:t>
      </w:r>
      <w:r>
        <w:t xml:space="preserve">(–) very negative; (-) negative; (0) neutral; (+) positive; or (++) very positive.</w:t>
      </w:r>
      <w:r>
        <w:t xml:space="preserve"> </w:t>
      </w:r>
      <w:r>
        <w:t xml:space="preserve">The SWD presents the aggregate results of the consultation activities using bar charts showing</w:t>
      </w:r>
      <w:r>
        <w:t xml:space="preserve"> </w:t>
      </w:r>
      <w:r>
        <w:t xml:space="preserve">the average scores of responses from each stakeholder group. The average scores do not</w:t>
      </w:r>
      <w:r>
        <w:t xml:space="preserve"> </w:t>
      </w:r>
      <w:r>
        <w:t xml:space="preserve">account for ‘don’t know/no opinion’ answers. The data labels of the bar charts display the</w:t>
      </w:r>
      <w:r>
        <w:t xml:space="preserve"> </w:t>
      </w:r>
      <w:r>
        <w:t xml:space="preserve">average score first, then the corresponding number of respondents in brackets.</w:t>
      </w:r>
      <w:r>
        <w:br/>
      </w:r>
      <w:r>
        <w:t xml:space="preserve">In order to assess the reliability of primary data, Figure 28 and Figure 29 provide an overview</w:t>
      </w:r>
      <w:r>
        <w:t xml:space="preserve"> </w:t>
      </w:r>
      <w:r>
        <w:t xml:space="preserve">of the level of knowledge in the field of digital public services as well as the knowledge of the</w:t>
      </w:r>
      <w:r>
        <w:t xml:space="preserve"> </w:t>
      </w:r>
      <w:r>
        <w:t xml:space="preserve">EIF among the participants who contributed to the consultation activities. Overall,</w:t>
      </w:r>
      <w:r>
        <w:t xml:space="preserve"> </w:t>
      </w:r>
      <w:r>
        <w:t xml:space="preserve">stakeholders reflect a high level of knowledge, strengthening the reliability of the primary</w:t>
      </w:r>
      <w:r>
        <w:t xml:space="preserve"> </w:t>
      </w:r>
      <w:r>
        <w:t xml:space="preserve">data collected.</w:t>
      </w:r>
    </w:p>
    <w:p>
      <w:pPr>
        <w:pStyle w:val="BodyText"/>
      </w:pPr>
      <w:r>
        <w:t xml:space="preserve">171</w:t>
      </w:r>
      <w:r>
        <w:br/>
      </w:r>
      <w:r>
        <w:t xml:space="preserve">For each question, the respondent also had the possibility to select the answer ‘don’t know/no opinion’.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Table 11. Overview of the level of knowledge of respondents</w:t>
      </w:r>
      <w:r>
        <w:t xml:space="preserve"> </w:t>
      </w:r>
      <w:r>
        <w:t xml:space="preserve">On average, respondents have a good level of knowledge in the field, noting they are</w:t>
      </w:r>
      <w:r>
        <w:t xml:space="preserve"> </w:t>
      </w:r>
      <w:r>
        <w:t xml:space="preserve">familiar to a great extent with digital public services and interoperability. EU and non-EU</w:t>
      </w:r>
      <w:r>
        <w:t xml:space="preserve"> </w:t>
      </w:r>
      <w:r>
        <w:t xml:space="preserve">citizens report a relatively lower level of knowledge, but even in this case, the respondents</w:t>
      </w:r>
      <w:r>
        <w:t xml:space="preserve"> </w:t>
      </w:r>
      <w:r>
        <w:t xml:space="preserve">are familiar at least to some extent (3.50) with the field of digital public services and</w:t>
      </w:r>
      <w:r>
        <w:t xml:space="preserve"> </w:t>
      </w:r>
      <w:r>
        <w:t xml:space="preserve">interoperability.</w:t>
      </w:r>
      <w:r>
        <w:br/>
      </w:r>
      <w:r>
        <w:t xml:space="preserve">Figure 28. Knowledge of digital public services and interoperability (breakdown by group</w:t>
      </w:r>
      <w:r>
        <w:t xml:space="preserve"> </w:t>
      </w:r>
      <w:r>
        <w:t xml:space="preserve">of stakeholders; average score and 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 Note:</w:t>
      </w:r>
      <w:r>
        <w:t xml:space="preserve"> </w:t>
      </w:r>
      <w:r>
        <w:t xml:space="preserve">Averages do not account for respondents answering ‘don’t know/no opinion’ (DK/NO).</w:t>
      </w:r>
      <w:r>
        <w:t xml:space="preserve"> </w:t>
      </w:r>
      <w:r>
        <w:t xml:space="preserve">Source: Study supporting the impact assessment for a future interoperability strategy</w:t>
      </w:r>
      <w:r>
        <w:t xml:space="preserve"> </w:t>
      </w:r>
      <w:r>
        <w:t xml:space="preserve">Furthermore, respondents across almost all groups are, on average, familiar to a great extent</w:t>
      </w:r>
      <w:r>
        <w:t xml:space="preserve"> </w:t>
      </w:r>
      <w:r>
        <w:t xml:space="preserve">with the EIF (see Figure 29). The only exception concerns respondents among EU and non-</w:t>
      </w:r>
      <w:r>
        <w:t xml:space="preserve"> </w:t>
      </w:r>
      <w:r>
        <w:t xml:space="preserve">EU citizens who have a relatively lower level of familiarity with the EIF, but they are still,</w:t>
      </w:r>
      <w:r>
        <w:t xml:space="preserve"> </w:t>
      </w:r>
      <w:r>
        <w:t xml:space="preserve">on average, familiar to some extent with the EIF.</w:t>
      </w:r>
      <w:r>
        <w:t xml:space="preserve"> </w:t>
      </w:r>
      <w:r>
        <w:t xml:space="preserve">Figure 29. Knowledge of the EIF (breakdown by group of stakeholders; average score</w:t>
      </w:r>
      <w:r>
        <w:t xml:space="preserve"> </w:t>
      </w:r>
      <w:r>
        <w:t xml:space="preserve">and number of respondents)</w:t>
      </w:r>
    </w:p>
    <w:p>
      <w:pPr>
        <w:pStyle w:val="BodyText"/>
      </w:pPr>
      <w:r>
        <w:t xml:space="preserve">Score: (1) not at all; (2) to a limited extent; (3) to some extent; (4) to a great extent; or (5) completely.</w:t>
      </w:r>
      <w:r>
        <w:t xml:space="preserve"> </w:t>
      </w:r>
      <w:r>
        <w:t xml:space="preserve">Note: Averages do not account for respondents answering ‘don’t know/no opinion’ (DK/NO).</w:t>
      </w:r>
      <w:r>
        <w:t xml:space="preserve"> </w:t>
      </w:r>
      <w:r>
        <w:t xml:space="preserve">Source: Study supporting the impact assessment for a future interoperability strategy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Secondary data</w:t>
      </w:r>
      <w:r>
        <w:t xml:space="preserve"> </w:t>
      </w:r>
      <w:r>
        <w:t xml:space="preserve">The impact assessment builds on the evaluations of the ISA² programme and the EIF172,</w:t>
      </w:r>
      <w:r>
        <w:t xml:space="preserve"> </w:t>
      </w:r>
      <w:r>
        <w:t xml:space="preserve">which were conducted simultaneously with the impact assessment as key sources to assess</w:t>
      </w:r>
      <w:r>
        <w:t xml:space="preserve"> </w:t>
      </w:r>
      <w:r>
        <w:t xml:space="preserve">achievements accrued so far in the field of public sector interoperability in the EU as well as</w:t>
      </w:r>
      <w:r>
        <w:t xml:space="preserve"> </w:t>
      </w:r>
      <w:r>
        <w:t xml:space="preserve">lessons learnt. The estimations of the benefits primarily draws on previous work of the JRC</w:t>
      </w:r>
      <w:r>
        <w:t xml:space="preserve"> </w:t>
      </w:r>
      <w:r>
        <w:t xml:space="preserve">and sets it into the context of the Interoperable Europe Act by applying the necessary</w:t>
      </w:r>
      <w:r>
        <w:t xml:space="preserve"> </w:t>
      </w:r>
      <w:r>
        <w:t xml:space="preserve">additional calculations.</w:t>
      </w:r>
      <w:r>
        <w:t xml:space="preserve"> </w:t>
      </w:r>
      <w:r>
        <w:t xml:space="preserve">The EIF Evaluation relies on an extensive review of available secondary data. One of the</w:t>
      </w:r>
      <w:r>
        <w:t xml:space="preserve"> </w:t>
      </w:r>
      <w:r>
        <w:t xml:space="preserve">main sources of data is the National Interoperability Framework Observatory (NIFO)</w:t>
      </w:r>
      <w:r>
        <w:t xml:space="preserve"> </w:t>
      </w:r>
      <w:r>
        <w:t xml:space="preserve">action supported by the ISA² programme and its outputs that are available in the Joinup</w:t>
      </w:r>
      <w:r>
        <w:t xml:space="preserve"> </w:t>
      </w:r>
      <w:r>
        <w:t xml:space="preserve">collection with the same name173. The particular sources developed as part of NIFO and used</w:t>
      </w:r>
      <w:r>
        <w:t xml:space="preserve"> </w:t>
      </w:r>
      <w:r>
        <w:t xml:space="preserve">as evidence feeding into the evaluation of the EIF include:</w:t>
      </w:r>
      <w:r>
        <w:t xml:space="preserve"> </w:t>
      </w:r>
      <w:r>
        <w:t xml:space="preserve"> The Digital Public Administration Factsheets, contributing to the assessment of the</w:t>
      </w:r>
      <w:r>
        <w:t xml:space="preserve"> </w:t>
      </w:r>
      <w:r>
        <w:t xml:space="preserve">effectiveness of the EIF by providing an overview of the development of national</w:t>
      </w:r>
      <w:r>
        <w:t xml:space="preserve"> </w:t>
      </w:r>
      <w:r>
        <w:t xml:space="preserve">interoperability frameworks or similar strategies174;</w:t>
      </w:r>
      <w:r>
        <w:t xml:space="preserve"> </w:t>
      </w:r>
      <w:r>
        <w:t xml:space="preserve"> The 2020 Report on the State-of-Play of Digital Public Administrations and</w:t>
      </w:r>
      <w:r>
        <w:t xml:space="preserve"> </w:t>
      </w:r>
      <w:r>
        <w:t xml:space="preserve">Interoperability, detailing the progress made by the EU Member States in enhancing the</w:t>
      </w:r>
      <w:r>
        <w:t xml:space="preserve"> </w:t>
      </w:r>
      <w:r>
        <w:t xml:space="preserve">provision of digital and interoperable public services (the report also covers nine</w:t>
      </w:r>
      <w:r>
        <w:t xml:space="preserve"> </w:t>
      </w:r>
      <w:r>
        <w:t xml:space="preserve">additional countries: Iceland, Liechtenstein, Norway, Switzerland, the United Kingdom,</w:t>
      </w:r>
      <w:r>
        <w:t xml:space="preserve"> </w:t>
      </w:r>
      <w:r>
        <w:t xml:space="preserve">Ukraine, Montenegro, Turkey and the Republic of North Macedonia)175; this Report</w:t>
      </w:r>
      <w:r>
        <w:t xml:space="preserve"> </w:t>
      </w:r>
      <w:r>
        <w:t xml:space="preserve">contributes to the assessment of the effectiveness and coherence of the EIF by providing</w:t>
      </w:r>
      <w:r>
        <w:t xml:space="preserve"> </w:t>
      </w:r>
      <w:r>
        <w:t xml:space="preserve">an overview of key developments across the EU and the level of implementation of the</w:t>
      </w:r>
      <w:r>
        <w:t xml:space="preserve"> </w:t>
      </w:r>
      <w:r>
        <w:t xml:space="preserve">EIF;</w:t>
      </w:r>
      <w:r>
        <w:t xml:space="preserve"> </w:t>
      </w:r>
      <w:r>
        <w:t xml:space="preserve"> The 2019 EIF Monitoring Mechanism, tracking the implementation of the EIF and its</w:t>
      </w:r>
      <w:r>
        <w:t xml:space="preserve"> </w:t>
      </w:r>
      <w:r>
        <w:t xml:space="preserve">principles, model and recommendations across the EU, thus contributing to the assessment</w:t>
      </w:r>
      <w:r>
        <w:t xml:space="preserve"> </w:t>
      </w:r>
      <w:r>
        <w:t xml:space="preserve">of the effectiveness of the EIF176;</w:t>
      </w:r>
      <w:r>
        <w:t xml:space="preserve"> </w:t>
      </w:r>
      <w:r>
        <w:t xml:space="preserve"> Other reports and documents developed as part of NIFO and available on Joinup,</w:t>
      </w:r>
      <w:r>
        <w:t xml:space="preserve"> </w:t>
      </w:r>
      <w:r>
        <w:t xml:space="preserve">including the Report on Public Administrations’ Digital Response to Covid-19 in the</w:t>
      </w:r>
      <w:r>
        <w:t xml:space="preserve"> </w:t>
      </w:r>
      <w:r>
        <w:t xml:space="preserve">EU177, contributing in particular to assessing the relevance of the EIF.</w:t>
      </w:r>
      <w:r>
        <w:t xml:space="preserve"> </w:t>
      </w:r>
      <w:r>
        <w:t xml:space="preserve"> The webpages of ISA² actions and the ISA² Rolling Work Programmes.</w:t>
      </w:r>
    </w:p>
    <w:p>
      <w:pPr>
        <w:pStyle w:val="BodyText"/>
      </w:pPr>
      <w:r>
        <w:t xml:space="preserve">172</w:t>
      </w:r>
      <w:r>
        <w:br/>
      </w:r>
      <w:r>
        <w:t xml:space="preserve">CEPS (2021), Study supporting the final evaluation of the ISA2 programme. Available at:</w:t>
      </w:r>
      <w:r>
        <w:t xml:space="preserve"> </w:t>
      </w:r>
      <w:r>
        <w:t xml:space="preserve">https://op.europa.eu/en/publication-detail/-/publication/afa4297a-0acc-11ec-adb1-</w:t>
      </w:r>
      <w:r>
        <w:t xml:space="preserve"> </w:t>
      </w:r>
      <w:r>
        <w:t xml:space="preserve">01aa75ed71a1/language-en/format-PDF/source-229005953</w:t>
      </w:r>
      <w:r>
        <w:t xml:space="preserve"> </w:t>
      </w:r>
      <w:r>
        <w:t xml:space="preserve">CEPS (2021), Study supporting the evaluation of the implementation of the EIF. Available at</w:t>
      </w:r>
      <w:r>
        <w:t xml:space="preserve"> </w:t>
      </w:r>
      <w:r>
        <w:t xml:space="preserve">https://op.europa.eu/en/publication-detail/-/publication/29d694d4-4696-11ec-89db-</w:t>
      </w:r>
      <w:r>
        <w:t xml:space="preserve"> </w:t>
      </w:r>
      <w:r>
        <w:t xml:space="preserve">01aa75ed71a1/language-en/format-PDF/source-search</w:t>
      </w:r>
      <w:r>
        <w:t xml:space="preserve"> </w:t>
      </w:r>
      <w:r>
        <w:t xml:space="preserve">173</w:t>
      </w:r>
      <w:r>
        <w:br/>
      </w:r>
      <w:r>
        <w:t xml:space="preserve">For further details please see: National Interoperability Framework Observatory, Knowledge Centre,</w:t>
      </w:r>
      <w:r>
        <w:t xml:space="preserve"> </w:t>
      </w:r>
      <w:r>
        <w:t xml:space="preserve">available on Joinup: https://joinup.ec.europa.eu/collection/nifo-national-interoperability-framework-</w:t>
      </w:r>
      <w:r>
        <w:t xml:space="preserve"> </w:t>
      </w:r>
      <w:r>
        <w:t xml:space="preserve">observatory/knowledge-centre</w:t>
      </w:r>
      <w:r>
        <w:t xml:space="preserve"> </w:t>
      </w:r>
      <w:r>
        <w:t xml:space="preserve">174</w:t>
      </w:r>
      <w:r>
        <w:br/>
      </w:r>
      <w:r>
        <w:t xml:space="preserve">The factsheets can be consulted on Joinup: https://joinup.ec.europa.eu/collection/nifo-national-</w:t>
      </w:r>
      <w:r>
        <w:t xml:space="preserve"> </w:t>
      </w:r>
      <w:r>
        <w:t xml:space="preserve">interoperability-framework-observatory/digital-public-administration-factsheets</w:t>
      </w:r>
      <w:r>
        <w:t xml:space="preserve"> </w:t>
      </w:r>
      <w:r>
        <w:t xml:space="preserve">175</w:t>
      </w:r>
      <w:r>
        <w:br/>
      </w:r>
      <w:r>
        <w:t xml:space="preserve">Bouhend, A., et al. (2020), ‘Report on the State-of-Play of Digital Public Administrations and</w:t>
      </w:r>
      <w:r>
        <w:t xml:space="preserve"> </w:t>
      </w:r>
      <w:r>
        <w:t xml:space="preserve">Interoperability’,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https://joinup.ec.europa.eu/sites/default/files/news/2020-10/SC263_D04.02_State-of-</w:t>
      </w:r>
      <w:r>
        <w:t xml:space="preserve"> </w:t>
      </w:r>
      <w:r>
        <w:t xml:space="preserve">play%20report%20on%20digital%20public%20administration%20and%20interoperability%202020_v</w:t>
      </w:r>
      <w:r>
        <w:t xml:space="preserve"> </w:t>
      </w:r>
      <w:r>
        <w:t xml:space="preserve">FINAL.pdf</w:t>
      </w:r>
      <w:r>
        <w:t xml:space="preserve"> </w:t>
      </w:r>
      <w:r>
        <w:t xml:space="preserve">176</w:t>
      </w:r>
      <w:r>
        <w:br/>
      </w:r>
      <w:r>
        <w:t xml:space="preserve">The underlying data was shared with the Study Team by DIGIT.D2 to facilitate the analysis. An</w:t>
      </w:r>
      <w:r>
        <w:t xml:space="preserve"> </w:t>
      </w:r>
      <w:r>
        <w:t xml:space="preserve">overview of the EIF Monitoring Mechanism is available at: https://joinup.ec.europa.eu/collection/nifo-</w:t>
      </w:r>
      <w:r>
        <w:t xml:space="preserve"> </w:t>
      </w:r>
      <w:r>
        <w:t xml:space="preserve">national-interoperability-framework-observatory/eif-monitoring-mechanism</w:t>
      </w:r>
      <w:r>
        <w:t xml:space="preserve"> </w:t>
      </w:r>
      <w:r>
        <w:t xml:space="preserve">177</w:t>
      </w:r>
      <w:r>
        <w:br/>
      </w:r>
      <w:r>
        <w:t xml:space="preserve">Charay et. al. (2021), Report on Public Administrations’ Digital Response to COVID-19 in the EU,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https://joinup.ec.europa.eu/collection/nifo/report-state-play-digital-public-administration-and-</w:t>
      </w:r>
      <w:r>
        <w:t xml:space="preserve"> </w:t>
      </w:r>
      <w:r>
        <w:t xml:space="preserve">interoperability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Official documents such as communications, regulations, directives and decisions were</w:t>
      </w:r>
      <w:r>
        <w:t xml:space="preserve"> </w:t>
      </w:r>
      <w:r>
        <w:t xml:space="preserve">reviewed contributing in particular to the assessment of the coherence and EU added value of</w:t>
      </w:r>
      <w:r>
        <w:t xml:space="preserve"> </w:t>
      </w:r>
      <w:r>
        <w:t xml:space="preserve">the EIF. In addition, official national-level documents such as national interoperability</w:t>
      </w:r>
      <w:r>
        <w:t xml:space="preserve"> </w:t>
      </w:r>
      <w:r>
        <w:t xml:space="preserve">frameworks were also reviewed, primarily as part of the analysis of the effectiveness of the</w:t>
      </w:r>
      <w:r>
        <w:t xml:space="preserve"> </w:t>
      </w:r>
      <w:r>
        <w:t xml:space="preserve">EIF, while also contributing to understanding the EU added value of the framework. For the</w:t>
      </w:r>
      <w:r>
        <w:t xml:space="preserve"> </w:t>
      </w:r>
      <w:r>
        <w:t xml:space="preserve">impact assessment these data sources contributed across the study, from depicting the policy</w:t>
      </w:r>
      <w:r>
        <w:t xml:space="preserve"> </w:t>
      </w:r>
      <w:r>
        <w:t xml:space="preserve">context to comparing the policy options considered for this impact assessment.</w:t>
      </w:r>
      <w:r>
        <w:t xml:space="preserve"> </w:t>
      </w:r>
      <w:r>
        <w:t xml:space="preserve">In building the evidence base, the relevant literature in the field of interoperability was</w:t>
      </w:r>
      <w:r>
        <w:t xml:space="preserve"> </w:t>
      </w:r>
      <w:r>
        <w:t xml:space="preserve">reviewed and considered throughout the evaluation process. The key insights from literature</w:t>
      </w:r>
      <w:r>
        <w:t xml:space="preserve"> </w:t>
      </w:r>
      <w:r>
        <w:t xml:space="preserve">contribute particularly to the assessment of the relevance of the EIF and for the impact</w:t>
      </w:r>
      <w:r>
        <w:t xml:space="preserve"> </w:t>
      </w:r>
      <w:r>
        <w:t xml:space="preserve">assessment particular the existing problems in the field of public sector interoperability.</w:t>
      </w:r>
      <w:r>
        <w:t xml:space="preserve"> </w:t>
      </w:r>
      <w:r>
        <w:t xml:space="preserve">Relevant indicators measuring digitalisation in the public sector were considered from a</w:t>
      </w:r>
      <w:r>
        <w:t xml:space="preserve"> </w:t>
      </w:r>
      <w:r>
        <w:t xml:space="preserve">variety of databases, namely: Eurostat, the World Bank Worldwide Governance Indicators</w:t>
      </w:r>
      <w:r>
        <w:t xml:space="preserve"> </w:t>
      </w:r>
      <w:r>
        <w:t xml:space="preserve">and Doing Business report, and the Organisation for Economic Co-operation and</w:t>
      </w:r>
      <w:r>
        <w:t xml:space="preserve"> </w:t>
      </w:r>
      <w:r>
        <w:t xml:space="preserve">Development (OECD) Digital Infrastructure indicators. In addition, the datasets related to the</w:t>
      </w:r>
      <w:r>
        <w:t xml:space="preserve"> </w:t>
      </w:r>
      <w:r>
        <w:t xml:space="preserve">e-Government Benchmark reports178 were used, contributing in particular to (i) the</w:t>
      </w:r>
      <w:r>
        <w:t xml:space="preserve"> </w:t>
      </w:r>
      <w:r>
        <w:t xml:space="preserve">assessment of the effectiveness and efficiency of the EIF; (ii) for the impact assessment -</w:t>
      </w:r>
      <w:r>
        <w:t xml:space="preserve"> </w:t>
      </w:r>
      <w:r>
        <w:t xml:space="preserve">contributing in particular to quantifying the existing problems and the assessment of the</w:t>
      </w:r>
      <w:r>
        <w:t xml:space="preserve"> </w:t>
      </w:r>
      <w:r>
        <w:t xml:space="preserve">potential impacts stemming from the policy options considered for this impact assessment;</w:t>
      </w:r>
      <w:r>
        <w:t xml:space="preserve"> </w:t>
      </w:r>
      <w:r>
        <w:t xml:space="preserve">and (iii) for the estimation of the benefits of cross-border interoperability for citizens and</w:t>
      </w:r>
      <w:r>
        <w:t xml:space="preserve"> </w:t>
      </w:r>
      <w:r>
        <w:t xml:space="preserve">businesses.</w:t>
      </w:r>
      <w:r>
        <w:t xml:space="preserve"> </w:t>
      </w:r>
      <w:r>
        <w:t xml:space="preserve">Data validation</w:t>
      </w:r>
      <w:r>
        <w:t xml:space="preserve"> </w:t>
      </w:r>
      <w:r>
        <w:t xml:space="preserve">To ensure the robustness of evidence, the collected data were validated via triangulation.</w:t>
      </w:r>
      <w:r>
        <w:t xml:space="preserve"> </w:t>
      </w:r>
      <w:r>
        <w:t xml:space="preserve">Tool #4 of the Better Regulation Toolbox on evidence-based better regulation defines</w:t>
      </w:r>
      <w:r>
        <w:t xml:space="preserve"> </w:t>
      </w:r>
      <w:r>
        <w:t xml:space="preserve">triangulation as ‘the application and combination of several research methodologies in the</w:t>
      </w:r>
      <w:r>
        <w:t xml:space="preserve"> </w:t>
      </w:r>
      <w:r>
        <w:t xml:space="preserve">study of the same phenomenon’179. Validation requires checking ‘whether the findings of a</w:t>
      </w:r>
      <w:r>
        <w:t xml:space="preserve"> </w:t>
      </w:r>
      <w:r>
        <w:t xml:space="preserve">study are true and certain: ‘true’ in the sense that research findings accurately reflect the</w:t>
      </w:r>
      <w:r>
        <w:t xml:space="preserve"> </w:t>
      </w:r>
      <w:r>
        <w:t xml:space="preserve">situation; and ‘certain’ in the sense that research findings are supported by evidence’180. To</w:t>
      </w:r>
      <w:r>
        <w:t xml:space="preserve"> </w:t>
      </w:r>
      <w:r>
        <w:t xml:space="preserve">ensure that the findings are supported by well-founded evidence, data were collected from</w:t>
      </w:r>
      <w:r>
        <w:t xml:space="preserve"> </w:t>
      </w:r>
      <w:r>
        <w:t xml:space="preserve">multiple sources and using different tools to analyse the evaluation criteria and questions.</w:t>
      </w:r>
      <w:r>
        <w:t xml:space="preserve"> </w:t>
      </w:r>
      <w:r>
        <w:t xml:space="preserve">This approach allows for increasing confidence in collected data, comparing and contrasting</w:t>
      </w:r>
      <w:r>
        <w:t xml:space="preserve"> </w:t>
      </w:r>
      <w:r>
        <w:t xml:space="preserve">findings, and providing a clearer understanding of the issues at stake. The analysis relies on</w:t>
      </w:r>
      <w:r>
        <w:t xml:space="preserve"> </w:t>
      </w:r>
      <w:r>
        <w:t xml:space="preserve">three different types of triangulation to provide a solid basis for drawing robust conclusions:</w:t>
      </w:r>
      <w:r>
        <w:t xml:space="preserve"> </w:t>
      </w:r>
      <w:r>
        <w:t xml:space="preserve"></w:t>
      </w:r>
      <w:r>
        <w:t xml:space="preserve"> </w:t>
      </w:r>
      <w:r>
        <w:t xml:space="preserve">Triangulation of data, relying throughout the impact assessment on data collected</w:t>
      </w:r>
      <w:r>
        <w:t xml:space="preserve"> </w:t>
      </w:r>
      <w:r>
        <w:t xml:space="preserve">from multiple sources and stakeholders.</w:t>
      </w:r>
      <w:r>
        <w:t xml:space="preserve"> </w:t>
      </w:r>
      <w:r>
        <w:t xml:space="preserve"></w:t>
      </w:r>
      <w:r>
        <w:t xml:space="preserve"> </w:t>
      </w:r>
      <w:r>
        <w:t xml:space="preserve">Triangulation of methods, based on data collected via at least two different data</w:t>
      </w:r>
      <w:r>
        <w:t xml:space="preserve"> </w:t>
      </w:r>
      <w:r>
        <w:t xml:space="preserve">collection methods (e.g., interview, targeted questionnaire, public consultation, desk</w:t>
      </w:r>
      <w:r>
        <w:t xml:space="preserve"> </w:t>
      </w:r>
      <w:r>
        <w:t xml:space="preserve">research).</w:t>
      </w:r>
      <w:r>
        <w:t xml:space="preserve"> </w:t>
      </w:r>
      <w:r>
        <w:t xml:space="preserve"></w:t>
      </w:r>
      <w:r>
        <w:t xml:space="preserve"> </w:t>
      </w:r>
      <w:r>
        <w:t xml:space="preserve">Triangulation of evaluators. Several members of the Core Study Team and Support</w:t>
      </w:r>
      <w:r>
        <w:t xml:space="preserve"> </w:t>
      </w:r>
      <w:r>
        <w:t xml:space="preserve">Team were involved in data collection activities; in addition, each element of the</w:t>
      </w:r>
      <w:r>
        <w:t xml:space="preserve"> </w:t>
      </w:r>
      <w:r>
        <w:t xml:space="preserve">impact assessment was addressed by at least two members of the Core Team. Hence,</w:t>
      </w:r>
      <w:r>
        <w:t xml:space="preserve"> </w:t>
      </w:r>
      <w:r>
        <w:t xml:space="preserve">conclusions were agreed upon by at least two researchers.</w:t>
      </w:r>
    </w:p>
    <w:p>
      <w:pPr>
        <w:pStyle w:val="BodyText"/>
      </w:pPr>
      <w:r>
        <w:t xml:space="preserve">178</w:t>
      </w:r>
      <w:r>
        <w:br/>
      </w:r>
      <w:r>
        <w:t xml:space="preserve">The e-Government Benchmark datasets are available at: https://digital-agenda-ata.eu/datasets/e-gov</w:t>
      </w:r>
      <w:r>
        <w:br/>
      </w:r>
      <w:r>
        <w:t xml:space="preserve">179</w:t>
      </w:r>
      <w:r>
        <w:br/>
      </w:r>
      <w:r>
        <w:t xml:space="preserve">Better</w:t>
      </w:r>
      <w:r>
        <w:t xml:space="preserve"> </w:t>
      </w:r>
      <w:r>
        <w:t xml:space="preserve">Regulation</w:t>
      </w:r>
      <w:r>
        <w:t xml:space="preserve"> </w:t>
      </w:r>
      <w:r>
        <w:t xml:space="preserve">Toolbox</w:t>
      </w:r>
      <w:r>
        <w:t xml:space="preserve"> </w:t>
      </w:r>
      <w:r>
        <w:t xml:space="preserve">(2017),</w:t>
      </w:r>
      <w:r>
        <w:t xml:space="preserve"> </w:t>
      </w:r>
      <w:r>
        <w:t xml:space="preserve">Tool</w:t>
      </w:r>
      <w:r>
        <w:t xml:space="preserve"> </w:t>
      </w:r>
      <w:r>
        <w:t xml:space="preserve">#4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better</w:t>
      </w:r>
      <w:r>
        <w:t xml:space="preserve"> </w:t>
      </w:r>
      <w:r>
        <w:t xml:space="preserve">regulation,</w:t>
      </w:r>
      <w:r>
        <w:t xml:space="preserve"> </w:t>
      </w:r>
      <w:r>
        <w:t xml:space="preserve">https://ec.europa.eu/info/sites/default/files/file_import/better-regulation-toolbox-4_en_0.pdf</w:t>
      </w:r>
      <w:r>
        <w:t xml:space="preserve"> </w:t>
      </w:r>
      <w:r>
        <w:t xml:space="preserve">180</w:t>
      </w:r>
      <w:r>
        <w:br/>
      </w:r>
      <w:r>
        <w:t xml:space="preserve">Triangulation: Establishing the Validity of Qualitative Studies, Lisa A. Guion, David C. Diehl, and</w:t>
      </w:r>
      <w:r>
        <w:t xml:space="preserve"> </w:t>
      </w:r>
      <w:r>
        <w:t xml:space="preserve">Debra McDonald, 2011.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Methods</w:t>
      </w:r>
      <w:r>
        <w:t xml:space="preserve"> </w:t>
      </w:r>
      <w:r>
        <w:t xml:space="preserve">The evaluation and impact assessment combines both quantitative and qualitative data, thus</w:t>
      </w:r>
      <w:r>
        <w:t xml:space="preserve"> </w:t>
      </w:r>
      <w:r>
        <w:t xml:space="preserve">relying on a variety of methods and tools to analyse the collected data. In particular, the</w:t>
      </w:r>
      <w:r>
        <w:t xml:space="preserve"> </w:t>
      </w:r>
      <w:r>
        <w:t xml:space="preserve">qualitative information was aggregated, compared and summarised to substantiate the</w:t>
      </w:r>
      <w:r>
        <w:t xml:space="preserve"> </w:t>
      </w:r>
      <w:r>
        <w:t xml:space="preserve">evidence feeding into evaluation and impact assessment. To analyse the findings from the</w:t>
      </w:r>
      <w:r>
        <w:t xml:space="preserve"> </w:t>
      </w:r>
      <w:r>
        <w:t xml:space="preserve">consultation activities, the Study Team employed descriptive statistics. To complement these</w:t>
      </w:r>
      <w:r>
        <w:t xml:space="preserve"> </w:t>
      </w:r>
      <w:r>
        <w:t xml:space="preserve">methods, other specific quantitative methods were used to evaluate the effectiveness,</w:t>
      </w:r>
      <w:r>
        <w:t xml:space="preserve"> </w:t>
      </w:r>
      <w:r>
        <w:t xml:space="preserve">efficiency and coherence of the framework:</w:t>
      </w:r>
      <w:r>
        <w:t xml:space="preserve"> </w:t>
      </w:r>
      <w:r>
        <w:t xml:space="preserve">Cost-benefit analysis (CBA)181</w:t>
      </w:r>
      <w:r>
        <w:br/>
      </w:r>
      <w:r>
        <w:t xml:space="preserve">CBA is a method of comparing the costs and benefits associated with a certain initiative,</w:t>
      </w:r>
      <w:r>
        <w:t xml:space="preserve"> </w:t>
      </w:r>
      <w:r>
        <w:t xml:space="preserve">typically a government policy, programme or project, in order to assess whether the initiative</w:t>
      </w:r>
      <w:r>
        <w:t xml:space="preserve"> </w:t>
      </w:r>
      <w:r>
        <w:t xml:space="preserve">is expected to bring about a net improvement. A key feature of CBA is that all costs and all</w:t>
      </w:r>
      <w:r>
        <w:t xml:space="preserve"> </w:t>
      </w:r>
      <w:r>
        <w:t xml:space="preserve">benefits are quantified and expressed in monetary terms, and are adjusted for the ‘time value</w:t>
      </w:r>
      <w:r>
        <w:t xml:space="preserve"> </w:t>
      </w:r>
      <w:r>
        <w:t xml:space="preserve">of money’ (through some discounting mechanism), so that all benefits and costs that occur at</w:t>
      </w:r>
      <w:r>
        <w:t xml:space="preserve"> </w:t>
      </w:r>
      <w:r>
        <w:t xml:space="preserve">different points in time are expressed on a common basis in terms of their ‘present value’. The</w:t>
      </w:r>
      <w:r>
        <w:t xml:space="preserve"> </w:t>
      </w:r>
      <w:r>
        <w:t xml:space="preserve">main limitations of CBA concern the difficulties in attributing a monetary value to items for</w:t>
      </w:r>
      <w:r>
        <w:t xml:space="preserve"> </w:t>
      </w:r>
      <w:r>
        <w:t xml:space="preserve">which no market exists and the fact that certain non-monetisable effects simply cannot be</w:t>
      </w:r>
      <w:r>
        <w:t xml:space="preserve"> </w:t>
      </w:r>
      <w:r>
        <w:t xml:space="preserve">taken into consideration. CBA was used to assess of the potential impacts stemming from the</w:t>
      </w:r>
      <w:r>
        <w:t xml:space="preserve"> </w:t>
      </w:r>
      <w:r>
        <w:t xml:space="preserve">proposed policy options.</w:t>
      </w:r>
      <w:r>
        <w:t xml:space="preserve"> </w:t>
      </w:r>
      <w:r>
        <w:t xml:space="preserve">The standard cost model (SCM)182</w:t>
      </w:r>
      <w:r>
        <w:br/>
      </w:r>
      <w:r>
        <w:t xml:space="preserve">SCM aims at assessing administrative costs imposed by rules or policies inter alia on</w:t>
      </w:r>
      <w:r>
        <w:t xml:space="preserve"> </w:t>
      </w:r>
      <w:r>
        <w:t xml:space="preserve">businesses and public administrations. It is based on the identification of the basic</w:t>
      </w:r>
      <w:r>
        <w:t xml:space="preserve"> </w:t>
      </w:r>
      <w:r>
        <w:t xml:space="preserve">components of a rule, the Information Obligations, whose costs for the addressees can be</w:t>
      </w:r>
      <w:r>
        <w:t xml:space="preserve"> </w:t>
      </w:r>
      <w:r>
        <w:t xml:space="preserve">measured and quantified. An Information Obligation is a specific duty to gather, process or</w:t>
      </w:r>
      <w:r>
        <w:t xml:space="preserve"> </w:t>
      </w:r>
      <w:r>
        <w:t xml:space="preserve">submit information to the public authority or a third party. The SCM is employed to measure</w:t>
      </w:r>
      <w:r>
        <w:t xml:space="preserve"> </w:t>
      </w:r>
      <w:r>
        <w:t xml:space="preserve">the costs borne in terms of days spent by national public administrations to transpose the EIF</w:t>
      </w:r>
      <w:r>
        <w:t xml:space="preserve"> </w:t>
      </w:r>
      <w:r>
        <w:t xml:space="preserve">into national frameworks as well as the costs that would be borne by public administrations</w:t>
      </w:r>
      <w:r>
        <w:t xml:space="preserve"> </w:t>
      </w:r>
      <w:r>
        <w:t xml:space="preserve">when implementing the proposed policy options.</w:t>
      </w:r>
      <w:r>
        <w:t xml:space="preserve"> </w:t>
      </w:r>
      <w:r>
        <w:t xml:space="preserve">The Multi-criteria analysis (MCA)183</w:t>
      </w:r>
      <w:r>
        <w:br/>
      </w:r>
      <w:r>
        <w:t xml:space="preserve">MCA is a technique for comparing and ranking different courses of action that yield multiple</w:t>
      </w:r>
      <w:r>
        <w:t xml:space="preserve"> </w:t>
      </w:r>
      <w:r>
        <w:t xml:space="preserve">outcomes expressed in different units of accounts (i.e. some are expressed in monetary terms,</w:t>
      </w:r>
      <w:r>
        <w:t xml:space="preserve"> </w:t>
      </w:r>
      <w:r>
        <w:t xml:space="preserve">others in physical units of different nature, e.g. number of lives saved and quality of gaseous</w:t>
      </w:r>
      <w:r>
        <w:t xml:space="preserve"> </w:t>
      </w:r>
      <w:r>
        <w:t xml:space="preserve">emissions). In some respects, it can be said that MCA goes one step further than CBA, as it</w:t>
      </w:r>
      <w:r>
        <w:t xml:space="preserve"> </w:t>
      </w:r>
      <w:r>
        <w:t xml:space="preserve">gives explicit recognition to the fact that a variety of both monetary and non-monetary</w:t>
      </w:r>
      <w:r>
        <w:t xml:space="preserve"> </w:t>
      </w:r>
      <w:r>
        <w:t xml:space="preserve">objectives (i.e. social, environmental, technical, economic, and financial) may influence</w:t>
      </w:r>
      <w:r>
        <w:t xml:space="preserve"> </w:t>
      </w:r>
      <w:r>
        <w:t xml:space="preserve">policy decisions. At the same time, this kind of analysis inevitably includes a higher degree of</w:t>
      </w:r>
      <w:r>
        <w:t xml:space="preserve"> </w:t>
      </w:r>
      <w:r>
        <w:t xml:space="preserve">subjectivity compared to CBA, especially regarding the weighting and ranking of different</w:t>
      </w:r>
      <w:r>
        <w:t xml:space="preserve"> </w:t>
      </w:r>
      <w:r>
        <w:t xml:space="preserve">criteria. Therefore, unlike CBA, a basic feature of MCA is its implementation through</w:t>
      </w:r>
      <w:r>
        <w:t xml:space="preserve"> </w:t>
      </w:r>
      <w:r>
        <w:t xml:space="preserve">participatory processes, involving policymakers, experts (e.g. through Delphi panel method),</w:t>
      </w:r>
    </w:p>
    <w:p>
      <w:pPr>
        <w:pStyle w:val="BodyText"/>
      </w:pPr>
      <w:r>
        <w:t xml:space="preserve">181</w:t>
      </w:r>
      <w:r>
        <w:br/>
      </w:r>
      <w:r>
        <w:t xml:space="preserve">Better</w:t>
      </w:r>
      <w:r>
        <w:t xml:space="preserve"> </w:t>
      </w:r>
      <w:r>
        <w:t xml:space="preserve">Regulation</w:t>
      </w:r>
      <w:r>
        <w:t xml:space="preserve"> </w:t>
      </w:r>
      <w:r>
        <w:t xml:space="preserve">Toolbox</w:t>
      </w:r>
      <w:r>
        <w:t xml:space="preserve"> </w:t>
      </w:r>
      <w:r>
        <w:t xml:space="preserve">(2017), Tool</w:t>
      </w:r>
      <w:r>
        <w:t xml:space="preserve"> </w:t>
      </w:r>
      <w:r>
        <w:t xml:space="preserve">#59</w:t>
      </w:r>
      <w:r>
        <w:t xml:space="preserve"> </w:t>
      </w:r>
      <w:r>
        <w:t xml:space="preserve">Methods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benefits,</w:t>
      </w:r>
      <w:r>
        <w:t xml:space="preserve"> </w:t>
      </w:r>
      <w:r>
        <w:t xml:space="preserve">https://ec.europa.eu/info/sites/default/files/file_import/better-regulation-toolbox-59_en_0.pdf</w:t>
      </w:r>
      <w:r>
        <w:t xml:space="preserve"> </w:t>
      </w:r>
      <w:r>
        <w:t xml:space="preserve">182</w:t>
      </w:r>
      <w:r>
        <w:br/>
      </w:r>
      <w:r>
        <w:t xml:space="preserve">European Commission (2017), ‘Tool #60. The standard cost model for estimating administrative costs’,</w:t>
      </w:r>
      <w:r>
        <w:t xml:space="preserve"> </w:t>
      </w:r>
      <w:r>
        <w:t xml:space="preserve">in the Better Regulation ‘Toolbox’, available at https://ec.europa.eu/info/sites/info/files/better-</w:t>
      </w:r>
      <w:r>
        <w:t xml:space="preserve"> </w:t>
      </w:r>
      <w:r>
        <w:t xml:space="preserve">regulation-toolbox_2.pdf; SCM Network (2005), ‘The International SCM Manual; Measuring and</w:t>
      </w:r>
      <w:r>
        <w:t xml:space="preserve"> </w:t>
      </w:r>
      <w:r>
        <w:t xml:space="preserve">Reducing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Businesses’,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http://www.administrativeburdens.com/filesystem/2005/11/international_scm_manual_final_178.doc</w:t>
      </w:r>
      <w:r>
        <w:t xml:space="preserve"> </w:t>
      </w:r>
      <w:r>
        <w:t xml:space="preserve">183</w:t>
      </w:r>
      <w:r>
        <w:br/>
      </w:r>
      <w:r>
        <w:t xml:space="preserve">For an excellent review, please see Department for Communities and Local Government, Multi-criteria</w:t>
      </w:r>
      <w:r>
        <w:t xml:space="preserve"> </w:t>
      </w:r>
      <w:r>
        <w:t xml:space="preserve">analysis: a manual, London, January 2009.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stakeholders, etc. This method was employed to compare the proposed policy options based</w:t>
      </w:r>
      <w:r>
        <w:t xml:space="preserve"> </w:t>
      </w:r>
      <w:r>
        <w:t xml:space="preserve">on their effectiveness, efficiency, coherence and feasibility.</w:t>
      </w:r>
      <w:r>
        <w:t xml:space="preserve"> </w:t>
      </w:r>
      <w:r>
        <w:t xml:space="preserve">Text mining</w:t>
      </w:r>
      <w:r>
        <w:br/>
      </w:r>
      <w:r>
        <w:t xml:space="preserve">Text mining is a technique referring to a set of data-processing operations that extract</w:t>
      </w:r>
      <w:r>
        <w:t xml:space="preserve"> </w:t>
      </w:r>
      <w:r>
        <w:t xml:space="preserve">knowledge according to a criterion of novelty or similarity in texts. In practice, this technique</w:t>
      </w:r>
      <w:r>
        <w:t xml:space="preserve"> </w:t>
      </w:r>
      <w:r>
        <w:t xml:space="preserve">is based on an algorithm that counts the number of times a specific reference is made in a</w:t>
      </w:r>
      <w:r>
        <w:t xml:space="preserve"> </w:t>
      </w:r>
      <w:r>
        <w:t xml:space="preserve">given text corpus. In this evaluation, text mining is used to evaluate the degree of external</w:t>
      </w:r>
      <w:r>
        <w:t xml:space="preserve"> </w:t>
      </w:r>
      <w:r>
        <w:t xml:space="preserve">coherence of the EIF, together with its principles, interoperability layers and conceptual</w:t>
      </w:r>
      <w:r>
        <w:t xml:space="preserve"> </w:t>
      </w:r>
      <w:r>
        <w:t xml:space="preserve">model. In particular, this approach allows checking, throughout the corpus of EU legislation</w:t>
      </w:r>
      <w:r>
        <w:t xml:space="preserve"> </w:t>
      </w:r>
      <w:r>
        <w:t xml:space="preserve">and Commission communications, the extent to which the EIF and its components are taken</w:t>
      </w:r>
      <w:r>
        <w:t xml:space="preserve"> </w:t>
      </w:r>
      <w:r>
        <w:t xml:space="preserve">into consideration by other EU initiatives in the field of interoperability that were adopted</w:t>
      </w:r>
      <w:r>
        <w:t xml:space="preserve"> </w:t>
      </w:r>
      <w:r>
        <w:t xml:space="preserve">since the first version of the EIF (2004).</w:t>
      </w:r>
      <w:r>
        <w:t xml:space="preserve"> </w:t>
      </w:r>
      <w:r>
        <w:t xml:space="preserve">This analysis can be done in two steps:</w:t>
      </w:r>
      <w:r>
        <w:t xml:space="preserve"> </w:t>
      </w:r>
      <w:r>
        <w:t xml:space="preserve"></w:t>
      </w:r>
      <w:r>
        <w:t xml:space="preserve"> </w:t>
      </w:r>
      <w:r>
        <w:t xml:space="preserve">Searching through the corpus of EU legislation and Commission communications</w:t>
      </w:r>
      <w:r>
        <w:t xml:space="preserve"> </w:t>
      </w:r>
      <w:r>
        <w:t xml:space="preserve">since the adoption of the first version of the EIF (2004) to obtain an overview of the</w:t>
      </w:r>
      <w:r>
        <w:t xml:space="preserve"> </w:t>
      </w:r>
      <w:r>
        <w:t xml:space="preserve">number of times the EIF and keywords related to the EIF are mentioned in official EU</w:t>
      </w:r>
      <w:r>
        <w:t xml:space="preserve"> </w:t>
      </w:r>
      <w:r>
        <w:t xml:space="preserve">documents;</w:t>
      </w:r>
      <w:r>
        <w:t xml:space="preserve"> </w:t>
      </w:r>
      <w:r>
        <w:t xml:space="preserve"></w:t>
      </w:r>
      <w:r>
        <w:t xml:space="preserve"> </w:t>
      </w:r>
      <w:r>
        <w:t xml:space="preserve">Taking a more in-depth look at a selection of relevant official documents and</w:t>
      </w:r>
      <w:r>
        <w:t xml:space="preserve"> </w:t>
      </w:r>
      <w:r>
        <w:t xml:space="preserve">conducting a more granular analysis to understand which elements of the EIF are</w:t>
      </w:r>
      <w:r>
        <w:t xml:space="preserve"> </w:t>
      </w:r>
      <w:r>
        <w:t xml:space="preserve">referenced.</w:t>
      </w:r>
      <w:r>
        <w:t xml:space="preserve"> </w:t>
      </w:r>
      <w:r>
        <w:t xml:space="preserve">While the first approach provides a quantifiable overview of the references to the EIF in</w:t>
      </w:r>
      <w:r>
        <w:t xml:space="preserve"> </w:t>
      </w:r>
      <w:r>
        <w:t xml:space="preserve">different pieces of legislation and communications over time, the second approach provides</w:t>
      </w:r>
      <w:r>
        <w:t xml:space="preserve"> </w:t>
      </w:r>
      <w:r>
        <w:t xml:space="preserve">more insights into the take-up of the EIF and its specific elements.</w:t>
      </w:r>
      <w:r>
        <w:t xml:space="preserve"> </w:t>
      </w:r>
      <w:r>
        <w:t xml:space="preserve">To quantify the number of mentions of the EIF and keywords related to the EIF in pieces of</w:t>
      </w:r>
      <w:r>
        <w:t xml:space="preserve"> </w:t>
      </w:r>
      <w:r>
        <w:t xml:space="preserve">EU legislation, the Study Team relied on an extensive dataset, the ‘CEPS EurLex dataset’,</w:t>
      </w:r>
      <w:r>
        <w:t xml:space="preserve"> </w:t>
      </w:r>
      <w:r>
        <w:t xml:space="preserve">customised to facilitate text mining184. The dataset contains 142,036 pieces of EU legislation</w:t>
      </w:r>
      <w:r>
        <w:t xml:space="preserve"> </w:t>
      </w:r>
      <w:r>
        <w:t xml:space="preserve">adopted between January 1952 and August 2019, representing almost the entire corpus of the</w:t>
      </w:r>
      <w:r>
        <w:t xml:space="preserve"> </w:t>
      </w:r>
      <w:r>
        <w:t xml:space="preserve">digitally available EU legal acts from this timeframe. The dataset covers three types of legally</w:t>
      </w:r>
      <w:r>
        <w:t xml:space="preserve"> </w:t>
      </w:r>
      <w:r>
        <w:t xml:space="preserve">binding acts adopted by the EU institutions: regulations, directives, decisions, and</w:t>
      </w:r>
      <w:r>
        <w:t xml:space="preserve"> </w:t>
      </w:r>
      <w:r>
        <w:t xml:space="preserve">implementing and delegated acts. When it comes to quantifying the number of references to</w:t>
      </w:r>
      <w:r>
        <w:t xml:space="preserve"> </w:t>
      </w:r>
      <w:r>
        <w:t xml:space="preserve">the EIF and keywords related to the EIF in Commission communications, the analysis was run</w:t>
      </w:r>
      <w:r>
        <w:t xml:space="preserve"> </w:t>
      </w:r>
      <w:r>
        <w:t xml:space="preserve">for documents including green and white papers, communications, reports (categorised as</w:t>
      </w:r>
      <w:r>
        <w:t xml:space="preserve"> </w:t>
      </w:r>
      <w:r>
        <w:t xml:space="preserve">‘DC’ on EurLex)185. Importantly, the analysis excluded self-references to the EIF</w:t>
      </w:r>
      <w:r>
        <w:t xml:space="preserve"> </w:t>
      </w:r>
      <w:r>
        <w:t xml:space="preserve">Communications.</w:t>
      </w:r>
      <w:r>
        <w:t xml:space="preserve"> </w:t>
      </w:r>
      <w:r>
        <w:t xml:space="preserve">The datasets were used to search for specific keywords in the timeframe 2004 (the year of the</w:t>
      </w:r>
      <w:r>
        <w:t xml:space="preserve"> </w:t>
      </w:r>
      <w:r>
        <w:t xml:space="preserve">adoption of the first EIF) to August 2019. In addition, to cover the period from August 2019</w:t>
      </w:r>
      <w:r>
        <w:t xml:space="preserve"> </w:t>
      </w:r>
      <w:r>
        <w:t xml:space="preserve">and April 2021, the EurLex website was used. The keywords, selected based on their</w:t>
      </w:r>
      <w:r>
        <w:t xml:space="preserve"> </w:t>
      </w:r>
      <w:r>
        <w:t xml:space="preserve">connection to the EIF and the extent to which they would be expected to yield results in a text</w:t>
      </w:r>
      <w:r>
        <w:t xml:space="preserve"> </w:t>
      </w:r>
      <w:r>
        <w:t xml:space="preserve">mining exercise, were grouped into three clusters as follows186:</w:t>
      </w:r>
      <w:r>
        <w:t xml:space="preserve"> </w:t>
      </w:r>
      <w:r>
        <w:t xml:space="preserve"> Cluster 1: European Interoperability Framework. This cluster refers exclusively to the</w:t>
      </w:r>
      <w:r>
        <w:t xml:space="preserve"> </w:t>
      </w:r>
      <w:r>
        <w:t xml:space="preserve">EIF and contains three keywords: ‘European Interoperability Framework’, ‘EIF’ and</w:t>
      </w:r>
      <w:r>
        <w:t xml:space="preserve"> </w:t>
      </w:r>
      <w:r>
        <w:t xml:space="preserve">‘interoperability framework’;</w:t>
      </w:r>
    </w:p>
    <w:p>
      <w:pPr>
        <w:pStyle w:val="BodyText"/>
      </w:pPr>
      <w:r>
        <w:t xml:space="preserve">184</w:t>
      </w:r>
      <w:r>
        <w:br/>
      </w:r>
      <w:r>
        <w:t xml:space="preserve">Borrett, Camille; Laurer, Moritz, 2020, ‘The CEPS EurLex dataset: 142,036 EU laws from 1952-2019</w:t>
      </w:r>
      <w:r>
        <w:t xml:space="preserve"> </w:t>
      </w:r>
      <w:r>
        <w:t xml:space="preserve">with full text and 22 variables’, https://doi.org/10.7910/DVN/0EGYWY, Harvard Dataverse.</w:t>
      </w:r>
      <w:r>
        <w:t xml:space="preserve"> </w:t>
      </w:r>
      <w:r>
        <w:t xml:space="preserve">185</w:t>
      </w:r>
      <w:r>
        <w:br/>
      </w:r>
      <w:r>
        <w:t xml:space="preserve">Hradec, Jiri, 2021, the database is part of the ‘Trends in Global Governance and Europe’s Role’</w:t>
      </w:r>
      <w:r>
        <w:t xml:space="preserve"> </w:t>
      </w:r>
      <w:r>
        <w:t xml:space="preserve">(TRIGGER) project.</w:t>
      </w:r>
      <w:r>
        <w:t xml:space="preserve"> </w:t>
      </w:r>
      <w:r>
        <w:t xml:space="preserve">186</w:t>
      </w:r>
      <w:r>
        <w:br/>
      </w:r>
      <w:r>
        <w:t xml:space="preserve">An additional keyword, ‘conceptual model’ (related to the EIF conceptual model for integrated public</w:t>
      </w:r>
      <w:r>
        <w:t xml:space="preserve"> </w:t>
      </w:r>
      <w:r>
        <w:t xml:space="preserve">services provision), was dropped from the analysis as it did not yield results related to the EIF.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 Cluster 2: Interoperability layers. This cluster gathers together the following</w:t>
      </w:r>
      <w:r>
        <w:t xml:space="preserve"> </w:t>
      </w:r>
      <w:r>
        <w:t xml:space="preserve">keywords: ‘semantic interoperability’, ‘technical interoperability’, ‘organisational</w:t>
      </w:r>
      <w:r>
        <w:t xml:space="preserve"> </w:t>
      </w:r>
      <w:r>
        <w:t xml:space="preserve">interoperability’ and ‘legal interoperability’;</w:t>
      </w:r>
      <w:r>
        <w:t xml:space="preserve"> </w:t>
      </w:r>
      <w:r>
        <w:t xml:space="preserve"> Cluster 3: Key interoperability concepts. This cluster contains the following keywords:</w:t>
      </w:r>
      <w:r>
        <w:t xml:space="preserve"> </w:t>
      </w:r>
      <w:r>
        <w:t xml:space="preserve">‘once-only’ (keyword related to the ‘once-only’ principle), ‘digital by default’,</w:t>
      </w:r>
      <w:r>
        <w:t xml:space="preserve"> </w:t>
      </w:r>
      <w:r>
        <w:t xml:space="preserve">‘privacy by design’, ‘user-centricity’, ‘re-use of data’, ‘interoperability principle’,</w:t>
      </w:r>
      <w:r>
        <w:t xml:space="preserve"> </w:t>
      </w:r>
      <w:r>
        <w:t xml:space="preserve">‘interoperable e-Government service’.</w:t>
      </w:r>
      <w:r>
        <w:t xml:space="preserve"> </w:t>
      </w:r>
      <w:r>
        <w:t xml:space="preserve">The datasets of EU legislation and communications were searched for the keywords, resulting</w:t>
      </w:r>
      <w:r>
        <w:t xml:space="preserve"> </w:t>
      </w:r>
      <w:r>
        <w:t xml:space="preserve">in a list of pieces of legislation and communications where the keywords were found. The</w:t>
      </w:r>
      <w:r>
        <w:t xml:space="preserve"> </w:t>
      </w:r>
      <w:r>
        <w:t xml:space="preserve">results were thus summarised by year and number of mentions per cluster of keywords.</w:t>
      </w:r>
      <w:r>
        <w:t xml:space="preserve"> </w:t>
      </w:r>
      <w:r>
        <w:t xml:space="preserve">Calculating the economic impact of cross-border interoperability</w:t>
      </w:r>
      <w:r>
        <w:t xml:space="preserve"> </w:t>
      </w:r>
      <w:r>
        <w:t xml:space="preserve">The original 2022 JRC report provides an economic impact assessment of public sector</w:t>
      </w:r>
      <w:r>
        <w:t xml:space="preserve"> </w:t>
      </w:r>
      <w:r>
        <w:t xml:space="preserve">interoperability in general. This work distinguishes the impact of improved interoperability on</w:t>
      </w:r>
      <w:r>
        <w:t xml:space="preserve"> </w:t>
      </w:r>
      <w:r>
        <w:t xml:space="preserve">citizens, on businesses, and on the public sector. Results are provided as time savings in</w:t>
      </w:r>
      <w:r>
        <w:t xml:space="preserve"> </w:t>
      </w:r>
      <w:r>
        <w:t xml:space="preserve">hours, and also in monetary terms (i.e. translated into annual savings in EUR). These</w:t>
      </w:r>
      <w:r>
        <w:t xml:space="preserve"> </w:t>
      </w:r>
      <w:r>
        <w:t xml:space="preserve">calculations do take country differences into account and are based on statistics from sources</w:t>
      </w:r>
      <w:r>
        <w:t xml:space="preserve"> </w:t>
      </w:r>
      <w:r>
        <w:t xml:space="preserve">such as Eurostat, OECD, the Worldbank and others. It is one of the most comprehensive</w:t>
      </w:r>
      <w:r>
        <w:t xml:space="preserve"> </w:t>
      </w:r>
      <w:r>
        <w:t xml:space="preserve">analyses of interoperability benefits in Europe available. The report itself187 provides the</w:t>
      </w:r>
      <w:r>
        <w:t xml:space="preserve"> </w:t>
      </w:r>
      <w:r>
        <w:t xml:space="preserve">necessary details.</w:t>
      </w:r>
      <w:r>
        <w:br/>
      </w:r>
      <w:r>
        <w:t xml:space="preserve">To estimate the benefits that can attributed to cross-border interoperability (the scope of the</w:t>
      </w:r>
      <w:r>
        <w:t xml:space="preserve"> </w:t>
      </w:r>
      <w:r>
        <w:t xml:space="preserve">Interoperable Europe Act), the eGovernment benchmark of 2021 and 2022 provides valuable</w:t>
      </w:r>
      <w:r>
        <w:t xml:space="preserve"> </w:t>
      </w:r>
      <w:r>
        <w:t xml:space="preserve">information that compares how governments across Europe deliver digital public services.</w:t>
      </w:r>
      <w:r>
        <w:t xml:space="preserve"> </w:t>
      </w:r>
      <w:r>
        <w:t xml:space="preserve">This information includes a list of public sector services provided by the governments. These</w:t>
      </w:r>
      <w:r>
        <w:t xml:space="preserve"> </w:t>
      </w:r>
      <w:r>
        <w:t xml:space="preserve">services (i) can be provided by local, regional or national authorities, (ii) can be provided</w:t>
      </w:r>
      <w:r>
        <w:t xml:space="preserve"> </w:t>
      </w:r>
      <w:r>
        <w:t xml:space="preserve">offline and online, (iii) can cover services for both citizens and companies, and (iv) are</w:t>
      </w:r>
      <w:r>
        <w:t xml:space="preserve"> </w:t>
      </w:r>
      <w:r>
        <w:t xml:space="preserve">comparable across all Member States since the methodology for data collection is the same.</w:t>
      </w:r>
      <w:r>
        <w:t xml:space="preserve"> </w:t>
      </w:r>
      <w:r>
        <w:t xml:space="preserve">Using this source, it becomes possible to collected information about all services covered by</w:t>
      </w:r>
      <w:r>
        <w:t xml:space="preserve"> </w:t>
      </w:r>
      <w:r>
        <w:t xml:space="preserve">the different Member States. On this basis, it is possible to extract all those services that are</w:t>
      </w:r>
      <w:r>
        <w:t xml:space="preserve"> </w:t>
      </w:r>
      <w:r>
        <w:t xml:space="preserve">provided online, and that are available cross-border. The graph below illustrates the</w:t>
      </w:r>
      <w:r>
        <w:t xml:space="preserve"> </w:t>
      </w:r>
      <w:r>
        <w:t xml:space="preserve">proportion of public services included in the eGovernment benchmark that are provided</w:t>
      </w:r>
      <w:r>
        <w:t xml:space="preserve"> </w:t>
      </w:r>
      <w:r>
        <w:t xml:space="preserve">online and cross-border – for both businesses and citizens. As it can be seen, for the EU-27</w:t>
      </w:r>
      <w:r>
        <w:t xml:space="preserve"> </w:t>
      </w:r>
      <w:r>
        <w:t xml:space="preserve">countries, the averages are 21% for businesses and 12% for citizens, although with large</w:t>
      </w:r>
      <w:r>
        <w:t xml:space="preserve"> </w:t>
      </w:r>
      <w:r>
        <w:t xml:space="preserve">variations across the different Member States.</w:t>
      </w:r>
    </w:p>
    <w:p>
      <w:pPr>
        <w:pStyle w:val="BodyText"/>
      </w:pPr>
      <w:r>
        <w:t xml:space="preserve">187</w:t>
      </w:r>
      <w:r>
        <w:br/>
      </w:r>
      <w:r>
        <w:t xml:space="preserve">JRC ‘Quantifying the Benefits of Location Interoperability in the European Union’ (2022).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Figure 30. Proportion of public services included in the eGovernment benchmark that are</w:t>
      </w:r>
      <w:r>
        <w:t xml:space="preserve"> </w:t>
      </w:r>
      <w:r>
        <w:t xml:space="preserve">provided online and cross-border – for both businesses and citizens and per country (in %)</w:t>
      </w:r>
    </w:p>
    <w:p>
      <w:pPr>
        <w:pStyle w:val="BodyText"/>
      </w:pPr>
      <w:r>
        <w:t xml:space="preserve">Assuming that these two lists of services are representative of the widest portfolio of public</w:t>
      </w:r>
      <w:r>
        <w:t xml:space="preserve"> </w:t>
      </w:r>
      <w:r>
        <w:t xml:space="preserve">services offered by the different Member States, it is possible to calculate the proportion of</w:t>
      </w:r>
      <w:r>
        <w:t xml:space="preserve"> </w:t>
      </w:r>
      <w:r>
        <w:t xml:space="preserve">public services that may be subject to the impacts of enhanced interoperability as envisaged in</w:t>
      </w:r>
      <w:r>
        <w:t xml:space="preserve"> </w:t>
      </w:r>
      <w:r>
        <w:t xml:space="preserve">the Interoperable Europe Act. In this way, the actual scope of the proposed regulation is</w:t>
      </w:r>
      <w:r>
        <w:t xml:space="preserve"> </w:t>
      </w:r>
      <w:r>
        <w:t xml:space="preserve">addressed as close as possible.</w:t>
      </w:r>
      <w:r>
        <w:t xml:space="preserve"> </w:t>
      </w:r>
      <w:r>
        <w:t xml:space="preserve">The fact that a service is available cross-border and online does not assure that it is used.</w:t>
      </w:r>
      <w:r>
        <w:t xml:space="preserve"> </w:t>
      </w:r>
      <w:r>
        <w:t xml:space="preserve">Hence, there is a need to correct the intensity of use in order to accurately estimate the</w:t>
      </w:r>
      <w:r>
        <w:t xml:space="preserve"> </w:t>
      </w:r>
      <w:r>
        <w:t xml:space="preserve">expected impacts. For this purpose, the eGovernment benchmark offers an extensive list of</w:t>
      </w:r>
      <w:r>
        <w:t xml:space="preserve"> </w:t>
      </w:r>
      <w:r>
        <w:t xml:space="preserve">websites that users can visit to perform the desired administrative procedures. After removing</w:t>
      </w:r>
      <w:r>
        <w:t xml:space="preserve"> </w:t>
      </w:r>
      <w:r>
        <w:t xml:space="preserve">duplicates and errors, a list of 1608 public sector websites in the 27 EU Member States</w:t>
      </w:r>
      <w:r>
        <w:t xml:space="preserve"> </w:t>
      </w:r>
      <w:r>
        <w:t xml:space="preserve">remain. For these websites, it is possible to obtain information about the geographic origin of</w:t>
      </w:r>
      <w:r>
        <w:t xml:space="preserve"> </w:t>
      </w:r>
      <w:r>
        <w:t xml:space="preserve">the internet traffic to these websites188. This data (illustrated in the figure below) provides the</w:t>
      </w:r>
      <w:r>
        <w:t xml:space="preserve"> </w:t>
      </w:r>
      <w:r>
        <w:t xml:space="preserve">proportion of visits to the public services websites that have an origin in a different country</w:t>
      </w:r>
      <w:r>
        <w:t xml:space="preserve"> </w:t>
      </w:r>
      <w:r>
        <w:t xml:space="preserve">from the one that provides the service. And this is a measure of cross-border usage of the</w:t>
      </w:r>
      <w:r>
        <w:t xml:space="preserve"> </w:t>
      </w:r>
      <w:r>
        <w:t xml:space="preserve">offered services. The EU-27 country average is 12%, meaning that the proportion of domestic</w:t>
      </w:r>
      <w:r>
        <w:t xml:space="preserve"> </w:t>
      </w:r>
      <w:r>
        <w:t xml:space="preserve">users of a public service is 88% while the usage from foreign users (from another EU Member</w:t>
      </w:r>
      <w:r>
        <w:t xml:space="preserve"> </w:t>
      </w:r>
      <w:r>
        <w:t xml:space="preserve">States) is 12% on average. Again, with imbalances among Member States. It is worth noticing</w:t>
      </w:r>
      <w:r>
        <w:t xml:space="preserve"> </w:t>
      </w:r>
      <w:r>
        <w:t xml:space="preserve">that the number of visits is a good approach for user’s usage because concrete visits reflect the</w:t>
      </w:r>
      <w:r>
        <w:t xml:space="preserve"> </w:t>
      </w:r>
      <w:r>
        <w:t xml:space="preserve">‘attention’ generated by the visited services. Visits are a good proxy for actual online service</w:t>
      </w:r>
      <w:r>
        <w:t xml:space="preserve"> </w:t>
      </w:r>
      <w:r>
        <w:t xml:space="preserve">usage, in the absence of more precise indicators, such as conversion rates. Moreover, the</w:t>
      </w:r>
      <w:r>
        <w:t xml:space="preserve"> </w:t>
      </w:r>
      <w:r>
        <w:t xml:space="preserve">applied methodology used ‘real visits’, i.e., visits that imply that users spend some time on the</w:t>
      </w:r>
      <w:r>
        <w:t xml:space="preserve"> </w:t>
      </w:r>
      <w:r>
        <w:t xml:space="preserve">respective website. All bounced visits, i.e. visits for cases where the user left the webpage</w:t>
      </w:r>
      <w:r>
        <w:t xml:space="preserve"> </w:t>
      </w:r>
      <w:r>
        <w:t xml:space="preserve">shortly after entering it, were removed.</w:t>
      </w:r>
    </w:p>
    <w:p>
      <w:pPr>
        <w:pStyle w:val="BodyText"/>
      </w:pPr>
      <w:r>
        <w:t xml:space="preserve">188</w:t>
      </w:r>
      <w:r>
        <w:br/>
      </w:r>
      <w:r>
        <w:t xml:space="preserve">The Similarweb tool provided the required calculations: https://www.similarweb.com/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Figure 31. The proportion of visits to the public services websites that have an origin in a</w:t>
      </w:r>
      <w:r>
        <w:t xml:space="preserve"> </w:t>
      </w:r>
      <w:r>
        <w:t xml:space="preserve">different country from the one that provides the service</w:t>
      </w:r>
    </w:p>
    <w:p>
      <w:pPr>
        <w:pStyle w:val="BodyText"/>
      </w:pPr>
      <w:r>
        <w:t xml:space="preserve">Combining the information from the JRC study with the new data collected to perform this</w:t>
      </w:r>
      <w:r>
        <w:t xml:space="preserve"> </w:t>
      </w:r>
      <w:r>
        <w:t xml:space="preserve">exercise it is possible to estimate the economic impacts of increased cross-border</w:t>
      </w:r>
      <w:r>
        <w:t xml:space="preserve"> </w:t>
      </w:r>
      <w:r>
        <w:t xml:space="preserve">interoperability in the EU-27 countries, i.e. to simulate the potential effects of the IEA.</w:t>
      </w:r>
      <w:r>
        <w:t xml:space="preserve"> </w:t>
      </w:r>
      <w:r>
        <w:t xml:space="preserve">Taking into account the proportion of cross-border services, as well as the cross-border usage</w:t>
      </w:r>
      <w:r>
        <w:t xml:space="preserve"> </w:t>
      </w:r>
      <w:r>
        <w:t xml:space="preserve">of these services, the impact that would correspond to the IEA would represent, on average</w:t>
      </w:r>
      <w:r>
        <w:t xml:space="preserve"> </w:t>
      </w:r>
      <w:r>
        <w:t xml:space="preserve">for the EU-27 countries, the 3% of the total impact of no interoperability for businesses and</w:t>
      </w:r>
      <w:r>
        <w:t xml:space="preserve"> </w:t>
      </w:r>
      <w:r>
        <w:t xml:space="preserve">2% for citizens with differences by Member States, as shown in the next figure. These</w:t>
      </w:r>
      <w:r>
        <w:t xml:space="preserve"> </w:t>
      </w:r>
      <w:r>
        <w:t xml:space="preserve">proportions, when converted to economic impact, provide the figures shown above.</w:t>
      </w:r>
      <w:r>
        <w:t xml:space="preserve"> </w:t>
      </w:r>
      <w:r>
        <w:t xml:space="preserve">Figure 32. The total impact of no interoperability for businesses and for citizens, per</w:t>
      </w:r>
      <w:r>
        <w:t xml:space="preserve"> </w:t>
      </w:r>
      <w:r>
        <w:t xml:space="preserve">Member State</w:t>
      </w:r>
    </w:p>
    <w:p>
      <w:pPr>
        <w:pStyle w:val="BodyText"/>
      </w:pPr>
      <w:r>
        <w:t xml:space="preserve">To reach those figures, the following formulas have been applied:</w:t>
      </w:r>
    </w:p>
    <w:p>
      <w:pPr>
        <w:pStyle w:val="BodyText"/>
      </w:pPr>
      <w:r>
        <w:t xml:space="preserve">𝐼ℎ</w:t>
      </w:r>
      <w:r>
        <w:t xml:space="preserve"> </w:t>
      </w:r>
      <w:r>
        <w:t xml:space="preserve">𝑐= 𝐻𝑖</w:t>
      </w:r>
      <w:r>
        <w:t xml:space="preserve"> </w:t>
      </w:r>
      <w:r>
        <w:t xml:space="preserve">𝑐∗𝛼𝑐∗𝛽𝑐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Where 𝐼ℎ</w:t>
      </w:r>
      <w:r>
        <w:t xml:space="preserve"> </w:t>
      </w:r>
      <w:r>
        <w:t xml:space="preserve">𝑐 represents the impact in terms of hours saved (h) in country c as calculated in the</w:t>
      </w:r>
      <w:r>
        <w:t xml:space="preserve"> </w:t>
      </w:r>
      <w:r>
        <w:t xml:space="preserve">JRC report, 𝐻𝑖</w:t>
      </w:r>
      <w:r>
        <w:t xml:space="preserve"> </w:t>
      </w:r>
      <w:r>
        <w:t xml:space="preserve">𝑐 is the number of hours estimated in the JRC report for scenario i189, 𝛼𝑐 is the</w:t>
      </w:r>
      <w:r>
        <w:t xml:space="preserve"> </w:t>
      </w:r>
      <w:r>
        <w:t xml:space="preserve">proportion of public services included in the eGovernment benchmark that are provided</w:t>
      </w:r>
      <w:r>
        <w:t xml:space="preserve"> </w:t>
      </w:r>
      <w:r>
        <w:t xml:space="preserve">online and cross-border and 𝛽𝑐 is the measure of cross-border usage of the offered services.</w:t>
      </w:r>
      <w:r>
        <w:t xml:space="preserve"> </w:t>
      </w:r>
      <w:r>
        <w:t xml:space="preserve">The calculation of the impact in terms of hours saved can be done for citizens and businesses.</w:t>
      </w:r>
      <w:r>
        <w:t xml:space="preserve"> </w:t>
      </w:r>
      <w:r>
        <w:t xml:space="preserve">The transformation of the impact in hours in an economic impact, is done by multiplying the</w:t>
      </w:r>
      <w:r>
        <w:t xml:space="preserve"> </w:t>
      </w:r>
      <w:r>
        <w:t xml:space="preserve">number of hours by its price, the hourly wage rate by country (𝜔𝑐), as indicated in the</w:t>
      </w:r>
      <w:r>
        <w:t xml:space="preserve"> </w:t>
      </w:r>
      <w:r>
        <w:t xml:space="preserve">following equation:</w:t>
      </w:r>
    </w:p>
    <w:p>
      <w:pPr>
        <w:pStyle w:val="BodyText"/>
      </w:pPr>
      <w:r>
        <w:t xml:space="preserve">𝐼€</w:t>
      </w:r>
      <w:r>
        <w:t xml:space="preserve"> </w:t>
      </w:r>
      <w:r>
        <w:t xml:space="preserve">𝑐= 𝐼ℎ</w:t>
      </w:r>
      <w:r>
        <w:t xml:space="preserve"> </w:t>
      </w:r>
      <w:r>
        <w:t xml:space="preserve">𝑐∗𝜔𝑐</w:t>
      </w:r>
    </w:p>
    <w:p>
      <w:pPr>
        <w:pStyle w:val="BodyText"/>
      </w:pPr>
      <w:r>
        <w:t xml:space="preserve">Finally, to get the total impact at the EU-27 level, we sum the impacts over all the Member</w:t>
      </w:r>
      <w:r>
        <w:t xml:space="preserve"> </w:t>
      </w:r>
      <w:r>
        <w:t xml:space="preserve">States:</w:t>
      </w:r>
    </w:p>
    <w:p>
      <w:pPr>
        <w:pStyle w:val="BodyText"/>
      </w:pPr>
      <w:r>
        <w:t xml:space="preserve">𝐼€</w:t>
      </w:r>
      <w:r>
        <w:t xml:space="preserve"> </w:t>
      </w:r>
      <w:r>
        <w:t xml:space="preserve">𝐸𝑈= ∑𝐼€</w:t>
      </w:r>
      <w:r>
        <w:t xml:space="preserve"> </w:t>
      </w:r>
      <w:r>
        <w:t xml:space="preserve">𝑐</w:t>
      </w:r>
      <w:r>
        <w:t xml:space="preserve"> </w:t>
      </w:r>
      <w:r>
        <w:t xml:space="preserve">27</w:t>
      </w:r>
      <w:r>
        <w:t xml:space="preserve"> </w:t>
      </w:r>
      <w:r>
        <w:t xml:space="preserve">𝑐=1</w:t>
      </w:r>
    </w:p>
    <w:p>
      <w:pPr>
        <w:pStyle w:val="BodyText"/>
      </w:pPr>
      <w:r>
        <w:t xml:space="preserve">A similar expression can be used to compute the EU-27 impact in number of hours saved.</w:t>
      </w:r>
    </w:p>
    <w:p>
      <w:pPr>
        <w:pStyle w:val="BodyText"/>
      </w:pPr>
      <w:r>
        <w:t xml:space="preserve">Given the available evidence, the expected impact on citizens and businesses calculated for</w:t>
      </w:r>
      <w:r>
        <w:t xml:space="preserve"> </w:t>
      </w:r>
      <w:r>
        <w:t xml:space="preserve">the Impact Assessment of the Interoperable Europe Act and for policy option 2, can be</w:t>
      </w:r>
      <w:r>
        <w:t xml:space="preserve"> </w:t>
      </w:r>
      <w:r>
        <w:t xml:space="preserve">expressed in a static scenario (scenario 1) and a dynamic scenario (scenario 2) as depicted in</w:t>
      </w:r>
      <w:r>
        <w:t xml:space="preserve"> </w:t>
      </w:r>
      <w:r>
        <w:t xml:space="preserve">the table below. In the dynamic scenario, we assume that increased interoperability affects</w:t>
      </w:r>
      <w:r>
        <w:t xml:space="preserve"> </w:t>
      </w:r>
      <w:r>
        <w:t xml:space="preserve">user behaviour, whereas we do not do so in the static one. Moreover, given the limitations</w:t>
      </w:r>
      <w:r>
        <w:t xml:space="preserve"> </w:t>
      </w:r>
      <w:r>
        <w:t xml:space="preserve">explained below, we have performed a sensitivity analysis. This resulted in five variants: 30%</w:t>
      </w:r>
      <w:r>
        <w:t xml:space="preserve"> </w:t>
      </w:r>
      <w:r>
        <w:t xml:space="preserve">(as the high variant, corresponding to the original numbers used in the JRC report), 25%,</w:t>
      </w:r>
      <w:r>
        <w:t xml:space="preserve"> </w:t>
      </w:r>
      <w:r>
        <w:t xml:space="preserve">20%, 15% (for the intermediate variants) and 10% (for the low variant).</w:t>
      </w:r>
      <w:r>
        <w:t xml:space="preserve"> </w:t>
      </w:r>
      <w:r>
        <w:t xml:space="preserve">Table 12. Policy option 2 savings</w:t>
      </w:r>
      <w:r>
        <w:t xml:space="preserve"> </w:t>
      </w:r>
      <w:r>
        <w:t xml:space="preserve">Policy option 2: Savings</w:t>
      </w:r>
      <w:r>
        <w:t xml:space="preserve"> </w:t>
      </w:r>
      <w:r>
        <w:t xml:space="preserve">Business</w:t>
      </w:r>
      <w:r>
        <w:t xml:space="preserve"> </w:t>
      </w:r>
      <w:r>
        <w:t xml:space="preserve">Citi</w:t>
      </w:r>
      <w:r>
        <w:t xml:space="preserve"> </w:t>
      </w:r>
      <w:r>
        <w:t xml:space="preserve">zens</w:t>
      </w:r>
      <w:r>
        <w:t xml:space="preserve"> </w:t>
      </w:r>
      <w:r>
        <w:t xml:space="preserve">Scenario 1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Intermediate</w:t>
      </w:r>
      <w:r>
        <w:t xml:space="preserve"> </w:t>
      </w:r>
      <w:r>
        <w:t xml:space="preserve">-low</w:t>
      </w:r>
      <w:r>
        <w:t xml:space="preserve"> </w:t>
      </w:r>
      <w:r>
        <w:t xml:space="preserve">Intermediate Intermediate</w:t>
      </w:r>
      <w:r>
        <w:t xml:space="preserve"> </w:t>
      </w:r>
      <w:r>
        <w:t xml:space="preserve">-high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Mh</w:t>
      </w:r>
      <w:r>
        <w:t xml:space="preserve"> </w:t>
      </w:r>
      <w:r>
        <w:t xml:space="preserve">273.3</w:t>
      </w:r>
      <w:r>
        <w:t xml:space="preserve"> </w:t>
      </w:r>
      <w:r>
        <w:t xml:space="preserve">379.2</w:t>
      </w:r>
      <w:r>
        <w:t xml:space="preserve"> </w:t>
      </w:r>
      <w:r>
        <w:t xml:space="preserve">523.3</w:t>
      </w:r>
      <w:r>
        <w:t xml:space="preserve"> </w:t>
      </w:r>
      <w:r>
        <w:t xml:space="preserve">674.9</w:t>
      </w:r>
      <w:r>
        <w:t xml:space="preserve"> </w:t>
      </w:r>
      <w:r>
        <w:t xml:space="preserve">812.6 0.22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5 742.7</w:t>
      </w:r>
      <w:r>
        <w:t xml:space="preserve"> </w:t>
      </w:r>
      <w:r>
        <w:t xml:space="preserve">8 114.6</w:t>
      </w:r>
      <w:r>
        <w:t xml:space="preserve"> </w:t>
      </w:r>
      <w:r>
        <w:t xml:space="preserve">11 343.4</w:t>
      </w:r>
      <w:r>
        <w:t xml:space="preserve"> </w:t>
      </w:r>
      <w:r>
        <w:t xml:space="preserve">14 852.6 17 553.2</w:t>
      </w:r>
      <w:r>
        <w:t xml:space="preserve"> </w:t>
      </w:r>
      <w:r>
        <w:t xml:space="preserve">5.5</w:t>
      </w:r>
      <w:r>
        <w:t xml:space="preserve"> </w:t>
      </w:r>
      <w:r>
        <w:t xml:space="preserve">Scenario 2</w:t>
      </w:r>
      <w:r>
        <w:t xml:space="preserve"> </w:t>
      </w:r>
      <w:r>
        <w:t xml:space="preserve">Mh</w:t>
      </w:r>
      <w:r>
        <w:t xml:space="preserve"> </w:t>
      </w:r>
      <w:r>
        <w:t xml:space="preserve">297.8</w:t>
      </w:r>
      <w:r>
        <w:t xml:space="preserve"> </w:t>
      </w:r>
      <w:r>
        <w:t xml:space="preserve">413.9</w:t>
      </w:r>
      <w:r>
        <w:t xml:space="preserve"> </w:t>
      </w:r>
      <w:r>
        <w:t xml:space="preserve">570.3</w:t>
      </w:r>
      <w:r>
        <w:t xml:space="preserve"> </w:t>
      </w:r>
      <w:r>
        <w:t xml:space="preserve">738.1</w:t>
      </w:r>
      <w:r>
        <w:t xml:space="preserve"> </w:t>
      </w:r>
      <w:r>
        <w:t xml:space="preserve">888.1 0.26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6 259.5</w:t>
      </w:r>
      <w:r>
        <w:t xml:space="preserve"> </w:t>
      </w:r>
      <w:r>
        <w:t xml:space="preserve">8 865.2</w:t>
      </w:r>
      <w:r>
        <w:t xml:space="preserve"> </w:t>
      </w:r>
      <w:r>
        <w:t xml:space="preserve">12 352.8</w:t>
      </w:r>
      <w:r>
        <w:t xml:space="preserve"> </w:t>
      </w:r>
      <w:r>
        <w:t xml:space="preserve">15 948.6 19 190.7</w:t>
      </w:r>
      <w:r>
        <w:t xml:space="preserve"> </w:t>
      </w:r>
      <w:r>
        <w:t xml:space="preserve">6.3</w:t>
      </w:r>
      <w:r>
        <w:t xml:space="preserve"> </w:t>
      </w:r>
      <w:r>
        <w:t xml:space="preserve">In summary, this impact assessment estimates annual cost savings of policy option 2 between</w:t>
      </w:r>
      <w:r>
        <w:t xml:space="preserve"> </w:t>
      </w:r>
      <w:r>
        <w:t xml:space="preserve">5.5 million Euros and 6.3 million Euros for citizen, and between 5.7 billion Euros (in a static</w:t>
      </w:r>
    </w:p>
    <w:p>
      <w:pPr>
        <w:pStyle w:val="BodyText"/>
      </w:pPr>
      <w:r>
        <w:t xml:space="preserve">189</w:t>
      </w:r>
      <w:r>
        <w:br/>
      </w:r>
      <w:r>
        <w:t xml:space="preserve">There are several scenarios, one static in which interoperability only reduces the number of hours</w:t>
      </w:r>
      <w:r>
        <w:t xml:space="preserve"> </w:t>
      </w:r>
      <w:r>
        <w:t xml:space="preserve">required to deal with the administration, while the dynamic scenario also implies that the number of</w:t>
      </w:r>
      <w:r>
        <w:t xml:space="preserve"> </w:t>
      </w:r>
      <w:r>
        <w:t xml:space="preserve">citizens and/or businesses using online tools to access public services. In addition, in the case of</w:t>
      </w:r>
      <w:r>
        <w:t xml:space="preserve"> </w:t>
      </w:r>
      <w:r>
        <w:t xml:space="preserve">businesses, a sensitivity analysis takes into account the intensity of usage of these tools.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scenario with the lowest proportion of time saved) and 19.2 billion Euros (in a dynamic</w:t>
      </w:r>
      <w:r>
        <w:t xml:space="preserve"> </w:t>
      </w:r>
      <w:r>
        <w:t xml:space="preserve">scenario with a large volume of time saved) for businesses.</w:t>
      </w:r>
      <w:r>
        <w:t xml:space="preserve"> </w:t>
      </w:r>
      <w:r>
        <w:t xml:space="preserve">Main limitations</w:t>
      </w:r>
      <w:r>
        <w:t xml:space="preserve"> </w:t>
      </w:r>
      <w:r>
        <w:t xml:space="preserve">The mix of primary data and information, obtained through consultation activities, and</w:t>
      </w:r>
      <w:r>
        <w:t xml:space="preserve"> </w:t>
      </w:r>
      <w:r>
        <w:t xml:space="preserve">secondary data and information, mainly obtained through desk research, was crucial in</w:t>
      </w:r>
      <w:r>
        <w:t xml:space="preserve"> </w:t>
      </w:r>
      <w:r>
        <w:t xml:space="preserve">allowing to draw conclusions and, more importantly, to provide estimates of costs and</w:t>
      </w:r>
      <w:r>
        <w:t xml:space="preserve"> </w:t>
      </w:r>
      <w:r>
        <w:t xml:space="preserve">benefits. Nevertheless, the following limitations may affect the main findings:</w:t>
      </w:r>
      <w:r>
        <w:t xml:space="preserve"> </w:t>
      </w:r>
      <w:r>
        <w:t xml:space="preserve">1. The scarcity and difficult comparison of data for assessing the costs and benefits</w:t>
      </w:r>
      <w:r>
        <w:t xml:space="preserve"> </w:t>
      </w:r>
      <w:r>
        <w:t xml:space="preserve">of transposing the EIF into national frameworks. The voluntary nature of the</w:t>
      </w:r>
      <w:r>
        <w:t xml:space="preserve"> </w:t>
      </w:r>
      <w:r>
        <w:t xml:space="preserve">framework reflects a heterogeneous uptake of the framework across the EU, limiting</w:t>
      </w:r>
      <w:r>
        <w:t xml:space="preserve"> </w:t>
      </w:r>
      <w:r>
        <w:t xml:space="preserve">the availability of data and making the comparison between countries difficult, as the</w:t>
      </w:r>
      <w:r>
        <w:t xml:space="preserve"> </w:t>
      </w:r>
      <w:r>
        <w:t xml:space="preserve">framework is adopted on an ad hoc basis. Furthermore, the implementation of the EIF</w:t>
      </w:r>
      <w:r>
        <w:t xml:space="preserve"> </w:t>
      </w:r>
      <w:r>
        <w:t xml:space="preserve">has not followed the same timeline in the different countries. To overcome this</w:t>
      </w:r>
      <w:r>
        <w:t xml:space="preserve"> </w:t>
      </w:r>
      <w:r>
        <w:t xml:space="preserve">limitation, the Study Team contacted the national public authorities that responded to</w:t>
      </w:r>
      <w:r>
        <w:t xml:space="preserve"> </w:t>
      </w:r>
      <w:r>
        <w:t xml:space="preserve">the consultation activities and indicated their availability to participate in a follow-up</w:t>
      </w:r>
      <w:r>
        <w:t xml:space="preserve"> </w:t>
      </w:r>
      <w:r>
        <w:t xml:space="preserve">interview in order to gain insight on the time spent (in terms of person-days) on the</w:t>
      </w:r>
      <w:r>
        <w:t xml:space="preserve"> </w:t>
      </w:r>
      <w:r>
        <w:t xml:space="preserve">transposition of the EIF, or part of it, into their national framework.</w:t>
      </w:r>
      <w:r>
        <w:t xml:space="preserve"> </w:t>
      </w:r>
      <w:r>
        <w:t xml:space="preserve">2. Starting with the JRC report, the calculations of the benefits of the Interoperable</w:t>
      </w:r>
      <w:r>
        <w:t xml:space="preserve"> </w:t>
      </w:r>
      <w:r>
        <w:t xml:space="preserve">Europe Act are based on a series of assumptions (for the JRC report they are</w:t>
      </w:r>
      <w:r>
        <w:t xml:space="preserve"> </w:t>
      </w:r>
      <w:r>
        <w:t xml:space="preserve">extensively listed in the original report). Assumptions are necessary when actual data</w:t>
      </w:r>
      <w:r>
        <w:t xml:space="preserve"> </w:t>
      </w:r>
      <w:r>
        <w:t xml:space="preserve">is not available but they can lead to imperfect results190. To give one example, the</w:t>
      </w:r>
      <w:r>
        <w:t xml:space="preserve"> </w:t>
      </w:r>
      <w:r>
        <w:t xml:space="preserve">figures reported in the JRC report for the time spent by businesses in dealing with the</w:t>
      </w:r>
      <w:r>
        <w:t xml:space="preserve"> </w:t>
      </w:r>
      <w:r>
        <w:t xml:space="preserve">administration is subject to assumptions and uncertainties, all explained in the original</w:t>
      </w:r>
      <w:r>
        <w:t xml:space="preserve"> </w:t>
      </w:r>
      <w:r>
        <w:t xml:space="preserve">report. Due to a lack of reliable data, a sensitivity analysis was performed to account</w:t>
      </w:r>
      <w:r>
        <w:t xml:space="preserve"> </w:t>
      </w:r>
      <w:r>
        <w:t xml:space="preserve">for the level of uncertainty here.</w:t>
      </w:r>
      <w:r>
        <w:t xml:space="preserve"> </w:t>
      </w:r>
      <w:r>
        <w:t xml:space="preserve">3. The overarching scope of the EIF hinders the assessment of the direct costs and</w:t>
      </w:r>
      <w:r>
        <w:t xml:space="preserve"> </w:t>
      </w:r>
      <w:r>
        <w:t xml:space="preserve">benefits stemming from its implementation. Costs and benefits deriving from the</w:t>
      </w:r>
      <w:r>
        <w:t xml:space="preserve"> </w:t>
      </w:r>
      <w:r>
        <w:t xml:space="preserve">EIF do not just pertain to the implementation of the framework, as costs and benefits</w:t>
      </w:r>
      <w:r>
        <w:t xml:space="preserve"> </w:t>
      </w:r>
      <w:r>
        <w:t xml:space="preserve">depend on the levels of digitalisation of the Member States or on the different degrees</w:t>
      </w:r>
      <w:r>
        <w:t xml:space="preserve"> </w:t>
      </w:r>
      <w:r>
        <w:t xml:space="preserve">of centralisation and varying organisational structures involved in delivering public</w:t>
      </w:r>
      <w:r>
        <w:t xml:space="preserve"> </w:t>
      </w:r>
      <w:r>
        <w:t xml:space="preserve">services. The costs related to interoperability initiatives are borne at different levels of</w:t>
      </w:r>
      <w:r>
        <w:t xml:space="preserve"> </w:t>
      </w:r>
      <w:r>
        <w:t xml:space="preserve">administration in several countries.</w:t>
      </w:r>
      <w:r>
        <w:t xml:space="preserve"> </w:t>
      </w:r>
      <w:r>
        <w:t xml:space="preserve">4. The conclusions drawn in the Impact Assessment are built upon the EIF Evaluation,</w:t>
      </w:r>
      <w:r>
        <w:t xml:space="preserve"> </w:t>
      </w:r>
      <w:r>
        <w:t xml:space="preserve">which evaluates the latest implementation of the EIF (i.e. from 2017 to 2020).</w:t>
      </w:r>
      <w:r>
        <w:t xml:space="preserve"> </w:t>
      </w:r>
      <w:r>
        <w:t xml:space="preserve">However, the framework seeks to achieve overarching goals and impacts that require</w:t>
      </w:r>
      <w:r>
        <w:t xml:space="preserve"> </w:t>
      </w:r>
      <w:r>
        <w:t xml:space="preserve">time to show results.</w:t>
      </w:r>
      <w:r>
        <w:t xml:space="preserve"> </w:t>
      </w:r>
      <w:r>
        <w:t xml:space="preserve">Another limitation may be the potential ‘consultation fatigue’ of respondents. In particular,</w:t>
      </w:r>
      <w:r>
        <w:t xml:space="preserve"> </w:t>
      </w:r>
      <w:r>
        <w:t xml:space="preserve">this Impact Assessment was carried out in a context in which the feedback of stakeholders</w:t>
      </w:r>
      <w:r>
        <w:t xml:space="preserve"> </w:t>
      </w:r>
      <w:r>
        <w:t xml:space="preserve">may have been sought for several relevant developments: the end of the ISA² programme, the</w:t>
      </w:r>
      <w:r>
        <w:t xml:space="preserve"> </w:t>
      </w:r>
      <w:r>
        <w:t xml:space="preserve">roll-out of the new Digital Europe Programme, the 2030 Digital Compass and the new policy</w:t>
      </w:r>
      <w:r>
        <w:t xml:space="preserve"> </w:t>
      </w:r>
      <w:r>
        <w:t xml:space="preserve">initiatives related to digitalisation in the EU.</w:t>
      </w:r>
      <w:r>
        <w:t xml:space="preserve"> </w:t>
      </w:r>
      <w:r>
        <w:t xml:space="preserve">Annex V. Recommendations of the Expert group on interoperability of public services</w:t>
      </w:r>
      <w:r>
        <w:t xml:space="preserve"> </w:t>
      </w:r>
      <w:r>
        <w:t xml:space="preserve">Introduction</w:t>
      </w:r>
      <w:r>
        <w:t xml:space="preserve"> </w:t>
      </w:r>
      <w:r>
        <w:t xml:space="preserve">Europe has set the goal of 100% key digital public services by 2030. All enabled by a</w:t>
      </w:r>
      <w:r>
        <w:t xml:space="preserve"> </w:t>
      </w:r>
      <w:r>
        <w:t xml:space="preserve">strengthened digital sovereignty and interoperability that foster innovation in line with EU</w:t>
      </w:r>
    </w:p>
    <w:p>
      <w:pPr>
        <w:pStyle w:val="BodyText"/>
      </w:pPr>
      <w:r>
        <w:t xml:space="preserve">190</w:t>
      </w:r>
      <w:r>
        <w:br/>
      </w:r>
      <w:r>
        <w:t xml:space="preserve">Activities available online and used, cannot be fully referred to the administrative activities– for</w:t>
      </w:r>
      <w:r>
        <w:t xml:space="preserve"> </w:t>
      </w:r>
      <w:r>
        <w:t xml:space="preserve">example some enforcement activities are also included.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core values and standards. This is one of the four pillars helping to deliver Europe’s Digital</w:t>
      </w:r>
      <w:r>
        <w:t xml:space="preserve"> </w:t>
      </w:r>
      <w:r>
        <w:t xml:space="preserve">Decade for 2030.</w:t>
      </w:r>
      <w:r>
        <w:t xml:space="preserve"> </w:t>
      </w:r>
      <w:r>
        <w:t xml:space="preserve">It means that the pace of implementation and delivery of digital public services needs to</w:t>
      </w:r>
      <w:r>
        <w:t xml:space="preserve"> </w:t>
      </w:r>
      <w:r>
        <w:t xml:space="preserve">increase. The level of digital maturity of Europe’s public services needs to increase.</w:t>
      </w:r>
      <w:r>
        <w:br/>
      </w:r>
      <w:r>
        <w:t xml:space="preserve">Europe’s public sector spends 12.4% of GDP (around EUR 1 trillion per year) on the</w:t>
      </w:r>
      <w:r>
        <w:t xml:space="preserve"> </w:t>
      </w:r>
      <w:r>
        <w:t xml:space="preserve">purchase of services, works and supplies. Digitalising Europe’s public sector digitalises</w:t>
      </w:r>
      <w:r>
        <w:t xml:space="preserve"> </w:t>
      </w:r>
      <w:r>
        <w:t xml:space="preserve">Europe.</w:t>
      </w:r>
      <w:r>
        <w:t xml:space="preserve"> </w:t>
      </w:r>
      <w:r>
        <w:t xml:space="preserve">Cooperation at EU level is a must to deliver on this goal. We have seen that very clearly with</w:t>
      </w:r>
      <w:r>
        <w:t xml:space="preserve"> </w:t>
      </w:r>
      <w:r>
        <w:t xml:space="preserve">the COVID-19 pandemic: European solidarity and cooperation have helped us navigate a</w:t>
      </w:r>
      <w:r>
        <w:t xml:space="preserve"> </w:t>
      </w:r>
      <w:r>
        <w:t xml:space="preserve">crisis of unprecedented scale and magnitude. But to deliver on our goals and help build better</w:t>
      </w:r>
      <w:r>
        <w:t xml:space="preserve"> </w:t>
      </w:r>
      <w:r>
        <w:t xml:space="preserve">digital public services for Europe more of this cooperation is needed.</w:t>
      </w:r>
      <w:r>
        <w:br/>
      </w:r>
      <w:r>
        <w:t xml:space="preserve">Member States are under a lot of pressure to implement European policies that have an impact</w:t>
      </w:r>
      <w:r>
        <w:t xml:space="preserve"> </w:t>
      </w:r>
      <w:r>
        <w:t xml:space="preserve">on their digital transformation on top of their own national priorities. At central levels there</w:t>
      </w:r>
      <w:r>
        <w:t xml:space="preserve"> </w:t>
      </w:r>
      <w:r>
        <w:t xml:space="preserve">are the Single Digital Gateway Regulation, the Open Data Directive, the NIS directive,</w:t>
      </w:r>
      <w:r>
        <w:t xml:space="preserve"> </w:t>
      </w:r>
      <w:r>
        <w:t xml:space="preserve">GDPR, the upcoming revised eIDAS regulation or the Data Act, just to name a few. There are</w:t>
      </w:r>
      <w:r>
        <w:t xml:space="preserve"> </w:t>
      </w:r>
      <w:r>
        <w:t xml:space="preserve">also the numerous sectoral initiatives: e.g. digitalisation of justice, e-Customs, revised TEN-E</w:t>
      </w:r>
      <w:r>
        <w:t xml:space="preserve"> </w:t>
      </w:r>
      <w:r>
        <w:t xml:space="preserve">regulation, digital health and many more.</w:t>
      </w:r>
      <w:r>
        <w:t xml:space="preserve"> </w:t>
      </w:r>
      <w:r>
        <w:t xml:space="preserve">Interoperability of solutions, data, and services is not only key for a sound implementation of</w:t>
      </w:r>
      <w:r>
        <w:t xml:space="preserve"> </w:t>
      </w:r>
      <w:r>
        <w:t xml:space="preserve">the above-mentioned policies, but it will also help to reduce efforts and costs. It helps build</w:t>
      </w:r>
      <w:r>
        <w:t xml:space="preserve"> </w:t>
      </w:r>
      <w:r>
        <w:t xml:space="preserve">resilient digital public administrations that can deliver public services that span borders and</w:t>
      </w:r>
      <w:r>
        <w:t xml:space="preserve"> </w:t>
      </w:r>
      <w:r>
        <w:t xml:space="preserve">sectors across the EU, allow us to share data and stay connected. This calls for a paradigm</w:t>
      </w:r>
      <w:r>
        <w:t xml:space="preserve"> </w:t>
      </w:r>
      <w:r>
        <w:t xml:space="preserve">change in how citizens, public administrations and democratic institutions interact. To make</w:t>
      </w:r>
      <w:r>
        <w:t xml:space="preserve"> </w:t>
      </w:r>
      <w:r>
        <w:t xml:space="preserve">this become a reality we need a clear strategy focused on enabling delivery on the ground and</w:t>
      </w:r>
      <w:r>
        <w:t xml:space="preserve"> </w:t>
      </w:r>
      <w:r>
        <w:t xml:space="preserve">a proper governance at European level that makes it possible to align and coordinate efforts of</w:t>
      </w:r>
      <w:r>
        <w:t xml:space="preserve"> </w:t>
      </w:r>
      <w:r>
        <w:t xml:space="preserve">this scale.</w:t>
      </w:r>
      <w:r>
        <w:t xml:space="preserve"> </w:t>
      </w:r>
      <w:r>
        <w:t xml:space="preserve">Purpose and scope of these policy recommendations</w:t>
      </w:r>
      <w:r>
        <w:t xml:space="preserve"> </w:t>
      </w:r>
      <w:r>
        <w:t xml:space="preserve">The European Commission has announced in the 2020 communication Shaping’s Europe’s</w:t>
      </w:r>
      <w:r>
        <w:t xml:space="preserve"> </w:t>
      </w:r>
      <w:r>
        <w:t xml:space="preserve">Digital Future a ‘strengthened interoperability strategy’. This is the opportunity to rethink the</w:t>
      </w:r>
      <w:r>
        <w:t xml:space="preserve"> </w:t>
      </w:r>
      <w:r>
        <w:t xml:space="preserve">voluntary efforts of the past 20 plus years on interoperability and establish a more structured</w:t>
      </w:r>
      <w:r>
        <w:t xml:space="preserve"> </w:t>
      </w:r>
      <w:r>
        <w:t xml:space="preserve">and pragmatic cooperation both between Member States at a horizontal level and between</w:t>
      </w:r>
      <w:r>
        <w:t xml:space="preserve"> </w:t>
      </w:r>
      <w:r>
        <w:t xml:space="preserve">different European services and policies at a vertical level. We need an interoperability policy</w:t>
      </w:r>
      <w:r>
        <w:t xml:space="preserve"> </w:t>
      </w:r>
      <w:r>
        <w:t xml:space="preserve">that is focused on enabling smooth, interoperable implementation and delivery of digital</w:t>
      </w:r>
      <w:r>
        <w:t xml:space="preserve"> </w:t>
      </w:r>
      <w:r>
        <w:t xml:space="preserve">public services at European level without adding new obligations on Member States and that</w:t>
      </w:r>
      <w:r>
        <w:t xml:space="preserve"> </w:t>
      </w:r>
      <w:r>
        <w:t xml:space="preserve">helps increase our overall digital maturity.</w:t>
      </w:r>
      <w:r>
        <w:t xml:space="preserve"> </w:t>
      </w:r>
      <w:r>
        <w:t xml:space="preserve">The expert group on Interoperability of European public services was set up in February 2020</w:t>
      </w:r>
      <w:r>
        <w:t xml:space="preserve"> </w:t>
      </w:r>
      <w:r>
        <w:t xml:space="preserve">with members representing the national public administrations of the European Member</w:t>
      </w:r>
      <w:r>
        <w:t xml:space="preserve"> </w:t>
      </w:r>
      <w:r>
        <w:t xml:space="preserve">States and observers from EFTA and candidate countries. One of its roles is to provide advice</w:t>
      </w:r>
      <w:r>
        <w:t xml:space="preserve"> </w:t>
      </w:r>
      <w:r>
        <w:t xml:space="preserve">and expertise to the Commission in relation to the preparation of the legislative proposals and</w:t>
      </w:r>
      <w:r>
        <w:t xml:space="preserve"> </w:t>
      </w:r>
      <w:r>
        <w:t xml:space="preserve">policy initiatives.</w:t>
      </w:r>
      <w:r>
        <w:t xml:space="preserve"> </w:t>
      </w:r>
      <w:r>
        <w:t xml:space="preserve">The following policy recommendations are expressed by the Member States to the European</w:t>
      </w:r>
      <w:r>
        <w:t xml:space="preserve"> </w:t>
      </w:r>
      <w:r>
        <w:t xml:space="preserve">Commission. They will be one of the cornerstones for the upcoming European Commission</w:t>
      </w:r>
      <w:r>
        <w:t xml:space="preserve"> </w:t>
      </w:r>
      <w:r>
        <w:t xml:space="preserve">policy proposal on the next interoperability policy and will accompany the impact assessment</w:t>
      </w:r>
      <w:r>
        <w:t xml:space="preserve"> </w:t>
      </w:r>
      <w:r>
        <w:t xml:space="preserve">of policy options and evaluation of the European Interoperability Framework.</w:t>
      </w:r>
      <w:r>
        <w:t xml:space="preserve"> </w:t>
      </w:r>
      <w:r>
        <w:t xml:space="preserve">The recommendations have been co-designed and co-created by the members of the expert</w:t>
      </w:r>
      <w:r>
        <w:t xml:space="preserve"> </w:t>
      </w:r>
      <w:r>
        <w:t xml:space="preserve">group on Interoperability throughout a series of brainstorming sessions, workshops, bilateral</w:t>
      </w:r>
      <w:r>
        <w:t xml:space="preserve"> </w:t>
      </w:r>
      <w:r>
        <w:t xml:space="preserve">discussions with the European Commission and written contributions spanning almost a year.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We share a common vision for the next interoperability policy</w:t>
      </w:r>
      <w:r>
        <w:t xml:space="preserve"> </w:t>
      </w:r>
      <w:r>
        <w:t xml:space="preserve">We need a visionary and at the same time pragmatic approach to interoperability policy, that</w:t>
      </w:r>
      <w:r>
        <w:t xml:space="preserve"> </w:t>
      </w:r>
      <w:r>
        <w:t xml:space="preserve">builds on all the work done in the past 20 years and takes a bolder stance on European</w:t>
      </w:r>
      <w:r>
        <w:t xml:space="preserve"> </w:t>
      </w:r>
      <w:r>
        <w:t xml:space="preserve">Interoperability. We want to enable a structured cooperation focused on delivery of cross-</w:t>
      </w:r>
      <w:r>
        <w:t xml:space="preserve"> </w:t>
      </w:r>
      <w:r>
        <w:t xml:space="preserve">borders and cross-sectors European digital public services.</w:t>
      </w:r>
      <w:r>
        <w:br/>
      </w:r>
      <w:r>
        <w:t xml:space="preserve">The members of the Interoperability expert group recommend a new interoperability policy</w:t>
      </w:r>
      <w:r>
        <w:t xml:space="preserve"> </w:t>
      </w:r>
      <w:r>
        <w:t xml:space="preserve">to:</w:t>
      </w:r>
      <w:r>
        <w:t xml:space="preserve"> </w:t>
      </w:r>
      <w:r>
        <w:t xml:space="preserve"> Establish a shared governance of interoperability with a stronger, structured</w:t>
      </w:r>
      <w:r>
        <w:t xml:space="preserve"> </w:t>
      </w:r>
      <w:r>
        <w:t xml:space="preserve">involvement of the Member States</w:t>
      </w:r>
      <w:r>
        <w:br/>
      </w:r>
      <w:r>
        <w:t xml:space="preserve"> Deepen the synergies with other ongoing EU policies and funding programmes</w:t>
      </w:r>
      <w:r>
        <w:t xml:space="preserve"> </w:t>
      </w:r>
      <w:r>
        <w:t xml:space="preserve">(particularly those with an impact on the digitalisation of the public sector)</w:t>
      </w:r>
      <w:r>
        <w:br/>
      </w:r>
      <w:r>
        <w:t xml:space="preserve"> Identify common specifications and encourage their uptake</w:t>
      </w:r>
      <w:r>
        <w:t xml:space="preserve"> </w:t>
      </w:r>
      <w:r>
        <w:t xml:space="preserve"> Include more operational and pragmatic actions</w:t>
      </w:r>
      <w:r>
        <w:br/>
      </w:r>
      <w:r>
        <w:t xml:space="preserve"> Focus on more exchange of best practices between Member States</w:t>
      </w:r>
      <w:r>
        <w:br/>
      </w:r>
      <w:r>
        <w:t xml:space="preserve"> Better promote, via external communication and awareness raising, the achievements</w:t>
      </w:r>
      <w:r>
        <w:t xml:space="preserve"> </w:t>
      </w:r>
      <w:r>
        <w:t xml:space="preserve">and benefits of interoperability work by the Member States and the EU.</w:t>
      </w:r>
      <w:r>
        <w:t xml:space="preserve"> </w:t>
      </w:r>
      <w:r>
        <w:t xml:space="preserve"> Engage with sectoral areas and policies.</w:t>
      </w:r>
      <w:r>
        <w:t xml:space="preserve"> </w:t>
      </w:r>
      <w:r>
        <w:t xml:space="preserve">To translate this vision into concrete actions, we call on the European Commission to</w:t>
      </w:r>
      <w:r>
        <w:t xml:space="preserve"> </w:t>
      </w:r>
      <w:r>
        <w:t xml:space="preserve">implement the following policy recommendations.</w:t>
      </w:r>
      <w:r>
        <w:br/>
      </w:r>
      <w:r>
        <w:t xml:space="preserve">Chapter I: Reinforce the European cooperation on interoperability</w:t>
      </w:r>
      <w:r>
        <w:t xml:space="preserve"> </w:t>
      </w:r>
      <w:r>
        <w:t xml:space="preserve">In this chapter, we focus on the core aspect of a reinforced European interoperability policy:</w:t>
      </w:r>
      <w:r>
        <w:t xml:space="preserve"> </w:t>
      </w:r>
      <w:r>
        <w:t xml:space="preserve">create a structured cooperation with a comprehensive governance to support the</w:t>
      </w:r>
      <w:r>
        <w:t xml:space="preserve"> </w:t>
      </w:r>
      <w:r>
        <w:t xml:space="preserve">implementation of interoperability in the Member States.</w:t>
      </w:r>
      <w:r>
        <w:br/>
      </w:r>
      <w:r>
        <w:t xml:space="preserve">Governance is one of the aspects that can trigger the best virtuous effects and where quick</w:t>
      </w:r>
      <w:r>
        <w:t xml:space="preserve"> </w:t>
      </w:r>
      <w:r>
        <w:t xml:space="preserve">progress is the most needed. It will help increase the level of digital maturity of the public</w:t>
      </w:r>
      <w:r>
        <w:t xml:space="preserve"> </w:t>
      </w:r>
      <w:r>
        <w:t xml:space="preserve">sector in the EU and ensure a cohesive digital delivery across organisational boundaries,</w:t>
      </w:r>
      <w:r>
        <w:t xml:space="preserve"> </w:t>
      </w:r>
      <w:r>
        <w:t xml:space="preserve">cross-borders and cross-sectors.</w:t>
      </w:r>
      <w:r>
        <w:br/>
      </w:r>
      <w:r>
        <w:t xml:space="preserve">To do so, we articulate our proposal around three topics: (A) Establish a shared strategic</w:t>
      </w:r>
      <w:r>
        <w:t xml:space="preserve"> </w:t>
      </w:r>
      <w:r>
        <w:t xml:space="preserve">governance with a clear mandate, (B) supported by communities of Member States’</w:t>
      </w:r>
      <w:r>
        <w:t xml:space="preserve"> </w:t>
      </w:r>
      <w:r>
        <w:t xml:space="preserve">practitioners and (C) reinforce innovation and international cooperation.</w:t>
      </w:r>
      <w:r>
        <w:t xml:space="preserve"> </w:t>
      </w:r>
      <w:r>
        <w:t xml:space="preserve">A. Establish a shared strategic EU Interoperability Governance</w:t>
      </w:r>
      <w:r>
        <w:t xml:space="preserve"> </w:t>
      </w:r>
      <w:r>
        <w:t xml:space="preserve">Recommendation n°1: Establish a common EU Interoperability Governance that will have a</w:t>
      </w:r>
      <w:r>
        <w:t xml:space="preserve"> </w:t>
      </w:r>
      <w:r>
        <w:t xml:space="preserve">legal mandate to set the priorities at EU level and steer the implementation of interoperability</w:t>
      </w:r>
      <w:r>
        <w:t xml:space="preserve"> </w:t>
      </w:r>
      <w:r>
        <w:t xml:space="preserve">actions. This governance structure will act in full respect of subsidiarity and proportionality,</w:t>
      </w:r>
      <w:r>
        <w:t xml:space="preserve"> </w:t>
      </w:r>
      <w:r>
        <w:t xml:space="preserve">while supporting Member States in their implementation efforts and encouraging</w:t>
      </w:r>
      <w:r>
        <w:t xml:space="preserve"> </w:t>
      </w:r>
      <w:r>
        <w:t xml:space="preserve">coordination and exchange. Depending on the specific objective, decisions from the</w:t>
      </w:r>
      <w:r>
        <w:t xml:space="preserve"> </w:t>
      </w:r>
      <w:r>
        <w:t xml:space="preserve">governance structure should be adopted in the appropriate voting system (e.g. consensus,</w:t>
      </w:r>
      <w:r>
        <w:t xml:space="preserve"> </w:t>
      </w:r>
      <w:r>
        <w:t xml:space="preserve">qualified majority). They may be non-binding (e.g. guidelines, opinions) or binding (e.g. </w:t>
      </w:r>
      <w:r>
        <w:t xml:space="preserve"> </w:t>
      </w:r>
      <w:r>
        <w:t xml:space="preserve">European Interoperability Framework updates).</w:t>
      </w:r>
      <w:r>
        <w:t xml:space="preserve"> </w:t>
      </w:r>
      <w:r>
        <w:t xml:space="preserve">Recommendation n°2: This EU Interoperability Governance should have a clear, simple and</w:t>
      </w:r>
      <w:r>
        <w:t xml:space="preserve"> </w:t>
      </w:r>
      <w:r>
        <w:t xml:space="preserve">effective governance. We recommend to structure it into two layers: a ‘strategic layer’, co-led</w:t>
      </w:r>
      <w:r>
        <w:t xml:space="preserve"> </w:t>
      </w:r>
      <w:r>
        <w:t xml:space="preserve">by the Member States governments’ leaders of digital transformation with the support the</w:t>
      </w:r>
      <w:r>
        <w:t xml:space="preserve"> </w:t>
      </w:r>
      <w:r>
        <w:t xml:space="preserve">European Commission, and an ‘operational layer’ of thematic subgroups, communities of</w:t>
      </w:r>
      <w:r>
        <w:t xml:space="preserve"> </w:t>
      </w:r>
      <w:r>
        <w:t xml:space="preserve">practice (see recommendations 4, 5, 6) supporting the work of the strategic layer.</w:t>
      </w:r>
      <w:r>
        <w:t xml:space="preserve"> </w:t>
      </w:r>
      <w:r>
        <w:t xml:space="preserve">Recommendation n°3: The mandate of the EU Interoperability Governance should at least</w:t>
      </w:r>
      <w:r>
        <w:t xml:space="preserve"> </w:t>
      </w:r>
      <w:r>
        <w:t xml:space="preserve">cover the following tasks: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 Foster synergies with any existing or new EU policy initiatives that have an impact</w:t>
      </w:r>
      <w:r>
        <w:t xml:space="preserve"> </w:t>
      </w:r>
      <w:r>
        <w:t xml:space="preserve">on interoperability of European digital public services (e.g. Data Governance Act,</w:t>
      </w:r>
      <w:r>
        <w:t xml:space="preserve"> </w:t>
      </w:r>
      <w:r>
        <w:t xml:space="preserve">Digital Decade) by giving recommendations on interoperability impact of EU policy</w:t>
      </w:r>
      <w:r>
        <w:t xml:space="preserve"> </w:t>
      </w:r>
      <w:r>
        <w:t xml:space="preserve">initiatives (see Recommendations 10, 11, 12);</w:t>
      </w:r>
      <w:r>
        <w:t xml:space="preserve"> </w:t>
      </w:r>
      <w:r>
        <w:t xml:space="preserve"> Oversee the evolution of the European Interoperability Framework as a clear</w:t>
      </w:r>
      <w:r>
        <w:t xml:space="preserve"> </w:t>
      </w:r>
      <w:r>
        <w:t xml:space="preserve">reference for related cross-cutting and sectorial policies in the EU, decide on the</w:t>
      </w:r>
      <w:r>
        <w:t xml:space="preserve"> </w:t>
      </w:r>
      <w:r>
        <w:t xml:space="preserve">evolution of its principles and recommendations, and provide for a regular monitoring</w:t>
      </w:r>
      <w:r>
        <w:t xml:space="preserve"> </w:t>
      </w:r>
      <w:r>
        <w:t xml:space="preserve">of progress across Member States (see Recommendations 13, 14, 15);</w:t>
      </w:r>
      <w:r>
        <w:t xml:space="preserve"> </w:t>
      </w:r>
      <w:r>
        <w:t xml:space="preserve"> Improve the coherence between the different EU data policies that impact the public</w:t>
      </w:r>
      <w:r>
        <w:t xml:space="preserve"> </w:t>
      </w:r>
      <w:r>
        <w:t xml:space="preserve">sector (see Recommendation 18, 19, 20), for instance by liaising with EU governance</w:t>
      </w:r>
      <w:r>
        <w:t xml:space="preserve"> </w:t>
      </w:r>
      <w:r>
        <w:t xml:space="preserve">bodies with a broader scope (e.g. Data Innovation Board, Digital Decade</w:t>
      </w:r>
      <w:r>
        <w:t xml:space="preserve"> </w:t>
      </w:r>
      <w:r>
        <w:t xml:space="preserve">governance) to avoid duplication of work;</w:t>
      </w:r>
      <w:r>
        <w:t xml:space="preserve"> </w:t>
      </w:r>
      <w:r>
        <w:t xml:space="preserve"> Help build a catalogue of interoperability solutions and update it based on Member</w:t>
      </w:r>
      <w:r>
        <w:t xml:space="preserve"> </w:t>
      </w:r>
      <w:r>
        <w:t xml:space="preserve">States’ needs (see Recommendations 21, 22, 23);</w:t>
      </w:r>
      <w:r>
        <w:t xml:space="preserve"> </w:t>
      </w:r>
      <w:r>
        <w:t xml:space="preserve"> Promote Open Culture, Open-Source Software and Open Standards in European</w:t>
      </w:r>
      <w:r>
        <w:t xml:space="preserve"> </w:t>
      </w:r>
      <w:r>
        <w:t xml:space="preserve">public administrations (see Recommendations 24, 25);</w:t>
      </w:r>
      <w:r>
        <w:t xml:space="preserve"> </w:t>
      </w:r>
      <w:r>
        <w:t xml:space="preserve"> Ensure that adequate funding is provided at EU level to deliver better interoperability</w:t>
      </w:r>
      <w:r>
        <w:t xml:space="preserve"> </w:t>
      </w:r>
      <w:r>
        <w:t xml:space="preserve">solutions (see Recommendation 26, 27, 28);</w:t>
      </w:r>
      <w:r>
        <w:t xml:space="preserve"> </w:t>
      </w:r>
      <w:r>
        <w:t xml:space="preserve"> Reinforce innovation, GovTech and experimentation cooperation amongst Member</w:t>
      </w:r>
      <w:r>
        <w:t xml:space="preserve"> </w:t>
      </w:r>
      <w:r>
        <w:t xml:space="preserve">States and associated countries, both at national and local levels but also</w:t>
      </w:r>
      <w:r>
        <w:t xml:space="preserve"> </w:t>
      </w:r>
      <w:r>
        <w:t xml:space="preserve">internationally (see Recommendations 7, 8, 9);</w:t>
      </w:r>
      <w:r>
        <w:t xml:space="preserve"> </w:t>
      </w:r>
      <w:r>
        <w:t xml:space="preserve"> Provide guidance to the European Commission on joint reporting of Member States’</w:t>
      </w:r>
      <w:r>
        <w:t xml:space="preserve"> </w:t>
      </w:r>
      <w:r>
        <w:t xml:space="preserve">interoperability implementation progress, aligned with all relevant reporting tools</w:t>
      </w:r>
      <w:r>
        <w:t xml:space="preserve"> </w:t>
      </w:r>
      <w:r>
        <w:t xml:space="preserve">(e.g. OECD, UN, Digital Decade, etc.), monitoring (see Recommendations 16, 17).</w:t>
      </w:r>
      <w:r>
        <w:t xml:space="preserve"> </w:t>
      </w:r>
      <w:r>
        <w:t xml:space="preserve">B. Supported by communities of Member States’ practitioners</w:t>
      </w:r>
      <w:r>
        <w:t xml:space="preserve"> </w:t>
      </w:r>
      <w:r>
        <w:t xml:space="preserve">A strategic governance alone cannot do much: interoperability implementation requires</w:t>
      </w:r>
      <w:r>
        <w:t xml:space="preserve"> </w:t>
      </w:r>
      <w:r>
        <w:t xml:space="preserve">the involvement of practitioners from all levels and sectors of EU public administrations</w:t>
      </w:r>
      <w:r>
        <w:t xml:space="preserve"> </w:t>
      </w:r>
      <w:r>
        <w:t xml:space="preserve">that have hands-on expertise and can help build consensus on solutions and technical</w:t>
      </w:r>
      <w:r>
        <w:t xml:space="preserve"> </w:t>
      </w:r>
      <w:r>
        <w:t xml:space="preserve">specifications. This should form the ‘operational layer’ of the EU Interoperability Governance</w:t>
      </w:r>
      <w:r>
        <w:t xml:space="preserve"> </w:t>
      </w:r>
      <w:r>
        <w:t xml:space="preserve">in a way that is consistent, efficient and based on the actual needs and practices of the EU,</w:t>
      </w:r>
      <w:r>
        <w:t xml:space="preserve"> </w:t>
      </w:r>
      <w:r>
        <w:t xml:space="preserve">Member States, regions and local communities.</w:t>
      </w:r>
      <w:r>
        <w:t xml:space="preserve"> </w:t>
      </w:r>
      <w:r>
        <w:t xml:space="preserve">Recommendation n°4: Communities of Practice shall be the operational layer of the EU</w:t>
      </w:r>
      <w:r>
        <w:t xml:space="preserve"> </w:t>
      </w:r>
      <w:r>
        <w:t xml:space="preserve">Interoperability Governance. They can take the form of a temporary Working Group and</w:t>
      </w:r>
      <w:r>
        <w:t xml:space="preserve"> </w:t>
      </w:r>
      <w:r>
        <w:t xml:space="preserve">they must have a clear mandate, a defined list of problems to solve, a deadline and expected</w:t>
      </w:r>
      <w:r>
        <w:t xml:space="preserve"> </w:t>
      </w:r>
      <w:r>
        <w:t xml:space="preserve">outcomes. They are assisted by the secretariat (European Commission) which ensures</w:t>
      </w:r>
      <w:r>
        <w:t xml:space="preserve"> </w:t>
      </w:r>
      <w:r>
        <w:t xml:space="preserve">alignment with the work of the strategic layer of the governance and with the policy initiatives</w:t>
      </w:r>
      <w:r>
        <w:t xml:space="preserve"> </w:t>
      </w:r>
      <w:r>
        <w:t xml:space="preserve">at EU level. They can include voluntary experts from academia, private sector, civil society,</w:t>
      </w:r>
      <w:r>
        <w:t xml:space="preserve"> </w:t>
      </w:r>
      <w:r>
        <w:t xml:space="preserve">all administrative levels (e.g. local, regional, national) or other domains as needed depending</w:t>
      </w:r>
      <w:r>
        <w:t xml:space="preserve"> </w:t>
      </w:r>
      <w:r>
        <w:t xml:space="preserve">on the subject.</w:t>
      </w:r>
      <w:r>
        <w:t xml:space="preserve"> </w:t>
      </w:r>
      <w:r>
        <w:t xml:space="preserve">Recommendation n°5: the strategic EU Interoperability Governance can set-up a Community</w:t>
      </w:r>
      <w:r>
        <w:t xml:space="preserve"> </w:t>
      </w:r>
      <w:r>
        <w:t xml:space="preserve">on practical issues related to, at least, one of the four EIF layers (legal, organisational,</w:t>
      </w:r>
      <w:r>
        <w:t xml:space="preserve"> </w:t>
      </w:r>
      <w:r>
        <w:t xml:space="preserve">semantic and technical) and relevant for the implementation of EU level services (e.g. Data</w:t>
      </w:r>
      <w:r>
        <w:t xml:space="preserve"> </w:t>
      </w:r>
      <w:r>
        <w:t xml:space="preserve">Spaces), while:</w:t>
      </w:r>
      <w:r>
        <w:t xml:space="preserve"> </w:t>
      </w:r>
      <w:r>
        <w:t xml:space="preserve"> Ensuring that there is no overlap with existing or new created communities/bodies</w:t>
      </w:r>
      <w:r>
        <w:t xml:space="preserve"> </w:t>
      </w:r>
      <w:r>
        <w:t xml:space="preserve">dealing with similar topics (e.g. between the Single Digital Gateway Regulation, Data</w:t>
      </w:r>
      <w:r>
        <w:t xml:space="preserve"> </w:t>
      </w:r>
      <w:r>
        <w:t xml:space="preserve">Governance Act, eGovernment Action Plan, ICT standards, Living-in.eu, etc.);</w:t>
      </w:r>
      <w:r>
        <w:t xml:space="preserve"> </w:t>
      </w:r>
      <w:r>
        <w:t xml:space="preserve"> Bringing together the relevant experts in their domains (e.g. from the GovTech sector,</w:t>
      </w:r>
      <w:r>
        <w:t xml:space="preserve"> </w:t>
      </w:r>
      <w:r>
        <w:t xml:space="preserve">academia, NGOs, civil society) to define technical solutions that are interoperable.</w:t>
      </w:r>
      <w:r>
        <w:t xml:space="preserve"> </w:t>
      </w:r>
      <w:r>
        <w:t xml:space="preserve">This involves working closely also with private partners; local entities (e.g. involve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regions, municipalities), EU standardisation and other international organisations</w:t>
      </w:r>
      <w:r>
        <w:t xml:space="preserve"> </w:t>
      </w:r>
      <w:r>
        <w:t xml:space="preserve">(OECD, UN, international standardisation bodies, etc.) as well as citizens’</w:t>
      </w:r>
      <w:r>
        <w:t xml:space="preserve"> </w:t>
      </w:r>
      <w:r>
        <w:t xml:space="preserve">representatives depending on the subjects to be handled.</w:t>
      </w:r>
      <w:r>
        <w:t xml:space="preserve"> </w:t>
      </w:r>
      <w:r>
        <w:t xml:space="preserve">Recommendation n°6: These communities can develop cross-border interoperability</w:t>
      </w:r>
      <w:r>
        <w:t xml:space="preserve"> </w:t>
      </w:r>
      <w:r>
        <w:t xml:space="preserve">initiatives, proofs of concept, pilots (e.g. technical guidance, specifications, prototypes,</w:t>
      </w:r>
      <w:r>
        <w:t xml:space="preserve"> </w:t>
      </w:r>
      <w:r>
        <w:t xml:space="preserve">applications, etc.). Initiatives that reach a certain level of maturity and have a large support</w:t>
      </w:r>
      <w:r>
        <w:t xml:space="preserve"> </w:t>
      </w:r>
      <w:r>
        <w:t xml:space="preserve">can be included in the Interoperability catalogue by the strategic level of the EU</w:t>
      </w:r>
      <w:r>
        <w:t xml:space="preserve"> </w:t>
      </w:r>
      <w:r>
        <w:t xml:space="preserve">Interoperability Governance. In any case, we reaffirm that it is very important to critically</w:t>
      </w:r>
      <w:r>
        <w:t xml:space="preserve"> </w:t>
      </w:r>
      <w:r>
        <w:t xml:space="preserve">evaluate whether a specific standard or specification is relevant and applicable for a</w:t>
      </w:r>
      <w:r>
        <w:t xml:space="preserve"> </w:t>
      </w:r>
      <w:r>
        <w:t xml:space="preserve">specific use case before making it mandatory.</w:t>
      </w:r>
      <w:r>
        <w:t xml:space="preserve"> </w:t>
      </w:r>
      <w:r>
        <w:t xml:space="preserve">C. Reinforce innovation and international cooperation</w:t>
      </w:r>
      <w:r>
        <w:t xml:space="preserve"> </w:t>
      </w:r>
      <w:r>
        <w:t xml:space="preserve">Public sector innovation has now a strong focus on digital technologies as enablers (e.g. AI,</w:t>
      </w:r>
      <w:r>
        <w:t xml:space="preserve"> </w:t>
      </w:r>
      <w:r>
        <w:t xml:space="preserve">blockchain). The pandemic has only accelerated and reinforced the need to rapidly innovate</w:t>
      </w:r>
      <w:r>
        <w:t xml:space="preserve"> </w:t>
      </w:r>
      <w:r>
        <w:t xml:space="preserve">and emphasized further the inequalities in preparedness of the public administrations. For this</w:t>
      </w:r>
      <w:r>
        <w:t xml:space="preserve"> </w:t>
      </w:r>
      <w:r>
        <w:t xml:space="preserve">reason there is an urgency to ensure in the EU context that digital innovation can be replicated</w:t>
      </w:r>
      <w:r>
        <w:t xml:space="preserve"> </w:t>
      </w:r>
      <w:r>
        <w:t xml:space="preserve">between the front-runners and laggards, allowing leapfrogging for some of them. This goes</w:t>
      </w:r>
      <w:r>
        <w:t xml:space="preserve"> </w:t>
      </w:r>
      <w:r>
        <w:t xml:space="preserve">with a number of activities such as exchange of best practices, experimentation and close</w:t>
      </w:r>
      <w:r>
        <w:t xml:space="preserve"> </w:t>
      </w:r>
      <w:r>
        <w:t xml:space="preserve">cooperation, including the private (GovTech) sector.</w:t>
      </w:r>
      <w:r>
        <w:br/>
      </w:r>
      <w:r>
        <w:t xml:space="preserve">Digitalisation issues (including interoperability) are global by nature, especially since the</w:t>
      </w:r>
      <w:r>
        <w:t xml:space="preserve"> </w:t>
      </w:r>
      <w:r>
        <w:t xml:space="preserve">pandemic - and they are nurtured by innovation and international cooperation with other</w:t>
      </w:r>
      <w:r>
        <w:t xml:space="preserve"> </w:t>
      </w:r>
      <w:r>
        <w:t xml:space="preserve">countries, international organisations like the United Nations, CAF (Development Bank of</w:t>
      </w:r>
      <w:r>
        <w:t xml:space="preserve"> </w:t>
      </w:r>
      <w:r>
        <w:t xml:space="preserve">Latin America), the World Bank or the OECD, but also with private actors and civil society.</w:t>
      </w:r>
      <w:r>
        <w:t xml:space="preserve"> </w:t>
      </w:r>
      <w:r>
        <w:t xml:space="preserve">The EU and its MS should take a coordinated approach towards contributing to these diverse</w:t>
      </w:r>
      <w:r>
        <w:t xml:space="preserve"> </w:t>
      </w:r>
      <w:r>
        <w:t xml:space="preserve">fora to ensure consistency and promote the EU public values of digital public services.</w:t>
      </w:r>
      <w:r>
        <w:t xml:space="preserve"> </w:t>
      </w:r>
      <w:r>
        <w:t xml:space="preserve">Recommendation n°7: A future interoperability policy should facilitate early alignment with</w:t>
      </w:r>
      <w:r>
        <w:t xml:space="preserve"> </w:t>
      </w:r>
      <w:r>
        <w:t xml:space="preserve">the European standardisation efforts and cooperation with international standardisation</w:t>
      </w:r>
      <w:r>
        <w:t xml:space="preserve"> </w:t>
      </w:r>
      <w:r>
        <w:t xml:space="preserve">organisations to ensure that EU public sector’s needs for standards are taken into account in</w:t>
      </w:r>
      <w:r>
        <w:t xml:space="preserve"> </w:t>
      </w:r>
      <w:r>
        <w:t xml:space="preserve">an effective way.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n°8:</w:t>
      </w:r>
      <w:r>
        <w:t xml:space="preserve"> </w:t>
      </w:r>
      <w:r>
        <w:t xml:space="preserve">Provide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on</w:t>
      </w:r>
      <w:r>
        <w:t xml:space="preserve"> </w:t>
      </w:r>
      <w:r>
        <w:t xml:space="preserve">interoperability, outreach, partnerships, exchanges, with relevant international organisations</w:t>
      </w:r>
      <w:r>
        <w:t xml:space="preserve"> </w:t>
      </w:r>
      <w:r>
        <w:t xml:space="preserve">and partners to increase usefulness of international interoperability and complement our</w:t>
      </w:r>
      <w:r>
        <w:t xml:space="preserve"> </w:t>
      </w:r>
      <w:r>
        <w:t xml:space="preserve">digital sovereignty.</w:t>
      </w:r>
      <w:r>
        <w:t xml:space="preserve"> </w:t>
      </w:r>
      <w:r>
        <w:t xml:space="preserve">Recommendation n°9: Provide means to allow exchange of best practices, such as the</w:t>
      </w:r>
      <w:r>
        <w:t xml:space="preserve"> </w:t>
      </w:r>
      <w:r>
        <w:t xml:space="preserve">Innovative public Services Observatory to promote sharing and reuse and ensure</w:t>
      </w:r>
      <w:r>
        <w:t xml:space="preserve"> </w:t>
      </w:r>
      <w:r>
        <w:t xml:space="preserve">interoperability by default. Provide for Open Source, GovTech and experimentation</w:t>
      </w:r>
      <w:r>
        <w:t xml:space="preserve"> </w:t>
      </w:r>
      <w:r>
        <w:t xml:space="preserve">cooperation amongst Member States and associated countries, both at national and local</w:t>
      </w:r>
      <w:r>
        <w:t xml:space="preserve"> </w:t>
      </w:r>
      <w:r>
        <w:t xml:space="preserve">levels but also internationally. Ensure multiplication through other channels and financing</w:t>
      </w:r>
      <w:r>
        <w:t xml:space="preserve"> </w:t>
      </w:r>
      <w:r>
        <w:t xml:space="preserve">programmes (EIC, Horizon Europe, International Cooperation).</w:t>
      </w:r>
      <w:r>
        <w:t xml:space="preserve"> </w:t>
      </w:r>
      <w:r>
        <w:t xml:space="preserve">Chapter II: Make the most of interoperability for better EU policies</w:t>
      </w:r>
      <w:r>
        <w:t xml:space="preserve"> </w:t>
      </w:r>
      <w:r>
        <w:t xml:space="preserve">A stronger governance on interoperability is not enough on its own: we must ensure that the</w:t>
      </w:r>
      <w:r>
        <w:t xml:space="preserve"> </w:t>
      </w:r>
      <w:r>
        <w:t xml:space="preserve">policies and European legislation we implement for our citizens and businesses are</w:t>
      </w:r>
      <w:r>
        <w:t xml:space="preserve"> </w:t>
      </w:r>
      <w:r>
        <w:t xml:space="preserve">interoperable and digital-ready ‘by default’.</w:t>
      </w:r>
      <w:r>
        <w:br/>
      </w:r>
      <w:r>
        <w:t xml:space="preserve">Interoperability and (digital) implementation of policies are too rarely considered as a high</w:t>
      </w:r>
      <w:r>
        <w:t xml:space="preserve"> </w:t>
      </w:r>
      <w:r>
        <w:t xml:space="preserve">priority in the European policy-design process, even though it can bring better coherence</w:t>
      </w:r>
      <w:r>
        <w:t xml:space="preserve"> </w:t>
      </w:r>
      <w:r>
        <w:t xml:space="preserve">across sectors, help save time and public money, while increasing the legal robustness of</w:t>
      </w:r>
      <w:r>
        <w:t xml:space="preserve"> </w:t>
      </w:r>
      <w:r>
        <w:t xml:space="preserve">legislative acts and making it easier for policymakers to reuse data.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We reaffirm the call from the Berlin Declaration:</w:t>
      </w:r>
      <w:r>
        <w:br/>
      </w:r>
      <w:r>
        <w:t xml:space="preserve"> To ensure through the Better Regulation framework that policies and legislative acts</w:t>
      </w:r>
      <w:r>
        <w:t xml:space="preserve"> </w:t>
      </w:r>
      <w:r>
        <w:t xml:space="preserve">proposed by the European Commission are digital-ready and interoperable by default</w:t>
      </w:r>
      <w:r>
        <w:br/>
      </w:r>
      <w:r>
        <w:t xml:space="preserve"> To strengthen Europe’s digital sovereignty and interoperability by fostering</w:t>
      </w:r>
      <w:r>
        <w:t xml:space="preserve"> </w:t>
      </w:r>
      <w:r>
        <w:t xml:space="preserve">interoperability ‘by design’ of policies to enhance cross-border and cross-sector</w:t>
      </w:r>
      <w:r>
        <w:t xml:space="preserve"> </w:t>
      </w:r>
      <w:r>
        <w:t xml:space="preserve">interconnections</w:t>
      </w:r>
      <w:r>
        <w:br/>
      </w:r>
      <w:r>
        <w:t xml:space="preserve">Therefore, the next interoperability policy should improve the policy-design at EU level (A)</w:t>
      </w:r>
      <w:r>
        <w:t xml:space="preserve"> </w:t>
      </w:r>
      <w:r>
        <w:t xml:space="preserve">and leverage on a more pragmatic European Interoperability Framework (B) to ensure</w:t>
      </w:r>
      <w:r>
        <w:t xml:space="preserve"> </w:t>
      </w:r>
      <w:r>
        <w:t xml:space="preserve">coherence and better support implementation by the Member States, especially when it comes</w:t>
      </w:r>
      <w:r>
        <w:t xml:space="preserve"> </w:t>
      </w:r>
      <w:r>
        <w:t xml:space="preserve">to data-related policies (C).</w:t>
      </w:r>
      <w:r>
        <w:t xml:space="preserve"> </w:t>
      </w:r>
      <w:r>
        <w:t xml:space="preserve">A. Introduce new mandatory checks to ensure that EU policies are ‘digital-ready’ and</w:t>
      </w:r>
      <w:r>
        <w:t xml:space="preserve"> </w:t>
      </w:r>
      <w:r>
        <w:t xml:space="preserve">interoperable ‘by-default’</w:t>
      </w:r>
      <w:r>
        <w:t xml:space="preserve"> </w:t>
      </w:r>
      <w:r>
        <w:t xml:space="preserve">Public administrations are bound by a specific legal context. The design of such legal</w:t>
      </w:r>
      <w:r>
        <w:t xml:space="preserve"> </w:t>
      </w:r>
      <w:r>
        <w:t xml:space="preserve">provisions influences how technical solutions can be deployed across different public</w:t>
      </w:r>
      <w:r>
        <w:t xml:space="preserve"> </w:t>
      </w:r>
      <w:r>
        <w:t xml:space="preserve">administrations that should be interoperable and allow secure and controlled data flows. The</w:t>
      </w:r>
      <w:r>
        <w:t xml:space="preserve"> </w:t>
      </w:r>
      <w:r>
        <w:t xml:space="preserve">vision of an interoperable public sector can only become a reality if legal provisions are</w:t>
      </w:r>
      <w:r>
        <w:t xml:space="preserve"> </w:t>
      </w:r>
      <w:r>
        <w:t xml:space="preserve">digital-ready.</w:t>
      </w:r>
      <w:r>
        <w:br/>
      </w:r>
      <w:r>
        <w:t xml:space="preserve">An increasing number of Member States are developing – or plan to develop – guidelines and</w:t>
      </w:r>
      <w:r>
        <w:t xml:space="preserve"> </w:t>
      </w:r>
      <w:r>
        <w:t xml:space="preserve">mandatory checks to ensure that new legislation is fit for the Digital Age. Because their</w:t>
      </w:r>
      <w:r>
        <w:t xml:space="preserve"> </w:t>
      </w:r>
      <w:r>
        <w:t xml:space="preserve">decisions impact hundreds of millions of citizens and businesses, the EU Institutions should</w:t>
      </w:r>
      <w:r>
        <w:t xml:space="preserve"> </w:t>
      </w:r>
      <w:r>
        <w:t xml:space="preserve">also lead by example and incorporate such checks as early as possible in the decision-making</w:t>
      </w:r>
      <w:r>
        <w:t xml:space="preserve"> </w:t>
      </w:r>
      <w:r>
        <w:t xml:space="preserve">process.</w:t>
      </w:r>
      <w:r>
        <w:t xml:space="preserve"> </w:t>
      </w:r>
      <w:r>
        <w:t xml:space="preserve">Therefore, recommendations 10, 11 and 12 are mostly oriented towards the European</w:t>
      </w:r>
      <w:r>
        <w:t xml:space="preserve"> </w:t>
      </w:r>
      <w:r>
        <w:t xml:space="preserve">Commission and the modernization of its legal processes, while ensuring proper support and</w:t>
      </w:r>
      <w:r>
        <w:t xml:space="preserve"> </w:t>
      </w:r>
      <w:r>
        <w:t xml:space="preserve">advice-sharing from the Member States.</w:t>
      </w:r>
      <w:r>
        <w:t xml:space="preserve"> </w:t>
      </w:r>
      <w:r>
        <w:t xml:space="preserve">Recommendation n°10: Introduce mandatory but lightweight ‘digital checks’ along all steps</w:t>
      </w:r>
      <w:r>
        <w:t xml:space="preserve"> </w:t>
      </w:r>
      <w:r>
        <w:t xml:space="preserve">of EU policymaking (European Commission, Council and European Parliament) and across</w:t>
      </w:r>
      <w:r>
        <w:t xml:space="preserve"> </w:t>
      </w:r>
      <w:r>
        <w:t xml:space="preserve">policies. This should align with the Better Regulation agenda. Among others, such checks</w:t>
      </w:r>
      <w:r>
        <w:t xml:space="preserve"> </w:t>
      </w:r>
      <w:r>
        <w:t xml:space="preserve">should direct policymakers’ attention towards user-centric implementation, best (re)use of</w:t>
      </w:r>
      <w:r>
        <w:t xml:space="preserve"> </w:t>
      </w:r>
      <w:r>
        <w:t xml:space="preserve">public data, coherence with digital policies and upcoming data initiatives (e.g. Digital</w:t>
      </w:r>
      <w:r>
        <w:t xml:space="preserve"> </w:t>
      </w:r>
      <w:r>
        <w:t xml:space="preserve">Decade/Compass, Data Act or other sectorial policies), and the reuse of existing technical</w:t>
      </w:r>
      <w:r>
        <w:t xml:space="preserve"> </w:t>
      </w:r>
      <w:r>
        <w:t xml:space="preserve">and semantic specifications and interoperable solutions.</w:t>
      </w:r>
      <w:r>
        <w:t xml:space="preserve"> </w:t>
      </w:r>
      <w:r>
        <w:t xml:space="preserve">Recommendation n°11: The EU Interoperability Governance and the European Commission</w:t>
      </w:r>
      <w:r>
        <w:t xml:space="preserve"> </w:t>
      </w:r>
      <w:r>
        <w:t xml:space="preserve">should create guidelines for such digital checks (e.g. expected outcome, life cycle,</w:t>
      </w:r>
      <w:r>
        <w:t xml:space="preserve"> </w:t>
      </w:r>
      <w:r>
        <w:t xml:space="preserve">monitoring, etc.). They should establish a clearly defined process, which ensures that:</w:t>
      </w:r>
      <w:r>
        <w:t xml:space="preserve"> </w:t>
      </w:r>
      <w:r>
        <w:t xml:space="preserve"> The digital checks are conducted as early as possible in the policy design;</w:t>
      </w:r>
      <w:r>
        <w:t xml:space="preserve"> </w:t>
      </w:r>
      <w:r>
        <w:t xml:space="preserve"> Member States’ interoperability experts are timely consulted on EU policy proposals</w:t>
      </w:r>
      <w:r>
        <w:t xml:space="preserve"> </w:t>
      </w:r>
      <w:r>
        <w:t xml:space="preserve">with significant digital impacts;</w:t>
      </w:r>
      <w:r>
        <w:t xml:space="preserve"> </w:t>
      </w:r>
      <w:r>
        <w:t xml:space="preserve"> The outcome of the digital checks is transparent and being fed into the inter-</w:t>
      </w:r>
      <w:r>
        <w:t xml:space="preserve"> </w:t>
      </w:r>
      <w:r>
        <w:t xml:space="preserve">institutional decision-making.</w:t>
      </w:r>
      <w:r>
        <w:t xml:space="preserve"> </w:t>
      </w:r>
      <w:r>
        <w:t xml:space="preserve">Recommendation n°12: Establish a community of practice on ‘digital-ready’ policymaking</w:t>
      </w:r>
      <w:r>
        <w:t xml:space="preserve"> </w:t>
      </w:r>
      <w:r>
        <w:t xml:space="preserve">that provides user-friendly guidelines, tools and best practice examples and that gives</w:t>
      </w:r>
      <w:r>
        <w:t xml:space="preserve"> </w:t>
      </w:r>
      <w:r>
        <w:t xml:space="preserve">advice to national, local and EU policymakers. This community of practice should support</w:t>
      </w:r>
      <w:r>
        <w:t xml:space="preserve"> </w:t>
      </w:r>
      <w:r>
        <w:t xml:space="preserve">the implementation of Recommendation 10.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B. Reinforce the European Interoperability Framework</w:t>
      </w:r>
      <w:r>
        <w:t xml:space="preserve"> </w:t>
      </w:r>
      <w:r>
        <w:t xml:space="preserve">The EIF is the cornerstone of EU interoperability action and it must remain an effective guide</w:t>
      </w:r>
      <w:r>
        <w:t xml:space="preserve"> </w:t>
      </w:r>
      <w:r>
        <w:t xml:space="preserve">for implementation in the EU, Member States and at local levels. Due to its non-technical</w:t>
      </w:r>
      <w:r>
        <w:t xml:space="preserve"> </w:t>
      </w:r>
      <w:r>
        <w:t xml:space="preserve">approach, the EIF has proven to be a useful instrument to raise awareness on interoperability</w:t>
      </w:r>
      <w:r>
        <w:t xml:space="preserve"> </w:t>
      </w:r>
      <w:r>
        <w:t xml:space="preserve">beyond technical audiences. However, the EIF in its current state is not frequently referenced</w:t>
      </w:r>
      <w:r>
        <w:t xml:space="preserve"> </w:t>
      </w:r>
      <w:r>
        <w:t xml:space="preserve">in EU policies. Public administrations across the EU could all benefit from a reinforced EIF</w:t>
      </w:r>
      <w:r>
        <w:t xml:space="preserve"> </w:t>
      </w:r>
      <w:r>
        <w:t xml:space="preserve">that is more closely linked to EU sectorial policies and provides more pragmatic and</w:t>
      </w:r>
      <w:r>
        <w:t xml:space="preserve"> </w:t>
      </w:r>
      <w:r>
        <w:t xml:space="preserve">operational guidance.</w:t>
      </w:r>
      <w:r>
        <w:br/>
      </w:r>
      <w:r>
        <w:t xml:space="preserve">Recommendation n°13: Make the EIF a clear reference for related cross-cutting and</w:t>
      </w:r>
      <w:r>
        <w:t xml:space="preserve"> </w:t>
      </w:r>
      <w:r>
        <w:t xml:space="preserve">sectorial policies in the EU to ensure a holistic approach to interoperability.</w:t>
      </w:r>
      <w:r>
        <w:t xml:space="preserve"> </w:t>
      </w:r>
      <w:r>
        <w:t xml:space="preserve">Recommendation n°14: Work on operationalising the EIF to make it simpler to implement</w:t>
      </w:r>
      <w:r>
        <w:t xml:space="preserve"> </w:t>
      </w:r>
      <w:r>
        <w:t xml:space="preserve">especially in highly decentralized countries.</w:t>
      </w:r>
      <w:r>
        <w:br/>
      </w:r>
      <w:r>
        <w:t xml:space="preserve">Recommendation n°15: Empower the EU Interoperability Governance to:</w:t>
      </w:r>
      <w:r>
        <w:br/>
      </w:r>
      <w:r>
        <w:t xml:space="preserve"> Assess the implementation of both, principles and recommendations of the EIF in the</w:t>
      </w:r>
      <w:r>
        <w:t xml:space="preserve"> </w:t>
      </w:r>
      <w:r>
        <w:t xml:space="preserve">Member States, including solutions, standards and technical specifications</w:t>
      </w:r>
      <w:r>
        <w:t xml:space="preserve"> </w:t>
      </w:r>
      <w:r>
        <w:t xml:space="preserve">implemented in the context of the EIF;</w:t>
      </w:r>
      <w:r>
        <w:t xml:space="preserve"> </w:t>
      </w:r>
      <w:r>
        <w:t xml:space="preserve"> Update the framework – both principles and recommendations – based on progress</w:t>
      </w:r>
      <w:r>
        <w:t xml:space="preserve"> </w:t>
      </w:r>
      <w:r>
        <w:t xml:space="preserve">made and take into account the evolution of practices (e.g. move from an approach</w:t>
      </w:r>
      <w:r>
        <w:t xml:space="preserve"> </w:t>
      </w:r>
      <w:r>
        <w:t xml:space="preserve">focusing on digital service delivery to a focus on public sector data flows);</w:t>
      </w:r>
      <w:r>
        <w:t xml:space="preserve"> </w:t>
      </w:r>
      <w:r>
        <w:t xml:space="preserve"> Promote the reuse and take-up of relevant interoperability solutions, standards and</w:t>
      </w:r>
      <w:r>
        <w:t xml:space="preserve"> </w:t>
      </w:r>
      <w:r>
        <w:t xml:space="preserve">specifications for the implementation of relevant EU policies and share best practices</w:t>
      </w:r>
      <w:r>
        <w:t xml:space="preserve"> </w:t>
      </w:r>
      <w:r>
        <w:t xml:space="preserve">and examples of implementation at different levels (e.g. national, local, international).</w:t>
      </w:r>
      <w:r>
        <w:br/>
      </w:r>
      <w:r>
        <w:t xml:space="preserve">Recommendation n°16: Establish a more automated monitoring mechanism for the</w:t>
      </w:r>
      <w:r>
        <w:t xml:space="preserve"> </w:t>
      </w:r>
      <w:r>
        <w:t xml:space="preserve">implementation of the EIF and ensure data collected is reused by all Commission services</w:t>
      </w:r>
      <w:r>
        <w:t xml:space="preserve"> </w:t>
      </w:r>
      <w:r>
        <w:t xml:space="preserve">following the ‘once only principle’ (e.g. reuse between the Digital Decade, eGovernment</w:t>
      </w:r>
      <w:r>
        <w:t xml:space="preserve"> </w:t>
      </w:r>
      <w:r>
        <w:t xml:space="preserve">benchmark, NIFO, Berlin Declaration monitoring, etc.). Reuse relevant information and</w:t>
      </w:r>
      <w:r>
        <w:t xml:space="preserve"> </w:t>
      </w:r>
      <w:r>
        <w:t xml:space="preserve">reporting on digital government progress collected by other international organisations</w:t>
      </w:r>
      <w:r>
        <w:t xml:space="preserve"> </w:t>
      </w:r>
      <w:r>
        <w:t xml:space="preserve">(OECD, UN).</w:t>
      </w:r>
      <w:r>
        <w:t xml:space="preserve"> </w:t>
      </w:r>
      <w:r>
        <w:t xml:space="preserve">Recommendation n°17: Encourage a culture of ‘interoperable by design’ by including more</w:t>
      </w:r>
      <w:r>
        <w:t xml:space="preserve"> </w:t>
      </w:r>
      <w:r>
        <w:t xml:space="preserve">information on the digital maturity of the public sector in Europe in the annual digital public</w:t>
      </w:r>
      <w:r>
        <w:t xml:space="preserve"> </w:t>
      </w:r>
      <w:r>
        <w:t xml:space="preserve">administration factsheets.</w:t>
      </w:r>
      <w:r>
        <w:t xml:space="preserve"> </w:t>
      </w:r>
      <w:r>
        <w:t xml:space="preserve">C. Improve the coherence between EU interoperability, digital and data policies, ensure</w:t>
      </w:r>
      <w:r>
        <w:t xml:space="preserve"> </w:t>
      </w:r>
      <w:r>
        <w:t xml:space="preserve">availability of operational capacities at the EU level</w:t>
      </w:r>
      <w:r>
        <w:t xml:space="preserve"> </w:t>
      </w:r>
      <w:r>
        <w:t xml:space="preserve">The upcoming reinforced EU interoperability policy is the opportunity to bring more support</w:t>
      </w:r>
      <w:r>
        <w:t xml:space="preserve"> </w:t>
      </w:r>
      <w:r>
        <w:t xml:space="preserve">for the evolving EU data policy landscape, to facilitate building, operation and inter-</w:t>
      </w:r>
      <w:r>
        <w:t xml:space="preserve"> </w:t>
      </w:r>
      <w:r>
        <w:t xml:space="preserve">connection of data spaces.</w:t>
      </w:r>
      <w:r>
        <w:br/>
      </w:r>
      <w:r>
        <w:t xml:space="preserve">Recommendation n°18: Provide guidance on interoperability of data through:</w:t>
      </w:r>
      <w:r>
        <w:t xml:space="preserve"> </w:t>
      </w:r>
      <w:r>
        <w:t xml:space="preserve"> The creation, maintenance and promotion of technical specifications on semantic</w:t>
      </w:r>
      <w:r>
        <w:t xml:space="preserve"> </w:t>
      </w:r>
      <w:r>
        <w:t xml:space="preserve">interoperability to facilitate the sharing and re-use of data, taking into account EU</w:t>
      </w:r>
      <w:r>
        <w:t xml:space="preserve"> </w:t>
      </w:r>
      <w:r>
        <w:t xml:space="preserve">values and diversity;</w:t>
      </w:r>
      <w:r>
        <w:t xml:space="preserve"> </w:t>
      </w:r>
      <w:r>
        <w:t xml:space="preserve"> Supporting data use and experimentation, in particular cross sector and cross border,</w:t>
      </w:r>
      <w:r>
        <w:t xml:space="preserve"> </w:t>
      </w:r>
      <w:r>
        <w:t xml:space="preserve">by liaising with relevant data governance bodies.</w:t>
      </w:r>
      <w:r>
        <w:br/>
      </w:r>
      <w:r>
        <w:t xml:space="preserve">A fully interoperable Europe can only be achieved with the political willingness and the</w:t>
      </w:r>
      <w:r>
        <w:t xml:space="preserve"> </w:t>
      </w:r>
      <w:r>
        <w:t xml:space="preserve">operational capacity to execute it. This needs a well-designed organisational set-up that</w:t>
      </w:r>
      <w:r>
        <w:t xml:space="preserve"> </w:t>
      </w:r>
      <w:r>
        <w:t xml:space="preserve">fosters cooperation and coordination across sectors and across borders. Therefore, a</w:t>
      </w:r>
      <w:r>
        <w:t xml:space="preserve"> </w:t>
      </w:r>
      <w:r>
        <w:t xml:space="preserve">reinforced governance structure must be supported by the European Commission with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dedicated multidisciplinary teams and the adequate resources to support Member States in the</w:t>
      </w:r>
      <w:r>
        <w:t xml:space="preserve"> </w:t>
      </w:r>
      <w:r>
        <w:t xml:space="preserve">implementation of interoperability.</w:t>
      </w:r>
      <w:r>
        <w:t xml:space="preserve"> </w:t>
      </w:r>
      <w:r>
        <w:t xml:space="preserve">Recommendation n°19: The European Commission services should reduce internal friction</w:t>
      </w:r>
      <w:r>
        <w:t xml:space="preserve"> </w:t>
      </w:r>
      <w:r>
        <w:t xml:space="preserve">and improve the way they cooperate on the design and implementation of policies that have</w:t>
      </w:r>
      <w:r>
        <w:t xml:space="preserve"> </w:t>
      </w:r>
      <w:r>
        <w:t xml:space="preserve">an impact on digital transformation of the public sector.</w:t>
      </w:r>
      <w:r>
        <w:br/>
      </w:r>
      <w:r>
        <w:t xml:space="preserve">Recommendation n°20: The European Commission services responsible for public sector</w:t>
      </w:r>
      <w:r>
        <w:t xml:space="preserve"> </w:t>
      </w:r>
      <w:r>
        <w:t xml:space="preserve">interoperability should guarantee an effective support of the EU Interoperability Governance.</w:t>
      </w:r>
      <w:r>
        <w:t xml:space="preserve"> </w:t>
      </w:r>
      <w:r>
        <w:t xml:space="preserve">Chapter III: Upgrade the current EU interoperable solutions offering</w:t>
      </w:r>
      <w:r>
        <w:t xml:space="preserve"> </w:t>
      </w:r>
      <w:r>
        <w:t xml:space="preserve">The European Commission has been providing interoperability solutions and technical</w:t>
      </w:r>
      <w:r>
        <w:t xml:space="preserve"> </w:t>
      </w:r>
      <w:r>
        <w:t xml:space="preserve">specifications for over twenty years, under the CEF-Digital and ISA² programmes (and their</w:t>
      </w:r>
      <w:r>
        <w:t xml:space="preserve"> </w:t>
      </w:r>
      <w:r>
        <w:t xml:space="preserve">predecessors). While these products have brought added value to the Member States, we call</w:t>
      </w:r>
      <w:r>
        <w:t xml:space="preserve"> </w:t>
      </w:r>
      <w:r>
        <w:t xml:space="preserve">on the European Commission to improve the governance and offer of EU interoperability</w:t>
      </w:r>
      <w:r>
        <w:t xml:space="preserve"> </w:t>
      </w:r>
      <w:r>
        <w:t xml:space="preserve">solutions and technical specifications. Member States should be more closely involved in</w:t>
      </w:r>
      <w:r>
        <w:t xml:space="preserve"> </w:t>
      </w:r>
      <w:r>
        <w:t xml:space="preserve">planning and priority setting for solutions developed at the EU level (e.g. co-decide on which</w:t>
      </w:r>
      <w:r>
        <w:t xml:space="preserve"> </w:t>
      </w:r>
      <w:r>
        <w:t xml:space="preserve">former ‘building block’ or ISA² solution should be adapted, improved or removed, etc.).</w:t>
      </w:r>
      <w:r>
        <w:t xml:space="preserve"> </w:t>
      </w:r>
      <w:r>
        <w:t xml:space="preserve">Three actions are proposed to foster the development and uptake of interoperability solutions:</w:t>
      </w:r>
      <w:r>
        <w:t xml:space="preserve"> </w:t>
      </w:r>
      <w:r>
        <w:t xml:space="preserve">set up a catalogue of key interoperability solutions and open standards (A), support the</w:t>
      </w:r>
      <w:r>
        <w:t xml:space="preserve"> </w:t>
      </w:r>
      <w:r>
        <w:t xml:space="preserve">development of an open source ecosystem for the public sector (B) and provide adequate</w:t>
      </w:r>
      <w:r>
        <w:t xml:space="preserve"> </w:t>
      </w:r>
      <w:r>
        <w:t xml:space="preserve">funding to deliver better interoperability solutions (C).</w:t>
      </w:r>
      <w:r>
        <w:t xml:space="preserve"> </w:t>
      </w:r>
      <w:r>
        <w:t xml:space="preserve">A. Enrich the EU catalogue of interoperability solutions and open standards</w:t>
      </w:r>
      <w:r>
        <w:t xml:space="preserve"> </w:t>
      </w:r>
      <w:r>
        <w:t xml:space="preserve">EU public administrations need a federalised, one-stop-shop of interoperable solutions,</w:t>
      </w:r>
      <w:r>
        <w:t xml:space="preserve"> </w:t>
      </w:r>
      <w:r>
        <w:t xml:space="preserve">technical specifications and open standards, where they could easily find free-to-use products</w:t>
      </w:r>
      <w:r>
        <w:t xml:space="preserve"> </w:t>
      </w:r>
      <w:r>
        <w:t xml:space="preserve">provided by European public administrations or other stakeholders. Such a catalogue could</w:t>
      </w:r>
      <w:r>
        <w:t xml:space="preserve"> </w:t>
      </w:r>
      <w:r>
        <w:t xml:space="preserve">help EU public administrations save time and resources.</w:t>
      </w:r>
      <w:r>
        <w:t xml:space="preserve"> </w:t>
      </w:r>
      <w:r>
        <w:t xml:space="preserve">The European Commission has been developing such a catalogue, however it is not</w:t>
      </w:r>
      <w:r>
        <w:t xml:space="preserve"> </w:t>
      </w:r>
      <w:r>
        <w:t xml:space="preserve">systematically used by public administrations and its content should be enriched.</w:t>
      </w:r>
      <w:r>
        <w:t xml:space="preserve"> </w:t>
      </w:r>
      <w:r>
        <w:t xml:space="preserve">Recommendation n°21: Encourage EU and non-EU public administrations to consult, use</w:t>
      </w:r>
      <w:r>
        <w:t xml:space="preserve"> </w:t>
      </w:r>
      <w:r>
        <w:t xml:space="preserve">and actively participate in the JoinUp platform. Participating in these communities will not</w:t>
      </w:r>
      <w:r>
        <w:t xml:space="preserve"> </w:t>
      </w:r>
      <w:r>
        <w:t xml:space="preserve">only benefit the administrations, but also other re-users like companies and citizens.</w:t>
      </w:r>
      <w:r>
        <w:t xml:space="preserve"> </w:t>
      </w:r>
      <w:r>
        <w:t xml:space="preserve">Recommendation n°22: The European Commission should foster the transformation of this</w:t>
      </w:r>
      <w:r>
        <w:t xml:space="preserve"> </w:t>
      </w:r>
      <w:r>
        <w:t xml:space="preserve">catalogue into a federalised one-stop-shop managed by the EU Interoperability</w:t>
      </w:r>
      <w:r>
        <w:t xml:space="preserve"> </w:t>
      </w:r>
      <w:r>
        <w:t xml:space="preserve">Governance. Its content should be based on:</w:t>
      </w:r>
      <w:r>
        <w:t xml:space="preserve"> </w:t>
      </w:r>
      <w:r>
        <w:t xml:space="preserve">(a) A systematic collection of Member States’, agencies’ and local administrations’</w:t>
      </w:r>
      <w:r>
        <w:t xml:space="preserve"> </w:t>
      </w:r>
      <w:r>
        <w:t xml:space="preserve">assessments, to keep the catalogue up to date with actual needs</w:t>
      </w:r>
      <w:r>
        <w:br/>
      </w:r>
      <w:r>
        <w:t xml:space="preserve">(b) A thorough process (e.g. proportion of reusability in a minimum of Member States,</w:t>
      </w:r>
      <w:r>
        <w:t xml:space="preserve"> </w:t>
      </w:r>
      <w:r>
        <w:t xml:space="preserve">Open Source, sustainability, ‘future-proofness’, security, privacy etc.).</w:t>
      </w:r>
      <w:r>
        <w:t xml:space="preserve"> </w:t>
      </w:r>
      <w:r>
        <w:t xml:space="preserve">B. Make the best use of Open Source products for the common good</w:t>
      </w:r>
      <w:r>
        <w:t xml:space="preserve"> </w:t>
      </w:r>
      <w:r>
        <w:t xml:space="preserve">A recent study showed that Open Source Software and infrastructure are key for the digital</w:t>
      </w:r>
      <w:r>
        <w:t xml:space="preserve"> </w:t>
      </w:r>
      <w:r>
        <w:t xml:space="preserve">transformation of the public sector and can be a major boost to the EU’s GDP. A future</w:t>
      </w:r>
      <w:r>
        <w:t xml:space="preserve"> </w:t>
      </w:r>
      <w:r>
        <w:t xml:space="preserve">interoperability policy should be the occasion to support open source functions in public</w:t>
      </w:r>
      <w:r>
        <w:t xml:space="preserve"> </w:t>
      </w:r>
      <w:r>
        <w:t xml:space="preserve">administrations, the use of open source products to provide public value and foster the</w:t>
      </w:r>
      <w:r>
        <w:t xml:space="preserve"> </w:t>
      </w:r>
      <w:r>
        <w:t xml:space="preserve">participation of EU public administration in the open source communities.</w:t>
      </w:r>
      <w:r>
        <w:t xml:space="preserve"> </w:t>
      </w:r>
      <w:r>
        <w:t xml:space="preserve">Recommendation n°23: Better support Open Source Software as a means to foster EU digital</w:t>
      </w:r>
      <w:r>
        <w:t xml:space="preserve"> </w:t>
      </w:r>
      <w:r>
        <w:t xml:space="preserve">sovereignty and prevent vendor lock-in situations, for example by encouraging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administrations to actively participate in existing international communities working on open</w:t>
      </w:r>
      <w:r>
        <w:t xml:space="preserve"> </w:t>
      </w:r>
      <w:r>
        <w:t xml:space="preserve">source projects and open specifications;</w:t>
      </w:r>
      <w:r>
        <w:t xml:space="preserve"> </w:t>
      </w:r>
      <w:r>
        <w:t xml:space="preserve">Recommendation n°24: Provide a catalogue of Open Source solutions for the public sector.</w:t>
      </w:r>
      <w:r>
        <w:t xml:space="preserve"> </w:t>
      </w:r>
      <w:r>
        <w:t xml:space="preserve">Such catalogue should be integrated in the catalogue of interoperability solutions and open</w:t>
      </w:r>
      <w:r>
        <w:t xml:space="preserve"> </w:t>
      </w:r>
      <w:r>
        <w:t xml:space="preserve">standards.</w:t>
      </w:r>
      <w:r>
        <w:t xml:space="preserve"> </w:t>
      </w:r>
      <w:r>
        <w:t xml:space="preserve">C. Provide adequate funding to deliver better interoperability solutions</w:t>
      </w:r>
      <w:r>
        <w:t xml:space="preserve"> </w:t>
      </w:r>
      <w:r>
        <w:t xml:space="preserve">IT solutions are often developed based on the ad-hoc needs of the requesting sector but would</w:t>
      </w:r>
      <w:r>
        <w:t xml:space="preserve"> </w:t>
      </w:r>
      <w:r>
        <w:t xml:space="preserve">benefit from a shared commitment across countries or sector. The EU should look into ways</w:t>
      </w:r>
      <w:r>
        <w:t xml:space="preserve"> </w:t>
      </w:r>
      <w:r>
        <w:t xml:space="preserve">to ensure funding for interoperability solutions by creating more incentives to ensure</w:t>
      </w:r>
      <w:r>
        <w:t xml:space="preserve"> </w:t>
      </w:r>
      <w:r>
        <w:t xml:space="preserve">interoperability when spending public money for the purpose of digital transformation of the</w:t>
      </w:r>
      <w:r>
        <w:t xml:space="preserve"> </w:t>
      </w:r>
      <w:r>
        <w:t xml:space="preserve">public sector.</w:t>
      </w:r>
      <w:r>
        <w:t xml:space="preserve"> </w:t>
      </w:r>
      <w:r>
        <w:t xml:space="preserve">Existing EU funding opportunities for interoperability projects are not always aligned and are</w:t>
      </w:r>
      <w:r>
        <w:t xml:space="preserve"> </w:t>
      </w:r>
      <w:r>
        <w:t xml:space="preserve">complex for Member States to navigate.</w:t>
      </w:r>
      <w:r>
        <w:t xml:space="preserve"> </w:t>
      </w:r>
      <w:r>
        <w:t xml:space="preserve">Recommendation n°25: Mandate the EU Interoperability Governance to issue opinions on</w:t>
      </w:r>
      <w:r>
        <w:t xml:space="preserve"> </w:t>
      </w:r>
      <w:r>
        <w:t xml:space="preserve">funding priorities (e.g. for Digital Europe Programme, building on former ISA² committee</w:t>
      </w:r>
      <w:r>
        <w:t xml:space="preserve"> </w:t>
      </w:r>
      <w:r>
        <w:t xml:space="preserve">practice).</w:t>
      </w:r>
      <w:r>
        <w:t xml:space="preserve"> </w:t>
      </w:r>
      <w:r>
        <w:t xml:space="preserve">Recommendation n°26: Publish regular guidance on the relevant European funding</w:t>
      </w:r>
      <w:r>
        <w:t xml:space="preserve"> </w:t>
      </w:r>
      <w:r>
        <w:t xml:space="preserve">available to promote interoperability in the scope of the digital transformation of European</w:t>
      </w:r>
      <w:r>
        <w:t xml:space="preserve"> </w:t>
      </w:r>
      <w:r>
        <w:t xml:space="preserve">public administrations.</w:t>
      </w:r>
      <w:r>
        <w:t xml:space="preserve"> </w:t>
      </w:r>
      <w:r>
        <w:t xml:space="preserve">Recommendation n°27: Ensure that EU funding for the digital transformation of public</w:t>
      </w:r>
      <w:r>
        <w:t xml:space="preserve"> </w:t>
      </w:r>
      <w:r>
        <w:t xml:space="preserve">sector is guaranteed to produce solutions that are interoperable by default.</w:t>
      </w:r>
      <w:r>
        <w:t xml:space="preserve"> </w:t>
      </w:r>
      <w:r>
        <w:t xml:space="preserve">Annex VI Political and policy context</w:t>
      </w:r>
      <w:r>
        <w:t xml:space="preserve"> </w:t>
      </w:r>
      <w:r>
        <w:t xml:space="preserve">Table 13. Overview relevant political statements of the last years</w:t>
      </w:r>
      <w:r>
        <w:t xml:space="preserve"> </w:t>
      </w:r>
      <w:r>
        <w:t xml:space="preserve">EC Council Conclusions</w:t>
      </w:r>
      <w:r>
        <w:t xml:space="preserve"> </w:t>
      </w:r>
      <w:r>
        <w:t xml:space="preserve">European</w:t>
      </w:r>
      <w:r>
        <w:t xml:space="preserve"> </w:t>
      </w:r>
      <w:r>
        <w:t xml:space="preserve">Council</w:t>
      </w:r>
      <w:r>
        <w:t xml:space="preserve"> </w:t>
      </w:r>
      <w:r>
        <w:t xml:space="preserve">conclusions</w:t>
      </w:r>
      <w:r>
        <w:t xml:space="preserve"> </w:t>
      </w:r>
      <w:r>
        <w:t xml:space="preserve">of</w:t>
      </w:r>
      <w:r>
        <w:t xml:space="preserve"> </w:t>
      </w:r>
      <w:r>
        <w:t xml:space="preserve">October</w:t>
      </w:r>
      <w:r>
        <w:t xml:space="preserve"> </w:t>
      </w:r>
      <w:r>
        <w:t xml:space="preserve">2021</w:t>
      </w:r>
      <w:r>
        <w:t xml:space="preserve"> </w:t>
      </w:r>
      <w:r>
        <w:t xml:space="preserve">(EUCO 17/21)</w:t>
      </w:r>
      <w:r>
        <w:t xml:space="preserve"> </w:t>
      </w:r>
      <w:r>
        <w:t xml:space="preserve">In October 2021 the European Council stressed the importance of</w:t>
      </w:r>
      <w:r>
        <w:t xml:space="preserve"> </w:t>
      </w:r>
      <w:r>
        <w:t xml:space="preserve">‘unlocking the value of data in Europe, notably through a</w:t>
      </w:r>
      <w:r>
        <w:t xml:space="preserve"> </w:t>
      </w:r>
      <w:r>
        <w:t xml:space="preserve">comprehensive regulatory framework that is conducive to innovation</w:t>
      </w:r>
      <w:r>
        <w:t xml:space="preserve"> </w:t>
      </w:r>
      <w:r>
        <w:t xml:space="preserve">and facilitates better data portability, fair access to data and ensures</w:t>
      </w:r>
      <w:r>
        <w:t xml:space="preserve"> </w:t>
      </w:r>
      <w:r>
        <w:t xml:space="preserve">interoperability’</w:t>
      </w:r>
      <w:r>
        <w:t xml:space="preserve"> </w:t>
      </w:r>
      <w:r>
        <w:t xml:space="preserve">Policy Objectives</w:t>
      </w:r>
      <w:r>
        <w:t xml:space="preserve"> </w:t>
      </w:r>
      <w:r>
        <w:t xml:space="preserve">and Priorities for</w:t>
      </w:r>
      <w:r>
        <w:t xml:space="preserve"> </w:t>
      </w:r>
      <w:r>
        <w:t xml:space="preserve">2020-2024 (2021/C</w:t>
      </w:r>
      <w:r>
        <w:t xml:space="preserve"> </w:t>
      </w:r>
      <w:r>
        <w:t xml:space="preserve">18 I/02)</w:t>
      </w:r>
      <w:r>
        <w:t xml:space="preserve"> </w:t>
      </w:r>
      <w:r>
        <w:t xml:space="preserve">‘The COVID-19 crisis has accelerated hyper-connectivity and the</w:t>
      </w:r>
      <w:r>
        <w:t xml:space="preserve"> </w:t>
      </w:r>
      <w:r>
        <w:t xml:space="preserve">integration of new technologies that shape the way we live and</w:t>
      </w:r>
      <w:r>
        <w:t xml:space="preserve"> </w:t>
      </w:r>
      <w:r>
        <w:t xml:space="preserve">transform how we learn, work, socialise and consume. The crisis also</w:t>
      </w:r>
      <w:r>
        <w:t xml:space="preserve"> </w:t>
      </w:r>
      <w:r>
        <w:t xml:space="preserve">exposed the vulnerabilities Europe is facing - ranging from cyber</w:t>
      </w:r>
      <w:r>
        <w:t xml:space="preserve"> </w:t>
      </w:r>
      <w:r>
        <w:t xml:space="preserve">security to capacity issues and insufficient broadband infrastructure in</w:t>
      </w:r>
      <w:r>
        <w:t xml:space="preserve"> </w:t>
      </w:r>
      <w:r>
        <w:t xml:space="preserve">many regions. To bolster our place in the global economy and defend</w:t>
      </w:r>
      <w:r>
        <w:t xml:space="preserve"> </w:t>
      </w:r>
      <w:r>
        <w:t xml:space="preserve">our values, we will shape our own digital solutions and establish</w:t>
      </w:r>
      <w:r>
        <w:t xml:space="preserve"> </w:t>
      </w:r>
      <w:r>
        <w:t xml:space="preserve">Europe’s</w:t>
      </w:r>
      <w:r>
        <w:t xml:space="preserve"> </w:t>
      </w:r>
      <w:r>
        <w:t xml:space="preserve">digital</w:t>
      </w:r>
      <w:r>
        <w:t xml:space="preserve"> </w:t>
      </w:r>
      <w:r>
        <w:t xml:space="preserve">sovereignty.</w:t>
      </w:r>
      <w:r>
        <w:t xml:space="preserve"> </w:t>
      </w:r>
      <w:r>
        <w:t xml:space="preserve">Our</w:t>
      </w:r>
      <w:r>
        <w:t xml:space="preserve"> </w:t>
      </w:r>
      <w:r>
        <w:t xml:space="preserve">efforts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focus</w:t>
      </w:r>
      <w:r>
        <w:t xml:space="preserve"> </w:t>
      </w:r>
      <w:r>
        <w:t xml:space="preserve">simultaneously on access to and protection of data, the development</w:t>
      </w:r>
      <w:r>
        <w:t xml:space="preserve"> </w:t>
      </w:r>
      <w:r>
        <w:t xml:space="preserve">of innovative technology and upgrading our infrastructure.’</w:t>
      </w:r>
      <w:r>
        <w:t xml:space="preserve"> </w:t>
      </w:r>
      <w:r>
        <w:t xml:space="preserve">‘Shaping Europe’s</w:t>
      </w:r>
      <w:r>
        <w:t xml:space="preserve"> </w:t>
      </w:r>
      <w:r>
        <w:t xml:space="preserve">digital future’ 9 June</w:t>
      </w:r>
      <w:r>
        <w:t xml:space="preserve"> </w:t>
      </w:r>
      <w:r>
        <w:t xml:space="preserve">2020 (8711/20)</w:t>
      </w:r>
      <w:r>
        <w:t xml:space="preserve"> </w:t>
      </w:r>
      <w:r>
        <w:t xml:space="preserve">‘A swift and comprehensive digital transformation of public</w:t>
      </w:r>
      <w:r>
        <w:t xml:space="preserve"> </w:t>
      </w:r>
      <w:r>
        <w:t xml:space="preserve">administrations at all levels is an essential element of the digitalised</w:t>
      </w:r>
      <w:r>
        <w:t xml:space="preserve"> </w:t>
      </w:r>
      <w:r>
        <w:t xml:space="preserve">Single Market and the crisis recovery strategy and a driving force</w:t>
      </w:r>
      <w:r>
        <w:t xml:space="preserve"> </w:t>
      </w:r>
      <w:r>
        <w:t xml:space="preserve">for new and innovative technological solutions for public services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and societal challenges.’</w:t>
      </w:r>
      <w:r>
        <w:t xml:space="preserve"> </w:t>
      </w:r>
      <w:r>
        <w:t xml:space="preserve">The Council calls on the Commission ‘to ensure coordination and</w:t>
      </w:r>
      <w:r>
        <w:t xml:space="preserve"> </w:t>
      </w:r>
      <w:r>
        <w:t xml:space="preserve">support for the digital transformation of public administrations in</w:t>
      </w:r>
      <w:r>
        <w:t xml:space="preserve"> </w:t>
      </w:r>
      <w:r>
        <w:t xml:space="preserve">all EU Member States, including interoperability and common</w:t>
      </w:r>
      <w:r>
        <w:t xml:space="preserve"> </w:t>
      </w:r>
      <w:r>
        <w:t xml:space="preserve">standards for secure and borderless public sector data flows and</w:t>
      </w:r>
      <w:r>
        <w:t xml:space="preserve"> </w:t>
      </w:r>
      <w:r>
        <w:t xml:space="preserve">services.’</w:t>
      </w:r>
      <w:r>
        <w:t xml:space="preserve"> </w:t>
      </w:r>
      <w:r>
        <w:t xml:space="preserve">Exploring the</w:t>
      </w:r>
      <w:r>
        <w:t xml:space="preserve"> </w:t>
      </w:r>
      <w:r>
        <w:t xml:space="preserve">potential of the Joint</w:t>
      </w:r>
      <w:r>
        <w:t xml:space="preserve"> </w:t>
      </w:r>
      <w:r>
        <w:t xml:space="preserve">Cyber Unit initiative</w:t>
      </w:r>
      <w:r>
        <w:t xml:space="preserve"> </w:t>
      </w:r>
      <w:r>
        <w:t xml:space="preserve">- complementing the</w:t>
      </w:r>
      <w:r>
        <w:t xml:space="preserve"> </w:t>
      </w:r>
      <w:r>
        <w:t xml:space="preserve">EU Coordinated</w:t>
      </w:r>
      <w:r>
        <w:t xml:space="preserve"> </w:t>
      </w:r>
      <w:r>
        <w:t xml:space="preserve">Response to Large-</w:t>
      </w:r>
      <w:r>
        <w:t xml:space="preserve"> </w:t>
      </w:r>
      <w:r>
        <w:t xml:space="preserve">Scale Cybersecurity</w:t>
      </w:r>
      <w:r>
        <w:t xml:space="preserve"> </w:t>
      </w:r>
      <w:r>
        <w:t xml:space="preserve">Incidents and Crises</w:t>
      </w:r>
      <w:r>
        <w:t xml:space="preserve"> </w:t>
      </w:r>
      <w:r>
        <w:t xml:space="preserve">of 10 October 2021</w:t>
      </w:r>
      <w:r>
        <w:t xml:space="preserve"> </w:t>
      </w:r>
      <w:r>
        <w:t xml:space="preserve">(12534/21)</w:t>
      </w:r>
      <w:r>
        <w:br/>
      </w:r>
      <w:r>
        <w:t xml:space="preserve">The COVID-19 pandemic has further exposed the vulnerabilities of</w:t>
      </w:r>
      <w:r>
        <w:t xml:space="preserve"> </w:t>
      </w:r>
      <w:r>
        <w:t xml:space="preserve">our societies and the potential for damage from large-scale cyber</w:t>
      </w:r>
      <w:r>
        <w:t xml:space="preserve"> </w:t>
      </w:r>
      <w:r>
        <w:t xml:space="preserve">incidents to the economy, democracy, essential services and critical</w:t>
      </w:r>
      <w:r>
        <w:t xml:space="preserve"> </w:t>
      </w:r>
      <w:r>
        <w:t xml:space="preserve">infrastructure, most notably in the health sector. It has also increased</w:t>
      </w:r>
      <w:r>
        <w:t xml:space="preserve"> </w:t>
      </w:r>
      <w:r>
        <w:t xml:space="preserve">the importance of connectivity and society’s dependence on reliable,</w:t>
      </w:r>
      <w:r>
        <w:t xml:space="preserve"> </w:t>
      </w:r>
      <w:r>
        <w:t xml:space="preserve">trustworthy and secure network and information systems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resolution of 18</w:t>
      </w:r>
      <w:r>
        <w:t xml:space="preserve"> </w:t>
      </w:r>
      <w:r>
        <w:t xml:space="preserve">December 2019 on</w:t>
      </w:r>
      <w:r>
        <w:t xml:space="preserve"> </w:t>
      </w:r>
      <w:r>
        <w:t xml:space="preserve">enabling the digital</w:t>
      </w:r>
      <w:r>
        <w:t xml:space="preserve"> </w:t>
      </w:r>
      <w:r>
        <w:t xml:space="preserve">transformation of</w:t>
      </w:r>
      <w:r>
        <w:t xml:space="preserve"> </w:t>
      </w:r>
      <w:r>
        <w:t xml:space="preserve">health and care in</w:t>
      </w:r>
      <w:r>
        <w:t xml:space="preserve"> </w:t>
      </w:r>
      <w:r>
        <w:t xml:space="preserve">the Digital Single</w:t>
      </w:r>
      <w:r>
        <w:t xml:space="preserve"> </w:t>
      </w:r>
      <w:r>
        <w:t xml:space="preserve">Market; empowering</w:t>
      </w:r>
      <w:r>
        <w:t xml:space="preserve"> </w:t>
      </w:r>
      <w:r>
        <w:t xml:space="preserve">citizens and building</w:t>
      </w:r>
      <w:r>
        <w:t xml:space="preserve"> </w:t>
      </w:r>
      <w:r>
        <w:t xml:space="preserve">a healthier society</w:t>
      </w:r>
      <w:r>
        <w:t xml:space="preserve"> </w:t>
      </w:r>
      <w:r>
        <w:t xml:space="preserve">(2019/2804(RSP))</w:t>
      </w:r>
      <w:r>
        <w:t xml:space="preserve"> </w:t>
      </w:r>
      <w:r>
        <w:t xml:space="preserve">‘whereas, owing to the lack of interoperability and market</w:t>
      </w:r>
      <w:r>
        <w:t xml:space="preserve"> </w:t>
      </w:r>
      <w:r>
        <w:t xml:space="preserve">fragmentation across health systems, citizens cannot yet fully benefit</w:t>
      </w:r>
      <w:r>
        <w:t xml:space="preserve"> </w:t>
      </w:r>
      <w:r>
        <w:t xml:space="preserve">from the digital single market;’</w:t>
      </w:r>
      <w:r>
        <w:t xml:space="preserve"> </w:t>
      </w:r>
      <w:r>
        <w:t xml:space="preserve">20. Calls on Member States’ health authorities to make use of EU</w:t>
      </w:r>
      <w:r>
        <w:t xml:space="preserve"> </w:t>
      </w:r>
      <w:r>
        <w:t xml:space="preserve">financing instruments, such as the European Structural and</w:t>
      </w:r>
      <w:r>
        <w:t xml:space="preserve"> </w:t>
      </w:r>
      <w:r>
        <w:t xml:space="preserve">Investment Funds and the European Fund for Strategic Investments,</w:t>
      </w:r>
      <w:r>
        <w:t xml:space="preserve"> </w:t>
      </w:r>
      <w:r>
        <w:t xml:space="preserve">for the deployment of interoperable electronic health records at</w:t>
      </w:r>
      <w:r>
        <w:t xml:space="preserve"> </w:t>
      </w:r>
      <w:r>
        <w:t xml:space="preserve">national and regional level, which will enable citizens to access their</w:t>
      </w:r>
      <w:r>
        <w:t xml:space="preserve"> </w:t>
      </w:r>
      <w:r>
        <w:t xml:space="preserve">personal health data, and for investment in building solid and more</w:t>
      </w:r>
      <w:r>
        <w:t xml:space="preserve"> </w:t>
      </w:r>
      <w:r>
        <w:t xml:space="preserve">reliable infrastructure which supports the digital transformation, and</w:t>
      </w:r>
      <w:r>
        <w:t xml:space="preserve"> </w:t>
      </w:r>
      <w:r>
        <w:t xml:space="preserve">helps to reduce the digital divide between all Member States;</w:t>
      </w:r>
      <w:r>
        <w:t xml:space="preserve"> </w:t>
      </w:r>
      <w:r>
        <w:t xml:space="preserve">31. Is of the opinion that ensuring a fit-for-purpose regulatory</w:t>
      </w:r>
      <w:r>
        <w:t xml:space="preserve"> </w:t>
      </w:r>
      <w:r>
        <w:t xml:space="preserve">environment is a key element in protecting public health and</w:t>
      </w:r>
      <w:r>
        <w:t xml:space="preserve"> </w:t>
      </w:r>
      <w:r>
        <w:t xml:space="preserve">providing access to high quality medicines; is also of the opinion that</w:t>
      </w:r>
      <w:r>
        <w:t xml:space="preserve"> </w:t>
      </w:r>
      <w:r>
        <w:t xml:space="preserve">the effective use of IT systems will improve regulatory efficiency</w:t>
      </w:r>
      <w:r>
        <w:t xml:space="preserve"> </w:t>
      </w:r>
      <w:r>
        <w:t xml:space="preserve">across Europe; urges the Commission, therefore, to optimise the</w:t>
      </w:r>
      <w:r>
        <w:t xml:space="preserve"> </w:t>
      </w:r>
      <w:r>
        <w:t xml:space="preserve">European regulatory framework by harmonising regulatory</w:t>
      </w:r>
      <w:r>
        <w:t xml:space="preserve"> </w:t>
      </w:r>
      <w:r>
        <w:t xml:space="preserve">telematics projects with a focus on data quality, interoperability</w:t>
      </w:r>
      <w:r>
        <w:t xml:space="preserve"> </w:t>
      </w:r>
      <w:r>
        <w:t xml:space="preserve">and the interdependency of the European regulatory framework;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resolution of 25</w:t>
      </w:r>
      <w:r>
        <w:t xml:space="preserve"> </w:t>
      </w:r>
      <w:r>
        <w:t xml:space="preserve">March 2021 on a</w:t>
      </w:r>
      <w:r>
        <w:t xml:space="preserve"> </w:t>
      </w:r>
      <w:r>
        <w:t xml:space="preserve">European strategy</w:t>
      </w:r>
      <w:r>
        <w:t xml:space="preserve"> </w:t>
      </w:r>
      <w:r>
        <w:t xml:space="preserve">for data</w:t>
      </w:r>
      <w:r>
        <w:t xml:space="preserve"> </w:t>
      </w:r>
      <w:r>
        <w:t xml:space="preserve">(2020/2217(INI)).</w:t>
      </w:r>
      <w:r>
        <w:t xml:space="preserve"> </w:t>
      </w:r>
      <w:r>
        <w:t xml:space="preserve">‘C. whereas the EU requires the availability of interoperable,</w:t>
      </w:r>
      <w:r>
        <w:t xml:space="preserve"> </w:t>
      </w:r>
      <w:r>
        <w:t xml:space="preserve">flexible, scalable and reliable IT architecture that is capable of</w:t>
      </w:r>
      <w:r>
        <w:t xml:space="preserve"> </w:t>
      </w:r>
      <w:r>
        <w:t xml:space="preserve">supporting the most innovative applications; whereas artificial</w:t>
      </w:r>
      <w:r>
        <w:t xml:space="preserve"> </w:t>
      </w:r>
      <w:r>
        <w:t xml:space="preserve">intelligence (AI) is one of the strategic technologies for the 21st</w:t>
      </w:r>
      <w:r>
        <w:t xml:space="preserve"> </w:t>
      </w:r>
      <w:r>
        <w:t xml:space="preserve">century, both globally and in Europe; whereas adequate infrastructure</w:t>
      </w:r>
      <w:r>
        <w:t xml:space="preserve"> </w:t>
      </w:r>
      <w:r>
        <w:t xml:space="preserve">is also required in the EU, notably high-performance hardware to run</w:t>
      </w:r>
      <w:r>
        <w:t xml:space="preserve"> </w:t>
      </w:r>
      <w:r>
        <w:t xml:space="preserve">applications and store data;</w:t>
      </w:r>
      <w:r>
        <w:t xml:space="preserve"> </w:t>
      </w:r>
      <w:r>
        <w:t xml:space="preserve">J. whereas cloud markets (i.e. Infrastructure, Platform and Software as</w:t>
      </w:r>
      <w:r>
        <w:t xml:space="preserve"> </w:t>
      </w:r>
      <w:r>
        <w:t xml:space="preserve">a Service – IaaS, PaaS and SaaS) are characterised by a high degree of</w:t>
      </w:r>
      <w:r>
        <w:t xml:space="preserve"> </w:t>
      </w:r>
      <w:r>
        <w:t xml:space="preserve">market concentration, which may put start-ups, SMEs and other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European actors at a competitive disadvantage in the data economy;</w:t>
      </w:r>
      <w:r>
        <w:t xml:space="preserve"> </w:t>
      </w:r>
      <w:r>
        <w:t xml:space="preserve">whereas the Commission should ensure competitive markets through</w:t>
      </w:r>
      <w:r>
        <w:t xml:space="preserve"> </w:t>
      </w:r>
      <w:r>
        <w:t xml:space="preserve">interoperability, portability and open infrastructures, and remain</w:t>
      </w:r>
      <w:r>
        <w:t xml:space="preserve"> </w:t>
      </w:r>
      <w:r>
        <w:t xml:space="preserve">vigilant about any potential abuses of market power by dominant</w:t>
      </w:r>
      <w:r>
        <w:t xml:space="preserve"> </w:t>
      </w:r>
      <w:r>
        <w:t xml:space="preserve">actors;</w:t>
      </w:r>
      <w:r>
        <w:t xml:space="preserve"> </w:t>
      </w:r>
      <w:r>
        <w:t xml:space="preserve">2. Notes that the COVID-19 crisis has highlighted the role of and need</w:t>
      </w:r>
      <w:r>
        <w:t xml:space="preserve"> </w:t>
      </w:r>
      <w:r>
        <w:t xml:space="preserve">for high-quality, real-time databases, information and data sharing, as</w:t>
      </w:r>
      <w:r>
        <w:t xml:space="preserve"> </w:t>
      </w:r>
      <w:r>
        <w:t xml:space="preserve">well as shortcomings in the infrastructure and interoperability of</w:t>
      </w:r>
      <w:r>
        <w:t xml:space="preserve"> </w:t>
      </w:r>
      <w:r>
        <w:t xml:space="preserve">solutions across Member States; stresses the impact of the digital</w:t>
      </w:r>
      <w:r>
        <w:t xml:space="preserve"> </w:t>
      </w:r>
      <w:r>
        <w:t xml:space="preserve">transformation and the availability of a wide range of technologies on</w:t>
      </w:r>
      <w:r>
        <w:t xml:space="preserve"> </w:t>
      </w:r>
      <w:r>
        <w:t xml:space="preserve">the Union’s economy and society;</w:t>
      </w:r>
      <w:r>
        <w:t xml:space="preserve"> </w:t>
      </w:r>
      <w:r>
        <w:t xml:space="preserve">3. Underlines that future data legislation must be designed to facilitate</w:t>
      </w:r>
      <w:r>
        <w:t xml:space="preserve"> </w:t>
      </w:r>
      <w:r>
        <w:t xml:space="preserve">technological development, innovation, data access, interoperability</w:t>
      </w:r>
      <w:r>
        <w:t xml:space="preserve"> </w:t>
      </w:r>
      <w:r>
        <w:t xml:space="preserve">and cross-border data portability; urges the Commission, in this</w:t>
      </w:r>
      <w:r>
        <w:t xml:space="preserve"> </w:t>
      </w:r>
      <w:r>
        <w:t xml:space="preserve">respect, to carry out an evaluation and mapping of the existing</w:t>
      </w:r>
      <w:r>
        <w:t xml:space="preserve"> </w:t>
      </w:r>
      <w:r>
        <w:t xml:space="preserve">legislation in order to assess what adjustments and additional</w:t>
      </w:r>
      <w:r>
        <w:t xml:space="preserve"> </w:t>
      </w:r>
      <w:r>
        <w:t xml:space="preserve">requirements are needed to support the data society and economy</w:t>
      </w:r>
      <w:r>
        <w:t xml:space="preserve"> </w:t>
      </w:r>
      <w:r>
        <w:t xml:space="preserve">and safeguard fair competition and legal clarity for all the</w:t>
      </w:r>
      <w:r>
        <w:t xml:space="preserve"> </w:t>
      </w:r>
      <w:r>
        <w:t xml:space="preserve">relevant actors; calls for the Union to be a leader in establishing an</w:t>
      </w:r>
      <w:r>
        <w:t xml:space="preserve"> </w:t>
      </w:r>
      <w:r>
        <w:t xml:space="preserve">international framework for data, while respecting international rules;</w:t>
      </w:r>
      <w:r>
        <w:t xml:space="preserve"> </w:t>
      </w:r>
      <w:r>
        <w:t xml:space="preserve">13. Stresses that the increasing volume, development, sharing, storage</w:t>
      </w:r>
      <w:r>
        <w:t xml:space="preserve"> </w:t>
      </w:r>
      <w:r>
        <w:t xml:space="preserve">and processing of industrial and public data in the Union is a source</w:t>
      </w:r>
      <w:r>
        <w:t xml:space="preserve"> </w:t>
      </w:r>
      <w:r>
        <w:t xml:space="preserve">of sustainable growth and innovation that should be tapped into,</w:t>
      </w:r>
      <w:r>
        <w:t xml:space="preserve"> </w:t>
      </w:r>
      <w:r>
        <w:t xml:space="preserve">in compliance with Union and Member States’ laws such as data</w:t>
      </w:r>
      <w:r>
        <w:t xml:space="preserve"> </w:t>
      </w:r>
      <w:r>
        <w:t xml:space="preserve">protection, competition law and IPR; notes that data is becoming</w:t>
      </w:r>
      <w:r>
        <w:t xml:space="preserve"> </w:t>
      </w:r>
      <w:r>
        <w:t xml:space="preserve">increasingly valued by the market; believes that economic growth can</w:t>
      </w:r>
      <w:r>
        <w:t xml:space="preserve"> </w:t>
      </w:r>
      <w:r>
        <w:t xml:space="preserve">be secured by ensuring a level playing field and a competitive, multi-</w:t>
      </w:r>
      <w:r>
        <w:t xml:space="preserve"> </w:t>
      </w:r>
      <w:r>
        <w:t xml:space="preserve">player and fair market economy, while ensuring interoperability and</w:t>
      </w:r>
      <w:r>
        <w:t xml:space="preserve"> </w:t>
      </w:r>
      <w:r>
        <w:t xml:space="preserve">access to data for actors of all sizes, in order to counter the market</w:t>
      </w:r>
      <w:r>
        <w:t xml:space="preserve"> </w:t>
      </w:r>
      <w:r>
        <w:t xml:space="preserve">imbalances;’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resolution of 20 May</w:t>
      </w:r>
      <w:r>
        <w:t xml:space="preserve"> </w:t>
      </w:r>
      <w:r>
        <w:t xml:space="preserve">2021 on shaping the</w:t>
      </w:r>
      <w:r>
        <w:t xml:space="preserve"> </w:t>
      </w:r>
      <w:r>
        <w:t xml:space="preserve">digital future of</w:t>
      </w:r>
      <w:r>
        <w:t xml:space="preserve"> </w:t>
      </w:r>
      <w:r>
        <w:t xml:space="preserve">Europe: removing</w:t>
      </w:r>
      <w:r>
        <w:t xml:space="preserve"> </w:t>
      </w:r>
      <w:r>
        <w:t xml:space="preserve">barriers to the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digital single market</w:t>
      </w:r>
      <w:r>
        <w:t xml:space="preserve"> </w:t>
      </w:r>
      <w:r>
        <w:t xml:space="preserve">and improving the</w:t>
      </w:r>
      <w:r>
        <w:t xml:space="preserve"> </w:t>
      </w:r>
      <w:r>
        <w:t xml:space="preserve">use of AI for</w:t>
      </w:r>
      <w:r>
        <w:t xml:space="preserve"> </w:t>
      </w:r>
      <w:r>
        <w:t xml:space="preserve">European consumers</w:t>
      </w:r>
      <w:r>
        <w:t xml:space="preserve"> </w:t>
      </w:r>
      <w:r>
        <w:t xml:space="preserve">(2020/2216(INI))</w:t>
      </w:r>
      <w:r>
        <w:t xml:space="preserve"> </w:t>
      </w:r>
      <w:r>
        <w:t xml:space="preserve">‘1. Believes the EU’s digital policy should create and support the key</w:t>
      </w:r>
      <w:r>
        <w:t xml:space="preserve"> </w:t>
      </w:r>
      <w:r>
        <w:t xml:space="preserve">foundations needed for the European public and private sectors to be</w:t>
      </w:r>
      <w:r>
        <w:t xml:space="preserve"> </w:t>
      </w:r>
      <w:r>
        <w:t xml:space="preserve">world leaders in trustworthy, human-centric digital innovation;</w:t>
      </w:r>
      <w:r>
        <w:t xml:space="preserve"> </w:t>
      </w:r>
      <w:r>
        <w:t xml:space="preserve">considers that the digital single market is one such foundation and is</w:t>
      </w:r>
      <w:r>
        <w:t xml:space="preserve"> </w:t>
      </w:r>
      <w:r>
        <w:t xml:space="preserve">about ensuring the full potential of new technologies by removing</w:t>
      </w:r>
      <w:r>
        <w:t xml:space="preserve"> </w:t>
      </w:r>
      <w:r>
        <w:t xml:space="preserve">unjustified national barriers, by establishing legal clarity for</w:t>
      </w:r>
      <w:r>
        <w:t xml:space="preserve"> </w:t>
      </w:r>
      <w:r>
        <w:t xml:space="preserve">consumers and businesses, benefiting for European citizens and</w:t>
      </w:r>
      <w:r>
        <w:t xml:space="preserve"> </w:t>
      </w:r>
      <w:r>
        <w:t xml:space="preserve">strengthening competition; believes that having a better organised and</w:t>
      </w:r>
      <w:r>
        <w:t xml:space="preserve"> </w:t>
      </w:r>
      <w:r>
        <w:t xml:space="preserve">common European approach for market integration and harmonisation</w:t>
      </w:r>
      <w:r>
        <w:t xml:space="preserve"> </w:t>
      </w:r>
      <w:r>
        <w:t xml:space="preserve">can contribute to that result; believes that further actions are needed at</w:t>
      </w:r>
      <w:r>
        <w:t xml:space="preserve"> </w:t>
      </w:r>
      <w:r>
        <w:t xml:space="preserve">both Member State and EU level to achieve this;</w:t>
      </w:r>
      <w:r>
        <w:t xml:space="preserve"> </w:t>
      </w:r>
      <w:r>
        <w:t xml:space="preserve">9. Highlights that the Commission should adopt a balanced, future</w:t>
      </w:r>
      <w:r>
        <w:t xml:space="preserve"> </w:t>
      </w:r>
      <w:r>
        <w:t xml:space="preserve">proofed and evidence based approach to legislation based on the</w:t>
      </w:r>
      <w:r>
        <w:t xml:space="preserve"> </w:t>
      </w:r>
      <w:r>
        <w:t xml:space="preserve">subsidiarity principle that creates a digital single market that ensures</w:t>
      </w:r>
      <w:r>
        <w:t xml:space="preserve"> </w:t>
      </w:r>
      <w:r>
        <w:t xml:space="preserve">the provision of public services, is competitive, fair, accessible,</w:t>
      </w:r>
      <w:r>
        <w:t xml:space="preserve"> </w:t>
      </w:r>
      <w:r>
        <w:t xml:space="preserve">technologically</w:t>
      </w:r>
      <w:r>
        <w:t xml:space="preserve"> </w:t>
      </w:r>
      <w:r>
        <w:t xml:space="preserve">neutral,</w:t>
      </w:r>
      <w:r>
        <w:t xml:space="preserve"> </w:t>
      </w:r>
      <w:r>
        <w:t xml:space="preserve">innovation-friendly,</w:t>
      </w:r>
      <w:r>
        <w:t xml:space="preserve"> </w:t>
      </w:r>
      <w:r>
        <w:t xml:space="preserve">consumer-friendly,</w:t>
      </w:r>
      <w:r>
        <w:t xml:space="preserve"> </w:t>
      </w:r>
      <w:r>
        <w:t xml:space="preserve">human-centric and trustworthy, and that builds a secure data society</w:t>
      </w:r>
      <w:r>
        <w:t xml:space="preserve"> </w:t>
      </w:r>
      <w:r>
        <w:t xml:space="preserve">and economy;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14. Calls on the Commission to aim at both an innovation and</w:t>
      </w:r>
      <w:r>
        <w:t xml:space="preserve"> </w:t>
      </w:r>
      <w:r>
        <w:t xml:space="preserve">consumer friendly regulatory environment, strengthening the financial</w:t>
      </w:r>
      <w:r>
        <w:t xml:space="preserve"> </w:t>
      </w:r>
      <w:r>
        <w:t xml:space="preserve">and institutional support for the European digital economy in close</w:t>
      </w:r>
      <w:r>
        <w:t xml:space="preserve"> </w:t>
      </w:r>
      <w:r>
        <w:t xml:space="preserve">coordination with Member States and stakeholders through measures</w:t>
      </w:r>
      <w:r>
        <w:t xml:space="preserve"> </w:t>
      </w:r>
      <w:r>
        <w:t xml:space="preserve">such as: investing in education, research and development, supporting</w:t>
      </w:r>
      <w:r>
        <w:t xml:space="preserve"> </w:t>
      </w:r>
      <w:r>
        <w:t xml:space="preserve">innovations in Europe, providing increased and broader access to</w:t>
      </w:r>
      <w:r>
        <w:t xml:space="preserve"> </w:t>
      </w:r>
      <w:r>
        <w:t xml:space="preserve">easily readable and interoperable high quality industrial and public</w:t>
      </w:r>
      <w:r>
        <w:t xml:space="preserve"> </w:t>
      </w:r>
      <w:r>
        <w:t xml:space="preserve">data’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resolution of 10 June</w:t>
      </w:r>
      <w:r>
        <w:t xml:space="preserve"> </w:t>
      </w:r>
      <w:r>
        <w:t xml:space="preserve">2021 on the EU’s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Strategy for the</w:t>
      </w:r>
      <w:r>
        <w:t xml:space="preserve"> </w:t>
      </w:r>
      <w:r>
        <w:t xml:space="preserve">Digital Decade</w:t>
      </w:r>
      <w:r>
        <w:t xml:space="preserve"> </w:t>
      </w:r>
      <w:r>
        <w:t xml:space="preserve">(2021/2568(RSP))</w:t>
      </w:r>
      <w:r>
        <w:t xml:space="preserve"> </w:t>
      </w:r>
      <w:r>
        <w:t xml:space="preserve">‘6. Considers that digitalisation of our society means that all sectors</w:t>
      </w:r>
      <w:r>
        <w:t xml:space="preserve"> </w:t>
      </w:r>
      <w:r>
        <w:t xml:space="preserve">are interconnected and the weaknesses in one sector can hamper</w:t>
      </w:r>
      <w:r>
        <w:t xml:space="preserve"> </w:t>
      </w:r>
      <w:r>
        <w:t xml:space="preserve">others; insists, therefore, that cyber-security policies be incorporated</w:t>
      </w:r>
      <w:r>
        <w:t xml:space="preserve"> </w:t>
      </w:r>
      <w:r>
        <w:t xml:space="preserve">into the EU digital strategy and EU funding, and that they be coherent</w:t>
      </w:r>
      <w:r>
        <w:t xml:space="preserve"> </w:t>
      </w:r>
      <w:r>
        <w:t xml:space="preserve">and interoperable across sectors’</w:t>
      </w:r>
      <w:r>
        <w:t xml:space="preserve"> </w:t>
      </w:r>
      <w:r>
        <w:t xml:space="preserve">College decisions:</w:t>
      </w:r>
      <w:r>
        <w:t xml:space="preserve"> </w:t>
      </w:r>
      <w:r>
        <w:t xml:space="preserve">A European strategy</w:t>
      </w:r>
      <w:r>
        <w:t xml:space="preserve"> </w:t>
      </w:r>
      <w:r>
        <w:t xml:space="preserve">for data. COM(2020)</w:t>
      </w:r>
      <w:r>
        <w:t xml:space="preserve"> </w:t>
      </w:r>
      <w:r>
        <w:t xml:space="preserve">66 final,</w:t>
      </w:r>
      <w:r>
        <w:t xml:space="preserve"> </w:t>
      </w:r>
      <w:r>
        <w:t xml:space="preserve">‘Data interoperability and quality: Data interoperability and quality, as</w:t>
      </w:r>
      <w:r>
        <w:t xml:space="preserve"> </w:t>
      </w:r>
      <w:r>
        <w:t xml:space="preserve">well as their structure, authenticity and integrity are key for the</w:t>
      </w:r>
      <w:r>
        <w:t xml:space="preserve"> </w:t>
      </w:r>
      <w:r>
        <w:t xml:space="preserve">exploitation of the data value, especially in the context of AI</w:t>
      </w:r>
      <w:r>
        <w:t xml:space="preserve"> </w:t>
      </w:r>
      <w:r>
        <w:t xml:space="preserve">deployment. Data producers and users have identified significant</w:t>
      </w:r>
      <w:r>
        <w:t xml:space="preserve"> </w:t>
      </w:r>
      <w:r>
        <w:t xml:space="preserve">interoperability issues which impede the combination of data from</w:t>
      </w:r>
      <w:r>
        <w:t xml:space="preserve"> </w:t>
      </w:r>
      <w:r>
        <w:t xml:space="preserve">different sources within sectors, and even more so between sectors.</w:t>
      </w:r>
      <w:r>
        <w:t xml:space="preserve"> </w:t>
      </w:r>
      <w:r>
        <w:t xml:space="preserve">The application of standard and shared compatible formats and</w:t>
      </w:r>
      <w:r>
        <w:t xml:space="preserve"> </w:t>
      </w:r>
      <w:r>
        <w:t xml:space="preserve">protocols for gathering and processing data from different sources in a</w:t>
      </w:r>
      <w:r>
        <w:t xml:space="preserve"> </w:t>
      </w:r>
      <w:r>
        <w:t xml:space="preserve">coherent and interoperable manner across sectors and vertical markets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encouraged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rolling</w:t>
      </w:r>
      <w:r>
        <w:t xml:space="preserve"> </w:t>
      </w:r>
      <w:r>
        <w:t xml:space="preserve">plan</w:t>
      </w:r>
      <w:r>
        <w:t xml:space="preserve"> </w:t>
      </w:r>
      <w:r>
        <w:t xml:space="preserve">for</w:t>
      </w:r>
      <w:r>
        <w:t xml:space="preserve"> </w:t>
      </w:r>
      <w:r>
        <w:t xml:space="preserve">ICT</w:t>
      </w:r>
      <w:r>
        <w:t xml:space="preserve"> </w:t>
      </w:r>
      <w:r>
        <w:t xml:space="preserve">standardisation and (as regards public services) a strengthened</w:t>
      </w:r>
      <w:r>
        <w:t xml:space="preserve"> </w:t>
      </w:r>
      <w:r>
        <w:t xml:space="preserve">European Interoperability Framework.</w:t>
      </w:r>
      <w:r>
        <w:t xml:space="preserve"> </w:t>
      </w:r>
      <w:r>
        <w:t xml:space="preserve">European businesses often experience problems with multi-cloud</w:t>
      </w:r>
      <w:r>
        <w:t xml:space="preserve"> </w:t>
      </w:r>
      <w:r>
        <w:t xml:space="preserve">interoperability, in particular data portability.</w:t>
      </w:r>
      <w:r>
        <w:t xml:space="preserve"> </w:t>
      </w:r>
      <w:r>
        <w:t xml:space="preserve">The horizontal framework will – where appropriate – be</w:t>
      </w:r>
      <w:r>
        <w:t xml:space="preserve"> </w:t>
      </w:r>
      <w:r>
        <w:t xml:space="preserve">complemented by sectoral legislation for data access and use, and</w:t>
      </w:r>
      <w:r>
        <w:t xml:space="preserve"> </w:t>
      </w:r>
      <w:r>
        <w:t xml:space="preserve">mechanisms for ensuring interoperability. ‘</w:t>
      </w:r>
      <w:r>
        <w:br/>
      </w:r>
      <w:r>
        <w:t xml:space="preserve">‘2030 Digital</w:t>
      </w:r>
      <w:r>
        <w:t xml:space="preserve"> </w:t>
      </w:r>
      <w:r>
        <w:t xml:space="preserve">Compass: the</w:t>
      </w:r>
      <w:r>
        <w:t xml:space="preserve"> </w:t>
      </w:r>
      <w:r>
        <w:t xml:space="preserve">European way for</w:t>
      </w:r>
      <w:r>
        <w:t xml:space="preserve"> </w:t>
      </w:r>
      <w:r>
        <w:t xml:space="preserve">the Digital Decade’,</w:t>
      </w:r>
      <w:r>
        <w:t xml:space="preserve"> </w:t>
      </w:r>
      <w:r>
        <w:t xml:space="preserve">COM/2021/118 final</w:t>
      </w:r>
    </w:p>
    <w:p>
      <w:pPr>
        <w:pStyle w:val="BodyText"/>
      </w:pPr>
      <w:r>
        <w:t xml:space="preserve">The European Commission has set the goal of 100% key digital public</w:t>
      </w:r>
      <w:r>
        <w:t xml:space="preserve"> </w:t>
      </w:r>
      <w:r>
        <w:t xml:space="preserve">services by 2030 as one of the four pillars helping to deliver Europe’s</w:t>
      </w:r>
      <w:r>
        <w:t xml:space="preserve"> </w:t>
      </w:r>
      <w:r>
        <w:t xml:space="preserve">Digital Decade. The Communication points out that digital</w:t>
      </w:r>
      <w:r>
        <w:t xml:space="preserve"> </w:t>
      </w:r>
      <w:r>
        <w:t xml:space="preserve">transformation enables modern public services but also acknowledges</w:t>
      </w:r>
      <w:r>
        <w:t xml:space="preserve"> </w:t>
      </w:r>
      <w:r>
        <w:t xml:space="preserve">that: ‘the gap to reach this vision is still significant. Despite the</w:t>
      </w:r>
      <w:r>
        <w:t xml:space="preserve"> </w:t>
      </w:r>
      <w:r>
        <w:t xml:space="preserve">increasing use of public services online, services provided digitally are</w:t>
      </w:r>
      <w:r>
        <w:t xml:space="preserve"> </w:t>
      </w:r>
      <w:r>
        <w:t xml:space="preserve">often basic e.g. filling in forms. Europe must harness digitalisation to</w:t>
      </w:r>
      <w:r>
        <w:t xml:space="preserve"> </w:t>
      </w:r>
      <w:r>
        <w:t xml:space="preserve">drive a paradigm change in how citizens, public administrations and</w:t>
      </w:r>
      <w:r>
        <w:t xml:space="preserve"> </w:t>
      </w:r>
      <w:r>
        <w:t xml:space="preserve">democratic institutions interact, ensuring interoperability across all</w:t>
      </w:r>
      <w:r>
        <w:t xml:space="preserve"> </w:t>
      </w:r>
      <w:r>
        <w:t xml:space="preserve">levels of government and across public services.’</w:t>
      </w:r>
      <w:r>
        <w:t xml:space="preserve"> </w:t>
      </w:r>
      <w:r>
        <w:t xml:space="preserve">Ministerial Declarations</w:t>
      </w:r>
      <w:r>
        <w:t xml:space="preserve"> </w:t>
      </w:r>
      <w:r>
        <w:t xml:space="preserve">2020 Berlin</w:t>
      </w:r>
      <w:r>
        <w:t xml:space="preserve"> </w:t>
      </w:r>
      <w:r>
        <w:t xml:space="preserve">‘Digital sovereignty and interoperability’ is one of the 7 principles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Declaration on</w:t>
      </w:r>
      <w:r>
        <w:t xml:space="preserve"> </w:t>
      </w:r>
      <w:r>
        <w:t xml:space="preserve">‘Digital Society and</w:t>
      </w:r>
      <w:r>
        <w:t xml:space="preserve"> </w:t>
      </w:r>
      <w:r>
        <w:t xml:space="preserve">Value-Based Digital</w:t>
      </w:r>
      <w:r>
        <w:t xml:space="preserve"> </w:t>
      </w:r>
      <w:r>
        <w:t xml:space="preserve">Government’,</w:t>
      </w:r>
      <w:r>
        <w:t xml:space="preserve"> </w:t>
      </w:r>
      <w:r>
        <w:t xml:space="preserve">guiding digital transformation endorsed by all Member States, the</w:t>
      </w:r>
      <w:r>
        <w:t xml:space="preserve"> </w:t>
      </w:r>
      <w:r>
        <w:t xml:space="preserve">Commission has been called to: ‘continue coordinating cross-border</w:t>
      </w:r>
      <w:r>
        <w:t xml:space="preserve"> </w:t>
      </w:r>
      <w:r>
        <w:t xml:space="preserve">interoperability and strengthen the European interoperability</w:t>
      </w:r>
      <w:r>
        <w:t xml:space="preserve"> </w:t>
      </w:r>
      <w:r>
        <w:t xml:space="preserve">framework’.</w:t>
      </w:r>
      <w:r>
        <w:t xml:space="preserve"> </w:t>
      </w:r>
      <w:r>
        <w:t xml:space="preserve">EU Ministerial</w:t>
      </w:r>
      <w:r>
        <w:t xml:space="preserve"> </w:t>
      </w:r>
      <w:r>
        <w:t xml:space="preserve">Declaration of</w:t>
      </w:r>
      <w:r>
        <w:t xml:space="preserve"> </w:t>
      </w:r>
      <w:r>
        <w:t xml:space="preserve">Digital Day 2021:</w:t>
      </w:r>
      <w:r>
        <w:t xml:space="preserve"> </w:t>
      </w:r>
      <w:r>
        <w:t xml:space="preserve">Green and Digital</w:t>
      </w:r>
      <w:r>
        <w:t xml:space="preserve"> </w:t>
      </w:r>
      <w:r>
        <w:t xml:space="preserve">Transformation of</w:t>
      </w:r>
      <w:r>
        <w:t xml:space="preserve"> </w:t>
      </w:r>
      <w:r>
        <w:t xml:space="preserve">the EU Ministerial</w:t>
      </w:r>
      <w:r>
        <w:t xml:space="preserve"> </w:t>
      </w:r>
      <w:r>
        <w:t xml:space="preserve">Declaration</w:t>
      </w:r>
      <w:r>
        <w:br/>
      </w:r>
      <w:r>
        <w:t xml:space="preserve">‘Specifically, we will engage and work together to:</w:t>
      </w:r>
      <w:r>
        <w:br/>
      </w:r>
      <w:r>
        <w:t xml:space="preserve"> Make high quality data available and accessible through</w:t>
      </w:r>
      <w:r>
        <w:t xml:space="preserve"> </w:t>
      </w:r>
      <w:r>
        <w:t xml:space="preserve">standardised and interoperable common European data spaces to</w:t>
      </w:r>
      <w:r>
        <w:t xml:space="preserve"> </w:t>
      </w:r>
      <w:r>
        <w:t xml:space="preserve">unleash the potential from data on realising the European Green</w:t>
      </w:r>
      <w:r>
        <w:t xml:space="preserve"> </w:t>
      </w:r>
      <w:r>
        <w:t xml:space="preserve">Deal;</w:t>
      </w:r>
      <w:r>
        <w:t xml:space="preserve"> </w:t>
      </w:r>
      <w:r>
        <w:t xml:space="preserve"> Promote the use of a digital twin in the form of a Building</w:t>
      </w:r>
      <w:r>
        <w:t xml:space="preserve"> </w:t>
      </w:r>
      <w:r>
        <w:t xml:space="preserve">Logbook for new public buildings; as well as work with local</w:t>
      </w:r>
      <w:r>
        <w:t xml:space="preserve"> </w:t>
      </w:r>
      <w:r>
        <w:t xml:space="preserve">authorities and other relevant stakeholders to set up a European</w:t>
      </w:r>
      <w:r>
        <w:t xml:space="preserve"> </w:t>
      </w:r>
      <w:r>
        <w:t xml:space="preserve">network of digital twins of the physical environment; Support EU</w:t>
      </w:r>
      <w:r>
        <w:t xml:space="preserve"> </w:t>
      </w:r>
      <w:r>
        <w:t xml:space="preserve">cities and regions to use green digital solutions in their transition</w:t>
      </w:r>
      <w:r>
        <w:t xml:space="preserve"> </w:t>
      </w:r>
      <w:r>
        <w:t xml:space="preserve">to climate neutrality;’</w:t>
      </w:r>
      <w:r>
        <w:t xml:space="preserve"> </w:t>
      </w:r>
      <w:r>
        <w:t xml:space="preserve">Others</w:t>
      </w:r>
      <w:r>
        <w:t xml:space="preserve"> </w:t>
      </w:r>
      <w:r>
        <w:t xml:space="preserve">COTER-VII/005</w:t>
      </w:r>
      <w:r>
        <w:t xml:space="preserve"> </w:t>
      </w:r>
      <w:r>
        <w:t xml:space="preserve">142nd</w:t>
      </w:r>
      <w:r>
        <w:t xml:space="preserve"> </w:t>
      </w:r>
      <w:r>
        <w:t xml:space="preserve">plenary</w:t>
      </w:r>
      <w:r>
        <w:t xml:space="preserve"> </w:t>
      </w:r>
      <w:r>
        <w:t xml:space="preserve">session,</w:t>
      </w:r>
      <w:r>
        <w:t xml:space="preserve"> </w:t>
      </w:r>
      <w:r>
        <w:t xml:space="preserve">3-4</w:t>
      </w:r>
      <w:r>
        <w:t xml:space="preserve"> </w:t>
      </w:r>
      <w:r>
        <w:t xml:space="preserve">February</w:t>
      </w:r>
      <w:r>
        <w:t xml:space="preserve"> </w:t>
      </w:r>
      <w:r>
        <w:t xml:space="preserve">2021</w:t>
      </w:r>
      <w:r>
        <w:t xml:space="preserve"> </w:t>
      </w:r>
      <w:r>
        <w:t xml:space="preserve">OPINION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Public</w:t>
      </w:r>
      <w:r>
        <w:t xml:space="preserve"> </w:t>
      </w:r>
      <w:r>
        <w:t xml:space="preserve">Services in Europe</w:t>
      </w:r>
      <w:r>
        <w:br/>
      </w:r>
      <w:r>
        <w:t xml:space="preserve"> underlines the need for an EU legal framework to allow for an</w:t>
      </w:r>
      <w:r>
        <w:t xml:space="preserve"> </w:t>
      </w:r>
      <w:r>
        <w:t xml:space="preserve">efficient establishment and management of cross-border public</w:t>
      </w:r>
      <w:r>
        <w:t xml:space="preserve"> </w:t>
      </w:r>
      <w:r>
        <w:t xml:space="preserve">services which would address the needs of our citizens living in</w:t>
      </w:r>
      <w:r>
        <w:t xml:space="preserve"> </w:t>
      </w:r>
      <w:r>
        <w:t xml:space="preserve">border regions</w:t>
      </w:r>
      <w:r>
        <w:t xml:space="preserve"> </w:t>
      </w:r>
      <w:r>
        <w:t xml:space="preserve"> calls on the European Commission, as the institution in charge of</w:t>
      </w:r>
      <w:r>
        <w:t xml:space="preserve"> </w:t>
      </w:r>
      <w:r>
        <w:t xml:space="preserve">monitoring the implementation of EU legislation, and more</w:t>
      </w:r>
      <w:r>
        <w:t xml:space="preserve"> </w:t>
      </w:r>
      <w:r>
        <w:t xml:space="preserve">importantly the Member States and regions with legislative</w:t>
      </w:r>
      <w:r>
        <w:t xml:space="preserve"> </w:t>
      </w:r>
      <w:r>
        <w:t xml:space="preserve">powers, to coordinate the transposition of directives with the</w:t>
      </w:r>
      <w:r>
        <w:t xml:space="preserve"> </w:t>
      </w:r>
      <w:r>
        <w:t xml:space="preserve">neighbouring states and regions, so that new legal barriers do not</w:t>
      </w:r>
      <w:r>
        <w:t xml:space="preserve"> </w:t>
      </w:r>
      <w:r>
        <w:t xml:space="preserve">arise as a consequence of a lack of coordination;</w:t>
      </w:r>
      <w:r>
        <w:br/>
      </w:r>
      <w:r>
        <w:t xml:space="preserve"> points out that impact assessments can provide an excellent insight</w:t>
      </w:r>
      <w:r>
        <w:t xml:space="preserve"> </w:t>
      </w:r>
      <w:r>
        <w:t xml:space="preserve">into the effects of EU legislation and calls on the EC to establish</w:t>
      </w:r>
      <w:r>
        <w:t xml:space="preserve"> </w:t>
      </w:r>
      <w:r>
        <w:t xml:space="preserve">methodologies that would allow for effective cross-border impact</w:t>
      </w:r>
      <w:r>
        <w:t xml:space="preserve"> </w:t>
      </w:r>
      <w:r>
        <w:t xml:space="preserve">assessments;</w:t>
      </w:r>
      <w:r>
        <w:t xml:space="preserve"> </w:t>
      </w:r>
      <w:r>
        <w:t xml:space="preserve"> points out that e-services might open a very interesting field of</w:t>
      </w:r>
      <w:r>
        <w:t xml:space="preserve"> </w:t>
      </w:r>
      <w:r>
        <w:t xml:space="preserve">development for the cross-border provision of public services.</w:t>
      </w:r>
      <w:r>
        <w:t xml:space="preserve"> </w:t>
      </w:r>
      <w:r>
        <w:t xml:space="preserve">For example, by using automated translation interface, one of the</w:t>
      </w:r>
      <w:r>
        <w:t xml:space="preserve"> </w:t>
      </w:r>
      <w:r>
        <w:t xml:space="preserve">first obstacles for CBC in general, and the provision of public</w:t>
      </w:r>
      <w:r>
        <w:t xml:space="preserve"> </w:t>
      </w:r>
      <w:r>
        <w:t xml:space="preserve">services across borders in particular, the language barrier, could be</w:t>
      </w:r>
      <w:r>
        <w:t xml:space="preserve"> </w:t>
      </w:r>
      <w:r>
        <w:t xml:space="preserve">overcame. An increased use of e-procedures will lead to a</w:t>
      </w:r>
      <w:r>
        <w:t xml:space="preserve"> </w:t>
      </w:r>
      <w:r>
        <w:t xml:space="preserve">necessary harmonisation of administrative provisions, solving</w:t>
      </w:r>
      <w:r>
        <w:t xml:space="preserve"> </w:t>
      </w:r>
      <w:r>
        <w:t xml:space="preserve">another good set of obstacles. Also, the development of Artificial</w:t>
      </w:r>
      <w:r>
        <w:t xml:space="preserve"> </w:t>
      </w:r>
      <w:r>
        <w:t xml:space="preserve">Intelligence-based systems, could promote further European-wide</w:t>
      </w:r>
      <w:r>
        <w:t xml:space="preserve"> </w:t>
      </w:r>
      <w:r>
        <w:t xml:space="preserve">provision of services;</w:t>
      </w:r>
      <w:r>
        <w:t xml:space="preserve"> </w:t>
      </w:r>
      <w:r>
        <w:t xml:space="preserve">History of Interoperability Policy</w:t>
      </w:r>
      <w:r>
        <w:t xml:space="preserve"> </w:t>
      </w:r>
      <w:r>
        <w:t xml:space="preserve">The European Commission has identified the need for interoperability between public</w:t>
      </w:r>
      <w:r>
        <w:t xml:space="preserve"> </w:t>
      </w:r>
      <w:r>
        <w:t xml:space="preserve">administrations already back in 1994 and has since then supported programmes to develop,</w:t>
      </w:r>
      <w:r>
        <w:t xml:space="preserve"> </w:t>
      </w:r>
      <w:r>
        <w:t xml:space="preserve">promote and use interoperability solutions in the EU for the use of public administrations,</w:t>
      </w:r>
      <w:r>
        <w:t xml:space="preserve"> </w:t>
      </w:r>
      <w:r>
        <w:t xml:space="preserve">businesses and citizens.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The history of financing programmes supporting interoperability at EU level</w:t>
      </w:r>
      <w:r>
        <w:br/>
      </w:r>
      <w:r>
        <w:t xml:space="preserve"> 1995 – 1997: Community contribution for telematics interchange of Data between</w:t>
      </w:r>
      <w:r>
        <w:t xml:space="preserve"> </w:t>
      </w:r>
      <w:r>
        <w:t xml:space="preserve">Administrations (IDA);</w:t>
      </w:r>
      <w:r>
        <w:br/>
      </w:r>
      <w:r>
        <w:t xml:space="preserve"> 1999 – 2004: Second phase of the IDA programme (IDA II)</w:t>
      </w:r>
      <w:r>
        <w:t xml:space="preserve"> </w:t>
      </w:r>
      <w:r>
        <w:t xml:space="preserve"> 2005 – 2009: Interoperable Delivery of Pan-European eGovernment Services to</w:t>
      </w:r>
      <w:r>
        <w:t xml:space="preserve"> </w:t>
      </w:r>
      <w:r>
        <w:t xml:space="preserve">public Administrations, Business and Citizens (IDABC),</w:t>
      </w:r>
      <w:r>
        <w:br/>
      </w:r>
      <w:r>
        <w:t xml:space="preserve"> 2010 – 2015: Interoperability Solutions for European Public Administrations (ISA)</w:t>
      </w:r>
      <w:r>
        <w:t xml:space="preserve"> </w:t>
      </w:r>
      <w:r>
        <w:t xml:space="preserve"> 2016 – 2020: Interoperability solutions and common frameworks for European public</w:t>
      </w:r>
      <w:r>
        <w:t xml:space="preserve"> </w:t>
      </w:r>
      <w:r>
        <w:t xml:space="preserve">administrations, businesses and citizens (ISA²)</w:t>
      </w:r>
      <w:r>
        <w:t xml:space="preserve"> </w:t>
      </w:r>
      <w:r>
        <w:t xml:space="preserve">In 2004 the Commission published under the IDABC Programme the European</w:t>
      </w:r>
      <w:r>
        <w:t xml:space="preserve"> </w:t>
      </w:r>
      <w:r>
        <w:t xml:space="preserve">Interoperability Framework for Pan-European eGovernment Services.</w:t>
      </w:r>
      <w:r>
        <w:br/>
      </w:r>
      <w:r>
        <w:t xml:space="preserve">In 2010 it adopted a Commission Communication entitled ‘Towards interoperability for</w:t>
      </w:r>
      <w:r>
        <w:t xml:space="preserve"> </w:t>
      </w:r>
      <w:r>
        <w:t xml:space="preserve">European public services’191 containing in annex the European interoperability strategy (EIS)</w:t>
      </w:r>
      <w:r>
        <w:t xml:space="preserve"> </w:t>
      </w:r>
      <w:r>
        <w:t xml:space="preserve">and the European interoperability framework (EIF). Since then, the European interoperability</w:t>
      </w:r>
      <w:r>
        <w:t xml:space="preserve"> </w:t>
      </w:r>
      <w:r>
        <w:t xml:space="preserve">framework has served as a reference throughout the Union and beyond and was the basis of</w:t>
      </w:r>
      <w:r>
        <w:t xml:space="preserve"> </w:t>
      </w:r>
      <w:r>
        <w:t xml:space="preserve">most national interoperability frameworks (NIFs) and strategies.</w:t>
      </w:r>
      <w:r>
        <w:t xml:space="preserve"> </w:t>
      </w:r>
      <w:r>
        <w:t xml:space="preserve">In the context of the Communication on a Digital Single Market Strategy put forward by the</w:t>
      </w:r>
      <w:r>
        <w:t xml:space="preserve"> </w:t>
      </w:r>
      <w:r>
        <w:t xml:space="preserve">Juncker Commission in 2015192, the interoperability agenda needed to be revised and brought</w:t>
      </w:r>
      <w:r>
        <w:t xml:space="preserve"> </w:t>
      </w:r>
      <w:r>
        <w:t xml:space="preserve">into line with the emerging challenges in the field of ICT and the provision of European</w:t>
      </w:r>
      <w:r>
        <w:t xml:space="preserve"> </w:t>
      </w:r>
      <w:r>
        <w:t xml:space="preserve">public services. European Interoperability Policy has been a prominent element of the 2016-</w:t>
      </w:r>
      <w:r>
        <w:t xml:space="preserve"> </w:t>
      </w:r>
      <w:r>
        <w:t xml:space="preserve">2020 European eGovernment Action Plan193. Interoperability was one of its underlying</w:t>
      </w:r>
      <w:r>
        <w:t xml:space="preserve"> </w:t>
      </w:r>
      <w:r>
        <w:t xml:space="preserve">principles and the plan contained a dedicated action to ‘propose a revised European</w:t>
      </w:r>
      <w:r>
        <w:t xml:space="preserve"> </w:t>
      </w:r>
      <w:r>
        <w:t xml:space="preserve">Interoperability Framework (EIF) … support its take-up by national administrations with the</w:t>
      </w:r>
      <w:r>
        <w:t xml:space="preserve"> </w:t>
      </w:r>
      <w:r>
        <w:t xml:space="preserve">aim to strengthen the interoperability of public services in the EU’, for the period 2016-2019.</w:t>
      </w:r>
      <w:r>
        <w:t xml:space="preserve"> </w:t>
      </w:r>
      <w:r>
        <w:t xml:space="preserve">This led the Commission to publish an updated EIF in 2017194.</w:t>
      </w:r>
      <w:r>
        <w:t xml:space="preserve"> </w:t>
      </w:r>
      <w:r>
        <w:t xml:space="preserve">The new EIF expanded on the previous version from 2004 adopted by the PEGSCO</w:t>
      </w:r>
      <w:r>
        <w:t xml:space="preserve"> </w:t>
      </w:r>
      <w:r>
        <w:t xml:space="preserve">committee of the IDABC programme195 and of the 2010 communication adopted by the</w:t>
      </w:r>
      <w:r>
        <w:t xml:space="preserve"> </w:t>
      </w:r>
      <w:r>
        <w:t xml:space="preserve">Commission196 and brought more targeted recommendations taking into account new</w:t>
      </w:r>
      <w:r>
        <w:t xml:space="preserve"> </w:t>
      </w:r>
      <w:r>
        <w:t xml:space="preserve">technological and policy developments. The number of recommendations in the new EIF</w:t>
      </w:r>
      <w:r>
        <w:t xml:space="preserve"> </w:t>
      </w:r>
      <w:r>
        <w:t xml:space="preserve">increased from 25 to 47 and several recommendations were updated or newly developed to</w:t>
      </w:r>
      <w:r>
        <w:t xml:space="preserve"> </w:t>
      </w:r>
      <w:r>
        <w:t xml:space="preserve">support relevant EU policies and initiatives, such as the Directive on re-use of Public Sector</w:t>
      </w:r>
      <w:r>
        <w:t xml:space="preserve"> </w:t>
      </w:r>
      <w:r>
        <w:t xml:space="preserve">Information197 (subsequently revised and renamed as the Open Data Directive in 2019), the</w:t>
      </w:r>
      <w:r>
        <w:t xml:space="preserve"> </w:t>
      </w:r>
      <w:r>
        <w:t xml:space="preserve">INSPIRE directive198, the eIDAS Regulation199, the EU eGovernment Action Plan 2016-2020,</w:t>
      </w:r>
    </w:p>
    <w:p>
      <w:pPr>
        <w:pStyle w:val="BodyText"/>
      </w:pPr>
      <w:r>
        <w:t xml:space="preserve">191</w:t>
      </w:r>
      <w:r>
        <w:br/>
      </w:r>
      <w:r>
        <w:t xml:space="preserve">COM(2010) 744 final ‘Towards interoperability for European public services.’</w:t>
      </w:r>
      <w:r>
        <w:t xml:space="preserve"> </w:t>
      </w:r>
      <w:r>
        <w:t xml:space="preserve">192</w:t>
      </w:r>
      <w:r>
        <w:br/>
      </w:r>
      <w:r>
        <w:t xml:space="preserve">COM(2015) 192 final, Communication from the Commission to the European Parliament, the Council,</w:t>
      </w:r>
      <w:r>
        <w:t xml:space="preserve"> </w:t>
      </w:r>
      <w:r>
        <w:t xml:space="preserve">the European Economic and Social Committee and the Committee of the Regions, A Digital Single</w:t>
      </w:r>
      <w:r>
        <w:t xml:space="preserve"> </w:t>
      </w:r>
      <w:r>
        <w:t xml:space="preserve">Market Strategy for Europe.</w:t>
      </w:r>
      <w:r>
        <w:t xml:space="preserve"> </w:t>
      </w:r>
      <w:r>
        <w:t xml:space="preserve">193</w:t>
      </w:r>
      <w:r>
        <w:br/>
      </w:r>
      <w:r>
        <w:t xml:space="preserve">COM(2016)</w:t>
      </w:r>
      <w:r>
        <w:t xml:space="preserve"> </w:t>
      </w:r>
      <w:r>
        <w:t xml:space="preserve">179</w:t>
      </w:r>
      <w:r>
        <w:t xml:space="preserve"> </w:t>
      </w:r>
      <w:r>
        <w:t xml:space="preserve">final</w:t>
      </w:r>
      <w:r>
        <w:t xml:space="preserve"> </w:t>
      </w:r>
      <w:r>
        <w:t xml:space="preserve">of</w:t>
      </w:r>
      <w:r>
        <w:t xml:space="preserve"> </w:t>
      </w:r>
      <w:r>
        <w:t xml:space="preserve">19.4.2016,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content/EN/TXT/?uri=CELEX%3A52016DC0179</w:t>
      </w:r>
      <w:r>
        <w:t xml:space="preserve"> </w:t>
      </w:r>
      <w:r>
        <w:t xml:space="preserve">194</w:t>
      </w:r>
      <w:r>
        <w:br/>
      </w:r>
      <w:r>
        <w:t xml:space="preserve">COM(2017) 134 final.</w:t>
      </w:r>
      <w:r>
        <w:t xml:space="preserve"> </w:t>
      </w:r>
      <w:r>
        <w:t xml:space="preserve">195</w:t>
      </w:r>
      <w:r>
        <w:br/>
      </w:r>
      <w:r>
        <w:t xml:space="preserve">https://wayback.archive-</w:t>
      </w:r>
      <w:r>
        <w:t xml:space="preserve"> </w:t>
      </w:r>
      <w:r>
        <w:t xml:space="preserve">it.org/12090/20200212143524/https://ec.europa.eu/idabc/en/document/3473/5887.html</w:t>
      </w:r>
      <w:r>
        <w:t xml:space="preserve"> </w:t>
      </w:r>
      <w:r>
        <w:t xml:space="preserve">196</w:t>
      </w:r>
      <w:r>
        <w:br/>
      </w:r>
      <w:r>
        <w:t xml:space="preserve">COM(2010) 744 final COMMUNICATION FROM THE COMMISSION TO THE EUROPEAN</w:t>
      </w:r>
      <w:r>
        <w:t xml:space="preserve"> </w:t>
      </w:r>
      <w:r>
        <w:t xml:space="preserve">PARLIAMENT, THE COUNCIL, THE EUROPEAN ECONOMIC AND SOCIAL COMMITTEE</w:t>
      </w:r>
      <w:r>
        <w:t xml:space="preserve"> </w:t>
      </w:r>
      <w:r>
        <w:t xml:space="preserve">AND THE COMMITTEE OF THE REGIONS Towards interoperability for European public services.</w:t>
      </w:r>
      <w:r>
        <w:t xml:space="preserve"> </w:t>
      </w:r>
      <w:r>
        <w:t xml:space="preserve">197</w:t>
      </w:r>
      <w:r>
        <w:br/>
      </w:r>
      <w:r>
        <w:t xml:space="preserve">Directive 2013/37/EU.</w:t>
      </w:r>
      <w:r>
        <w:t xml:space="preserve"> </w:t>
      </w:r>
      <w:r>
        <w:t xml:space="preserve">198</w:t>
      </w:r>
      <w:r>
        <w:br/>
      </w:r>
      <w:r>
        <w:t xml:space="preserve">Directive 2007/2/EC of March 2007 establishing an Infrastructure for Spatial Information in the</w:t>
      </w:r>
      <w:r>
        <w:t xml:space="preserve"> </w:t>
      </w:r>
      <w:r>
        <w:t xml:space="preserve">European Community (INSPIRE).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the Single Digital Gateway (proposed in 2017 and subsequently adopted as a Regulation in</w:t>
      </w:r>
      <w:r>
        <w:t xml:space="preserve"> </w:t>
      </w:r>
      <w:r>
        <w:t xml:space="preserve">2019)200, and the European Cloud Initiative.</w:t>
      </w:r>
    </w:p>
    <w:p>
      <w:pPr>
        <w:pStyle w:val="BodyText"/>
      </w:pPr>
      <w:r>
        <w:t xml:space="preserve">199</w:t>
      </w:r>
      <w:r>
        <w:br/>
      </w:r>
      <w:r>
        <w:t xml:space="preserve">Regulation (EU) No 910/2014 of the European Parliament and of the Council of 23 July 2014 on</w:t>
      </w:r>
      <w:r>
        <w:t xml:space="preserve"> </w:t>
      </w:r>
      <w:r>
        <w:t xml:space="preserve">electronic identification and trust services for electronic transactions in the internal market and</w:t>
      </w:r>
      <w:r>
        <w:t xml:space="preserve"> </w:t>
      </w:r>
      <w:r>
        <w:t xml:space="preserve">repealing Directive 1999/93/EC.</w:t>
      </w:r>
      <w:r>
        <w:t xml:space="preserve"> </w:t>
      </w:r>
      <w:r>
        <w:t xml:space="preserve">200</w:t>
      </w:r>
      <w:r>
        <w:br/>
      </w:r>
      <w:r>
        <w:t xml:space="preserve">See the Staff Working Document accompanying the 2017 EIF Communication: https://eur-</w:t>
      </w:r>
      <w:r>
        <w:t xml:space="preserve"> </w:t>
      </w:r>
      <w:r>
        <w:t xml:space="preserve">lex.europa.eu/legal-content/ES/TXT/?uri=CELEX:52017SC0112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Table 14. Key conclusions of the EIF and ISA² evaluations</w:t>
      </w:r>
    </w:p>
    <w:p>
      <w:pPr>
        <w:pStyle w:val="BodyText"/>
      </w:pPr>
      <w:r>
        <w:t xml:space="preserve">Relevance</w:t>
      </w:r>
      <w:r>
        <w:t xml:space="preserve"> </w:t>
      </w:r>
      <w:r>
        <w:t xml:space="preserve">EIF</w:t>
      </w:r>
      <w:r>
        <w:t xml:space="preserve"> </w:t>
      </w:r>
      <w:r>
        <w:t xml:space="preserve">Enhanced EU policy for interoperability with more binding requirements. Coordination is required to create an EU-wide digital</w:t>
      </w:r>
      <w:r>
        <w:t xml:space="preserve"> </w:t>
      </w:r>
      <w:r>
        <w:t xml:space="preserve">public service landscape. Having EU-wide rules would help ensure that cross-border aspects of digital public services are considered.</w:t>
      </w:r>
      <w:r>
        <w:t xml:space="preserve"> </w:t>
      </w:r>
      <w:r>
        <w:t xml:space="preserve">EIF</w:t>
      </w:r>
      <w:r>
        <w:br/>
      </w:r>
      <w:r>
        <w:t xml:space="preserve">The needs and problems identified by the EIF are still being experienced by the stakeholders. To increase the relevance of the EIF,</w:t>
      </w:r>
      <w:r>
        <w:t xml:space="preserve"> </w:t>
      </w:r>
      <w:r>
        <w:t xml:space="preserve">public administrations would benefit from a common, more practical, end-to-end approach to the EIF, from policy to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ISA²</w:t>
      </w:r>
      <w:r>
        <w:t xml:space="preserve"> </w:t>
      </w:r>
      <w:r>
        <w:t xml:space="preserve">The original needs and problems that the programme was intended to address are after the experience of the pandemic even more</w:t>
      </w:r>
      <w:r>
        <w:t xml:space="preserve"> </w:t>
      </w:r>
      <w:r>
        <w:t xml:space="preserve">relevant. Several new needs could be identified:</w:t>
      </w:r>
      <w:r>
        <w:br/>
      </w:r>
      <w:r>
        <w:t xml:space="preserve"> Need for an enhanced interoperability governance involving EU countries and regional and local public administrations.</w:t>
      </w:r>
      <w:r>
        <w:br/>
      </w:r>
      <w:r>
        <w:t xml:space="preserve"> Need for digital-ready EU policies.</w:t>
      </w:r>
      <w:r>
        <w:t xml:space="preserve"> </w:t>
      </w:r>
      <w:r>
        <w:t xml:space="preserve"> Need for structured and proactive collaboration and the exchange of best practices between all levels of EU public</w:t>
      </w:r>
      <w:r>
        <w:t xml:space="preserve"> </w:t>
      </w:r>
      <w:r>
        <w:t xml:space="preserve">administrations (national, regional, local) involved in developing digital public services.</w:t>
      </w:r>
      <w:r>
        <w:t xml:space="preserve"> </w:t>
      </w:r>
      <w:r>
        <w:t xml:space="preserve"> Need for strategic and collaborative interoperability planning across different policy programmes and funding initiatives in</w:t>
      </w:r>
      <w:r>
        <w:t xml:space="preserve"> </w:t>
      </w:r>
      <w:r>
        <w:t xml:space="preserve">order to steer investments based on user needs towards a set of key mature solutions.</w:t>
      </w:r>
      <w:r>
        <w:br/>
      </w:r>
      <w:r>
        <w:t xml:space="preserve"> Need for systematic links with European standardisation work and increase awareness in the public sector at all levels of</w:t>
      </w:r>
      <w:r>
        <w:t xml:space="preserve"> </w:t>
      </w:r>
      <w:r>
        <w:t xml:space="preserve">the key role of standards in supporting the twin digital/green transitions.</w:t>
      </w:r>
      <w:r>
        <w:t xml:space="preserve"> </w:t>
      </w:r>
      <w:r>
        <w:t xml:space="preserve"> Need for promotion of successful solutions and continued awareness-raising of interoperability.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EIF</w:t>
      </w:r>
      <w:r>
        <w:br/>
      </w:r>
      <w:r>
        <w:t xml:space="preserve">The recommendations contained in the EIF are usually high-level; further clarity and guidance would be required to ensure that</w:t>
      </w:r>
      <w:r>
        <w:t xml:space="preserve"> </w:t>
      </w:r>
      <w:r>
        <w:t xml:space="preserve">they are implemented by Member States;</w:t>
      </w:r>
      <w:r>
        <w:t xml:space="preserve"> </w:t>
      </w:r>
      <w:r>
        <w:t xml:space="preserve">EIF</w:t>
      </w:r>
      <w:r>
        <w:br/>
      </w:r>
      <w:r>
        <w:t xml:space="preserve">More granularity is required for efficient framework implementation, especially at the local level</w:t>
      </w:r>
      <w:r>
        <w:t xml:space="preserve"> </w:t>
      </w:r>
      <w:r>
        <w:t xml:space="preserve">EIF</w:t>
      </w:r>
      <w:r>
        <w:br/>
      </w:r>
      <w:r>
        <w:t xml:space="preserve">Further advice is needed to the make the layered interoperability and conceptual models more actionable</w:t>
      </w:r>
      <w:r>
        <w:t xml:space="preserve"> </w:t>
      </w:r>
      <w:r>
        <w:t xml:space="preserve">EIF</w:t>
      </w:r>
      <w:r>
        <w:br/>
      </w:r>
      <w:r>
        <w:t xml:space="preserve">Given the EIF’s strategic and overall high-level recommendations, best practices for implementation might be added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ISA²</w:t>
      </w:r>
      <w:r>
        <w:br/>
      </w:r>
      <w:r>
        <w:t xml:space="preserve">ISA² actions have contributed effectively to the implementation of different EU policies and actions (for example SDG, Open Data</w:t>
      </w:r>
      <w:r>
        <w:t xml:space="preserve"> </w:t>
      </w:r>
      <w:r>
        <w:t xml:space="preserve">Directive, e-procurement, Inspire, ESS). Member States seek a more holistic and strategic approach. All relevant EU policies should</w:t>
      </w:r>
      <w:r>
        <w:t xml:space="preserve"> </w:t>
      </w:r>
      <w:r>
        <w:t xml:space="preserve">be accompanied by interoperable implementation solutions.</w:t>
      </w:r>
      <w:r>
        <w:br/>
      </w:r>
      <w:r>
        <w:t xml:space="preserve">ISA²</w:t>
      </w:r>
      <w:r>
        <w:br/>
      </w:r>
      <w:r>
        <w:t xml:space="preserve">The Joinup platform funded by ISA² was an effective tool to facilitate the re-use of interoperability solutions but more could be done</w:t>
      </w:r>
      <w:r>
        <w:t xml:space="preserve"> </w:t>
      </w:r>
      <w:r>
        <w:t xml:space="preserve">to boost the take-up of solutions and encourage re-use especially at regional and local level.</w:t>
      </w:r>
      <w:r>
        <w:t xml:space="preserve"> </w:t>
      </w:r>
      <w:r>
        <w:t xml:space="preserve">ISA²</w:t>
      </w:r>
      <w:r>
        <w:br/>
      </w:r>
      <w:r>
        <w:t xml:space="preserve">ISA² was partly effective in developing, maintaining and promoting a holistic approach to interoperability. The latest political</w:t>
      </w:r>
      <w:r>
        <w:t xml:space="preserve"> </w:t>
      </w:r>
      <w:r>
        <w:t xml:space="preserve">declarations however ask for a solution to ‘ensure interoperability’.</w:t>
      </w:r>
      <w:r>
        <w:br/>
      </w:r>
      <w:r>
        <w:t xml:space="preserve">ISA²</w:t>
      </w:r>
      <w:r>
        <w:br/>
      </w:r>
      <w:r>
        <w:t xml:space="preserve">ISA² was less effective in contributing to effective, simplified and user-friendly digital public services especially at regional and</w:t>
      </w:r>
      <w:r>
        <w:t xml:space="preserve"> </w:t>
      </w:r>
      <w:r>
        <w:t xml:space="preserve">local level.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EIF</w:t>
      </w:r>
      <w:r>
        <w:br/>
      </w:r>
      <w:r>
        <w:t xml:space="preserve">The implementation of national interoperability frameworks inspired by the EIF has clearly brought several benefits</w:t>
      </w:r>
      <w:r>
        <w:t xml:space="preserve"> </w:t>
      </w:r>
      <w:r>
        <w:t xml:space="preserve">EIF</w:t>
      </w:r>
      <w:r>
        <w:br/>
      </w:r>
      <w:r>
        <w:t xml:space="preserve">Monitoring efforts should focus on the extent of re-use of developed tools and on providing a better overview of costs</w:t>
      </w:r>
      <w:r>
        <w:t xml:space="preserve"> </w:t>
      </w:r>
      <w:r>
        <w:t xml:space="preserve">ISA²</w:t>
      </w:r>
      <w:r>
        <w:br/>
      </w:r>
      <w:r>
        <w:t xml:space="preserve">For those packages where it was possible to apply cost-effectiveness techniques, costs per end-user (e.g.: business, citizens, etc.)</w:t>
      </w:r>
      <w:r>
        <w:t xml:space="preserve"> </w:t>
      </w:r>
      <w:r>
        <w:t xml:space="preserve">have been estimated as low.</w:t>
      </w:r>
      <w:r>
        <w:t xml:space="preserve"> </w:t>
      </w:r>
      <w:r>
        <w:t xml:space="preserve">ISA²</w:t>
      </w:r>
      <w:r>
        <w:br/>
      </w:r>
      <w:r>
        <w:t xml:space="preserve">Benefits however risk to fade, in the absence of appropriate sustainability measures.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EIF</w:t>
      </w:r>
      <w:r>
        <w:br/>
      </w:r>
      <w:r>
        <w:t xml:space="preserve">To increase interoperability governance and the EIF’s role, strengthened references in associated legal acts are needed.</w:t>
      </w:r>
      <w:r>
        <w:br/>
      </w:r>
      <w:r>
        <w:t xml:space="preserve">EIF</w:t>
      </w:r>
      <w:r>
        <w:br/>
      </w:r>
      <w:r>
        <w:t xml:space="preserve">Heterogeneity of solutions and strategies across the EU hinders interoperability at the EU level.</w:t>
      </w:r>
      <w:r>
        <w:t xml:space="preserve"> </w:t>
      </w:r>
      <w:r>
        <w:t xml:space="preserve">ISA²</w:t>
      </w:r>
      <w:r>
        <w:br/>
      </w:r>
      <w:r>
        <w:t xml:space="preserve">Prioritising a smaller set of actions would increase synergies.</w:t>
      </w:r>
      <w:r>
        <w:t xml:space="preserve"> </w:t>
      </w:r>
      <w:r>
        <w:t xml:space="preserve">ISA²</w:t>
      </w:r>
      <w:r>
        <w:br/>
      </w:r>
      <w:r>
        <w:t xml:space="preserve">ISA² worked closely with a wide range of other relevant EU programmes, policies and initiatives. This could, however, be done</w:t>
      </w:r>
      <w:r>
        <w:t xml:space="preserve"> </w:t>
      </w:r>
      <w:r>
        <w:t xml:space="preserve">more systematically.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EU-added value</w:t>
      </w:r>
      <w:r>
        <w:t xml:space="preserve"> </w:t>
      </w:r>
      <w:r>
        <w:t xml:space="preserve">EIF</w:t>
      </w:r>
      <w:r>
        <w:br/>
      </w:r>
      <w:r>
        <w:t xml:space="preserve">National or subnational governments cannot achieve cross-border interoperability alone. Economies of scale (through shared</w:t>
      </w:r>
      <w:r>
        <w:t xml:space="preserve"> </w:t>
      </w:r>
      <w:r>
        <w:t xml:space="preserve">technologies) and experience enable the EIF to achieve its goals at cheaper costs than equivalent national or subnational projects</w:t>
      </w:r>
      <w:r>
        <w:t xml:space="preserve"> </w:t>
      </w:r>
      <w:r>
        <w:t xml:space="preserve">(dialogue and shared solutions).</w:t>
      </w:r>
      <w:r>
        <w:br/>
      </w:r>
      <w:r>
        <w:t xml:space="preserve">EIF</w:t>
      </w:r>
      <w:r>
        <w:br/>
      </w:r>
      <w:r>
        <w:t xml:space="preserve">Foster coordination through common rules. Digital public services across the EU could be improved while simultaneously</w:t>
      </w:r>
      <w:r>
        <w:t xml:space="preserve"> </w:t>
      </w:r>
      <w:r>
        <w:t xml:space="preserve">strengthening the public sector’s resilience to unanticipated shocks.</w:t>
      </w:r>
      <w:r>
        <w:t xml:space="preserve"> </w:t>
      </w:r>
      <w:r>
        <w:t xml:space="preserve">EIF</w:t>
      </w:r>
      <w:r>
        <w:br/>
      </w:r>
      <w:r>
        <w:t xml:space="preserve">The EIF has contributed to some extent to the advancement of common EU policies but more could have been achieved</w:t>
      </w:r>
      <w:r>
        <w:t xml:space="preserve"> </w:t>
      </w:r>
      <w:r>
        <w:t xml:space="preserve">EIF</w:t>
      </w:r>
      <w:r>
        <w:br/>
      </w:r>
      <w:r>
        <w:t xml:space="preserve">Enhanced EU policy for interoperability with more binding requirements</w:t>
      </w:r>
      <w:r>
        <w:t xml:space="preserve"> </w:t>
      </w:r>
      <w:r>
        <w:t xml:space="preserve">EIF</w:t>
      </w:r>
      <w:r>
        <w:br/>
      </w:r>
      <w:r>
        <w:t xml:space="preserve">Use of conditional interoperability solutions and interoperability-by-design in the development of digital public services could</w:t>
      </w:r>
      <w:r>
        <w:t xml:space="preserve"> </w:t>
      </w:r>
      <w:r>
        <w:t xml:space="preserve">help achieve interoperable cross-domain and cross-border services throughout the EU.</w:t>
      </w:r>
      <w:r>
        <w:t xml:space="preserve"> </w:t>
      </w:r>
      <w:r>
        <w:t xml:space="preserve">ISA²</w:t>
      </w:r>
      <w:r>
        <w:br/>
      </w:r>
      <w:r>
        <w:t xml:space="preserve">EU-level approach is better suited to addressing the challenges related to interoperability.</w:t>
      </w:r>
    </w:p>
    <w:p>
      <w:pPr>
        <w:pStyle w:val="BodyText"/>
      </w:pPr>
      <w:r>
        <w:t xml:space="preserve">Sustainability (ISA² evaluation only)</w:t>
      </w:r>
      <w:r>
        <w:t xml:space="preserve"> </w:t>
      </w:r>
      <w:r>
        <w:t xml:space="preserve">ISA²</w:t>
      </w:r>
      <w:r>
        <w:br/>
      </w:r>
      <w:r>
        <w:t xml:space="preserve">Some concrete actions should be carefully assessed to enhance these activities and ensure they are sustainable:</w:t>
      </w:r>
      <w:r>
        <w:t xml:space="preserve"> </w:t>
      </w:r>
      <w:r>
        <w:t xml:space="preserve"> Focusing on developing a smaller set of key mature solutions, continually developing them and encouraging their take-up.</w:t>
      </w:r>
      <w:r>
        <w:t xml:space="preserve"> </w:t>
      </w:r>
      <w:r>
        <w:t xml:space="preserve">Concentrating on critical priorities and user needs could also increase user satisfaction.</w:t>
      </w:r>
      <w:r>
        <w:t xml:space="preserve"> </w:t>
      </w:r>
      <w:r>
        <w:t xml:space="preserve"> Providing a one-stop-shop for mature interoperability solutions, to help incorporate them into to the existing interoperability</w:t>
      </w:r>
      <w:r>
        <w:t xml:space="preserve"> </w:t>
      </w:r>
      <w:r>
        <w:t xml:space="preserve">ecosystem, give existing solutions more visibility and boost their take-up regionally and locally with the support of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 Improving the quality of existing solutions by better considering user needs and involve users in co-creation.</w:t>
      </w:r>
      <w:r>
        <w:t xml:space="preserve"> </w:t>
      </w:r>
      <w:r>
        <w:t xml:space="preserve"> Supporting experimentation and innovation by setting up an agile process for developing solutions and leveraging innovation</w:t>
      </w:r>
      <w:r>
        <w:t xml:space="preserve"> </w:t>
      </w:r>
      <w:r>
        <w:t xml:space="preserve">procurement coupled with ‘sandboxing’ for testing solutions and getting better feedback.</w:t>
      </w:r>
      <w:r>
        <w:t xml:space="preserve"> </w:t>
      </w:r>
      <w:r>
        <w:t xml:space="preserve"> Encouraging collaboration with open-source communities for the sustainable and open development of existing and future</w:t>
      </w:r>
      <w:r>
        <w:t xml:space="preserve"> </w:t>
      </w:r>
      <w:r>
        <w:t xml:space="preserve">solutions.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Table 15. ISA² programme to the EIF and the interoperability Action plan</w:t>
      </w:r>
      <w:r>
        <w:t xml:space="preserve"> </w:t>
      </w:r>
      <w:r>
        <w:t xml:space="preserve">Package</w:t>
      </w:r>
      <w:r>
        <w:t xml:space="preserve"> </w:t>
      </w:r>
      <w:r>
        <w:t xml:space="preserve">Action</w:t>
      </w:r>
      <w:r>
        <w:t xml:space="preserve"> </w:t>
      </w:r>
      <w:r>
        <w:t xml:space="preserve">number</w:t>
      </w:r>
      <w:r>
        <w:t xml:space="preserve"> </w:t>
      </w:r>
      <w:r>
        <w:t xml:space="preserve">Action name</w:t>
      </w:r>
      <w:r>
        <w:t xml:space="preserve"> </w:t>
      </w:r>
      <w:r>
        <w:t xml:space="preserve">Contribution to the EIF and the IAP</w:t>
      </w:r>
      <w:r>
        <w:t xml:space="preserve"> </w:t>
      </w:r>
      <w:r>
        <w:t xml:space="preserve">1. Key and</w:t>
      </w:r>
      <w:r>
        <w:t xml:space="preserve"> </w:t>
      </w:r>
      <w:r>
        <w:t xml:space="preserve">generic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enablers</w:t>
      </w:r>
      <w:r>
        <w:t xml:space="preserve"> </w:t>
      </w:r>
      <w:r>
        <w:t xml:space="preserve">2016.19</w:t>
      </w:r>
      <w:r>
        <w:t xml:space="preserve"> </w:t>
      </w:r>
      <w:r>
        <w:t xml:space="preserve">Trusted Exchange Platform (e-</w:t>
      </w:r>
      <w:r>
        <w:t xml:space="preserve"> </w:t>
      </w:r>
      <w:r>
        <w:t xml:space="preserve">TrustEx)</w:t>
      </w:r>
      <w:r>
        <w:t xml:space="preserve"> </w:t>
      </w:r>
      <w:r>
        <w:t xml:space="preserve">e-TrustEx is a platform offered to public administrations at European, national</w:t>
      </w:r>
      <w:r>
        <w:t xml:space="preserve"> </w:t>
      </w:r>
      <w:r>
        <w:t xml:space="preserve">and regional levels to undertake secure exchange of natively digital documents</w:t>
      </w:r>
      <w:r>
        <w:t xml:space="preserve"> </w:t>
      </w:r>
      <w:r>
        <w:t xml:space="preserve">or scanned documents from system to system via standardised interfaces.</w:t>
      </w:r>
      <w:r>
        <w:t xml:space="preserve"> </w:t>
      </w:r>
      <w:r>
        <w:t xml:space="preserve"> Contribution to the EIF: The action thus contributes particularly to</w:t>
      </w:r>
      <w:r>
        <w:t xml:space="preserve"> </w:t>
      </w:r>
      <w:r>
        <w:t xml:space="preserve">Recommendation 15 of the revised EIF, through enabling the secure</w:t>
      </w:r>
      <w:r>
        <w:t xml:space="preserve"> </w:t>
      </w:r>
      <w:r>
        <w:t xml:space="preserve">exchange of documents.</w:t>
      </w:r>
      <w:r>
        <w:t xml:space="preserve"> </w:t>
      </w:r>
      <w:r>
        <w:t xml:space="preserve"> Contribution to the IAP: The platform supports public administrations in</w:t>
      </w:r>
      <w:r>
        <w:t xml:space="preserve"> </w:t>
      </w:r>
      <w:r>
        <w:t xml:space="preserve">implementing EU policies that require the electronic exchange of</w:t>
      </w:r>
      <w:r>
        <w:t xml:space="preserve"> </w:t>
      </w:r>
      <w:r>
        <w:t xml:space="preserve">information, contributing to the implementation of the eIDAS Regulation</w:t>
      </w:r>
      <w:r>
        <w:t xml:space="preserve"> </w:t>
      </w:r>
      <w:r>
        <w:t xml:space="preserve">among others. In this context, e-TrustEx contributes to Action 15 of the</w:t>
      </w:r>
      <w:r>
        <w:t xml:space="preserve"> </w:t>
      </w:r>
      <w:r>
        <w:t xml:space="preserve">IAP.</w:t>
      </w:r>
      <w:r>
        <w:t xml:space="preserve"> </w:t>
      </w:r>
      <w:r>
        <w:t xml:space="preserve">1. Key and</w:t>
      </w:r>
      <w:r>
        <w:t xml:space="preserve"> </w:t>
      </w:r>
      <w:r>
        <w:t xml:space="preserve">generic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enablers</w:t>
      </w:r>
      <w:r>
        <w:t xml:space="preserve"> </w:t>
      </w:r>
      <w:r>
        <w:t xml:space="preserve">2016.29</w:t>
      </w:r>
      <w:r>
        <w:t xml:space="preserve"> </w:t>
      </w:r>
      <w:r>
        <w:t xml:space="preserve">Catalogue of Services</w:t>
      </w:r>
      <w:r>
        <w:t xml:space="preserve"> </w:t>
      </w:r>
      <w:r>
        <w:t xml:space="preserve">The Catalogue of Services is one of the interoperability enablers for integrated</w:t>
      </w:r>
      <w:r>
        <w:t xml:space="preserve"> </w:t>
      </w:r>
      <w:r>
        <w:t xml:space="preserve">public services according to the conceptual model defined by the revised EIF.</w:t>
      </w:r>
      <w:r>
        <w:t xml:space="preserve"> </w:t>
      </w:r>
      <w:r>
        <w:t xml:space="preserve">To that end, the action is defining a technical specification (data model) and</w:t>
      </w:r>
      <w:r>
        <w:t xml:space="preserve"> </w:t>
      </w:r>
      <w:r>
        <w:t xml:space="preserve">implementing a set of tools to facilitate the creation of catalogue of public</w:t>
      </w:r>
      <w:r>
        <w:t xml:space="preserve"> </w:t>
      </w:r>
      <w:r>
        <w:t xml:space="preserve">services.</w:t>
      </w:r>
      <w:r>
        <w:t xml:space="preserve"> </w:t>
      </w:r>
      <w:r>
        <w:t xml:space="preserve"> Contribution to the EIF: The action addresses Recommendation 44 of the</w:t>
      </w:r>
      <w:r>
        <w:t xml:space="preserve"> </w:t>
      </w:r>
      <w:r>
        <w:t xml:space="preserve">revised version of the EIF on the catalogue of public services.</w:t>
      </w:r>
      <w:r>
        <w:t xml:space="preserve"> </w:t>
      </w:r>
      <w:r>
        <w:t xml:space="preserve"> Contribution to the IAP: The Catalogue of Services responds in particular</w:t>
      </w:r>
      <w:r>
        <w:t xml:space="preserve"> </w:t>
      </w:r>
      <w:r>
        <w:t xml:space="preserve">to Action 13 of the IAP.</w:t>
      </w:r>
      <w:r>
        <w:t xml:space="preserve"> </w:t>
      </w:r>
      <w:r>
        <w:t xml:space="preserve">2. Semantic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2016.07</w:t>
      </w:r>
      <w:r>
        <w:t xml:space="preserve"> </w:t>
      </w:r>
      <w:r>
        <w:t xml:space="preserve">SEMIC: Promoting Semantic</w:t>
      </w:r>
      <w:r>
        <w:t xml:space="preserve"> </w:t>
      </w:r>
      <w:r>
        <w:t xml:space="preserve">Interoperability Amongst the</w:t>
      </w:r>
      <w:r>
        <w:t xml:space="preserve"> </w:t>
      </w:r>
      <w:r>
        <w:t xml:space="preserve">European Union Member States</w:t>
      </w:r>
      <w:r>
        <w:t xml:space="preserve"> </w:t>
      </w:r>
      <w:r>
        <w:t xml:space="preserve">The Action supports the implementation of the EIF and the EIS by promoting</w:t>
      </w:r>
      <w:r>
        <w:t xml:space="preserve"> </w:t>
      </w:r>
      <w:r>
        <w:t xml:space="preserve">semantic interoperability, through the definition and use of common</w:t>
      </w:r>
      <w:r>
        <w:t xml:space="preserve"> </w:t>
      </w:r>
      <w:r>
        <w:t xml:space="preserve">specifications.</w:t>
      </w:r>
      <w:r>
        <w:t xml:space="preserve"> </w:t>
      </w:r>
      <w:r>
        <w:t xml:space="preserve"> 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EIF: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contributes</w:t>
      </w:r>
      <w:r>
        <w:t xml:space="preserve"> </w:t>
      </w:r>
      <w:r>
        <w:t xml:space="preserve">primarily</w:t>
      </w:r>
      <w:r>
        <w:t xml:space="preserve"> </w:t>
      </w:r>
      <w:r>
        <w:t xml:space="preserve">to</w:t>
      </w:r>
      <w:r>
        <w:t xml:space="preserve"> </w:t>
      </w:r>
      <w:r>
        <w:t xml:space="preserve">Recommendation 16 of the revised EIF. In addition, the action covers the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Package</w:t>
      </w:r>
      <w:r>
        <w:t xml:space="preserve"> </w:t>
      </w:r>
      <w:r>
        <w:t xml:space="preserve">Action</w:t>
      </w:r>
      <w:r>
        <w:t xml:space="preserve"> </w:t>
      </w:r>
      <w:r>
        <w:t xml:space="preserve">number</w:t>
      </w:r>
      <w:r>
        <w:t xml:space="preserve"> </w:t>
      </w:r>
      <w:r>
        <w:t xml:space="preserve">Action name</w:t>
      </w:r>
      <w:r>
        <w:t xml:space="preserve"> </w:t>
      </w:r>
      <w:r>
        <w:t xml:space="preserve">Contribution to the EIF and the IAP</w:t>
      </w:r>
      <w:r>
        <w:t xml:space="preserve"> </w:t>
      </w:r>
      <w:r>
        <w:t xml:space="preserve">following underlying principles of the EIF: Reusability, Multilingualism,</w:t>
      </w:r>
      <w:r>
        <w:t xml:space="preserve"> </w:t>
      </w:r>
      <w:r>
        <w:t xml:space="preserve">Openness, Semantic interoperability, Technical interoperability and</w:t>
      </w:r>
      <w:r>
        <w:t xml:space="preserve"> </w:t>
      </w:r>
      <w:r>
        <w:t xml:space="preserve">Standardisation.</w:t>
      </w:r>
      <w:r>
        <w:t xml:space="preserve"> </w:t>
      </w:r>
      <w:r>
        <w:t xml:space="preserve"> Contribution to the IAP: SEMIC supports several actions of the IAP,</w:t>
      </w:r>
      <w:r>
        <w:t xml:space="preserve"> </w:t>
      </w:r>
      <w:r>
        <w:t xml:space="preserve">including: 12, 13, 14 and 18.</w:t>
      </w:r>
      <w:r>
        <w:t xml:space="preserve"> </w:t>
      </w:r>
      <w:r>
        <w:t xml:space="preserve">2. Semantic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2016.16</w:t>
      </w:r>
      <w:r>
        <w:t xml:space="preserve"> </w:t>
      </w:r>
      <w:r>
        <w:t xml:space="preserve">Public Multilingual Knowledge</w:t>
      </w:r>
      <w:r>
        <w:t xml:space="preserve"> </w:t>
      </w:r>
      <w:r>
        <w:t xml:space="preserve">Management Infrastructure for</w:t>
      </w:r>
      <w:r>
        <w:t xml:space="preserve"> </w:t>
      </w:r>
      <w:r>
        <w:t xml:space="preserve">the Digital Single Market</w:t>
      </w:r>
      <w:r>
        <w:t xml:space="preserve"> </w:t>
      </w:r>
      <w:r>
        <w:t xml:space="preserve">The creation of a Public Multilingual Knowledge Infrastructure aims to support</w:t>
      </w:r>
      <w:r>
        <w:t xml:space="preserve"> </w:t>
      </w:r>
      <w:r>
        <w:t xml:space="preserve">EU public administrations in creating services that can be accessible and</w:t>
      </w:r>
      <w:r>
        <w:t xml:space="preserve"> </w:t>
      </w:r>
      <w:r>
        <w:t xml:space="preserve">shareable independently from the language actually used, as well as allowing</w:t>
      </w:r>
      <w:r>
        <w:t xml:space="preserve"> </w:t>
      </w:r>
      <w:r>
        <w:t xml:space="preserve">SMEs to sell goods and service cross-border in a DSM.</w:t>
      </w:r>
      <w:r>
        <w:t xml:space="preserve"> </w:t>
      </w:r>
      <w:r>
        <w:t xml:space="preserve"> Contribution to the EIF: The action is based on several recommendations</w:t>
      </w:r>
      <w:r>
        <w:t xml:space="preserve"> </w:t>
      </w:r>
      <w:r>
        <w:t xml:space="preserve">(primarily Recommendation 16 on taking into account multilingualism in</w:t>
      </w:r>
      <w:r>
        <w:t xml:space="preserve"> </w:t>
      </w:r>
      <w:r>
        <w:t xml:space="preserve">the setting up of European public services) and principles of the new EIF,</w:t>
      </w:r>
      <w:r>
        <w:t xml:space="preserve"> </w:t>
      </w:r>
      <w:r>
        <w:t xml:space="preserve">in particular those concerning multilingualism, accessibility, administrative</w:t>
      </w:r>
      <w:r>
        <w:t xml:space="preserve"> </w:t>
      </w:r>
      <w:r>
        <w:t xml:space="preserve">simplification, transparency, and reusability of the solutions.</w:t>
      </w:r>
      <w:r>
        <w:t xml:space="preserve"> </w:t>
      </w:r>
      <w:r>
        <w:t xml:space="preserve"> Contribution to the IAP: This action contributes to Action 7 of the IAP,</w:t>
      </w:r>
      <w:r>
        <w:t xml:space="preserve"> </w:t>
      </w:r>
      <w:r>
        <w:t xml:space="preserve">with its focus on the particular area of multilingualism to improve the</w:t>
      </w:r>
      <w:r>
        <w:t xml:space="preserve"> </w:t>
      </w:r>
      <w:r>
        <w:t xml:space="preserve">delivery of services and exchange of information.</w:t>
      </w:r>
      <w:r>
        <w:t xml:space="preserve"> </w:t>
      </w:r>
      <w:r>
        <w:t xml:space="preserve">3. Access to</w:t>
      </w:r>
      <w:r>
        <w:t xml:space="preserve"> </w:t>
      </w:r>
      <w:r>
        <w:t xml:space="preserve">data/data</w:t>
      </w:r>
      <w:r>
        <w:t xml:space="preserve"> </w:t>
      </w:r>
      <w:r>
        <w:t xml:space="preserve">sharing/open</w:t>
      </w:r>
      <w:r>
        <w:t xml:space="preserve"> </w:t>
      </w:r>
      <w:r>
        <w:t xml:space="preserve">data</w:t>
      </w:r>
      <w:r>
        <w:t xml:space="preserve"> </w:t>
      </w:r>
      <w:r>
        <w:t xml:space="preserve">2016.03</w:t>
      </w:r>
      <w:r>
        <w:t xml:space="preserve"> </w:t>
      </w:r>
      <w:r>
        <w:t xml:space="preserve">Big Data for 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This action will facilitate the sharing of open data between public</w:t>
      </w:r>
      <w:r>
        <w:t xml:space="preserve"> </w:t>
      </w:r>
      <w:r>
        <w:t xml:space="preserve">administrations through the support to the execution of analytics projects on</w:t>
      </w:r>
      <w:r>
        <w:t xml:space="preserve"> </w:t>
      </w:r>
      <w:r>
        <w:t xml:space="preserve">Big Data; increase the transparency of decision-making in public</w:t>
      </w:r>
      <w:r>
        <w:t xml:space="preserve"> </w:t>
      </w:r>
      <w:r>
        <w:t xml:space="preserve">administrations by supporting knowledge sharing on evidence-based policy-</w:t>
      </w:r>
      <w:r>
        <w:t xml:space="preserve"> </w:t>
      </w:r>
      <w:r>
        <w:t xml:space="preserve">making practices; support the re-use of open source data analytics tools</w:t>
      </w:r>
      <w:r>
        <w:t xml:space="preserve"> </w:t>
      </w:r>
      <w:r>
        <w:t xml:space="preserve">developed by Member States of EU Institutions; and provide public</w:t>
      </w:r>
      <w:r>
        <w:t xml:space="preserve"> </w:t>
      </w:r>
      <w:r>
        <w:t xml:space="preserve">administrations with the opportunity to test (open source) technologies in this</w:t>
      </w:r>
      <w:r>
        <w:t xml:space="preserve"> </w:t>
      </w:r>
      <w:r>
        <w:t xml:space="preserve">domain before making a decision on the technical way forward.</w:t>
      </w:r>
      <w:r>
        <w:t xml:space="preserve"> </w:t>
      </w:r>
      <w:r>
        <w:t xml:space="preserve"> Contribution to the EIF: This action contributes to several EIF principles</w:t>
      </w:r>
      <w:r>
        <w:t xml:space="preserve"> </w:t>
      </w:r>
      <w:r>
        <w:t xml:space="preserve">including ‘openness’, ‘transparency’, ‘reusability’ and ‘technological</w:t>
      </w:r>
      <w:r>
        <w:t xml:space="preserve"> </w:t>
      </w:r>
      <w:r>
        <w:t xml:space="preserve">neutrality’.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Package</w:t>
      </w:r>
      <w:r>
        <w:t xml:space="preserve"> </w:t>
      </w:r>
      <w:r>
        <w:t xml:space="preserve">Action</w:t>
      </w:r>
      <w:r>
        <w:t xml:space="preserve"> </w:t>
      </w:r>
      <w:r>
        <w:t xml:space="preserve">number</w:t>
      </w:r>
      <w:r>
        <w:t xml:space="preserve"> </w:t>
      </w:r>
      <w:r>
        <w:t xml:space="preserve">Action name</w:t>
      </w:r>
      <w:r>
        <w:t xml:space="preserve"> </w:t>
      </w:r>
      <w:r>
        <w:t xml:space="preserve">Contribution to the EIF and the IAP</w:t>
      </w:r>
      <w:r>
        <w:t xml:space="preserve"> </w:t>
      </w:r>
      <w:r>
        <w:t xml:space="preserve"> Contribution to the IAP: This action contributes primarily to Action 14 of</w:t>
      </w:r>
      <w:r>
        <w:t xml:space="preserve"> </w:t>
      </w:r>
      <w:r>
        <w:t xml:space="preserve">the IAP.</w:t>
      </w:r>
      <w:r>
        <w:t xml:space="preserve"> </w:t>
      </w:r>
      <w:r>
        <w:t xml:space="preserve">3. Access to</w:t>
      </w:r>
      <w:r>
        <w:t xml:space="preserve"> </w:t>
      </w:r>
      <w:r>
        <w:t xml:space="preserve">data/data</w:t>
      </w:r>
      <w:r>
        <w:t xml:space="preserve"> </w:t>
      </w:r>
      <w:r>
        <w:t xml:space="preserve">sharing/open</w:t>
      </w:r>
      <w:r>
        <w:t xml:space="preserve"> </w:t>
      </w:r>
      <w:r>
        <w:t xml:space="preserve">data</w:t>
      </w:r>
      <w:r>
        <w:t xml:space="preserve"> </w:t>
      </w:r>
      <w:r>
        <w:t xml:space="preserve">2016.06</w:t>
      </w:r>
      <w:r>
        <w:t xml:space="preserve"> </w:t>
      </w:r>
      <w:r>
        <w:t xml:space="preserve">Sharing Statistical Production</w:t>
      </w:r>
      <w:r>
        <w:t xml:space="preserve"> </w:t>
      </w:r>
      <w:r>
        <w:t xml:space="preserve">and Dissemination Services and</w:t>
      </w:r>
      <w:r>
        <w:t xml:space="preserve"> </w:t>
      </w:r>
      <w:r>
        <w:t xml:space="preserve">Solutions in the European</w:t>
      </w:r>
      <w:r>
        <w:t xml:space="preserve"> </w:t>
      </w:r>
      <w:r>
        <w:t xml:space="preserve">Statistical System</w:t>
      </w:r>
      <w:r>
        <w:t xml:space="preserve"> </w:t>
      </w:r>
      <w:r>
        <w:t xml:space="preserve">This action contributes to several areas: developing, maintaining and</w:t>
      </w:r>
      <w:r>
        <w:t xml:space="preserve"> </w:t>
      </w:r>
      <w:r>
        <w:t xml:space="preserve">promoting interoperable solutions for the production and dissemination of</w:t>
      </w:r>
      <w:r>
        <w:t xml:space="preserve"> </w:t>
      </w:r>
      <w:r>
        <w:t xml:space="preserve">statistics by EU public administrations (including the EC) and 2) developing,</w:t>
      </w:r>
      <w:r>
        <w:t xml:space="preserve"> </w:t>
      </w:r>
      <w:r>
        <w:t xml:space="preserve">maintaining and promoting a) a specification of the EIRA to support better</w:t>
      </w:r>
      <w:r>
        <w:t xml:space="preserve"> </w:t>
      </w:r>
      <w:r>
        <w:t xml:space="preserve">interoperability and cooperation for the production and dissemination of</w:t>
      </w:r>
      <w:r>
        <w:t xml:space="preserve"> </w:t>
      </w:r>
      <w:r>
        <w:t xml:space="preserve">Official Statistics in the European Statistical System; b) a common</w:t>
      </w:r>
      <w:r>
        <w:t xml:space="preserve"> </w:t>
      </w:r>
      <w:r>
        <w:t xml:space="preserve">infrastructure for the exposure and consumption of shared statistical services.</w:t>
      </w:r>
      <w:r>
        <w:t xml:space="preserve"> </w:t>
      </w:r>
      <w:r>
        <w:t xml:space="preserve">In addition, the proposal contributes significantly to the realisation of the ESS</w:t>
      </w:r>
      <w:r>
        <w:t xml:space="preserve"> </w:t>
      </w:r>
      <w:r>
        <w:t xml:space="preserve">Vision 2020 objectives in the domain of sharing tools and improving statistical</w:t>
      </w:r>
      <w:r>
        <w:t xml:space="preserve"> </w:t>
      </w:r>
      <w:r>
        <w:t xml:space="preserve">dissemination.</w:t>
      </w:r>
      <w:r>
        <w:t xml:space="preserve"> </w:t>
      </w:r>
      <w:r>
        <w:t xml:space="preserve"> Contribution to the EIF: Through its focus on aligning infrastructures for</w:t>
      </w:r>
      <w:r>
        <w:t xml:space="preserve"> </w:t>
      </w:r>
      <w:r>
        <w:t xml:space="preserve">shared statistical services, the action builds on the principles and</w:t>
      </w:r>
      <w:r>
        <w:t xml:space="preserve"> </w:t>
      </w:r>
      <w:r>
        <w:t xml:space="preserve">recommendations of the EIF, in particular Recommendation 36.</w:t>
      </w:r>
      <w:r>
        <w:t xml:space="preserve"> </w:t>
      </w:r>
      <w:r>
        <w:t xml:space="preserve"> Contribution to the IAP: The activities undertaken as part of this action</w:t>
      </w:r>
      <w:r>
        <w:t xml:space="preserve"> </w:t>
      </w:r>
      <w:r>
        <w:t xml:space="preserve">feed into Actions 7 9, 22.</w:t>
      </w:r>
      <w:r>
        <w:t xml:space="preserve"> </w:t>
      </w:r>
      <w:r>
        <w:t xml:space="preserve">3. Access to</w:t>
      </w:r>
      <w:r>
        <w:t xml:space="preserve"> </w:t>
      </w:r>
      <w:r>
        <w:t xml:space="preserve">data/data</w:t>
      </w:r>
      <w:r>
        <w:t xml:space="preserve"> </w:t>
      </w:r>
      <w:r>
        <w:t xml:space="preserve">sharing/open</w:t>
      </w:r>
      <w:r>
        <w:t xml:space="preserve"> </w:t>
      </w:r>
      <w:r>
        <w:t xml:space="preserve">data</w:t>
      </w:r>
      <w:r>
        <w:t xml:space="preserve"> </w:t>
      </w:r>
      <w:r>
        <w:t xml:space="preserve">2016.18</w:t>
      </w:r>
      <w:r>
        <w:t xml:space="preserve"> </w:t>
      </w:r>
      <w:r>
        <w:t xml:space="preserve">Development of an Open Data</w:t>
      </w:r>
      <w:r>
        <w:t xml:space="preserve"> </w:t>
      </w:r>
      <w:r>
        <w:t xml:space="preserve">Service, Support and Training</w:t>
      </w:r>
      <w:r>
        <w:t xml:space="preserve"> </w:t>
      </w:r>
      <w:r>
        <w:t xml:space="preserve">Package in the Area of Linked</w:t>
      </w:r>
      <w:r>
        <w:t xml:space="preserve"> </w:t>
      </w:r>
      <w:r>
        <w:t xml:space="preserve">Open Data, Data Visualisation</w:t>
      </w:r>
      <w:r>
        <w:t xml:space="preserve"> </w:t>
      </w:r>
      <w:r>
        <w:t xml:space="preserve">and Persistent Identification</w:t>
      </w:r>
      <w:r>
        <w:t xml:space="preserve"> </w:t>
      </w:r>
      <w:r>
        <w:t xml:space="preserve">The action supports open data initiatives by facilitating data re-use and sharing</w:t>
      </w:r>
      <w:r>
        <w:t xml:space="preserve"> </w:t>
      </w:r>
      <w:r>
        <w:t xml:space="preserve">and offering tools to visualise data effectively.</w:t>
      </w:r>
      <w:r>
        <w:t xml:space="preserve"> </w:t>
      </w:r>
      <w:r>
        <w:t xml:space="preserve"> Contribution to the EIF: The action contributes to the new EIF, namely the</w:t>
      </w:r>
      <w:r>
        <w:t xml:space="preserve"> </w:t>
      </w:r>
      <w:r>
        <w:t xml:space="preserve">interoperability principles: openness, transparency, reusability, user–</w:t>
      </w:r>
      <w:r>
        <w:t xml:space="preserve"> </w:t>
      </w:r>
      <w:r>
        <w:t xml:space="preserve">centricity and multilingualism, accessibility.</w:t>
      </w:r>
      <w:r>
        <w:t xml:space="preserve"> </w:t>
      </w:r>
      <w:r>
        <w:t xml:space="preserve"> Contribution to the IAP: The action contributes to several priorities listed in</w:t>
      </w:r>
      <w:r>
        <w:t xml:space="preserve"> </w:t>
      </w:r>
      <w:r>
        <w:t xml:space="preserve">the IAP: organisational interoperability (Actions 6 and 7); sharing of good</w:t>
      </w:r>
      <w:r>
        <w:t xml:space="preserve"> </w:t>
      </w:r>
      <w:r>
        <w:t xml:space="preserve">practices (Action 11); governance structure (Action 2) and key enablers</w:t>
      </w:r>
      <w:r>
        <w:t xml:space="preserve"> </w:t>
      </w:r>
      <w:r>
        <w:t xml:space="preserve">focused on EU open data initiative (Action 14).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Package</w:t>
      </w:r>
      <w:r>
        <w:t xml:space="preserve"> </w:t>
      </w:r>
      <w:r>
        <w:t xml:space="preserve">Action</w:t>
      </w:r>
      <w:r>
        <w:t xml:space="preserve"> </w:t>
      </w:r>
      <w:r>
        <w:t xml:space="preserve">number</w:t>
      </w:r>
      <w:r>
        <w:t xml:space="preserve"> </w:t>
      </w:r>
      <w:r>
        <w:t xml:space="preserve">Action name</w:t>
      </w:r>
      <w:r>
        <w:t xml:space="preserve"> </w:t>
      </w:r>
      <w:r>
        <w:t xml:space="preserve">Contribution to the EIF and the IAP</w:t>
      </w:r>
      <w:r>
        <w:t xml:space="preserve"> </w:t>
      </w:r>
      <w:r>
        <w:t xml:space="preserve">4. Geospatial</w:t>
      </w:r>
      <w:r>
        <w:t xml:space="preserve"> </w:t>
      </w:r>
      <w:r>
        <w:t xml:space="preserve">solutions</w:t>
      </w:r>
      <w:r>
        <w:t xml:space="preserve"> </w:t>
      </w:r>
      <w:r>
        <w:t xml:space="preserve">2016.10</w:t>
      </w:r>
      <w:r>
        <w:t xml:space="preserve"> </w:t>
      </w:r>
      <w:r>
        <w:t xml:space="preserve">European Location</w:t>
      </w:r>
      <w:r>
        <w:t xml:space="preserve"> </w:t>
      </w:r>
      <w:r>
        <w:t xml:space="preserve">Interoperability Solutions for e-</w:t>
      </w:r>
      <w:r>
        <w:t xml:space="preserve"> </w:t>
      </w:r>
      <w:r>
        <w:t xml:space="preserve">Government (ELISE)</w:t>
      </w:r>
      <w:r>
        <w:t xml:space="preserve"> </w:t>
      </w:r>
      <w:r>
        <w:t xml:space="preserve">ELISE has aimed to deepen the understanding of location interoperability</w:t>
      </w:r>
      <w:r>
        <w:t xml:space="preserve"> </w:t>
      </w:r>
      <w:r>
        <w:t xml:space="preserve">enablers and barriers related to the transition towards digital government.</w:t>
      </w:r>
      <w:r>
        <w:t xml:space="preserve"> </w:t>
      </w:r>
      <w:r>
        <w:t xml:space="preserve"> Contribution to the EIF: ELISE builds on several areas of the EIF including</w:t>
      </w:r>
      <w:r>
        <w:t xml:space="preserve"> </w:t>
      </w:r>
      <w:r>
        <w:t xml:space="preserve">openness,</w:t>
      </w:r>
      <w:r>
        <w:t xml:space="preserve"> </w:t>
      </w:r>
      <w:r>
        <w:t xml:space="preserve">reusability,</w:t>
      </w:r>
      <w:r>
        <w:t xml:space="preserve"> </w:t>
      </w:r>
      <w:r>
        <w:t xml:space="preserve">technological</w:t>
      </w:r>
      <w:r>
        <w:t xml:space="preserve"> </w:t>
      </w:r>
      <w:r>
        <w:t xml:space="preserve">neutrality,</w:t>
      </w:r>
      <w:r>
        <w:t xml:space="preserve"> </w:t>
      </w:r>
      <w:r>
        <w:t xml:space="preserve">user-centricity,</w:t>
      </w:r>
      <w:r>
        <w:t xml:space="preserve"> </w:t>
      </w:r>
      <w:r>
        <w:t xml:space="preserve">multilingualism, and administrative simplification.</w:t>
      </w:r>
      <w:r>
        <w:t xml:space="preserve"> </w:t>
      </w:r>
      <w:r>
        <w:t xml:space="preserve"> Contribution to the IAP: ELISE brings contributions in particular to Action</w:t>
      </w:r>
      <w:r>
        <w:t xml:space="preserve"> </w:t>
      </w:r>
      <w:r>
        <w:t xml:space="preserve">17, through its support for the implementation of the INSPIRE Directive.</w:t>
      </w:r>
      <w:r>
        <w:t xml:space="preserve"> </w:t>
      </w:r>
      <w:r>
        <w:t xml:space="preserve">ELISE also contributes to Actions 4, 6 &amp; 19.</w:t>
      </w:r>
      <w:r>
        <w:t xml:space="preserve"> </w:t>
      </w:r>
      <w:r>
        <w:t xml:space="preserve">5.</w:t>
      </w:r>
      <w:r>
        <w:t xml:space="preserve"> </w:t>
      </w:r>
      <w:r>
        <w:t xml:space="preserve">eProcurement/</w:t>
      </w:r>
      <w:r>
        <w:t xml:space="preserve"> </w:t>
      </w:r>
      <w:r>
        <w:t xml:space="preserve">eInvoicing -</w:t>
      </w:r>
      <w:r>
        <w:t xml:space="preserve"> </w:t>
      </w:r>
      <w:r>
        <w:t xml:space="preserve">Supporting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2016.05</w:t>
      </w:r>
      <w:r>
        <w:t xml:space="preserve"> </w:t>
      </w:r>
      <w:r>
        <w:t xml:space="preserve">European Public Procurement</w:t>
      </w:r>
      <w:r>
        <w:t xml:space="preserve"> </w:t>
      </w:r>
      <w:r>
        <w:t xml:space="preserve">Interoperability Initiative</w:t>
      </w:r>
      <w:r>
        <w:t xml:space="preserve"> </w:t>
      </w:r>
      <w:r>
        <w:t xml:space="preserve">This action supports several activities designed to simplify procurement and</w:t>
      </w:r>
      <w:r>
        <w:t xml:space="preserve"> </w:t>
      </w:r>
      <w:r>
        <w:t xml:space="preserve">facilitate the participation in online procurement as well the re-use of data in</w:t>
      </w:r>
      <w:r>
        <w:t xml:space="preserve"> </w:t>
      </w:r>
      <w:r>
        <w:t xml:space="preserve">the field.</w:t>
      </w:r>
      <w:r>
        <w:t xml:space="preserve"> </w:t>
      </w:r>
      <w:r>
        <w:t xml:space="preserve"> 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 EIF:</w:t>
      </w:r>
      <w:r>
        <w:t xml:space="preserve"> </w:t>
      </w:r>
      <w:r>
        <w:t xml:space="preserve">The action</w:t>
      </w:r>
      <w:r>
        <w:t xml:space="preserve"> </w:t>
      </w:r>
      <w:r>
        <w:t xml:space="preserve">builds in</w:t>
      </w:r>
      <w:r>
        <w:t xml:space="preserve"> </w:t>
      </w:r>
      <w:r>
        <w:t xml:space="preserve">particular</w:t>
      </w:r>
      <w:r>
        <w:t xml:space="preserve"> </w:t>
      </w:r>
      <w:r>
        <w:t xml:space="preserve">on</w:t>
      </w:r>
      <w:r>
        <w:t xml:space="preserve"> </w:t>
      </w:r>
      <w:r>
        <w:t xml:space="preserve">Recommendations 28 and 30 of the EIF, as well as facilitating the</w:t>
      </w:r>
      <w:r>
        <w:t xml:space="preserve"> </w:t>
      </w:r>
      <w:r>
        <w:t xml:space="preserve">implementation of the once-only principle in the area of public</w:t>
      </w:r>
      <w:r>
        <w:t xml:space="preserve"> </w:t>
      </w:r>
      <w:r>
        <w:t xml:space="preserve">procurement.</w:t>
      </w:r>
      <w:r>
        <w:t xml:space="preserve"> </w:t>
      </w:r>
      <w:r>
        <w:t xml:space="preserve"> 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IAP:</w:t>
      </w:r>
      <w:r>
        <w:t xml:space="preserve"> </w:t>
      </w:r>
      <w:r>
        <w:t xml:space="preserve">The</w:t>
      </w:r>
      <w:r>
        <w:t xml:space="preserve"> </w:t>
      </w:r>
      <w:r>
        <w:t xml:space="preserve">‘European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Interoperability Initiative’ contributes in particular to actions 1, 7 and 18.</w:t>
      </w:r>
      <w:r>
        <w:t xml:space="preserve"> </w:t>
      </w:r>
      <w:r>
        <w:t xml:space="preserve">6. Decision</w:t>
      </w:r>
      <w:r>
        <w:t xml:space="preserve"> </w:t>
      </w:r>
      <w:r>
        <w:t xml:space="preserve">making and</w:t>
      </w:r>
      <w:r>
        <w:t xml:space="preserve"> </w:t>
      </w:r>
      <w:r>
        <w:t xml:space="preserve">legislation -</w:t>
      </w:r>
      <w:r>
        <w:t xml:space="preserve"> </w:t>
      </w:r>
      <w:r>
        <w:t xml:space="preserve">Supporting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2016.23</w:t>
      </w:r>
      <w:r>
        <w:t xml:space="preserve"> </w:t>
      </w:r>
      <w:r>
        <w:t xml:space="preserve">Legal interoperability (former</w:t>
      </w:r>
      <w:r>
        <w:t xml:space="preserve"> </w:t>
      </w:r>
      <w:r>
        <w:t xml:space="preserve">ICT Implications of EU</w:t>
      </w:r>
      <w:r>
        <w:t xml:space="preserve"> </w:t>
      </w:r>
      <w:r>
        <w:t xml:space="preserve">Legislation)</w:t>
      </w:r>
      <w:r>
        <w:t xml:space="preserve"> </w:t>
      </w:r>
      <w:r>
        <w:t xml:space="preserve">The ‘Legal Interoperability’ action supports policymaking across policy areas,</w:t>
      </w:r>
      <w:r>
        <w:t xml:space="preserve"> </w:t>
      </w:r>
      <w:r>
        <w:t xml:space="preserve">bringing to the forefront the importance of considering potential digital impacts</w:t>
      </w:r>
      <w:r>
        <w:t xml:space="preserve"> </w:t>
      </w:r>
      <w:r>
        <w:t xml:space="preserve">and the role of interoperability when developing new legislation.</w:t>
      </w:r>
      <w:r>
        <w:t xml:space="preserve"> </w:t>
      </w:r>
      <w:r>
        <w:t xml:space="preserve"> Contribution to the EIF: The action implements Recommendation 27 on</w:t>
      </w:r>
      <w:r>
        <w:t xml:space="preserve"> </w:t>
      </w:r>
      <w:r>
        <w:t xml:space="preserve">legal interoperability of the new EIF.</w:t>
      </w:r>
      <w:r>
        <w:t xml:space="preserve"> </w:t>
      </w:r>
      <w:r>
        <w:t xml:space="preserve"> Contribution to the IAP: This ISA² action implements action 3 of Focus</w:t>
      </w:r>
      <w:r>
        <w:t xml:space="preserve"> </w:t>
      </w:r>
      <w:r>
        <w:t xml:space="preserve">Area 1 on the governance and coordination of interoperability initiatives,</w:t>
      </w:r>
      <w:r>
        <w:t xml:space="preserve"> </w:t>
      </w:r>
      <w:r>
        <w:t xml:space="preserve">and actions 19 and 20 of Focus Area 5 on supporting instruments for</w:t>
      </w:r>
      <w:r>
        <w:t xml:space="preserve"> </w:t>
      </w:r>
      <w:r>
        <w:t xml:space="preserve">interoperability.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Package</w:t>
      </w:r>
      <w:r>
        <w:t xml:space="preserve"> </w:t>
      </w:r>
      <w:r>
        <w:t xml:space="preserve">Action</w:t>
      </w:r>
      <w:r>
        <w:t xml:space="preserve"> </w:t>
      </w:r>
      <w:r>
        <w:t xml:space="preserve">number</w:t>
      </w:r>
      <w:r>
        <w:t xml:space="preserve"> </w:t>
      </w:r>
      <w:r>
        <w:t xml:space="preserve">Action name</w:t>
      </w:r>
      <w:r>
        <w:t xml:space="preserve"> </w:t>
      </w:r>
      <w:r>
        <w:t xml:space="preserve">Contribution to the EIF and the IAP</w:t>
      </w:r>
      <w:r>
        <w:t xml:space="preserve"> </w:t>
      </w:r>
      <w:r>
        <w:t xml:space="preserve">6. Decision</w:t>
      </w:r>
      <w:r>
        <w:t xml:space="preserve"> </w:t>
      </w:r>
      <w:r>
        <w:t xml:space="preserve">making and</w:t>
      </w:r>
      <w:r>
        <w:t xml:space="preserve"> </w:t>
      </w:r>
      <w:r>
        <w:t xml:space="preserve">legislation -</w:t>
      </w:r>
      <w:r>
        <w:t xml:space="preserve"> </w:t>
      </w:r>
      <w:r>
        <w:t xml:space="preserve">Supporting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2017.04</w:t>
      </w:r>
      <w:r>
        <w:t xml:space="preserve"> </w:t>
      </w:r>
      <w:r>
        <w:t xml:space="preserve">Inter-Institutional Register of</w:t>
      </w:r>
      <w:r>
        <w:t xml:space="preserve"> </w:t>
      </w:r>
      <w:r>
        <w:t xml:space="preserve">Delegated Acts (RegDel)</w:t>
      </w:r>
      <w:r>
        <w:t xml:space="preserve"> </w:t>
      </w:r>
      <w:r>
        <w:t xml:space="preserve">This action focused on developing an IT tool setting up the Inter-Institutional</w:t>
      </w:r>
      <w:r>
        <w:t xml:space="preserve"> </w:t>
      </w:r>
      <w:r>
        <w:t xml:space="preserve">Register of Delegated Acts, increasing transparency around delegated acts and</w:t>
      </w:r>
      <w:r>
        <w:t xml:space="preserve"> </w:t>
      </w:r>
      <w:r>
        <w:t xml:space="preserve">thus responding to the 2016 commitment of the Commission in this sense.</w:t>
      </w:r>
      <w:r>
        <w:t xml:space="preserve"> </w:t>
      </w:r>
      <w:r>
        <w:t xml:space="preserve"> Contribution to the EIF: This action contributes primarily to the</w:t>
      </w:r>
      <w:r>
        <w:t xml:space="preserve"> </w:t>
      </w:r>
      <w:r>
        <w:t xml:space="preserve">transparency principle of the EIF and to Recommendation 5 of the new EIF</w:t>
      </w:r>
      <w:r>
        <w:t xml:space="preserve"> </w:t>
      </w:r>
      <w:r>
        <w:t xml:space="preserve">by providing a transparent overview of delegated acts.</w:t>
      </w:r>
      <w:r>
        <w:t xml:space="preserve"> </w:t>
      </w:r>
      <w:r>
        <w:t xml:space="preserve"> Contribution to the IAP: This action, by enhancing inter-institutional</w:t>
      </w:r>
      <w:r>
        <w:t xml:space="preserve"> </w:t>
      </w:r>
      <w:r>
        <w:t xml:space="preserve">governance, contributes to Action 1 of the IAP.</w:t>
      </w:r>
      <w:r>
        <w:t xml:space="preserve"> </w:t>
      </w:r>
      <w:r>
        <w:t xml:space="preserve">8. Supporting</w:t>
      </w:r>
      <w:r>
        <w:t xml:space="preserve"> </w:t>
      </w:r>
      <w:r>
        <w:t xml:space="preserve">instruments 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2016.20</w:t>
      </w:r>
      <w:r>
        <w:t xml:space="preserve"> </w:t>
      </w:r>
      <w:r>
        <w:t xml:space="preserve">Joinup – European Collaborative</w:t>
      </w:r>
      <w:r>
        <w:t xml:space="preserve"> </w:t>
      </w:r>
      <w:r>
        <w:t xml:space="preserve">Platform and Catalogue</w:t>
      </w:r>
      <w:r>
        <w:t xml:space="preserve"> </w:t>
      </w:r>
      <w:r>
        <w:t xml:space="preserve">The action facilitates the sharing and re-use of solutions for public</w:t>
      </w:r>
      <w:r>
        <w:t xml:space="preserve"> </w:t>
      </w:r>
      <w:r>
        <w:t xml:space="preserve">administrations and provides the stakeholders with the means to collaborate via</w:t>
      </w:r>
      <w:r>
        <w:t xml:space="preserve"> </w:t>
      </w:r>
      <w:r>
        <w:t xml:space="preserve">a collaborative platform.</w:t>
      </w:r>
      <w:r>
        <w:t xml:space="preserve"> </w:t>
      </w:r>
      <w:r>
        <w:t xml:space="preserve"> Contribution to the EIF: ‘Joinup’ builds especially on the reusability</w:t>
      </w:r>
      <w:r>
        <w:t xml:space="preserve"> </w:t>
      </w:r>
      <w:r>
        <w:t xml:space="preserve">principle of the EIF, facilitating access and supporting the re-use of</w:t>
      </w:r>
      <w:r>
        <w:t xml:space="preserve"> </w:t>
      </w:r>
      <w:r>
        <w:t xml:space="preserve">available interoperable solutions.</w:t>
      </w:r>
      <w:r>
        <w:t xml:space="preserve"> </w:t>
      </w:r>
      <w:r>
        <w:t xml:space="preserve"> Contribution to the IAP: The activities ran as part of the ‘Joinup’ action</w:t>
      </w:r>
      <w:r>
        <w:t xml:space="preserve"> </w:t>
      </w:r>
      <w:r>
        <w:t xml:space="preserve">have contributed to Action 10 of the IAP, which explicitly asked for</w:t>
      </w:r>
      <w:r>
        <w:t xml:space="preserve"> </w:t>
      </w:r>
      <w:r>
        <w:t xml:space="preserve">‘maintaining, improving and animating the Joinup platform for better user</w:t>
      </w:r>
      <w:r>
        <w:t xml:space="preserve"> </w:t>
      </w:r>
      <w:r>
        <w:t xml:space="preserve">engagement and community building’, as well as action 21.</w:t>
      </w:r>
      <w:r>
        <w:t xml:space="preserve"> </w:t>
      </w:r>
      <w:r>
        <w:t xml:space="preserve">8. Supporting</w:t>
      </w:r>
      <w:r>
        <w:t xml:space="preserve"> </w:t>
      </w:r>
      <w:r>
        <w:t xml:space="preserve">instruments 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2016.21</w:t>
      </w:r>
      <w:r>
        <w:t xml:space="preserve"> </w:t>
      </w:r>
      <w:r>
        <w:t xml:space="preserve">National Interoperability</w:t>
      </w:r>
      <w:r>
        <w:t xml:space="preserve"> </w:t>
      </w:r>
      <w:r>
        <w:t xml:space="preserve">Framework Observatory</w:t>
      </w:r>
      <w:r>
        <w:t xml:space="preserve"> </w:t>
      </w:r>
      <w:r>
        <w:t xml:space="preserve">The NIFO action has monitored interoperability initiatives in the Members and</w:t>
      </w:r>
      <w:r>
        <w:t xml:space="preserve"> </w:t>
      </w:r>
      <w:r>
        <w:t xml:space="preserve">developed the Monitoring Mechanism to keep track of the implementation of</w:t>
      </w:r>
      <w:r>
        <w:t xml:space="preserve"> </w:t>
      </w:r>
      <w:r>
        <w:t xml:space="preserve">the EIF Recommendations by Member States. NIFO has also developed an EIF</w:t>
      </w:r>
      <w:r>
        <w:t xml:space="preserve"> </w:t>
      </w:r>
      <w:r>
        <w:t xml:space="preserve">Toolbox to support Member States in the implementation of the EIF.</w:t>
      </w:r>
      <w:r>
        <w:t xml:space="preserve"> </w:t>
      </w:r>
      <w:r>
        <w:t xml:space="preserve"> Contribution to the EIF: NIFO provides an overarching contribution to the</w:t>
      </w:r>
      <w:r>
        <w:t xml:space="preserve"> </w:t>
      </w:r>
      <w:r>
        <w:t xml:space="preserve">EIF, by helping monitor the alignment of national initiatives with the EIF</w:t>
      </w:r>
      <w:r>
        <w:t xml:space="preserve"> </w:t>
      </w:r>
      <w:r>
        <w:t xml:space="preserve">and the implementation of the EIF in the Member States. The action</w:t>
      </w:r>
      <w:r>
        <w:t xml:space="preserve"> </w:t>
      </w:r>
      <w:r>
        <w:t xml:space="preserve">responds to the commitment from the 2017 EIF Communication that called</w:t>
      </w:r>
      <w:r>
        <w:t xml:space="preserve"> </w:t>
      </w:r>
      <w:r>
        <w:t xml:space="preserve">for the development of a framework for monitoring the implementation of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Package</w:t>
      </w:r>
      <w:r>
        <w:t xml:space="preserve"> </w:t>
      </w:r>
      <w:r>
        <w:t xml:space="preserve">Action</w:t>
      </w:r>
      <w:r>
        <w:t xml:space="preserve"> </w:t>
      </w:r>
      <w:r>
        <w:t xml:space="preserve">number</w:t>
      </w:r>
      <w:r>
        <w:t xml:space="preserve"> </w:t>
      </w:r>
      <w:r>
        <w:t xml:space="preserve">Action name</w:t>
      </w:r>
      <w:r>
        <w:t xml:space="preserve"> </w:t>
      </w:r>
      <w:r>
        <w:t xml:space="preserve">Contribution to the EIF and the IAP</w:t>
      </w:r>
      <w:r>
        <w:t xml:space="preserve"> </w:t>
      </w:r>
      <w:r>
        <w:t xml:space="preserve">the EIF. This was achieved with the development of the EIF Monitoring</w:t>
      </w:r>
      <w:r>
        <w:t xml:space="preserve"> </w:t>
      </w:r>
      <w:r>
        <w:t xml:space="preserve">Mechanism as part of the NIFO action.</w:t>
      </w:r>
      <w:r>
        <w:t xml:space="preserve"> </w:t>
      </w:r>
      <w:r>
        <w:t xml:space="preserve"> Contribution to the IAP: NIFO has contributed to Actions 4 and 5 of the</w:t>
      </w:r>
      <w:r>
        <w:t xml:space="preserve"> </w:t>
      </w:r>
      <w:r>
        <w:t xml:space="preserve">Action Plan.</w:t>
      </w:r>
      <w:r>
        <w:t xml:space="preserve"> </w:t>
      </w:r>
      <w:r>
        <w:t xml:space="preserve">8. Supporting</w:t>
      </w:r>
      <w:r>
        <w:t xml:space="preserve"> </w:t>
      </w:r>
      <w:r>
        <w:t xml:space="preserve">instruments 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2016.32</w:t>
      </w:r>
      <w:r>
        <w:t xml:space="preserve"> </w:t>
      </w:r>
      <w:r>
        <w:t xml:space="preserve">European Interoperability</w:t>
      </w:r>
      <w:r>
        <w:t xml:space="preserve"> </w:t>
      </w:r>
      <w:r>
        <w:t xml:space="preserve">Architecture (EIA)</w:t>
      </w:r>
      <w:r>
        <w:t xml:space="preserve"> </w:t>
      </w:r>
      <w:r>
        <w:t xml:space="preserve">This action helps define the needs and shortcomings with relation to a common</w:t>
      </w:r>
      <w:r>
        <w:t xml:space="preserve"> </w:t>
      </w:r>
      <w:r>
        <w:t xml:space="preserve">interoperability architecture for European public services and contribute to</w:t>
      </w:r>
      <w:r>
        <w:t xml:space="preserve"> </w:t>
      </w:r>
      <w:r>
        <w:t xml:space="preserve">defining such an architecture as well as map reusable solutions and guidelines</w:t>
      </w:r>
      <w:r>
        <w:t xml:space="preserve"> </w:t>
      </w:r>
      <w:r>
        <w:t xml:space="preserve">services as interoperability building blocks.</w:t>
      </w:r>
      <w:r>
        <w:t xml:space="preserve"> </w:t>
      </w:r>
      <w:r>
        <w:t xml:space="preserve"> Contribution to the EIF: The ‘EIA’ actions contribute in particular to</w:t>
      </w:r>
      <w:r>
        <w:t xml:space="preserve"> </w:t>
      </w:r>
      <w:r>
        <w:t xml:space="preserve">Recommendation 23 of the EIF and to overall interoperability governance.</w:t>
      </w:r>
      <w:r>
        <w:t xml:space="preserve"> </w:t>
      </w:r>
      <w:r>
        <w:t xml:space="preserve"> Contribution to the IAP: The ‘EIA’ action implements Action 22.</w:t>
      </w:r>
      <w:r>
        <w:t xml:space="preserve"> </w:t>
      </w:r>
      <w:r>
        <w:t xml:space="preserve">8. Supporting</w:t>
      </w:r>
      <w:r>
        <w:t xml:space="preserve"> </w:t>
      </w:r>
      <w:r>
        <w:t xml:space="preserve">instruments 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2016.35</w:t>
      </w:r>
      <w:r>
        <w:t xml:space="preserve"> </w:t>
      </w:r>
      <w:r>
        <w:t xml:space="preserve">EUSurvey</w:t>
      </w:r>
      <w:r>
        <w:t xml:space="preserve"> </w:t>
      </w:r>
      <w:r>
        <w:t xml:space="preserve">EUSurvey contributes primarily to the multilingualism principle of the EIF. As</w:t>
      </w:r>
      <w:r>
        <w:t xml:space="preserve"> </w:t>
      </w:r>
      <w:r>
        <w:t xml:space="preserve">a survey tool widely used in EU policymaking, EUSurvey has also contributed</w:t>
      </w:r>
      <w:r>
        <w:t xml:space="preserve"> </w:t>
      </w:r>
      <w:r>
        <w:t xml:space="preserve">to Action 11 of the IAP on the engagement of stakeholders in the development</w:t>
      </w:r>
      <w:r>
        <w:t xml:space="preserve"> </w:t>
      </w:r>
      <w:r>
        <w:t xml:space="preserve">of digital public services.</w:t>
      </w:r>
      <w:r>
        <w:t xml:space="preserve"> </w:t>
      </w:r>
      <w:r>
        <w:t xml:space="preserve">8. Supporting</w:t>
      </w:r>
      <w:r>
        <w:t xml:space="preserve"> </w:t>
      </w:r>
      <w:r>
        <w:t xml:space="preserve">instruments 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2016.37</w:t>
      </w:r>
      <w:r>
        <w:t xml:space="preserve"> </w:t>
      </w:r>
      <w:r>
        <w:t xml:space="preserve">IMAPS</w:t>
      </w:r>
      <w:r>
        <w:t xml:space="preserve"> </w:t>
      </w:r>
      <w:r>
        <w:t xml:space="preserve">This action supports tools for the assessment of the interoperability maturity</w:t>
      </w:r>
      <w:r>
        <w:t xml:space="preserve"> </w:t>
      </w:r>
      <w:r>
        <w:t xml:space="preserve">level of digital public services, helping to identify improvement priorities.</w:t>
      </w:r>
      <w:r>
        <w:t xml:space="preserve"> </w:t>
      </w:r>
      <w:r>
        <w:t xml:space="preserve"> Contribution to the EIF: This action contributes to the principles of</w:t>
      </w:r>
      <w:r>
        <w:t xml:space="preserve"> </w:t>
      </w:r>
      <w:r>
        <w:t xml:space="preserve">reusability and user-centricity (in particular, Recommendation 12 of the</w:t>
      </w:r>
      <w:r>
        <w:t xml:space="preserve"> </w:t>
      </w:r>
      <w:r>
        <w:t xml:space="preserve">EIF) by creating a mechanism for analysis, design, assessment and further</w:t>
      </w:r>
      <w:r>
        <w:t xml:space="preserve"> </w:t>
      </w:r>
      <w:r>
        <w:t xml:space="preserve">development of the European Public Services.</w:t>
      </w:r>
      <w:r>
        <w:t xml:space="preserve"> </w:t>
      </w:r>
      <w:r>
        <w:t xml:space="preserve"> Contribution to the IAP: The IMAPS action contributes to action 20 of the</w:t>
      </w:r>
      <w:r>
        <w:t xml:space="preserve"> </w:t>
      </w:r>
      <w:r>
        <w:t xml:space="preserve">IAP.</w:t>
      </w:r>
      <w:r>
        <w:t xml:space="preserve"> </w:t>
      </w:r>
      <w:r>
        <w:t xml:space="preserve">8. Supporting</w:t>
      </w:r>
      <w:r>
        <w:t xml:space="preserve"> </w:t>
      </w:r>
      <w:r>
        <w:t xml:space="preserve">instruments for</w:t>
      </w:r>
      <w:r>
        <w:t xml:space="preserve"> </w:t>
      </w:r>
      <w:r>
        <w:t xml:space="preserve">public</w:t>
      </w:r>
      <w:r>
        <w:t xml:space="preserve"> </w:t>
      </w:r>
      <w:r>
        <w:t xml:space="preserve">2017.01</w:t>
      </w:r>
      <w:r>
        <w:t xml:space="preserve"> </w:t>
      </w:r>
      <w:r>
        <w:t xml:space="preserve">Standard-Based Archival Data</w:t>
      </w:r>
      <w:r>
        <w:t xml:space="preserve"> </w:t>
      </w:r>
      <w:r>
        <w:t xml:space="preserve">Management, Exchange and</w:t>
      </w:r>
      <w:r>
        <w:t xml:space="preserve"> </w:t>
      </w:r>
      <w:r>
        <w:t xml:space="preserve">The action contributes to supporting data standards in the field of archival</w:t>
      </w:r>
      <w:r>
        <w:t xml:space="preserve"> </w:t>
      </w:r>
      <w:r>
        <w:t xml:space="preserve">information management, studying among others how Open Data formats can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Package</w:t>
      </w:r>
      <w:r>
        <w:t xml:space="preserve"> </w:t>
      </w:r>
      <w:r>
        <w:t xml:space="preserve">Action</w:t>
      </w:r>
      <w:r>
        <w:t xml:space="preserve"> </w:t>
      </w:r>
      <w:r>
        <w:t xml:space="preserve">number</w:t>
      </w:r>
      <w:r>
        <w:t xml:space="preserve"> </w:t>
      </w:r>
      <w:r>
        <w:t xml:space="preserve">Action name</w:t>
      </w:r>
      <w:r>
        <w:t xml:space="preserve"> </w:t>
      </w:r>
      <w:r>
        <w:t xml:space="preserve">Contribution to the EIF and the IAP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Publication</w:t>
      </w:r>
      <w:r>
        <w:t xml:space="preserve"> </w:t>
      </w:r>
      <w:r>
        <w:t xml:space="preserve">be used in this area.</w:t>
      </w:r>
      <w:r>
        <w:t xml:space="preserve"> </w:t>
      </w:r>
      <w:r>
        <w:t xml:space="preserve"> Contribution to the EIF: The action builds on several principles of the EIF</w:t>
      </w:r>
      <w:r>
        <w:t xml:space="preserve"> </w:t>
      </w:r>
      <w:r>
        <w:t xml:space="preserve">including openness, transparency, reusability, technological neutrality,</w:t>
      </w:r>
      <w:r>
        <w:t xml:space="preserve"> </w:t>
      </w:r>
      <w:r>
        <w:t xml:space="preserve">preservation of information, user-centricity.</w:t>
      </w:r>
      <w:r>
        <w:t xml:space="preserve"> </w:t>
      </w:r>
      <w:r>
        <w:t xml:space="preserve"> Contribution to the IAP: This action contributes to implementing Action 14</w:t>
      </w:r>
      <w:r>
        <w:t xml:space="preserve"> </w:t>
      </w:r>
      <w:r>
        <w:t xml:space="preserve">of the IAP.</w:t>
      </w:r>
      <w:r>
        <w:t xml:space="preserve"> </w:t>
      </w:r>
      <w:r>
        <w:t xml:space="preserve">8. Supporting</w:t>
      </w:r>
      <w:r>
        <w:t xml:space="preserve"> </w:t>
      </w:r>
      <w:r>
        <w:t xml:space="preserve">instruments 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2019.01</w:t>
      </w:r>
      <w:r>
        <w:t xml:space="preserve"> </w:t>
      </w:r>
      <w:r>
        <w:t xml:space="preserve">Interoperability Academy</w:t>
      </w:r>
      <w:r>
        <w:t xml:space="preserve"> </w:t>
      </w:r>
      <w:r>
        <w:t xml:space="preserve">This action was established in order to help increase awareness of</w:t>
      </w:r>
      <w:r>
        <w:t xml:space="preserve"> </w:t>
      </w:r>
      <w:r>
        <w:t xml:space="preserve">interoperability, the EIF and the solutions developed under ISA². The action</w:t>
      </w:r>
      <w:r>
        <w:t xml:space="preserve"> </w:t>
      </w:r>
      <w:r>
        <w:t xml:space="preserve">facilitates access to information and learning material in this sense.</w:t>
      </w:r>
      <w:r>
        <w:t xml:space="preserve"> </w:t>
      </w:r>
      <w:r>
        <w:t xml:space="preserve"> Contribution to the EIF: This action promotes the principle of reusability.</w:t>
      </w:r>
      <w:r>
        <w:t xml:space="preserve"> </w:t>
      </w:r>
      <w:r>
        <w:t xml:space="preserve">In addition, it provides an overall contribution to the EIF, by promoting the</w:t>
      </w:r>
      <w:r>
        <w:t xml:space="preserve"> </w:t>
      </w:r>
      <w:r>
        <w:t xml:space="preserve">principle, models, and recommendations of the Framework and facilitating</w:t>
      </w:r>
      <w:r>
        <w:t xml:space="preserve"> </w:t>
      </w:r>
      <w:r>
        <w:t xml:space="preserve">access to information about implementing the EIF.</w:t>
      </w:r>
      <w:r>
        <w:t xml:space="preserve"> </w:t>
      </w:r>
      <w:r>
        <w:t xml:space="preserve"> Contribution to IAP: The Interoperability Academy contributes primarily to</w:t>
      </w:r>
      <w:r>
        <w:t xml:space="preserve"> </w:t>
      </w:r>
      <w:r>
        <w:t xml:space="preserve">Actions 5, 8, 11 of the IAP.</w:t>
      </w:r>
      <w:r>
        <w:t xml:space="preserve"> </w:t>
      </w:r>
      <w:r>
        <w:t xml:space="preserve">9.</w:t>
      </w:r>
      <w:r>
        <w:t xml:space="preserve"> </w:t>
      </w:r>
      <w:r>
        <w:t xml:space="preserve">Accompanying</w:t>
      </w:r>
      <w:r>
        <w:t xml:space="preserve"> </w:t>
      </w:r>
      <w:r>
        <w:t xml:space="preserve">measures</w:t>
      </w:r>
      <w:r>
        <w:t xml:space="preserve"> </w:t>
      </w:r>
      <w:r>
        <w:t xml:space="preserve">2016.30</w:t>
      </w:r>
      <w:r>
        <w:t xml:space="preserve"> </w:t>
      </w:r>
      <w:r>
        <w:t xml:space="preserve">Raising Interoperability</w:t>
      </w:r>
      <w:r>
        <w:t xml:space="preserve"> </w:t>
      </w:r>
      <w:r>
        <w:t xml:space="preserve">Awareness – Communication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Contribution to the EIF: This action contributes to the principles of inclusion,</w:t>
      </w:r>
      <w:r>
        <w:t xml:space="preserve"> </w:t>
      </w:r>
      <w:r>
        <w:t xml:space="preserve">accessibility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by</w:t>
      </w:r>
      <w:r>
        <w:t xml:space="preserve"> </w:t>
      </w:r>
      <w:r>
        <w:t xml:space="preserve">disseminating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interoperability and the work of ISA².</w:t>
      </w:r>
      <w:r>
        <w:t xml:space="preserve"> </w:t>
      </w:r>
      <w:r>
        <w:t xml:space="preserve"> Contribution to the IAP: The communication activities implement Action 8</w:t>
      </w:r>
      <w:r>
        <w:t xml:space="preserve"> </w:t>
      </w:r>
      <w:r>
        <w:t xml:space="preserve">of the IAP.</w:t>
      </w:r>
      <w:r>
        <w:t xml:space="preserve"> </w:t>
      </w:r>
      <w:r>
        <w:t xml:space="preserve"> Contribution to IAP: The Interoperability Academy contributes primarily to</w:t>
      </w:r>
      <w:r>
        <w:t xml:space="preserve"> </w:t>
      </w:r>
      <w:r>
        <w:t xml:space="preserve">Actions 5, 8, 11 of the IAP.</w:t>
      </w:r>
      <w:r>
        <w:t xml:space="preserve"> </w:t>
      </w:r>
      <w:r>
        <w:t xml:space="preserve">Source: Study supporting the final evaluation of the programme on interoperability solutions for European public administrations, businesses and citizens (ISA²)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2026-07-31T16:47:41Z</dcterms:created>
  <dcterms:modified xsi:type="dcterms:W3CDTF">2026-07-31T16:47:41Z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