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16.3.2022</w:t>
      </w:r>
      <w:r>
        <w:br/>
      </w:r>
      <w:r>
        <w:t xml:space="preserve">SWD(2022) 75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REGULATION OF THE EUROPEAN PARLIAMENT AND OF THE COUNCIL</w:t>
      </w:r>
      <w:r>
        <w:br/>
      </w:r>
      <w:r>
        <w:t xml:space="preserve">amending Regulation (EU) No 909/2014 as regards settlement discipline, cross-border</w:t>
      </w:r>
      <w:r>
        <w:t xml:space="preserve"> </w:t>
      </w:r>
      <w:r>
        <w:t xml:space="preserve">provision of services, supervisory cooperation, provision of banking-type ancillary</w:t>
      </w:r>
      <w:r>
        <w:t xml:space="preserve"> </w:t>
      </w:r>
      <w:r>
        <w:t xml:space="preserve">services and requirements for third-country central securities depositories</w:t>
      </w:r>
    </w:p>
    <w:p>
      <w:pPr>
        <w:pStyle w:val="BodyText"/>
      </w:pPr>
      <w:r>
        <w:t xml:space="preserve">{COM(2022) 120 final} - {SEC(2022) 160 final} - {SWD(2022) 76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br/>
      </w:r>
      <w:r>
        <w:t xml:space="preserve">GLOSSARY ………………………………………………………………………………………………………………………………… 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6</w:t>
      </w:r>
      <w:r>
        <w:t xml:space="preserve"> </w:t>
      </w:r>
      <w:r>
        <w:t xml:space="preserve">1.1. INTRODUCTION ……………………………………………………………………………………………………………….. 6</w:t>
      </w:r>
      <w:r>
        <w:t xml:space="preserve"> </w:t>
      </w:r>
      <w:r>
        <w:t xml:space="preserve">1.2. BACKGROUND …………………………………………………………………………………………………………………. 8</w:t>
      </w:r>
      <w:r>
        <w:t xml:space="preserve"> </w:t>
      </w:r>
      <w:r>
        <w:t xml:space="preserve">1.3. CSDS IN THE EUROPEAN UNION ……………………………………………………………………………………. 11</w:t>
      </w:r>
      <w:r>
        <w:t xml:space="preserve"> </w:t>
      </w:r>
      <w:r>
        <w:t xml:space="preserve">1.4. LEGAL AND POLITICAL CONTEXT ………………………………………………………………………………… 16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21</w:t>
      </w:r>
      <w:r>
        <w:t xml:space="preserve"> </w:t>
      </w:r>
      <w:r>
        <w:t xml:space="preserve">2.1. METHODOLOGY ……………………………………………………………………………………………………………… 21</w:t>
      </w:r>
      <w:r>
        <w:t xml:space="preserve"> </w:t>
      </w:r>
      <w:r>
        <w:t xml:space="preserve">2.2. WHAT ARE THE PROBLEMS? …………………………………………………………………………………………. 23</w:t>
      </w:r>
      <w:r>
        <w:t xml:space="preserve"> </w:t>
      </w:r>
      <w:r>
        <w:t xml:space="preserve">2.3. WHAT ARE THE PROBLEM DRIVERS? …………………………………………………………………………… 30</w:t>
      </w:r>
      <w:r>
        <w:t xml:space="preserve"> </w:t>
      </w:r>
      <w:r>
        <w:t xml:space="preserve">2.4. HOW WILL THE PROBLEM EVOLVE? …………………………………………………………………………….. 38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40</w:t>
      </w:r>
      <w:r>
        <w:t xml:space="preserve"> </w:t>
      </w:r>
      <w:r>
        <w:t xml:space="preserve">3.1. LEGAL BASIS ………………………………………………………………………………………………………………….. 40</w:t>
      </w:r>
      <w:r>
        <w:t xml:space="preserve"> </w:t>
      </w:r>
      <w:r>
        <w:t xml:space="preserve">3.2. SUBSIDIARITY: NECESSITY OF EU ACTION ………………………………………………………………….. 40</w:t>
      </w:r>
      <w:r>
        <w:t xml:space="preserve"> </w:t>
      </w:r>
      <w:r>
        <w:t xml:space="preserve">3.3. SUBSIDIARITY: ADDED VALUE OF EU ACTION ……………………………………………………………. 40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41</w:t>
      </w:r>
      <w:r>
        <w:t xml:space="preserve"> </w:t>
      </w:r>
      <w:r>
        <w:t xml:space="preserve">4.1. GENERAL OBJECTIVES …………………………………………………………………………………………………… 41</w:t>
      </w:r>
      <w:r>
        <w:t xml:space="preserve"> </w:t>
      </w:r>
      <w:r>
        <w:t xml:space="preserve">4.2. SPECIFIC OBJECTIVES ……………………………………………………………………………………………………. 42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43</w:t>
      </w:r>
      <w:r>
        <w:t xml:space="preserve"> </w:t>
      </w:r>
      <w:r>
        <w:t xml:space="preserve">5.1. WHAT IS THE BASELINE FROM WHICH OPTIONS ARE ASSESSED? ……………………………… 43</w:t>
      </w:r>
      <w:r>
        <w:t xml:space="preserve"> </w:t>
      </w:r>
      <w:r>
        <w:t xml:space="preserve">5.2. DESCRIPTION OF THE POLICY OPTIONS ……………………………………………………………………….. 47</w:t>
      </w:r>
      <w:r>
        <w:t xml:space="preserve"> </w:t>
      </w:r>
      <w:r>
        <w:t xml:space="preserve">5.3. OPTIONS DISCARDED AT AN EARLY STAGE ………………………………………………………………… 49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50</w:t>
      </w:r>
      <w:r>
        <w:t xml:space="preserve"> </w:t>
      </w:r>
      <w:r>
        <w:t xml:space="preserve">6.1. IMPACT OF THE POLICY OPTIONS REGARDING PASSPORTING REQUIREMENTS ………. 50</w:t>
      </w:r>
      <w:r>
        <w:t xml:space="preserve"> </w:t>
      </w:r>
      <w:r>
        <w:t xml:space="preserve">6.2. IMPACT OF THE POLICY OPTIONS REGARDING COOPERATION BETWEEN</w:t>
      </w:r>
      <w:r>
        <w:t xml:space="preserve"> </w:t>
      </w:r>
      <w:r>
        <w:t xml:space="preserve">AUTHORITIES …………………………………………………………………………………………………………………. 53</w:t>
      </w:r>
      <w:r>
        <w:t xml:space="preserve"> </w:t>
      </w:r>
      <w:r>
        <w:t xml:space="preserve">6.3. IMPACT OF THE POLICY OPTIONS REGARDING PROVISION OF BANKING</w:t>
      </w:r>
      <w:r>
        <w:t xml:space="preserve"> </w:t>
      </w:r>
      <w:r>
        <w:t xml:space="preserve">SERVICES RELATED TO SETTLEMENT IN FOREIGN CURRENCIES ………………………………. 57</w:t>
      </w:r>
      <w:r>
        <w:t xml:space="preserve"> </w:t>
      </w:r>
      <w:r>
        <w:t xml:space="preserve">6.4. IMPACT OF THE POLICY OPTIONS REGARDING SETTLEMENT DISCIPLINE ……………….. 59</w:t>
      </w:r>
      <w:r>
        <w:t xml:space="preserve"> </w:t>
      </w:r>
      <w:r>
        <w:t xml:space="preserve">6.5. IMPACT OF THE POLICY OPTIONS REGARDING THIRD-COUNTRY CSDS ……………………. 64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67</w:t>
      </w:r>
      <w:r>
        <w:t xml:space="preserve"> </w:t>
      </w:r>
      <w:r>
        <w:t xml:space="preserve">8.</w:t>
      </w:r>
      <w:r>
        <w:t xml:space="preserve"> </w:t>
      </w:r>
      <w:r>
        <w:t xml:space="preserve">PREFERRED PACKAGE …………………………………………………………………………………………………… 69</w:t>
      </w:r>
      <w:r>
        <w:t xml:space="preserve"> </w:t>
      </w:r>
      <w:r>
        <w:t xml:space="preserve">8.1. SUMMARY OF PREFERRED AGGREGATED OPTIONS ……………………………………………………. 69</w:t>
      </w:r>
      <w:r>
        <w:t xml:space="preserve"> </w:t>
      </w:r>
      <w:r>
        <w:t xml:space="preserve">8.2. COMBINED IMPACTS OF THE PACKAGE ……………………………………………………………………….. 70</w:t>
      </w:r>
      <w:r>
        <w:t xml:space="preserve"> </w:t>
      </w:r>
      <w:r>
        <w:t xml:space="preserve">8.3. REFIT (SIMPLIFICATION AND IMPROVED EFFICIENCY) ………………………………………………. 72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73</w:t>
      </w:r>
      <w:r>
        <w:t xml:space="preserve"> </w:t>
      </w:r>
      <w:r>
        <w:t xml:space="preserve">ANNEX 1: PROCEDURAL INFORMATION ……………………………………………………………………………….. 75</w:t>
      </w:r>
      <w:r>
        <w:t xml:space="preserve"> </w:t>
      </w:r>
      <w:r>
        <w:t xml:space="preserve">ANNEX 2: STAKEHOLDER CONSULTATION …………………………………………………………………………… 77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3: WHO IS AFFECTED AND HOW? ……………………………………………………………………………… 80</w:t>
      </w:r>
      <w:r>
        <w:t xml:space="preserve"> </w:t>
      </w:r>
      <w:r>
        <w:t xml:space="preserve">ANNEX 4: ANALYTICAL METHODS ……………………………………………………………………………………….. 93</w:t>
      </w:r>
      <w:r>
        <w:t xml:space="preserve"> </w:t>
      </w:r>
      <w:r>
        <w:t xml:space="preserve">ANNEX 5: EVALUATION …………………………………………………………………………………………………………. 95</w:t>
      </w:r>
      <w:r>
        <w:t xml:space="preserve"> </w:t>
      </w:r>
      <w:r>
        <w:t xml:space="preserve">ANNEX 6: DETAILED DESCRIPTION OF IDENTIFIED PROBLEM AREAS ……………………………… 123</w:t>
      </w:r>
      <w:r>
        <w:t xml:space="preserve"> </w:t>
      </w:r>
      <w:r>
        <w:t xml:space="preserve">ANNEX 7: ANALYSIS OF ALL THE OPTIONS ………………………………………………………………………… 136</w:t>
      </w:r>
      <w:r>
        <w:t xml:space="preserve"> </w:t>
      </w:r>
      <w:r>
        <w:t xml:space="preserve">ANNEX 8: GRAPHS AND FIGURES ………………………………………………………………………………………… 151</w:t>
      </w:r>
      <w:r>
        <w:t xml:space="preserve"> </w:t>
      </w:r>
      <w:r>
        <w:t xml:space="preserve">ANNEX 9: DESCRIPTION OF THE BUY-IN PROCESS …………………………………………………………….. 154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Book-entry settlement A mechanism that enables market participants to transfer assets (e.g., securities)</w:t>
      </w:r>
      <w:r>
        <w:t xml:space="preserve"> </w:t>
      </w:r>
      <w:r>
        <w:t xml:space="preserve">without the physical movement of paper documents or certificates.</w:t>
      </w:r>
      <w:r>
        <w:t xml:space="preserve"> </w:t>
      </w:r>
      <w:r>
        <w:t xml:space="preserve">Buy-In</w:t>
      </w:r>
      <w:r>
        <w:br/>
      </w:r>
      <w:r>
        <w:t xml:space="preserve">A purchase of shares by a broker after a seller has failed to deliver similar shares,</w:t>
      </w:r>
      <w:r>
        <w:t xml:space="preserve"> </w:t>
      </w:r>
      <w:r>
        <w:t xml:space="preserve">the original seller being charged any difference in cost.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Markets Union</w:t>
      </w:r>
      <w:r>
        <w:t xml:space="preserve"> </w:t>
      </w:r>
      <w:r>
        <w:t xml:space="preserve">Central bank money</w:t>
      </w:r>
      <w:r>
        <w:br/>
      </w:r>
      <w:r>
        <w:t xml:space="preserve">Designates the case where a Securities Settlement System settles its cash leg on</w:t>
      </w:r>
      <w:r>
        <w:t xml:space="preserve"> </w:t>
      </w:r>
      <w:r>
        <w:t xml:space="preserve">cash accounts opened in the books of a central bank.</w:t>
      </w:r>
      <w:r>
        <w:t xml:space="preserve"> </w:t>
      </w:r>
      <w:r>
        <w:t xml:space="preserve">Central</w:t>
      </w:r>
      <w:r>
        <w:t xml:space="preserve"> </w:t>
      </w:r>
      <w:r>
        <w:t xml:space="preserve">counterparty</w:t>
      </w:r>
      <w:r>
        <w:t xml:space="preserve"> </w:t>
      </w:r>
      <w:r>
        <w:t xml:space="preserve">(CCP)</w:t>
      </w:r>
      <w:r>
        <w:t xml:space="preserve"> </w:t>
      </w:r>
      <w:r>
        <w:t xml:space="preserve">An entity that interposes itself, in one or more markets, between the counterparties</w:t>
      </w:r>
      <w:r>
        <w:t xml:space="preserve"> </w:t>
      </w:r>
      <w:r>
        <w:t xml:space="preserve">to the contracts traded, becoming the buyer to every seller and the seller to every</w:t>
      </w:r>
      <w:r>
        <w:t xml:space="preserve"> </w:t>
      </w:r>
      <w:r>
        <w:t xml:space="preserve">buyer and thereby guaranteeing the performance of open contracts.</w:t>
      </w:r>
      <w:r>
        <w:t xml:space="preserve"> </w:t>
      </w:r>
      <w:r>
        <w:t xml:space="preserve">Collateral</w:t>
      </w:r>
      <w:r>
        <w:t xml:space="preserve"> </w:t>
      </w:r>
      <w:r>
        <w:t xml:space="preserve">An asset or third-party commitment that is used by the collateral provider to secure</w:t>
      </w:r>
      <w:r>
        <w:t xml:space="preserve"> </w:t>
      </w:r>
      <w:r>
        <w:t xml:space="preserve">an obligation to the collateral taker. Collateral arrangements may take different legal</w:t>
      </w:r>
      <w:r>
        <w:t xml:space="preserve"> </w:t>
      </w:r>
      <w:r>
        <w:t xml:space="preserve">forms; collateral may be obtained using the method of title transfer or pledge.</w:t>
      </w:r>
      <w:r>
        <w:br/>
      </w:r>
      <w:r>
        <w:t xml:space="preserve">College of supervisors A supervisory college is a permanent structure comprising various authorities</w:t>
      </w:r>
      <w:r>
        <w:t xml:space="preserve"> </w:t>
      </w:r>
      <w:r>
        <w:t xml:space="preserve">interested in the activities of a financial participant. The framework applicable to</w:t>
      </w:r>
      <w:r>
        <w:t xml:space="preserve"> </w:t>
      </w:r>
      <w:r>
        <w:t xml:space="preserve">colleges of supervisors is enshrined in the founding Regulations for the European</w:t>
      </w:r>
      <w:r>
        <w:t xml:space="preserve"> </w:t>
      </w:r>
      <w:r>
        <w:t xml:space="preserve">Supervisory Authorities.</w:t>
      </w:r>
      <w:r>
        <w:br/>
      </w:r>
      <w:r>
        <w:t xml:space="preserve">Commercial</w:t>
      </w:r>
      <w:r>
        <w:t xml:space="preserve"> </w:t>
      </w:r>
      <w:r>
        <w:t xml:space="preserve">bank</w:t>
      </w:r>
      <w:r>
        <w:t xml:space="preserve"> </w:t>
      </w:r>
      <w:r>
        <w:t xml:space="preserve">money</w:t>
      </w:r>
      <w:r>
        <w:br/>
      </w:r>
      <w:r>
        <w:t xml:space="preserve">Designates the case where a Securities Settlement System settles its cash leg on</w:t>
      </w:r>
      <w:r>
        <w:t xml:space="preserve"> </w:t>
      </w:r>
      <w:r>
        <w:t xml:space="preserve">cash accounts that are not opened in the books of a central bank but on the books of</w:t>
      </w:r>
      <w:r>
        <w:t xml:space="preserve"> </w:t>
      </w:r>
      <w:r>
        <w:t xml:space="preserve">a banking institution.</w:t>
      </w:r>
      <w:r>
        <w:t xml:space="preserve"> </w:t>
      </w:r>
      <w:r>
        <w:t xml:space="preserve">Corporate action</w:t>
      </w:r>
      <w:r>
        <w:t xml:space="preserve"> </w:t>
      </w:r>
      <w:r>
        <w:t xml:space="preserve">A corporate action is an event initiated by a public company that brings or could</w:t>
      </w:r>
      <w:r>
        <w:t xml:space="preserve"> </w:t>
      </w:r>
      <w:r>
        <w:t xml:space="preserve">bring an actual change to the securities—equity or debt—issued by the company,</w:t>
      </w:r>
      <w:r>
        <w:t xml:space="preserve"> </w:t>
      </w:r>
      <w:r>
        <w:t xml:space="preserve">such as stock splits, mergers, dividend payments. The role of the CSD is to inform</w:t>
      </w:r>
      <w:r>
        <w:t xml:space="preserve"> </w:t>
      </w:r>
      <w:r>
        <w:t xml:space="preserve">CSD participants holding the respective share or bond in custody about the</w:t>
      </w:r>
      <w:r>
        <w:t xml:space="preserve"> </w:t>
      </w:r>
      <w:r>
        <w:t xml:space="preserve">upcoming corporate action.</w:t>
      </w:r>
      <w:r>
        <w:t xml:space="preserve"> </w:t>
      </w:r>
      <w:r>
        <w:t xml:space="preserve">Custodian</w:t>
      </w:r>
      <w:r>
        <w:t xml:space="preserve"> </w:t>
      </w:r>
      <w:r>
        <w:t xml:space="preserve">or</w:t>
      </w:r>
      <w:r>
        <w:t xml:space="preserve"> </w:t>
      </w:r>
      <w:r>
        <w:t xml:space="preserve">custodian bank</w:t>
      </w:r>
      <w:r>
        <w:t xml:space="preserve"> </w:t>
      </w:r>
      <w:r>
        <w:t xml:space="preserve">An entity, often a credit institution, which acts as</w:t>
      </w:r>
      <w:r>
        <w:t xml:space="preserve"> </w:t>
      </w:r>
      <w:r>
        <w:t xml:space="preserve">“account provider”</w:t>
      </w:r>
      <w:r>
        <w:t xml:space="preserve"> </w:t>
      </w:r>
      <w:r>
        <w:t xml:space="preserve">and provides</w:t>
      </w:r>
      <w:r>
        <w:t xml:space="preserve"> </w:t>
      </w:r>
      <w:r>
        <w:t xml:space="preserve">securities custody services to its customers, i.e. holding and administration of</w:t>
      </w:r>
      <w:r>
        <w:t xml:space="preserve"> </w:t>
      </w:r>
      <w:r>
        <w:t xml:space="preserve">securities owned by a third party.</w:t>
      </w:r>
      <w:r>
        <w:t xml:space="preserve"> </w:t>
      </w:r>
      <w:r>
        <w:t xml:space="preserve">CSD</w:t>
      </w:r>
      <w:r>
        <w:t xml:space="preserve"> </w:t>
      </w:r>
      <w:r>
        <w:t xml:space="preserve">Central Securities Depository. A legal person that operates a securities settlement</w:t>
      </w:r>
      <w:r>
        <w:t xml:space="preserve"> </w:t>
      </w:r>
      <w:r>
        <w:t xml:space="preserve">system and provides at least a notary service or a central maintenance service.</w:t>
      </w:r>
      <w:r>
        <w:t xml:space="preserve"> </w:t>
      </w:r>
      <w:r>
        <w:t xml:space="preserve">CSDR</w:t>
      </w:r>
      <w:r>
        <w:t xml:space="preserve"> </w:t>
      </w:r>
      <w:r>
        <w:t xml:space="preserve">Regulation (EU) No 909/2014 of the European Parliament and of the Council on</w:t>
      </w:r>
      <w:r>
        <w:t xml:space="preserve"> </w:t>
      </w:r>
      <w:r>
        <w:t xml:space="preserve">improving securities settlement in the EU and on central securities depositories</w:t>
      </w:r>
      <w:r>
        <w:br/>
      </w:r>
      <w:r>
        <w:t xml:space="preserve">CPMI</w:t>
      </w:r>
      <w:r>
        <w:t xml:space="preserve"> </w:t>
      </w:r>
      <w:r>
        <w:t xml:space="preserve">The Committee on Payments and Market Infrastructures (CPMI) is an international</w:t>
      </w:r>
      <w:r>
        <w:t xml:space="preserve"> </w:t>
      </w:r>
      <w:r>
        <w:t xml:space="preserve">standard setter that promotes, monitors and makes recommendations about the</w:t>
      </w:r>
      <w:r>
        <w:t xml:space="preserve"> </w:t>
      </w:r>
      <w:r>
        <w:t xml:space="preserve">safety and efficiency of payment, clearing, settlement and related arrangements,</w:t>
      </w:r>
      <w:r>
        <w:t xml:space="preserve"> </w:t>
      </w:r>
      <w:r>
        <w:t xml:space="preserve">thereby supporting financial stability and the wider economy. The CPMI also serves</w:t>
      </w:r>
      <w:r>
        <w:t xml:space="preserve"> </w:t>
      </w:r>
      <w:r>
        <w:t xml:space="preserve">as a forum for central bank cooperation in related oversight, policy and operational</w:t>
      </w:r>
      <w:r>
        <w:t xml:space="preserve"> </w:t>
      </w:r>
      <w:r>
        <w:t xml:space="preserve">matters, including the provision of central bank services.</w:t>
      </w:r>
      <w:r>
        <w:t xml:space="preserve"> </w:t>
      </w:r>
      <w:r>
        <w:t xml:space="preserve">Distributed</w:t>
      </w:r>
      <w:r>
        <w:t xml:space="preserve"> </w:t>
      </w:r>
      <w:r>
        <w:t xml:space="preserve">ledger</w:t>
      </w:r>
      <w:r>
        <w:t xml:space="preserve"> </w:t>
      </w:r>
      <w:r>
        <w:t xml:space="preserve">technology (DLT)</w:t>
      </w:r>
      <w:r>
        <w:t xml:space="preserve"> </w:t>
      </w:r>
      <w:r>
        <w:t xml:space="preserve">Distributed ledger is used to describe a decentralised dataset architecture which</w:t>
      </w:r>
      <w:r>
        <w:t xml:space="preserve"> </w:t>
      </w:r>
      <w:r>
        <w:t xml:space="preserve">allows the keeping and sharing of records in a synchronised way, while ensuring</w:t>
      </w:r>
      <w:r>
        <w:t xml:space="preserve"> </w:t>
      </w:r>
      <w:r>
        <w:t xml:space="preserve">their integrity through the use of consensus-based validation protocols and</w:t>
      </w:r>
      <w:r>
        <w:t xml:space="preserve"> </w:t>
      </w:r>
      <w:r>
        <w:t xml:space="preserve">cryptographic signatures.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DVP</w:t>
      </w:r>
      <w:r>
        <w:t xml:space="preserve"> </w:t>
      </w:r>
      <w:r>
        <w:t xml:space="preserve">Delivery versus payment. A securities settlement mechanism which links a transfer</w:t>
      </w:r>
      <w:r>
        <w:t xml:space="preserve"> </w:t>
      </w:r>
      <w:r>
        <w:t xml:space="preserve">of securities with a transfer of cash in a way that the delivery of securities occurs if</w:t>
      </w:r>
      <w:r>
        <w:t xml:space="preserve"> </w:t>
      </w:r>
      <w:r>
        <w:t xml:space="preserve">and only if the corresponding transfer of cash occurs and vice versa.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ECSDA</w:t>
      </w:r>
      <w:r>
        <w:t xml:space="preserve"> </w:t>
      </w:r>
      <w:r>
        <w:t xml:space="preserve">European Central Securities Depositories Association</w:t>
      </w:r>
      <w:r>
        <w:t xml:space="preserve"> </w:t>
      </w:r>
      <w:r>
        <w:t xml:space="preserve">EFAMA</w:t>
      </w:r>
      <w:r>
        <w:t xml:space="preserve"> </w:t>
      </w:r>
      <w:r>
        <w:t xml:space="preserve">European Fund and Asset Management Association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ESCB</w:t>
      </w:r>
      <w:r>
        <w:br/>
      </w:r>
      <w:r>
        <w:t xml:space="preserve">European System of Central Banks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 Authority</w:t>
      </w:r>
      <w:r>
        <w:t xml:space="preserve"> </w:t>
      </w:r>
      <w:r>
        <w:t xml:space="preserve">Eurobond</w:t>
      </w:r>
      <w:r>
        <w:t xml:space="preserve"> </w:t>
      </w:r>
      <w:r>
        <w:t xml:space="preserve">Originally the term Eurobond was reserved to bonds that were issued in currencies</w:t>
      </w:r>
      <w:r>
        <w:t xml:space="preserve"> </w:t>
      </w:r>
      <w:r>
        <w:t xml:space="preserve">different from the currency of incorporation of the issuer. Currently, Eurobonds are</w:t>
      </w:r>
      <w:r>
        <w:t xml:space="preserve"> </w:t>
      </w:r>
      <w:r>
        <w:t xml:space="preserve">issued in a limited number of jurisdictions (e.g. England and Wales, US), leading to</w:t>
      </w:r>
      <w:r>
        <w:t xml:space="preserve"> </w:t>
      </w:r>
      <w:r>
        <w:t xml:space="preserve">numerous situations where the law of issuance is different from the law of the</w:t>
      </w:r>
      <w:r>
        <w:t xml:space="preserve"> </w:t>
      </w:r>
      <w:r>
        <w:t xml:space="preserve">issuer.</w:t>
      </w:r>
      <w:r>
        <w:br/>
      </w:r>
      <w:r>
        <w:t xml:space="preserve">FSB</w:t>
      </w:r>
      <w:r>
        <w:t xml:space="preserve"> </w:t>
      </w:r>
      <w:r>
        <w:t xml:space="preserve">The Financial Stability Board (FSB) is an international body that monitors and</w:t>
      </w:r>
      <w:r>
        <w:t xml:space="preserve"> </w:t>
      </w:r>
      <w:r>
        <w:t xml:space="preserve">makes recommendations about the global financial system. It promotes international</w:t>
      </w:r>
      <w:r>
        <w:t xml:space="preserve"> </w:t>
      </w:r>
      <w:r>
        <w:t xml:space="preserve">financial stability; it does so by coordinating national financial authorities and</w:t>
      </w:r>
      <w:r>
        <w:t xml:space="preserve"> </w:t>
      </w:r>
      <w:r>
        <w:t xml:space="preserve">international standard-setting bodies as they work toward developing strong</w:t>
      </w:r>
      <w:r>
        <w:t xml:space="preserve"> </w:t>
      </w:r>
      <w:r>
        <w:t xml:space="preserve">regulatory, supervisory and other financial sector policies. It fosters a level playing</w:t>
      </w:r>
      <w:r>
        <w:t xml:space="preserve"> </w:t>
      </w:r>
      <w:r>
        <w:t xml:space="preserve">field by encouraging coherent implementation of these policies across sectors and</w:t>
      </w:r>
      <w:r>
        <w:t xml:space="preserve"> </w:t>
      </w:r>
      <w:r>
        <w:t xml:space="preserve">jurisdictions. Policies developed in the pursuit of these objectives are implemented</w:t>
      </w:r>
      <w:r>
        <w:t xml:space="preserve"> </w:t>
      </w:r>
      <w:r>
        <w:t xml:space="preserve">by jurisdictions and national authorities.</w:t>
      </w:r>
      <w:r>
        <w:t xml:space="preserve"> </w:t>
      </w:r>
      <w:r>
        <w:t xml:space="preserve">ICMA</w:t>
      </w:r>
      <w:r>
        <w:t xml:space="preserve"> </w:t>
      </w:r>
      <w:r>
        <w:t xml:space="preserve">International Capital Market Association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Central</w:t>
      </w:r>
      <w:r>
        <w:t xml:space="preserve"> </w:t>
      </w:r>
      <w:r>
        <w:t xml:space="preserve">Securities Depository</w:t>
      </w:r>
      <w:r>
        <w:t xml:space="preserve"> </w:t>
      </w:r>
      <w:r>
        <w:t xml:space="preserve">(ICSD)</w:t>
      </w:r>
      <w:r>
        <w:t xml:space="preserve"> </w:t>
      </w:r>
      <w:r>
        <w:t xml:space="preserve">A central securities depository (CSD) that settles domestic and international</w:t>
      </w:r>
      <w:r>
        <w:t xml:space="preserve"> </w:t>
      </w:r>
      <w:r>
        <w:t xml:space="preserve">securities transactions and typically offers additional services such as securities</w:t>
      </w:r>
      <w:r>
        <w:t xml:space="preserve"> </w:t>
      </w:r>
      <w:r>
        <w:t xml:space="preserve">lending and collateral management. ICSDs are usually run on direct or indirect</w:t>
      </w:r>
      <w:r>
        <w:t xml:space="preserve"> </w:t>
      </w:r>
      <w:r>
        <w:t xml:space="preserve">(through correspondent banks) links to local CSDs.</w:t>
      </w:r>
      <w:r>
        <w:t xml:space="preserve"> </w:t>
      </w:r>
      <w:r>
        <w:t xml:space="preserve">IOSCO</w:t>
      </w:r>
      <w:r>
        <w:t xml:space="preserve"> </w:t>
      </w:r>
      <w:r>
        <w:t xml:space="preserve">The International Organization of Securities Commissions (IOSCO) is an</w:t>
      </w:r>
      <w:r>
        <w:t xml:space="preserve"> </w:t>
      </w:r>
      <w:r>
        <w:t xml:space="preserve">association of organizations that regulate the world’s securities and futures markets.</w:t>
      </w:r>
      <w:r>
        <w:t xml:space="preserve"> </w:t>
      </w:r>
      <w:r>
        <w:t xml:space="preserve">Members are typically primary securities and/or futures regulators in a national</w:t>
      </w:r>
      <w:r>
        <w:t xml:space="preserve"> </w:t>
      </w:r>
      <w:r>
        <w:t xml:space="preserve">jurisdiction or the main financial regulator from each country. Its mandate is to:</w:t>
      </w:r>
      <w:r>
        <w:t xml:space="preserve"> </w:t>
      </w:r>
      <w:r>
        <w:t xml:space="preserve"></w:t>
      </w:r>
      <w:r>
        <w:t xml:space="preserve"> </w:t>
      </w:r>
      <w:r>
        <w:t xml:space="preserve">Develop, implement, and promote high standards of regulation to enhance</w:t>
      </w:r>
      <w:r>
        <w:t xml:space="preserve"> </w:t>
      </w:r>
      <w:r>
        <w:t xml:space="preserve">investor protection and reduce systemic risk</w:t>
      </w:r>
      <w:r>
        <w:t xml:space="preserve"> </w:t>
      </w:r>
      <w:r>
        <w:t xml:space="preserve"></w:t>
      </w:r>
      <w:r>
        <w:t xml:space="preserve"> </w:t>
      </w:r>
      <w:r>
        <w:t xml:space="preserve">Share information with exchanges and assist them with technical and</w:t>
      </w:r>
      <w:r>
        <w:t xml:space="preserve"> </w:t>
      </w:r>
      <w:r>
        <w:t xml:space="preserve">operational issues</w:t>
      </w:r>
      <w:r>
        <w:t xml:space="preserve"> </w:t>
      </w:r>
      <w:r>
        <w:t xml:space="preserve"></w:t>
      </w:r>
      <w:r>
        <w:t xml:space="preserve"> </w:t>
      </w:r>
      <w:r>
        <w:t xml:space="preserve">Establish standards toward monitoring global investment transactions</w:t>
      </w:r>
      <w:r>
        <w:t xml:space="preserve"> </w:t>
      </w:r>
      <w:r>
        <w:t xml:space="preserve">across borders and markets</w:t>
      </w:r>
      <w:r>
        <w:t xml:space="preserve"> </w:t>
      </w:r>
      <w:r>
        <w:t xml:space="preserve">ISD</w:t>
      </w:r>
      <w:r>
        <w:t xml:space="preserve"> </w:t>
      </w:r>
      <w:r>
        <w:t xml:space="preserve">Intended Settlement Date. Means the date that is entered into the securities</w:t>
      </w:r>
      <w:r>
        <w:t xml:space="preserve"> </w:t>
      </w:r>
      <w:r>
        <w:t xml:space="preserve">settlement system as the settlement date and on which the parties to a securities</w:t>
      </w:r>
      <w:r>
        <w:t xml:space="preserve"> </w:t>
      </w:r>
      <w:r>
        <w:t xml:space="preserve">transaction agree that settlement is to take place.</w:t>
      </w:r>
      <w:r>
        <w:t xml:space="preserve"> </w:t>
      </w:r>
      <w:r>
        <w:t xml:space="preserve">Links</w:t>
      </w:r>
      <w:r>
        <w:t xml:space="preserve"> </w:t>
      </w:r>
      <w:r>
        <w:t xml:space="preserve">Direct link: an account opened by an investor CSD in the books of an issuer CSD in</w:t>
      </w:r>
      <w:r>
        <w:t xml:space="preserve"> </w:t>
      </w:r>
      <w:r>
        <w:t xml:space="preserve">order to facilitate the transfer of securities from participants in the issuer CSD to</w:t>
      </w:r>
      <w:r>
        <w:t xml:space="preserve"> </w:t>
      </w:r>
      <w:r>
        <w:t xml:space="preserve">participants in the investor CSD (see also Investor CSD).</w:t>
      </w:r>
      <w:r>
        <w:t xml:space="preserve"> </w:t>
      </w:r>
      <w:r>
        <w:t xml:space="preserve">Indirect link: a link between two CSDs through a non-CSD intermediary.</w:t>
      </w:r>
      <w:r>
        <w:t xml:space="preserve"> </w:t>
      </w:r>
      <w:r>
        <w:t xml:space="preserve">Operated direct link: a direct link between two CSDs where a third party, typically</w:t>
      </w:r>
      <w:r>
        <w:t xml:space="preserve"> </w:t>
      </w:r>
      <w:r>
        <w:t xml:space="preserve">a custodian bank, operates the account in the issuer CSD on behalf of the investor</w:t>
      </w:r>
      <w:r>
        <w:t xml:space="preserve"> </w:t>
      </w:r>
      <w:r>
        <w:t xml:space="preserve">CSD.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Relayed link: a contractual and technical arrangement that allows issuer and investor</w:t>
      </w:r>
      <w:r>
        <w:t xml:space="preserve"> </w:t>
      </w:r>
      <w:r>
        <w:t xml:space="preserve">CSDs to hold and transfer securities through an account with a third CSD (</w:t>
      </w:r>
      <w:r>
        <w:t xml:space="preserve">“middle</w:t>
      </w:r>
      <w:r>
        <w:t xml:space="preserve"> </w:t>
      </w:r>
      <w:r>
        <w:t xml:space="preserve">CSD”</w:t>
      </w:r>
      <w:r>
        <w:t xml:space="preserve">), which acts as an intermediary.</w:t>
      </w:r>
      <w:r>
        <w:t xml:space="preserve"> </w:t>
      </w:r>
      <w:r>
        <w:t xml:space="preserve">Standard link: a link where the investor CSD is treated as a normal participant to the</w:t>
      </w:r>
      <w:r>
        <w:t xml:space="preserve"> </w:t>
      </w:r>
      <w:r>
        <w:t xml:space="preserve">issuer CSD.</w:t>
      </w:r>
      <w:r>
        <w:t xml:space="preserve"> </w:t>
      </w:r>
      <w:r>
        <w:t xml:space="preserve">Customised link: a link where the investor CSD benefits from a special access.</w:t>
      </w:r>
    </w:p>
    <w:p>
      <w:pPr>
        <w:pStyle w:val="BodyText"/>
      </w:pPr>
      <w:r>
        <w:t xml:space="preserve">Interoperable link: A set of arrangements/procedures that allows participants in</w:t>
      </w:r>
      <w:r>
        <w:t xml:space="preserve"> </w:t>
      </w:r>
      <w:r>
        <w:t xml:space="preserve">different systems to conduct and settle payment or securities transactions across</w:t>
      </w:r>
      <w:r>
        <w:t xml:space="preserve"> </w:t>
      </w:r>
      <w:r>
        <w:t xml:space="preserve">systems while continuing to operate only in their own respective system.</w:t>
      </w:r>
      <w:r>
        <w:t xml:space="preserve"> </w:t>
      </w:r>
      <w:r>
        <w:t xml:space="preserve">Interoperability generally works as an improvement of classical links.</w:t>
      </w:r>
      <w:r>
        <w:t xml:space="preserve"> </w:t>
      </w:r>
      <w:r>
        <w:t xml:space="preserve">Pass-on mechanism</w:t>
      </w:r>
      <w:r>
        <w:t xml:space="preserve"> </w:t>
      </w:r>
      <w:r>
        <w:t xml:space="preserve">A ‘pass-on’ mechanism allows each party in the transaction chain to pass-on a buy-</w:t>
      </w:r>
      <w:r>
        <w:t xml:space="preserve"> </w:t>
      </w:r>
      <w:r>
        <w:t xml:space="preserve">in notification to the party failing to them, until it reaches the original fail. A single</w:t>
      </w:r>
      <w:r>
        <w:t xml:space="preserve"> </w:t>
      </w:r>
      <w:r>
        <w:t xml:space="preserve">buy-in is executed by the initiating party, and the cash differentials between each</w:t>
      </w:r>
      <w:r>
        <w:t xml:space="preserve"> </w:t>
      </w:r>
      <w:r>
        <w:t xml:space="preserve">original transaction and the buy-in price is settled between each of the parties in the</w:t>
      </w:r>
      <w:r>
        <w:t xml:space="preserve"> </w:t>
      </w:r>
      <w:r>
        <w:t xml:space="preserve">chain.</w:t>
      </w:r>
      <w:r>
        <w:t xml:space="preserve"> </w:t>
      </w:r>
      <w:r>
        <w:t xml:space="preserve">Primary market</w:t>
      </w:r>
      <w:r>
        <w:t xml:space="preserve"> </w:t>
      </w:r>
      <w:r>
        <w:t xml:space="preserve">A section of the capital market where financial instruments, stocks and bonds, are</w:t>
      </w:r>
      <w:r>
        <w:t xml:space="preserve"> </w:t>
      </w:r>
      <w:r>
        <w:t xml:space="preserve">issued/ sold/ floated for the first time by companies, governments or public</w:t>
      </w:r>
      <w:r>
        <w:t xml:space="preserve"> </w:t>
      </w:r>
      <w:r>
        <w:t xml:space="preserve">institutions. After issuance these instruments are traded in the secondary market.</w:t>
      </w:r>
      <w:r>
        <w:br/>
      </w:r>
      <w:r>
        <w:t xml:space="preserve">Security</w:t>
      </w:r>
      <w:r>
        <w:t xml:space="preserve"> </w:t>
      </w:r>
      <w:r>
        <w:t xml:space="preserve">A fungible financial instrument that holds some type of monetary value. It</w:t>
      </w:r>
      <w:r>
        <w:t xml:space="preserve"> </w:t>
      </w:r>
      <w:r>
        <w:t xml:space="preserve">represents an ownership position in a publicly-traded corporation via stock (equity);</w:t>
      </w:r>
      <w:r>
        <w:t xml:space="preserve"> </w:t>
      </w:r>
      <w:r>
        <w:t xml:space="preserve">a creditor relationship by owning an entity’s bond; or rights to ownership</w:t>
      </w:r>
      <w:r>
        <w:t xml:space="preserve"> </w:t>
      </w:r>
      <w:r>
        <w:t xml:space="preserve">represented by an option.</w:t>
      </w:r>
      <w:r>
        <w:br/>
      </w:r>
      <w:r>
        <w:t xml:space="preserve">Securities account at</w:t>
      </w:r>
      <w:r>
        <w:t xml:space="preserve"> </w:t>
      </w:r>
      <w:r>
        <w:t xml:space="preserve">the top tier level</w:t>
      </w:r>
      <w:r>
        <w:t xml:space="preserve"> </w:t>
      </w:r>
      <w:r>
        <w:t xml:space="preserve">The CSDs find themselves at the top of the securities chain, i.e. all holdings in a</w:t>
      </w:r>
      <w:r>
        <w:t xml:space="preserve"> </w:t>
      </w:r>
      <w:r>
        <w:t xml:space="preserve">given financial instrument, whether by an individual or a financial institution, are</w:t>
      </w:r>
      <w:r>
        <w:t xml:space="preserve"> </w:t>
      </w:r>
      <w:r>
        <w:t xml:space="preserve">ultimately kept in a securities account at the CSD.</w:t>
      </w:r>
      <w:r>
        <w:t xml:space="preserve"> </w:t>
      </w:r>
      <w:r>
        <w:t xml:space="preserve">Securities Settlement</w:t>
      </w:r>
      <w:r>
        <w:t xml:space="preserve"> </w:t>
      </w:r>
      <w:r>
        <w:t xml:space="preserve">System</w:t>
      </w:r>
      <w:r>
        <w:t xml:space="preserve"> </w:t>
      </w:r>
      <w:r>
        <w:t xml:space="preserve">A system which allows the transfer of securities, either free of payment (FOP) or</w:t>
      </w:r>
      <w:r>
        <w:t xml:space="preserve"> </w:t>
      </w:r>
      <w:r>
        <w:t xml:space="preserve">against payment (delivery versus payment).</w:t>
      </w:r>
      <w:r>
        <w:t xml:space="preserve"> </w:t>
      </w:r>
      <w:r>
        <w:t xml:space="preserve">Settlement</w:t>
      </w:r>
      <w:r>
        <w:t xml:space="preserve"> </w:t>
      </w:r>
      <w:r>
        <w:t xml:space="preserve">The completion of a securities transaction where it is concluded with the aim of</w:t>
      </w:r>
      <w:r>
        <w:t xml:space="preserve"> </w:t>
      </w:r>
      <w:r>
        <w:t xml:space="preserve">discharging the obligations of the parties to that transaction through the transfer of</w:t>
      </w:r>
      <w:r>
        <w:t xml:space="preserve"> </w:t>
      </w:r>
      <w:r>
        <w:t xml:space="preserve">cash or securities, or both.</w:t>
      </w:r>
      <w:r>
        <w:t xml:space="preserve"> </w:t>
      </w:r>
      <w:r>
        <w:t xml:space="preserve">Settlement failure</w:t>
      </w:r>
      <w:r>
        <w:t xml:space="preserve"> </w:t>
      </w:r>
      <w:r>
        <w:t xml:space="preserve">The inability of a participant to a Securities Settlement System to meet its</w:t>
      </w:r>
      <w:r>
        <w:t xml:space="preserve"> </w:t>
      </w:r>
      <w:r>
        <w:t xml:space="preserve">settlement obligations in the Securities Settlement System. This inability may be</w:t>
      </w:r>
      <w:r>
        <w:t xml:space="preserve"> </w:t>
      </w:r>
      <w:r>
        <w:t xml:space="preserve">temporary or permanent.</w:t>
      </w:r>
      <w:r>
        <w:t xml:space="preserve"> </w:t>
      </w:r>
      <w:r>
        <w:t xml:space="preserve">Systemic risk</w:t>
      </w:r>
      <w:r>
        <w:t xml:space="preserve"> </w:t>
      </w:r>
      <w:r>
        <w:t xml:space="preserve">The risk that the inability of one participant to meet its obligations in a system will</w:t>
      </w:r>
      <w:r>
        <w:t xml:space="preserve"> </w:t>
      </w:r>
      <w:r>
        <w:t xml:space="preserve">cause other participants to be unable to meet their obligations when they become</w:t>
      </w:r>
      <w:r>
        <w:t xml:space="preserve"> </w:t>
      </w:r>
      <w:r>
        <w:t xml:space="preserve">due, potentially with spill over effects (e.g. significant liquidity or credit problems)</w:t>
      </w:r>
      <w:r>
        <w:t xml:space="preserve"> </w:t>
      </w:r>
      <w:r>
        <w:t xml:space="preserve">threatening the stability of or confidence in the financial system. That inability to</w:t>
      </w:r>
      <w:r>
        <w:t xml:space="preserve"> </w:t>
      </w:r>
      <w:r>
        <w:t xml:space="preserve">meet obligations can be caused by operational or financial problems.</w:t>
      </w:r>
      <w:r>
        <w:t xml:space="preserve"> </w:t>
      </w:r>
      <w:r>
        <w:t xml:space="preserve">Trade repository (TR) Trade repositories (TRs) centrally collect and maintain the records of derivatives</w:t>
      </w:r>
      <w:r>
        <w:t xml:space="preserve"> </w:t>
      </w:r>
      <w:r>
        <w:t xml:space="preserve">under Regulation EU No 648/2012 (EMIR). TRs also centrally collect and maintain</w:t>
      </w:r>
      <w:r>
        <w:t xml:space="preserve"> </w:t>
      </w:r>
      <w:r>
        <w:t xml:space="preserve">records of securities financing transactions (SFTs) under Regulation No 2015/2365,</w:t>
      </w:r>
      <w:r>
        <w:t xml:space="preserve"> </w:t>
      </w:r>
      <w:r>
        <w:t xml:space="preserve">on transparency of securities financing transactions and of reuse and amending</w:t>
      </w:r>
      <w:r>
        <w:t xml:space="preserve"> </w:t>
      </w:r>
      <w:r>
        <w:t xml:space="preserve">EMIR (SFTR).</w:t>
      </w:r>
      <w:r>
        <w:t xml:space="preserve"> </w:t>
      </w:r>
      <w:r>
        <w:t xml:space="preserve">T2S</w:t>
      </w:r>
      <w:r>
        <w:t xml:space="preserve"> </w:t>
      </w:r>
      <w:r>
        <w:t xml:space="preserve">Target2 Securities. The Eurosystem’s single technical platform enabling CSDs and</w:t>
      </w:r>
      <w:r>
        <w:t xml:space="preserve"> </w:t>
      </w:r>
      <w:r>
        <w:t xml:space="preserve">national central banks to provide core, borderless and neutral securities settlement</w:t>
      </w:r>
      <w:r>
        <w:t xml:space="preserve"> </w:t>
      </w:r>
      <w:r>
        <w:t xml:space="preserve">services in central bank money in Europe.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1.1. Introduction</w:t>
      </w:r>
      <w:r>
        <w:t xml:space="preserve"> </w:t>
      </w:r>
      <w:r>
        <w:t xml:space="preserve">Regulation (EU) No 909/2014 of the European Parliament and of the Council on</w:t>
      </w:r>
      <w:r>
        <w:t xml:space="preserve"> </w:t>
      </w:r>
      <w:r>
        <w:t xml:space="preserve">improving securities settlement in the European Union and on central securities</w:t>
      </w:r>
      <w:r>
        <w:t xml:space="preserve"> </w:t>
      </w:r>
      <w:r>
        <w:t xml:space="preserve">depositories1 (CSDR) is one of the key regulations adopted after the 2008 financial crisis.</w:t>
      </w:r>
      <w:r>
        <w:t xml:space="preserve"> </w:t>
      </w:r>
      <w:r>
        <w:t xml:space="preserve">While central securities depositories (CSDs) were resilient, including during the 2008</w:t>
      </w:r>
      <w:r>
        <w:t xml:space="preserve"> </w:t>
      </w:r>
      <w:r>
        <w:t xml:space="preserve">financial crisis, they were not regulated consistently across the European Union (EU).</w:t>
      </w:r>
      <w:r>
        <w:t xml:space="preserve"> </w:t>
      </w:r>
      <w:r>
        <w:t xml:space="preserve">This led to differences in their safety and raised level playing field concerns. Regulating</w:t>
      </w:r>
      <w:r>
        <w:t xml:space="preserve"> </w:t>
      </w:r>
      <w:r>
        <w:t xml:space="preserve">CSDs was also important to complete the regulatory framework of the trading and post-</w:t>
      </w:r>
      <w:r>
        <w:t xml:space="preserve"> </w:t>
      </w:r>
      <w:r>
        <w:t xml:space="preserve">trading market infrastructures, following the Market in Financial Instruments Directive</w:t>
      </w:r>
      <w:r>
        <w:t xml:space="preserve"> </w:t>
      </w:r>
      <w:r>
        <w:t xml:space="preserve">(Directive 2004/39/EC2), which addressed trading venues, and the European Markets</w:t>
      </w:r>
      <w:r>
        <w:t xml:space="preserve"> </w:t>
      </w:r>
      <w:r>
        <w:t xml:space="preserve">Infrastructure Regulation (Regulation (EU) No 648/20123), which addressed central</w:t>
      </w:r>
      <w:r>
        <w:t xml:space="preserve"> </w:t>
      </w:r>
      <w:r>
        <w:t xml:space="preserve">counterparties (CCPs) and trade repositories. Moreover, a consistent regulatory approach</w:t>
      </w:r>
      <w:r>
        <w:t xml:space="preserve"> </w:t>
      </w:r>
      <w:r>
        <w:t xml:space="preserve">to settlement systems and settlement processes was important to complement and</w:t>
      </w:r>
      <w:r>
        <w:t xml:space="preserve"> </w:t>
      </w:r>
      <w:r>
        <w:t xml:space="preserve">facilitate the Target2-Securities (T2S)4 project launched by the Eurosystem. CSDR was</w:t>
      </w:r>
      <w:r>
        <w:t xml:space="preserve"> </w:t>
      </w:r>
      <w:r>
        <w:t xml:space="preserve">also the EU’s response to the call of the Financial Stability Board (FSB), on 20 October</w:t>
      </w:r>
      <w:r>
        <w:t xml:space="preserve"> </w:t>
      </w:r>
      <w:r>
        <w:t xml:space="preserve">2010,5 for a revision and enhancement of existing standards to ensure more robust</w:t>
      </w:r>
      <w:r>
        <w:t xml:space="preserve"> </w:t>
      </w:r>
      <w:r>
        <w:t xml:space="preserve">financial market infrastructures, taking into account the global standards.6</w:t>
      </w:r>
      <w:r>
        <w:t xml:space="preserve"> </w:t>
      </w:r>
      <w:r>
        <w:t xml:space="preserve">CSDs are financial institutions of systemic importance for financial markets, hence it</w:t>
      </w:r>
      <w:r>
        <w:t xml:space="preserve"> </w:t>
      </w:r>
      <w:r>
        <w:t xml:space="preserve">is essential that their framework remains fit for purpose</w:t>
      </w:r>
      <w:r>
        <w:t xml:space="preserve"> </w:t>
      </w:r>
      <w:r>
        <w:t xml:space="preserve">CSDs play a crucial role in the primary market, by centralising the initial recording of</w:t>
      </w:r>
      <w:r>
        <w:t xml:space="preserve"> </w:t>
      </w:r>
      <w:r>
        <w:t xml:space="preserve">newly issued securities (‘notary service’). They operate the infrastructure (‘securities</w:t>
      </w:r>
      <w:r>
        <w:t xml:space="preserve"> </w:t>
      </w:r>
      <w:r>
        <w:t xml:space="preserve">settlement systems’) that enables the completion of a securities transaction (‘settlement’).</w:t>
      </w:r>
      <w:r>
        <w:t xml:space="preserve"> </w:t>
      </w:r>
      <w:r>
        <w:t xml:space="preserve">They also maintain securities accounts that record how many securities have been issued</w:t>
      </w:r>
      <w:r>
        <w:t xml:space="preserve"> </w:t>
      </w:r>
      <w:r>
        <w:t xml:space="preserve">by whom and each change in ownership (‘central maintenance service’). Over EUR 53</w:t>
      </w:r>
      <w:r>
        <w:t xml:space="preserve"> </w:t>
      </w:r>
      <w:r>
        <w:t xml:space="preserve">trillion worth of securities were held in EU securities settlement systems at the end of</w:t>
      </w:r>
      <w:r>
        <w:t xml:space="preserve"> </w:t>
      </w:r>
      <w:r>
        <w:t xml:space="preserve">2019, handling over 420 million delivery instructions for a total of turnover of over EUR</w:t>
      </w:r>
      <w:r>
        <w:t xml:space="preserve"> </w:t>
      </w:r>
      <w:r>
        <w:t xml:space="preserve">1 120 trillion.7 CSDs are essential for the financing of the economy. Apart from their role</w:t>
      </w:r>
      <w:r>
        <w:t xml:space="preserve"> </w:t>
      </w:r>
      <w:r>
        <w:t xml:space="preserve">in the issuance process, securities collateral posted by companies, banks and other</w:t>
      </w:r>
      <w:r>
        <w:t xml:space="preserve"> </w:t>
      </w:r>
      <w:r>
        <w:t xml:space="preserve">institutions to raise funds flows through securities settlement systems operated by CSDs.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Regulation (EU) No 909/2014 of the European Parliament and of the Council of 23 July 2014 on</w:t>
      </w:r>
      <w:r>
        <w:t xml:space="preserve"> </w:t>
      </w:r>
      <w:r>
        <w:t xml:space="preserve">improving securities settlement in the European Union and on central securities depositories and amending</w:t>
      </w:r>
      <w:r>
        <w:t xml:space="preserve"> </w:t>
      </w:r>
      <w:r>
        <w:t xml:space="preserve">Directives 98/26/EC and 2014/65/EU and Regulation (EU) No 236/2012, OJ L 257, 28.8.2014, p. 1–72.</w:t>
      </w:r>
      <w:r>
        <w:t xml:space="preserve"> </w:t>
      </w:r>
      <w:r>
        <w:t xml:space="preserve">2</w:t>
      </w:r>
      <w:r>
        <w:t xml:space="preserve"> </w:t>
      </w:r>
      <w:r>
        <w:t xml:space="preserve">Directive 2004/39/EC of the European Parliament and of the Council of 21 April 2004 on markets in</w:t>
      </w:r>
      <w:r>
        <w:t xml:space="preserve"> </w:t>
      </w:r>
      <w:r>
        <w:t xml:space="preserve">financial instruments amending Council Directives 85/611/EEC and 93/6/EEC and Directive 2000/12/EC</w:t>
      </w:r>
      <w:r>
        <w:t xml:space="preserve"> </w:t>
      </w:r>
      <w:r>
        <w:t xml:space="preserve">of the European Parliament and of the Council and repealing Council Directive 93/22/EEC, OJ L 145,</w:t>
      </w:r>
      <w:r>
        <w:t xml:space="preserve"> </w:t>
      </w:r>
      <w:r>
        <w:t xml:space="preserve">30.4.2004. MiFID was in force until 2 January 2018. Today, it is partly recast with MiFID2 (Directive</w:t>
      </w:r>
      <w:r>
        <w:t xml:space="preserve"> </w:t>
      </w:r>
      <w:r>
        <w:t xml:space="preserve">2014/65/EU of the European Parliament and of the Council of 15 May 2014 on markets in financial</w:t>
      </w:r>
      <w:r>
        <w:t xml:space="preserve"> </w:t>
      </w:r>
      <w:r>
        <w:t xml:space="preserve">instruments and amending Directive 2002/92/EC and Directive 2011/61/EU, OJ L 173, 12.6.2014) and</w:t>
      </w:r>
      <w:r>
        <w:t xml:space="preserve"> </w:t>
      </w:r>
      <w:r>
        <w:t xml:space="preserve">partly replaced with MiFIR (Regulation (EU) No 600/2014 of the European Parliament and of the Council</w:t>
      </w:r>
      <w:r>
        <w:t xml:space="preserve"> </w:t>
      </w:r>
      <w:r>
        <w:t xml:space="preserve">of 15 May 2014 on markets in financial instruments and amending Regulation (EU) No 648/2012, OJ L</w:t>
      </w:r>
      <w:r>
        <w:t xml:space="preserve"> </w:t>
      </w:r>
      <w:r>
        <w:t xml:space="preserve">173, 12.6.2014).</w:t>
      </w:r>
      <w:r>
        <w:t xml:space="preserve"> </w:t>
      </w:r>
      <w:r>
        <w:t xml:space="preserve">3</w:t>
      </w:r>
      <w:r>
        <w:t xml:space="preserve"> </w:t>
      </w:r>
      <w:r>
        <w:t xml:space="preserve">Regulation (EU) No 648/2012 of the European Parliament and of the Council of 4 July 2012 on OTC</w:t>
      </w:r>
      <w:r>
        <w:t xml:space="preserve"> </w:t>
      </w:r>
      <w:r>
        <w:t xml:space="preserve">derivatives, central counterparties and trade repositories, OJ L 201, 27.7.2012.</w:t>
      </w:r>
      <w:r>
        <w:t xml:space="preserve"> </w:t>
      </w:r>
      <w:r>
        <w:t xml:space="preserve">4</w:t>
      </w:r>
      <w:r>
        <w:t xml:space="preserve"> </w:t>
      </w:r>
      <w:r>
        <w:t xml:space="preserve">https://www.ecb.europa.eu/paym/target/t2s/html/index.en.html.</w:t>
      </w:r>
      <w:r>
        <w:br/>
      </w:r>
      <w:r>
        <w:t xml:space="preserve">5</w:t>
      </w:r>
      <w:r>
        <w:t xml:space="preserve"> </w:t>
      </w:r>
      <w:r>
        <w:t xml:space="preserve">https://www.fsb.org/wp-content/uploads/pr_101020.pdf.</w:t>
      </w:r>
      <w:r>
        <w:br/>
      </w:r>
      <w:r>
        <w:t xml:space="preserve">6</w:t>
      </w:r>
      <w:r>
        <w:t xml:space="preserve"> </w:t>
      </w:r>
      <w:r>
        <w:t xml:space="preserve">https://www.bis.org/cpmi/publ/d101.htm.</w:t>
      </w:r>
      <w:r>
        <w:br/>
      </w:r>
      <w:r>
        <w:t xml:space="preserve">7</w:t>
      </w:r>
      <w:r>
        <w:t xml:space="preserve"> </w:t>
      </w:r>
      <w:r>
        <w:t xml:space="preserve">European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Securities</w:t>
      </w:r>
      <w:r>
        <w:t xml:space="preserve"> </w:t>
      </w:r>
      <w:r>
        <w:t xml:space="preserve">Holdings</w:t>
      </w:r>
      <w:r>
        <w:t xml:space="preserve"> </w:t>
      </w:r>
      <w:r>
        <w:t xml:space="preserve">Statistics</w:t>
      </w:r>
      <w:r>
        <w:t xml:space="preserve"> </w:t>
      </w:r>
      <w:r>
        <w:t xml:space="preserve">Database,</w:t>
      </w:r>
      <w:r>
        <w:t xml:space="preserve"> </w:t>
      </w:r>
      <w:r>
        <w:t xml:space="preserve">https://sdw.ecb.europa.eu/browse.do?node=9691130 (accessed on 29.04.2021).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CSDs are also integral for the implementation of monetary policy as they settle securities</w:t>
      </w:r>
      <w:r>
        <w:t xml:space="preserve"> </w:t>
      </w:r>
      <w:r>
        <w:t xml:space="preserve">in central bank monetary policy operations.</w:t>
      </w:r>
      <w:r>
        <w:t xml:space="preserve"> </w:t>
      </w:r>
      <w:r>
        <w:t xml:space="preserve">Seven years after its adoption, a review of CSDR is needed to ensure it achieves its</w:t>
      </w:r>
      <w:r>
        <w:t xml:space="preserve"> </w:t>
      </w:r>
      <w:r>
        <w:t xml:space="preserve">objectives while making, where possible, the framework clearer, less costly and future</w:t>
      </w:r>
      <w:r>
        <w:t xml:space="preserve"> </w:t>
      </w:r>
      <w:r>
        <w:t xml:space="preserve">proof.</w:t>
      </w:r>
      <w:r>
        <w:t xml:space="preserve"> </w:t>
      </w:r>
      <w:r>
        <w:t xml:space="preserve">CSDR has uniform requirements for the settlement of financial instruments and rules on</w:t>
      </w:r>
      <w:r>
        <w:t xml:space="preserve"> </w:t>
      </w:r>
      <w:r>
        <w:t xml:space="preserve">the organisation and conduct of CSDs to promote safe, efficient and smooth settlement.</w:t>
      </w:r>
      <w:r>
        <w:t xml:space="preserve"> </w:t>
      </w:r>
      <w:r>
        <w:t xml:space="preserve">Specifically, CSDR introduced: shorter settlement periods; settlement discipline</w:t>
      </w:r>
      <w:r>
        <w:t xml:space="preserve"> </w:t>
      </w:r>
      <w:r>
        <w:t xml:space="preserve">measures (settlement fails reporting, mandatory cash penalties and ‘buy-ins’ for</w:t>
      </w:r>
      <w:r>
        <w:t xml:space="preserve"> </w:t>
      </w:r>
      <w:r>
        <w:t xml:space="preserve">settlement fails); strict organisational, conduct of business and prudential requirements</w:t>
      </w:r>
      <w:r>
        <w:t xml:space="preserve"> </w:t>
      </w:r>
      <w:r>
        <w:t xml:space="preserve">for CSDs; increased prudential and supervisory requirements for CSDs and other</w:t>
      </w:r>
      <w:r>
        <w:t xml:space="preserve"> </w:t>
      </w:r>
      <w:r>
        <w:t xml:space="preserve">institutions providing banking services that support securities settlement; and a passport</w:t>
      </w:r>
      <w:r>
        <w:t xml:space="preserve"> </w:t>
      </w:r>
      <w:r>
        <w:t xml:space="preserve">system allowing authorised CSDs to provide their services across the EU.</w:t>
      </w:r>
      <w:r>
        <w:t xml:space="preserve"> </w:t>
      </w:r>
      <w:r>
        <w:t xml:space="preserve">CSDR entered into force in September 2014; however, most of the requirements did not</w:t>
      </w:r>
      <w:r>
        <w:t xml:space="preserve"> </w:t>
      </w:r>
      <w:r>
        <w:t xml:space="preserve">immediately become applicable, as CSDR empowered the Commission to adopt</w:t>
      </w:r>
      <w:r>
        <w:t xml:space="preserve"> </w:t>
      </w:r>
      <w:r>
        <w:t xml:space="preserve">secondary legislation specifying the technical practicalities, leading to a phased-in</w:t>
      </w:r>
      <w:r>
        <w:t xml:space="preserve"> </w:t>
      </w:r>
      <w:r>
        <w:t xml:space="preserve">schedule of certain core requirements. Certain rules, including in particular on settlement</w:t>
      </w:r>
      <w:r>
        <w:t xml:space="preserve"> </w:t>
      </w:r>
      <w:r>
        <w:t xml:space="preserve">discipline, have not yet entered into force.</w:t>
      </w:r>
      <w:r>
        <w:br/>
      </w:r>
      <w:r>
        <w:t xml:space="preserve">Article 75 of CSDR requires the Commission to review and prepare a general report on a</w:t>
      </w:r>
      <w:r>
        <w:t xml:space="preserve"> </w:t>
      </w:r>
      <w:r>
        <w:t xml:space="preserve">wide range of issues by 19 September 2019. Article 81(2c) of the European Securities</w:t>
      </w:r>
      <w:r>
        <w:t xml:space="preserve"> </w:t>
      </w:r>
      <w:r>
        <w:t xml:space="preserve">and Markets Authority (ESMA) Regulation8 also requires the Commission to assess the</w:t>
      </w:r>
      <w:r>
        <w:t xml:space="preserve"> </w:t>
      </w:r>
      <w:r>
        <w:t xml:space="preserve">potential supervision of third-country CSDs by ESMA. From September 2020 to August</w:t>
      </w:r>
      <w:r>
        <w:t xml:space="preserve"> </w:t>
      </w:r>
      <w:r>
        <w:t xml:space="preserve">2021, the Commission undertook an assessment of the rules in place to prepare a report.</w:t>
      </w:r>
      <w:r>
        <w:t xml:space="preserve"> </w:t>
      </w:r>
      <w:r>
        <w:t xml:space="preserve">This included a targeted consultation with more than 90 contributions from a range of</w:t>
      </w:r>
      <w:r>
        <w:t xml:space="preserve"> </w:t>
      </w:r>
      <w:r>
        <w:t xml:space="preserve">stakeholders, as well as reports required under Article 74 of CSDR from ESMA, in</w:t>
      </w:r>
      <w:r>
        <w:t xml:space="preserve"> </w:t>
      </w:r>
      <w:r>
        <w:t xml:space="preserve">cooperation with the European Banking Authority (EBA) and national authorities.</w:t>
      </w:r>
      <w:r>
        <w:br/>
      </w:r>
      <w:r>
        <w:t xml:space="preserve">On 1 July 2021, the Commission adopted the CSDR review report.9 The report</w:t>
      </w:r>
      <w:r>
        <w:t xml:space="preserve"> </w:t>
      </w:r>
      <w:r>
        <w:t xml:space="preserve">concluded that, in broad terms, CSDR achieves its original objectives to enhance the</w:t>
      </w:r>
      <w:r>
        <w:t xml:space="preserve"> </w:t>
      </w:r>
      <w:r>
        <w:t xml:space="preserve">efficiency of settlement in the EU and the soundness of CSDs. In some areas, targeted</w:t>
      </w:r>
      <w:r>
        <w:t xml:space="preserve"> </w:t>
      </w:r>
      <w:r>
        <w:t xml:space="preserve">changes could improve CSDR’s efficiency and effectiveness. Other provisions have been</w:t>
      </w:r>
      <w:r>
        <w:t xml:space="preserve"> </w:t>
      </w:r>
      <w:r>
        <w:t xml:space="preserve">shown to meet their objective, or changes would be premature considering the relatively</w:t>
      </w:r>
      <w:r>
        <w:t xml:space="preserve"> </w:t>
      </w:r>
      <w:r>
        <w:t xml:space="preserve">recent application of requirements.</w:t>
      </w:r>
      <w:r>
        <w:br/>
      </w:r>
      <w:r>
        <w:t xml:space="preserve">The Commission has assessed the extent to which specific policy requirements in CSDR</w:t>
      </w:r>
      <w:r>
        <w:t xml:space="preserve"> </w:t>
      </w:r>
      <w:r>
        <w:t xml:space="preserve">have met their objectives in an efficient and effective way, while at the same time being</w:t>
      </w:r>
      <w:r>
        <w:t xml:space="preserve"> </w:t>
      </w:r>
      <w:r>
        <w:t xml:space="preserve">coherent, relevant and providing EU added-value. This is supported by an evaluation</w:t>
      </w:r>
      <w:r>
        <w:t xml:space="preserve"> </w:t>
      </w:r>
      <w:r>
        <w:t xml:space="preserve">examining the effectiveness and efficiency of CSDR in specific areas. That evaluation</w:t>
      </w:r>
      <w:r>
        <w:t xml:space="preserve"> </w:t>
      </w:r>
      <w:r>
        <w:t xml:space="preserve">was performed back-to-back with the impact assessment and fed into the problem</w:t>
      </w:r>
      <w:r>
        <w:t xml:space="preserve"> </w:t>
      </w:r>
      <w:r>
        <w:t xml:space="preserve">definition of the impact assessment and is presented in Annex 6.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Regulation (EU) No 1095/2010 of the European Parliament and of the Council of 24 November 2010</w:t>
      </w:r>
      <w:r>
        <w:t xml:space="preserve"> </w:t>
      </w:r>
      <w:r>
        <w:t xml:space="preserve">establishing a European Supervisory Authority (European Securities and Markets Authority), amending</w:t>
      </w:r>
      <w:r>
        <w:t xml:space="preserve"> </w:t>
      </w:r>
      <w:r>
        <w:t xml:space="preserve">Decision No 716/2009/EC and repealing Commission Decision 2009/77/EC, OJ L 331, 15.12.2010.</w:t>
      </w:r>
      <w:r>
        <w:t xml:space="preserve"> </w:t>
      </w:r>
      <w:r>
        <w:t xml:space="preserve">9</w:t>
      </w:r>
      <w:r>
        <w:t xml:space="preserve"> </w:t>
      </w:r>
      <w:r>
        <w:t xml:space="preserve">Report from the Commission to the European Parliament and the Council under Article 75 of Regulation</w:t>
      </w:r>
      <w:r>
        <w:t xml:space="preserve"> </w:t>
      </w:r>
      <w:r>
        <w:t xml:space="preserve">(EU) No 909/2014 of the European Parliament and of the Council of 23 July 2014 on improving securities</w:t>
      </w:r>
      <w:r>
        <w:t xml:space="preserve"> </w:t>
      </w:r>
      <w:r>
        <w:t xml:space="preserve">settlement in the European Union and on central securities depositories and amending Directives 98/26/EC</w:t>
      </w:r>
      <w:r>
        <w:t xml:space="preserve"> </w:t>
      </w:r>
      <w:r>
        <w:t xml:space="preserve">and 2014/65/EU and Regulation (EU) No 236/2012, COM (2021) 348 final.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evaluation indicates that CSDR may impose in specific areas disproportionate</w:t>
      </w:r>
      <w:r>
        <w:t xml:space="preserve"> </w:t>
      </w:r>
      <w:r>
        <w:t xml:space="preserve">costs and burdens and that certain requirements may be simplified to achieve its</w:t>
      </w:r>
      <w:r>
        <w:t xml:space="preserve"> </w:t>
      </w:r>
      <w:r>
        <w:t xml:space="preserve">objectives more efficiently.</w:t>
      </w:r>
      <w:r>
        <w:br/>
      </w:r>
      <w:r>
        <w:t xml:space="preserve">The CSDR review is a key action in the 2020 Capital Markets Union Action Plan10</w:t>
      </w:r>
      <w:r>
        <w:t xml:space="preserve"> </w:t>
      </w:r>
      <w:r>
        <w:t xml:space="preserve">for the development of a more efficient post-trading landscape in the EU. Resilient and</w:t>
      </w:r>
      <w:r>
        <w:t xml:space="preserve"> </w:t>
      </w:r>
      <w:r>
        <w:t xml:space="preserve">efficient markets for settlement in the EU should remove barriers to cross-border</w:t>
      </w:r>
      <w:r>
        <w:t xml:space="preserve"> </w:t>
      </w:r>
      <w:r>
        <w:t xml:space="preserve">settlement, ensure adequate powers to monitor risks and reduce administrative burden</w:t>
      </w:r>
      <w:r>
        <w:t xml:space="preserve"> </w:t>
      </w:r>
      <w:r>
        <w:t xml:space="preserve">and compliance costs. As such, the costs of securities transactions should fall and trust in</w:t>
      </w:r>
      <w:r>
        <w:t xml:space="preserve"> </w:t>
      </w:r>
      <w:r>
        <w:t xml:space="preserve">the securities transactions be enhanced, contributing to a better financing of the economy.</w:t>
      </w:r>
      <w:r>
        <w:t xml:space="preserve"> </w:t>
      </w:r>
      <w:r>
        <w:t xml:space="preserve">Finally, the consequences of Brexit as well as areas where the review of requirements is</w:t>
      </w:r>
      <w:r>
        <w:t xml:space="preserve"> </w:t>
      </w:r>
      <w:r>
        <w:t xml:space="preserve">necessary to ensure the return to long-term growth of the EU economy following the</w:t>
      </w:r>
      <w:r>
        <w:t xml:space="preserve"> </w:t>
      </w:r>
      <w:r>
        <w:t xml:space="preserve">crisis resulting from the Covid-19 pandemic are also considered in the analysis.</w:t>
      </w:r>
      <w:r>
        <w:t xml:space="preserve"> </w:t>
      </w:r>
      <w:r>
        <w:t xml:space="preserve">This impact assessment report concludes that further action is necessary to address the</w:t>
      </w:r>
      <w:r>
        <w:t xml:space="preserve"> </w:t>
      </w:r>
      <w:r>
        <w:t xml:space="preserve">following issues: (1) burdensome and unclear passporting requirements; (2) insufficient</w:t>
      </w:r>
      <w:r>
        <w:t xml:space="preserve"> </w:t>
      </w:r>
      <w:r>
        <w:t xml:space="preserve">coordination and cooperation between authorities; (3) restrictive requirements for the</w:t>
      </w:r>
      <w:r>
        <w:t xml:space="preserve"> </w:t>
      </w:r>
      <w:r>
        <w:t xml:space="preserve">provision of banking services related to settlement; (4) complicated and unclear</w:t>
      </w:r>
      <w:r>
        <w:t xml:space="preserve"> </w:t>
      </w:r>
      <w:r>
        <w:t xml:space="preserve">requirements for settlement discipline; and (5) insufficient reporting for third-country</w:t>
      </w:r>
      <w:r>
        <w:t xml:space="preserve"> </w:t>
      </w:r>
      <w:r>
        <w:t xml:space="preserve">CSDs. This will ensure that CSDR’s objectives are achieved in a more proportionate,</w:t>
      </w:r>
      <w:r>
        <w:t xml:space="preserve"> </w:t>
      </w:r>
      <w:r>
        <w:t xml:space="preserve">efficient and effective manner. This impact assessment report considers the costs and</w:t>
      </w:r>
      <w:r>
        <w:t xml:space="preserve"> </w:t>
      </w:r>
      <w:r>
        <w:t xml:space="preserve">benefits of different policy options and provides comprehensive evidence that a</w:t>
      </w:r>
      <w:r>
        <w:t xml:space="preserve"> </w:t>
      </w:r>
      <w:r>
        <w:t xml:space="preserve">reduction of costs and burdens can be achieved hand-in-hand with a simplification</w:t>
      </w:r>
      <w:r>
        <w:t xml:space="preserve"> </w:t>
      </w:r>
      <w:r>
        <w:t xml:space="preserve">of CSDR, without compromising financial stability.</w:t>
      </w:r>
      <w:r>
        <w:br/>
      </w:r>
      <w:r>
        <w:t xml:space="preserve">1.2. Background</w:t>
      </w:r>
      <w:r>
        <w:t xml:space="preserve"> </w:t>
      </w:r>
      <w:r>
        <w:t xml:space="preserve">1.2.1. Post-trade services</w:t>
      </w:r>
      <w:r>
        <w:t xml:space="preserve"> </w:t>
      </w:r>
      <w:r>
        <w:t xml:space="preserve">A crucial element of safe and efficient capital markets is the safety and efficiency of the</w:t>
      </w:r>
      <w:r>
        <w:t xml:space="preserve"> </w:t>
      </w:r>
      <w:r>
        <w:t xml:space="preserve">post-trade arrangements for securities transactions. Though largely invisible to investors,</w:t>
      </w:r>
      <w:r>
        <w:t xml:space="preserve"> </w:t>
      </w:r>
      <w:r>
        <w:t xml:space="preserve">these ensure that after the trade has been carried out the buyer receives securities and the</w:t>
      </w:r>
      <w:r>
        <w:t xml:space="preserve"> </w:t>
      </w:r>
      <w:r>
        <w:t xml:space="preserve">seller is paid. These services that are performed after a trade are commonly referred to as</w:t>
      </w:r>
      <w:r>
        <w:t xml:space="preserve"> </w:t>
      </w:r>
      <w:r>
        <w:t xml:space="preserve">post-trade services. They typically include:11</w:t>
      </w:r>
      <w:r>
        <w:t xml:space="preserve"> </w:t>
      </w:r>
      <w:r>
        <w:t xml:space="preserve"> clearing, which guarantees performance by making the CCPs buyer to every</w:t>
      </w:r>
      <w:r>
        <w:t xml:space="preserve"> </w:t>
      </w:r>
      <w:r>
        <w:t xml:space="preserve">seller and seller to every buyer;</w:t>
      </w:r>
      <w:r>
        <w:t xml:space="preserve"> </w:t>
      </w:r>
      <w:r>
        <w:t xml:space="preserve"> settlement, which allows the discharge of the obligation of the parties to the</w:t>
      </w:r>
      <w:r>
        <w:t xml:space="preserve"> </w:t>
      </w:r>
      <w:r>
        <w:t xml:space="preserve">transaction and the transfer of cash or securities, or both;</w:t>
      </w:r>
      <w:r>
        <w:t xml:space="preserve"> </w:t>
      </w:r>
      <w:r>
        <w:t xml:space="preserve"> asset servicing which allows the processing and exercise of rights tied to a</w:t>
      </w:r>
      <w:r>
        <w:t xml:space="preserve"> </w:t>
      </w:r>
      <w:r>
        <w:t xml:space="preserve">security over its lifetime;</w:t>
      </w:r>
      <w:r>
        <w:t xml:space="preserve"> </w:t>
      </w:r>
      <w:r>
        <w:t xml:space="preserve"> post-trade reporting of individual transactions and/ or positions of nominated</w:t>
      </w:r>
      <w:r>
        <w:t xml:space="preserve"> </w:t>
      </w:r>
      <w:r>
        <w:t xml:space="preserve">participants.</w:t>
      </w:r>
      <w:r>
        <w:t xml:space="preserve"> </w:t>
      </w:r>
      <w:r>
        <w:t xml:space="preserve">Post-trade services are an integral part of the value chain (see Figure I), as they ensure</w:t>
      </w:r>
      <w:r>
        <w:t xml:space="preserve"> </w:t>
      </w:r>
      <w:r>
        <w:t xml:space="preserve">that a securities transaction is completed, including the transfer of legal ownership of a</w:t>
      </w:r>
      <w:r>
        <w:t xml:space="preserve"> </w:t>
      </w:r>
      <w:r>
        <w:t xml:space="preserve">security from one party to another, and transferring cash as payment. Post-trade services</w:t>
      </w:r>
    </w:p>
    <w:p>
      <w:pPr>
        <w:pStyle w:val="BodyText"/>
      </w:pPr>
      <w:r>
        <w:t xml:space="preserve">10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‘A Capital Markets Union for people and</w:t>
      </w:r>
      <w:r>
        <w:t xml:space="preserve"> </w:t>
      </w:r>
      <w:r>
        <w:t xml:space="preserve">businesses – New Action Plan’, COM (2020) 590. See Action 13.</w:t>
      </w:r>
      <w:r>
        <w:t xml:space="preserve"> </w:t>
      </w:r>
      <w:r>
        <w:t xml:space="preserve">11 European Post-Trade Forum Report, 15 May 2017, p. 117; https://ec.europa.eu/info/publications/170515-</w:t>
      </w:r>
      <w:r>
        <w:t xml:space="preserve"> </w:t>
      </w:r>
      <w:r>
        <w:t xml:space="preserve">eptf-report_en 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are provided by financial market infrastructures, i.e. Central Counterparties and CSDs,</w:t>
      </w:r>
      <w:r>
        <w:t xml:space="preserve"> </w:t>
      </w:r>
      <w:r>
        <w:t xml:space="preserve">trade repositories, as well as by banks (including custodians).</w:t>
      </w:r>
      <w:r>
        <w:t xml:space="preserve"> </w:t>
      </w:r>
      <w:r>
        <w:t xml:space="preserve">Figure I12: Securities industries value chain</w:t>
      </w:r>
    </w:p>
    <w:p>
      <w:pPr>
        <w:pStyle w:val="BodyText"/>
      </w:pPr>
      <w:r>
        <w:t xml:space="preserve">Safe and efficient post-trading systems are essential for trust in the financial system,</w:t>
      </w:r>
      <w:r>
        <w:t xml:space="preserve"> </w:t>
      </w:r>
      <w:r>
        <w:t xml:space="preserve">allowing investments to flow into the real economy, increasing competition and thereby</w:t>
      </w:r>
      <w:r>
        <w:t xml:space="preserve"> </w:t>
      </w:r>
      <w:r>
        <w:t xml:space="preserve">further fostering a stronger and more resilient financial system.</w:t>
      </w:r>
      <w:r>
        <w:br/>
      </w:r>
      <w:r>
        <w:t xml:space="preserve">1.2.2. Securities settlement</w:t>
      </w:r>
      <w:r>
        <w:t xml:space="preserve"> </w:t>
      </w:r>
      <w:r>
        <w:t xml:space="preserve">CSDR defines13 settlement as the completion of a securities transaction after it is</w:t>
      </w:r>
      <w:r>
        <w:t xml:space="preserve"> </w:t>
      </w:r>
      <w:r>
        <w:t xml:space="preserve">concluded with the aim of discharging the obligations of the parties to that</w:t>
      </w:r>
      <w:r>
        <w:t xml:space="preserve"> </w:t>
      </w:r>
      <w:r>
        <w:t xml:space="preserve">transaction through the transfer of cash or securities, or both. Timely settlement is</w:t>
      </w:r>
      <w:r>
        <w:t xml:space="preserve"> </w:t>
      </w:r>
      <w:r>
        <w:t xml:space="preserve">important as it allows market participants to make contingent plans, contributing to the</w:t>
      </w:r>
      <w:r>
        <w:t xml:space="preserve"> </w:t>
      </w:r>
      <w:r>
        <w:t xml:space="preserve">depth and liquidity of the financial markets and to their smooth functioning. The</w:t>
      </w:r>
      <w:r>
        <w:t xml:space="preserve"> </w:t>
      </w:r>
      <w:r>
        <w:t xml:space="preserve">exchange of cash and securities is normally carried out in a Securities Settlement System</w:t>
      </w:r>
      <w:r>
        <w:t xml:space="preserve"> </w:t>
      </w:r>
      <w:r>
        <w:t xml:space="preserve">(SSS) operated by a CSD. In a CSD, the buyer’s and seller’s transactions are matched,</w:t>
      </w:r>
      <w:r>
        <w:t xml:space="preserve"> </w:t>
      </w:r>
      <w:r>
        <w:t xml:space="preserve">verifying the ability of the seller to deliver the securities and the ability of the buyer to</w:t>
      </w:r>
      <w:r>
        <w:t xml:space="preserve"> </w:t>
      </w:r>
      <w:r>
        <w:t xml:space="preserve">pay; after that the transaction is settled discharging the parties from their obligations.</w:t>
      </w:r>
      <w:r>
        <w:t xml:space="preserve"> </w:t>
      </w:r>
      <w:r>
        <w:t xml:space="preserve">However, if both the buyer and the seller of securities have accounts at the same bank,</w:t>
      </w:r>
      <w:r>
        <w:t xml:space="preserve"> </w:t>
      </w:r>
      <w:r>
        <w:t xml:space="preserve">the transaction can also be settled by an internal transfer between those accounts. In such</w:t>
      </w:r>
      <w:r>
        <w:t xml:space="preserve"> </w:t>
      </w:r>
      <w:r>
        <w:t xml:space="preserve">a case, the bank is acting as a settlement internaliser14, which executes transfer orders</w:t>
      </w:r>
      <w:r>
        <w:t xml:space="preserve"> </w:t>
      </w:r>
      <w:r>
        <w:t xml:space="preserve">on behalf of clients or on its own account other than through a securities settlement</w:t>
      </w:r>
      <w:r>
        <w:t xml:space="preserve"> </w:t>
      </w:r>
      <w:r>
        <w:t xml:space="preserve">system.15</w:t>
      </w:r>
      <w:r>
        <w:br/>
      </w:r>
      <w:r>
        <w:t xml:space="preserve">1.2.3. The role of CSDs</w:t>
      </w:r>
      <w:r>
        <w:br/>
      </w:r>
      <w:r>
        <w:t xml:space="preserve">The three ‘core’ services under CSDR are:</w:t>
      </w:r>
      <w:r>
        <w:br/>
      </w:r>
      <w:r>
        <w:t xml:space="preserve"> the ‘settlement service’: the operation of a securities settlement system, through</w:t>
      </w:r>
      <w:r>
        <w:t xml:space="preserve"> </w:t>
      </w:r>
      <w:r>
        <w:t xml:space="preserve">which securities are delivered or are exchanged between buyer and sellers;</w:t>
      </w:r>
      <w:r>
        <w:br/>
      </w:r>
      <w:r>
        <w:t xml:space="preserve"> the ‘notary service’: initial recording of securities in a book-entry system;16</w:t>
      </w:r>
      <w:r>
        <w:br/>
      </w:r>
      <w:r>
        <w:t xml:space="preserve"> the ‘central maintenance service’ – maintaining securities accounts at the top</w:t>
      </w:r>
      <w:r>
        <w:t xml:space="preserve"> </w:t>
      </w:r>
      <w:r>
        <w:t xml:space="preserve">tier level.17</w:t>
      </w:r>
    </w:p>
    <w:p>
      <w:pPr>
        <w:pStyle w:val="BodyText"/>
      </w:pPr>
      <w:r>
        <w:t xml:space="preserve">12 European Post-Trade Forum Report, (see note 11), p. 117;</w:t>
      </w:r>
      <w:r>
        <w:br/>
      </w:r>
      <w:r>
        <w:t xml:space="preserve">13 Article 2(7) of CSDR.</w:t>
      </w:r>
      <w:r>
        <w:t xml:space="preserve"> </w:t>
      </w:r>
      <w:r>
        <w:t xml:space="preserve">14 Article 2(11) of CSDR.</w:t>
      </w:r>
      <w:r>
        <w:t xml:space="preserve"> </w:t>
      </w:r>
      <w:r>
        <w:t xml:space="preserve">15 A firm internalises settlement if it receives an instruction from a client and transfers securities from one</w:t>
      </w:r>
      <w:r>
        <w:t xml:space="preserve"> </w:t>
      </w:r>
      <w:r>
        <w:t xml:space="preserve">securities account to another in its books rather than forward it to another intermediary or a CSD.</w:t>
      </w:r>
      <w:r>
        <w:br/>
      </w:r>
      <w:r>
        <w:t xml:space="preserve">16 A mechanism that enables firms to transfer assets (e.g. securities) without physically moving paper</w:t>
      </w:r>
      <w:r>
        <w:t xml:space="preserve"> </w:t>
      </w:r>
      <w:r>
        <w:t xml:space="preserve">documents or certificates. Bank for International Settlement, Committee on Payments and Market</w:t>
      </w:r>
      <w:r>
        <w:t xml:space="preserve"> </w:t>
      </w:r>
      <w:r>
        <w:t xml:space="preserve">Infrastructures – Glossary, https://www.bis.org/cpmi/glossary_030301.pdf 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CSDR defines18 a CSD as a legal person that operates a securities settlement system19</w:t>
      </w:r>
      <w:r>
        <w:t xml:space="preserve"> </w:t>
      </w:r>
      <w:r>
        <w:t xml:space="preserve">(i.e. settlement service) and provides at least one other core service (i.e. notary service or</w:t>
      </w:r>
      <w:r>
        <w:t xml:space="preserve"> </w:t>
      </w:r>
      <w:r>
        <w:t xml:space="preserve">central maintenance service).</w:t>
      </w:r>
      <w:r>
        <w:br/>
      </w:r>
      <w:r>
        <w:t xml:space="preserve">As concerns settlement, CSDs hold securities centrally in dematerialised form, i.e. </w:t>
      </w:r>
      <w:r>
        <w:t xml:space="preserve"> </w:t>
      </w:r>
      <w:r>
        <w:t xml:space="preserve">electronically, to speed up settlement. The exchange of cash and securities is normally</w:t>
      </w:r>
      <w:r>
        <w:t xml:space="preserve"> </w:t>
      </w:r>
      <w:r>
        <w:t xml:space="preserve">carried out electronically (although physical delivery is also still used if securities are</w:t>
      </w:r>
      <w:r>
        <w:t xml:space="preserve"> </w:t>
      </w:r>
      <w:r>
        <w:t xml:space="preserve">held in physical form), using a procedure known as Delivery versus Payment (DvP). DvP</w:t>
      </w:r>
      <w:r>
        <w:t xml:space="preserve"> </w:t>
      </w:r>
      <w:r>
        <w:t xml:space="preserve">ensures that neither party can end up with both the securities and the cash, and the other</w:t>
      </w:r>
      <w:r>
        <w:t xml:space="preserve"> </w:t>
      </w:r>
      <w:r>
        <w:t xml:space="preserve">party with nothing. CSDs operating nationally will often have links with other CSDs to</w:t>
      </w:r>
      <w:r>
        <w:t xml:space="preserve"> </w:t>
      </w:r>
      <w:r>
        <w:t xml:space="preserve">allow cross-border settlement and custody20 facilities. Cross-border securities settlement</w:t>
      </w:r>
      <w:r>
        <w:t xml:space="preserve"> </w:t>
      </w:r>
      <w:r>
        <w:t xml:space="preserve">is sometimes complex, involving at least two CSDs and multiple intermediaries.21</w:t>
      </w:r>
      <w:r>
        <w:br/>
      </w:r>
      <w:r>
        <w:t xml:space="preserve">CSDs also play a crucial role in the initial recording of newly issued securities (notary</w:t>
      </w:r>
      <w:r>
        <w:t xml:space="preserve"> </w:t>
      </w:r>
      <w:r>
        <w:t xml:space="preserve">function). This generally occurs at the same time as the issuance by the issuer. These</w:t>
      </w:r>
      <w:r>
        <w:t xml:space="preserve"> </w:t>
      </w:r>
      <w:r>
        <w:t xml:space="preserve">securities, once created, are usually recorded and deposited in a single CSD, the issuer</w:t>
      </w:r>
      <w:r>
        <w:t xml:space="preserve"> </w:t>
      </w:r>
      <w:r>
        <w:t xml:space="preserve">CSD. This service is essential as it ensures that there are not more securities circulating</w:t>
      </w:r>
      <w:r>
        <w:t xml:space="preserve"> </w:t>
      </w:r>
      <w:r>
        <w:t xml:space="preserve">than there were actually issued and entered in the account.</w:t>
      </w:r>
      <w:r>
        <w:t xml:space="preserve"> </w:t>
      </w:r>
      <w:r>
        <w:t xml:space="preserve">Finally, CSDs ensure the maintenance of securities accounts that record how many</w:t>
      </w:r>
      <w:r>
        <w:t xml:space="preserve"> </w:t>
      </w:r>
      <w:r>
        <w:t xml:space="preserve">securities have been issued by whom and each change in who holds those securities.</w:t>
      </w:r>
      <w:r>
        <w:t xml:space="preserve"> </w:t>
      </w:r>
      <w:r>
        <w:t xml:space="preserve">These securities accounts are closely linked to the key mission of CSDs, which is to</w:t>
      </w:r>
      <w:r>
        <w:t xml:space="preserve"> </w:t>
      </w:r>
      <w:r>
        <w:t xml:space="preserve">ensure through their position at the top of the holding chain22 that no more securities are</w:t>
      </w:r>
      <w:r>
        <w:t xml:space="preserve"> </w:t>
      </w:r>
      <w:r>
        <w:t xml:space="preserve">settled than securities were actually issued.</w:t>
      </w:r>
      <w:r>
        <w:br/>
      </w:r>
      <w:r>
        <w:t xml:space="preserve">CSDs also play a crucial role for the financing of the economy. Apart from the</w:t>
      </w:r>
      <w:r>
        <w:t xml:space="preserve"> </w:t>
      </w:r>
      <w:r>
        <w:t xml:space="preserve">issuance process, securities collateral posted by companies, banks and other institutions</w:t>
      </w:r>
      <w:r>
        <w:t xml:space="preserve"> </w:t>
      </w:r>
      <w:r>
        <w:t xml:space="preserve">flows through securities settlement systems operated by CSDs. CSDs also play an</w:t>
      </w:r>
      <w:r>
        <w:t xml:space="preserve"> </w:t>
      </w:r>
      <w:r>
        <w:t xml:space="preserve">essential role for the implementation of monetary policy by central banks as they</w:t>
      </w:r>
      <w:r>
        <w:t xml:space="preserve"> </w:t>
      </w:r>
      <w:r>
        <w:t xml:space="preserve">settle securities in central bank monetary policy operations</w:t>
      </w:r>
      <w:r>
        <w:t xml:space="preserve"> </w:t>
      </w:r>
      <w:r>
        <w:t xml:space="preserve">In addition to their core services, some CSDs provide ancillary services,23 e.g. </w:t>
      </w:r>
      <w:r>
        <w:t xml:space="preserve"> </w:t>
      </w:r>
      <w:r>
        <w:t xml:space="preserve">collateral management services, maintaining shareholder registers or supporting</w:t>
      </w:r>
      <w:r>
        <w:t xml:space="preserve"> </w:t>
      </w:r>
      <w:r>
        <w:t xml:space="preserve">corporate actions,24 that contribute to enhancing the safety, efficiency and transparency</w:t>
      </w:r>
      <w:r>
        <w:t xml:space="preserve"> </w:t>
      </w:r>
      <w:r>
        <w:t xml:space="preserve">of securities markets, without exposing them to credit or liquidity risk. CSDR also allows</w:t>
      </w:r>
      <w:r>
        <w:t xml:space="preserve"> </w:t>
      </w:r>
      <w:r>
        <w:t xml:space="preserve">CSDs to provide banking-type ancillary services25 related to core or ancillary services,</w:t>
      </w:r>
      <w:r>
        <w:t xml:space="preserve"> </w:t>
      </w:r>
      <w:r>
        <w:t xml:space="preserve">i.e. providing cash accounts and accepting deposits from participants to a securities</w:t>
      </w:r>
    </w:p>
    <w:p>
      <w:pPr>
        <w:pStyle w:val="BodyText"/>
      </w:pPr>
      <w:r>
        <w:t xml:space="preserve">17 This allows CSDs to track all holdings, i.e. who owns it, in a given financial instrument, whether by an</w:t>
      </w:r>
      <w:r>
        <w:t xml:space="preserve"> </w:t>
      </w:r>
      <w:r>
        <w:t xml:space="preserve">individual or a financial institution, are ultimately kept in a securities account at the CSD (ECSDA).</w:t>
      </w:r>
      <w:r>
        <w:t xml:space="preserve"> </w:t>
      </w:r>
      <w:r>
        <w:t xml:space="preserve">18 Article 2(1) of CSDR.</w:t>
      </w:r>
      <w:r>
        <w:t xml:space="preserve"> </w:t>
      </w:r>
      <w:r>
        <w:t xml:space="preserve">19 Settlement service listed in point 3 of Annex A is the operation of a securities settlement system, through</w:t>
      </w:r>
      <w:r>
        <w:t xml:space="preserve"> </w:t>
      </w:r>
      <w:r>
        <w:t xml:space="preserve">which securities are initially delivered or are subsequently exchanged between buyer and sellers (via</w:t>
      </w:r>
      <w:r>
        <w:t xml:space="preserve"> </w:t>
      </w:r>
      <w:r>
        <w:t xml:space="preserve">participants to the SSS).</w:t>
      </w:r>
      <w:r>
        <w:t xml:space="preserve"> </w:t>
      </w:r>
      <w:r>
        <w:t xml:space="preserve">20 A custodian bank holds the securities on behalf of the investor and carries out instructions on their behalf.</w:t>
      </w:r>
      <w:r>
        <w:br/>
      </w:r>
      <w:r>
        <w:t xml:space="preserve">21 “Post-trade explained – The role of post-trade services in the financial sector”, Association for Financial</w:t>
      </w:r>
      <w:r>
        <w:t xml:space="preserve"> </w:t>
      </w:r>
      <w:r>
        <w:t xml:space="preserve">Markets in Europe, February 2015.</w:t>
      </w:r>
      <w:r>
        <w:t xml:space="preserve"> </w:t>
      </w:r>
      <w:r>
        <w:t xml:space="preserve">22 All tradeable securities are held on the books of various intermediaries, between the ultimate owner and the</w:t>
      </w:r>
      <w:r>
        <w:t xml:space="preserve"> </w:t>
      </w:r>
      <w:r>
        <w:t xml:space="preserve">CSD, creating a security holding chain.</w:t>
      </w:r>
      <w:r>
        <w:br/>
      </w:r>
      <w:r>
        <w:t xml:space="preserve">23 For a non-exhaustive of ancillary services provided by CSD’s list see Annex – Section B of CSDR.</w:t>
      </w:r>
      <w:r>
        <w:t xml:space="preserve"> </w:t>
      </w:r>
      <w:r>
        <w:t xml:space="preserve">24 A corporate action is an event initiated by a public company that brings or could bring an actual change to</w:t>
      </w:r>
      <w:r>
        <w:t xml:space="preserve"> </w:t>
      </w:r>
      <w:r>
        <w:t xml:space="preserve">the securities—equity or debt—issued by the company, such as stock splits, mergers, dividend payments.</w:t>
      </w:r>
      <w:r>
        <w:t xml:space="preserve"> </w:t>
      </w:r>
      <w:r>
        <w:t xml:space="preserve">The role of the CSD is to inform CSD participants holding the respective share or bond in custody about</w:t>
      </w:r>
      <w:r>
        <w:t xml:space="preserve"> </w:t>
      </w:r>
      <w:r>
        <w:t xml:space="preserve">the upcoming corporate action.</w:t>
      </w:r>
      <w:r>
        <w:br/>
      </w:r>
      <w:r>
        <w:t xml:space="preserve">25 For an exhaustive list see Annex – Section C of CSDR.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settlement system, providing cash credit, guarantees and commitments or payment</w:t>
      </w:r>
      <w:r>
        <w:t xml:space="preserve"> </w:t>
      </w:r>
      <w:r>
        <w:t xml:space="preserve">services.</w:t>
      </w:r>
      <w:r>
        <w:t xml:space="preserve"> </w:t>
      </w:r>
      <w:r>
        <w:t xml:space="preserve">1.3. CSDs in the European Union</w:t>
      </w:r>
      <w:r>
        <w:t xml:space="preserve"> </w:t>
      </w:r>
      <w:r>
        <w:t xml:space="preserve">1.3.1. Market structure slowly evolving</w:t>
      </w:r>
      <w:r>
        <w:t xml:space="preserve"> </w:t>
      </w:r>
      <w:r>
        <w:t xml:space="preserve">Historically, CSDs were established along national lines to provide a local venue for the</w:t>
      </w:r>
      <w:r>
        <w:t xml:space="preserve"> </w:t>
      </w:r>
      <w:r>
        <w:t xml:space="preserve">issuance and settlement of securities. Today, this fragmentation remains with 26</w:t>
      </w:r>
      <w:r>
        <w:t xml:space="preserve"> </w:t>
      </w:r>
      <w:r>
        <w:t xml:space="preserve">CSDs currently authorised in the EU under Article 16 of CSDR.26 Nevertheless, the</w:t>
      </w:r>
      <w:r>
        <w:t xml:space="preserve"> </w:t>
      </w:r>
      <w:r>
        <w:t xml:space="preserve">EU market structure is slowly evolving; end-2010 there were over 30 CSDs (including</w:t>
      </w:r>
      <w:r>
        <w:t xml:space="preserve"> </w:t>
      </w:r>
      <w:r>
        <w:t xml:space="preserve">two International Central Securities Depositories (ICSDs)) operating in the EU.27 Most</w:t>
      </w:r>
      <w:r>
        <w:t xml:space="preserve"> </w:t>
      </w:r>
      <w:r>
        <w:t xml:space="preserve">recently, in March 2021, the settlement of Irish securities migrated from UK CREST28 to</w:t>
      </w:r>
      <w:r>
        <w:t xml:space="preserve"> </w:t>
      </w:r>
      <w:r>
        <w:t xml:space="preserve">Euroclear Bank Belgium. The migration, following the UK’s decision to leave the EU,</w:t>
      </w:r>
      <w:r>
        <w:t xml:space="preserve"> </w:t>
      </w:r>
      <w:r>
        <w:t xml:space="preserve">transferred the settlement of trading activity on Euronext Dublin to a CSD located in the</w:t>
      </w:r>
      <w:r>
        <w:t xml:space="preserve"> </w:t>
      </w:r>
      <w:r>
        <w:t xml:space="preserve">EU. In contrast, the US market is more concentrated and specialised29 with 2 CSDs.</w:t>
      </w:r>
      <w:r>
        <w:t xml:space="preserve"> </w:t>
      </w:r>
      <w:r>
        <w:t xml:space="preserve">Included in the 26 CSDs are two ICSDs: Clearstream Banking in Luxembourg and</w:t>
      </w:r>
      <w:r>
        <w:t xml:space="preserve"> </w:t>
      </w:r>
      <w:r>
        <w:t xml:space="preserve">Euroclear Bank in Belgium.30 ICSDs settle trades in international and domestic</w:t>
      </w:r>
      <w:r>
        <w:t xml:space="preserve"> </w:t>
      </w:r>
      <w:r>
        <w:t xml:space="preserve">securities, usually through direct and indirect links with agents in domestic markets.</w:t>
      </w:r>
      <w:r>
        <w:t xml:space="preserve"> </w:t>
      </w:r>
      <w:r>
        <w:t xml:space="preserve">Originally, ICSDs focused on settling securities transactions denominated in other</w:t>
      </w:r>
      <w:r>
        <w:t xml:space="preserve"> </w:t>
      </w:r>
      <w:r>
        <w:t xml:space="preserve">currencies from where the issuer is based and CSDs focused on national markets. Today,</w:t>
      </w:r>
      <w:r>
        <w:t xml:space="preserve"> </w:t>
      </w:r>
      <w:r>
        <w:t xml:space="preserve">the settlement activities of ICSDs and CSDs are more similar.31</w:t>
      </w:r>
      <w:r>
        <w:br/>
      </w:r>
      <w:r>
        <w:t xml:space="preserve">CSDs operate different business models, depending on the core and ancillary services</w:t>
      </w:r>
      <w:r>
        <w:t xml:space="preserve"> </w:t>
      </w:r>
      <w:r>
        <w:t xml:space="preserve">they provide. To settle trades in international and domestic currencies, ICSDs are</w:t>
      </w:r>
      <w:r>
        <w:t xml:space="preserve"> </w:t>
      </w:r>
      <w:r>
        <w:t xml:space="preserve">authorised to provide ancillary banking services. The type of instruments a CSD serves</w:t>
      </w:r>
      <w:r>
        <w:t xml:space="preserve"> </w:t>
      </w:r>
      <w:r>
        <w:t xml:space="preserve">does not influence its business model. All but one EU CSD settle equities transactions</w:t>
      </w:r>
      <w:r>
        <w:t xml:space="preserve"> </w:t>
      </w:r>
      <w:r>
        <w:t xml:space="preserve">and all EU CSDs settle corporate debt. A significant majority of CSDs settle</w:t>
      </w:r>
      <w:r>
        <w:t xml:space="preserve"> </w:t>
      </w:r>
      <w:r>
        <w:t xml:space="preserve">government debt.32 EU CSDs have a variety of corporate structures and ownership</w:t>
      </w:r>
      <w:r>
        <w:t xml:space="preserve"> </w:t>
      </w:r>
      <w:r>
        <w:t xml:space="preserve">models. Only the Croatian, Cypriot and Maltese CSDs are majority owned by the</w:t>
      </w:r>
      <w:r>
        <w:t xml:space="preserve"> </w:t>
      </w:r>
      <w:r>
        <w:t xml:space="preserve">national government, while in Hungary the central bank is the majority owner. In the</w:t>
      </w:r>
      <w:r>
        <w:t xml:space="preserve"> </w:t>
      </w:r>
      <w:r>
        <w:t xml:space="preserve">case of other EU CSDs shareholders include stock exchanges, banks, national</w:t>
      </w:r>
      <w:r>
        <w:t xml:space="preserve"> </w:t>
      </w:r>
      <w:r>
        <w:t xml:space="preserve">governments, central banks and other private institutions.33</w:t>
      </w:r>
    </w:p>
    <w:p>
      <w:pPr>
        <w:pStyle w:val="BodyText"/>
      </w:pPr>
      <w:r>
        <w:t xml:space="preserve">26 ESMA</w:t>
      </w:r>
      <w:r>
        <w:t xml:space="preserve"> </w:t>
      </w:r>
      <w:r>
        <w:t xml:space="preserve">CSD</w:t>
      </w:r>
      <w:r>
        <w:t xml:space="preserve"> </w:t>
      </w:r>
      <w:r>
        <w:t xml:space="preserve">Register,</w:t>
      </w:r>
      <w:r>
        <w:t xml:space="preserve"> </w:t>
      </w:r>
      <w:r>
        <w:t xml:space="preserve">https://www.esma.europa.eu/sites/default/files/library/esma70-155-</w:t>
      </w:r>
      <w:r>
        <w:t xml:space="preserve"> </w:t>
      </w:r>
      <w:r>
        <w:t xml:space="preserve">11635_csds_register_-_art_21.pdf, ESMA70-155-11635. Nb. in addition 6 CSDs are operated by Central</w:t>
      </w:r>
      <w:r>
        <w:t xml:space="preserve"> </w:t>
      </w:r>
      <w:r>
        <w:t xml:space="preserve">Banks and are exempted from the authorisation and supervision requirements under CSDR according to</w:t>
      </w:r>
      <w:r>
        <w:t xml:space="preserve"> </w:t>
      </w:r>
      <w:r>
        <w:t xml:space="preserve">Article 1(4) of CSDR and one CSD is a public body charged with or intervening in the management of the</w:t>
      </w:r>
      <w:r>
        <w:t xml:space="preserve"> </w:t>
      </w:r>
      <w:r>
        <w:t xml:space="preserve">public debt and is exempted from the authorisation and supervision requirements under CSDR according to</w:t>
      </w:r>
      <w:r>
        <w:t xml:space="preserve"> </w:t>
      </w:r>
      <w:r>
        <w:t xml:space="preserve">Article 1(4) of CSDR.</w:t>
      </w:r>
      <w:r>
        <w:t xml:space="preserve"> </w:t>
      </w:r>
      <w:r>
        <w:t xml:space="preserve">27 Commission Staff Working Document, “Impact Assessment accompanying the proposal for a regulation on</w:t>
      </w:r>
      <w:r>
        <w:t xml:space="preserve"> </w:t>
      </w:r>
      <w:r>
        <w:t xml:space="preserve">improving securities settlement in the European Union and on Central Securities Depositories (CSDs)”,</w:t>
      </w:r>
      <w:r>
        <w:t xml:space="preserve"> </w:t>
      </w:r>
      <w:r>
        <w:t xml:space="preserve">SWD (2012) 22 final.</w:t>
      </w:r>
      <w:r>
        <w:t xml:space="preserve"> </w:t>
      </w:r>
      <w:r>
        <w:t xml:space="preserve">28 The UK CSD operated by Euroclear UK &amp; Ireland.</w:t>
      </w:r>
      <w:r>
        <w:br/>
      </w:r>
      <w:r>
        <w:t xml:space="preserve">29 In the US corporate bonds and equities are cleared through the Depository Trust and Clearing Corporation</w:t>
      </w:r>
      <w:r>
        <w:t xml:space="preserve"> </w:t>
      </w:r>
      <w:r>
        <w:t xml:space="preserve">(DTCC) while government securities and related entities are processed through the Federal Reserve</w:t>
      </w:r>
      <w:r>
        <w:t xml:space="preserve"> </w:t>
      </w:r>
      <w:r>
        <w:t xml:space="preserve">System.</w:t>
      </w:r>
      <w:r>
        <w:t xml:space="preserve"> </w:t>
      </w:r>
      <w:r>
        <w:t xml:space="preserve">30 International CSDs were established to serve the Eurobond market – that is, bonds issued by corporate</w:t>
      </w:r>
      <w:r>
        <w:t xml:space="preserve"> </w:t>
      </w:r>
      <w:r>
        <w:t xml:space="preserve">issuers for international investors, typically in a non-domestic currency.</w:t>
      </w:r>
      <w:r>
        <w:br/>
      </w:r>
      <w:r>
        <w:t xml:space="preserve">31 See ECDA FAQ: Frequently Asked Questions - ECSDA.</w:t>
      </w:r>
      <w:r>
        <w:t xml:space="preserve"> </w:t>
      </w:r>
      <w:r>
        <w:t xml:space="preserve">32 ‘European CSD industry factbook, 2018 – 2019 Update’, ECSDA 2020, https://ecsda.eu/wp-</w:t>
      </w:r>
      <w:r>
        <w:t xml:space="preserve"> </w:t>
      </w:r>
      <w:r>
        <w:t xml:space="preserve">content/uploads/2021/01/2019_European_CSD_Industry_Factbook.pdf.</w:t>
      </w:r>
      <w:r>
        <w:t xml:space="preserve"> </w:t>
      </w:r>
      <w:r>
        <w:t xml:space="preserve">33 Ibid, Table 3: Members organised by majority shareholder type – 2019.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Although specific data for EU CSDs is not available, there are indications34 that EU</w:t>
      </w:r>
      <w:r>
        <w:t xml:space="preserve"> </w:t>
      </w:r>
      <w:r>
        <w:t xml:space="preserve">market infrastructures have enjoyed stable conditions, although less favourable than their</w:t>
      </w:r>
      <w:r>
        <w:t xml:space="preserve"> </w:t>
      </w:r>
      <w:r>
        <w:t xml:space="preserve">global counterparts. Market infrastructure providers (exchanges, CCPs, CSDs) globally</w:t>
      </w:r>
      <w:r>
        <w:t xml:space="preserve"> </w:t>
      </w:r>
      <w:r>
        <w:t xml:space="preserve">recovered quickly from the financial crisis with revenues growing 4% annually (2007 –</w:t>
      </w:r>
      <w:r>
        <w:t xml:space="preserve"> </w:t>
      </w:r>
      <w:r>
        <w:t xml:space="preserve">2012) and then accelerating to 10% post-crisis (2012-1017). EU providers however took</w:t>
      </w:r>
      <w:r>
        <w:t xml:space="preserve"> </w:t>
      </w:r>
      <w:r>
        <w:t xml:space="preserve">longer to recover post-crisis with revenues rising only 1% over the same period.35</w:t>
      </w:r>
      <w:r>
        <w:br/>
      </w:r>
      <w:r>
        <w:t xml:space="preserve">1.3.2. Size of the market</w:t>
      </w:r>
      <w:r>
        <w:t xml:space="preserve"> </w:t>
      </w:r>
      <w:r>
        <w:t xml:space="preserve">EU CSDs serve a large securities market.36 End-2019, EU securities were traded on</w:t>
      </w:r>
      <w:r>
        <w:t xml:space="preserve"> </w:t>
      </w:r>
      <w:r>
        <w:t xml:space="preserve">430 trading venues,37 including 135 regulated markets, 223 multilateral trading facilities</w:t>
      </w:r>
      <w:r>
        <w:t xml:space="preserve"> </w:t>
      </w:r>
      <w:r>
        <w:t xml:space="preserve">and 72 organised trading facilities. As of end-2019, 28 000 equity and equity-like</w:t>
      </w:r>
      <w:r>
        <w:t xml:space="preserve"> </w:t>
      </w:r>
      <w:r>
        <w:t xml:space="preserve">instruments were available for trading in the EEA, accounting for annual trading volumes</w:t>
      </w:r>
      <w:r>
        <w:t xml:space="preserve"> </w:t>
      </w:r>
      <w:r>
        <w:t xml:space="preserve">of EUR 27 trillion.38 Over 170 000 bonds were available for trading in the EEA. Annual</w:t>
      </w:r>
      <w:r>
        <w:t xml:space="preserve"> </w:t>
      </w:r>
      <w:r>
        <w:t xml:space="preserve">bond trading volumes amounted to EUR 101 trillion.39</w:t>
      </w:r>
      <w:r>
        <w:br/>
      </w:r>
      <w:r>
        <w:t xml:space="preserve">EU CSDs serve the growing EU capital market by handling increasing amounts of</w:t>
      </w:r>
      <w:r>
        <w:t xml:space="preserve"> </w:t>
      </w:r>
      <w:r>
        <w:t xml:space="preserve">trading. In 2019, EU securities settlement systems handled more than 420 million</w:t>
      </w:r>
      <w:r>
        <w:t xml:space="preserve"> </w:t>
      </w:r>
      <w:r>
        <w:t xml:space="preserve">delivery instructions worth over EUR 53 trillion of securities and representing a total</w:t>
      </w:r>
      <w:r>
        <w:t xml:space="preserve"> </w:t>
      </w:r>
      <w:r>
        <w:t xml:space="preserve">turnover of over EUR 1 120 trillion.40 In 2014, when CSDR was adopted, EUR 43.5</w:t>
      </w:r>
      <w:r>
        <w:t xml:space="preserve"> </w:t>
      </w:r>
      <w:r>
        <w:t xml:space="preserve">trillion worth of securities were held in EU securities settlement systems, which handled</w:t>
      </w:r>
      <w:r>
        <w:t xml:space="preserve"> </w:t>
      </w:r>
      <w:r>
        <w:t xml:space="preserve">over 330 million delivery instructions for a total of turnover of over EUR 850 trillion.</w:t>
      </w:r>
      <w:r>
        <w:t xml:space="preserve"> </w:t>
      </w:r>
      <w:r>
        <w:t xml:space="preserve">This is a growth of 22% in value of securities held, 27% in number of delivery</w:t>
      </w:r>
      <w:r>
        <w:t xml:space="preserve"> </w:t>
      </w:r>
      <w:r>
        <w:t xml:space="preserve">instructions and 32% in turnover in the period between 2014 and 2019.</w:t>
      </w:r>
      <w:r>
        <w:br/>
      </w:r>
      <w:r>
        <w:t xml:space="preserve">Despite the large number of CSDs operating in the EU, in 2019 the three41 largest</w:t>
      </w:r>
      <w:r>
        <w:t xml:space="preserve"> </w:t>
      </w:r>
      <w:r>
        <w:t xml:space="preserve">CSDs held over 60% of all securities held in EU CSDs. This is however rather a</w:t>
      </w:r>
      <w:r>
        <w:t xml:space="preserve"> </w:t>
      </w:r>
      <w:r>
        <w:t xml:space="preserve">reflection of the size and liquidity of certain EU national financial markets,42 rather than</w:t>
      </w:r>
      <w:r>
        <w:t xml:space="preserve"> </w:t>
      </w:r>
      <w:r>
        <w:t xml:space="preserve">issues connected to market structure.43</w:t>
      </w:r>
    </w:p>
    <w:p>
      <w:pPr>
        <w:pStyle w:val="BodyText"/>
      </w:pPr>
      <w:r>
        <w:t xml:space="preserve">34 Oliver Wyman, ‘Global market infrastructure – How MI providers can achieve breakthrough growth’,</w:t>
      </w:r>
      <w:r>
        <w:t xml:space="preserve"> </w:t>
      </w:r>
      <w:r>
        <w:t xml:space="preserve">2018.</w:t>
      </w:r>
      <w:r>
        <w:t xml:space="preserve"> </w:t>
      </w:r>
      <w:r>
        <w:t xml:space="preserve">35 Based on data for trading venues, CCPs, CSDs, inter-dealer brokers and technology providers the Europe</w:t>
      </w:r>
      <w:r>
        <w:t xml:space="preserve"> </w:t>
      </w:r>
      <w:r>
        <w:t xml:space="preserve">and Middle-East Region. ‘Capital market infrastructure: An industry reinventing itself’, McKinsey &amp;</w:t>
      </w:r>
      <w:r>
        <w:t xml:space="preserve"> </w:t>
      </w:r>
      <w:r>
        <w:t xml:space="preserve">Company, 2017.</w:t>
      </w:r>
      <w:r>
        <w:t xml:space="preserve"> </w:t>
      </w:r>
      <w:r>
        <w:t xml:space="preserve">36 Data based on ‘EU securities markets 2020’, ESMA Annual Statistical Report, ESMA-50-165-1355, 18</w:t>
      </w:r>
      <w:r>
        <w:t xml:space="preserve"> </w:t>
      </w:r>
      <w:r>
        <w:t xml:space="preserve">November 2020, https://www.esma.europa.eu/press-news/esma-news/esma-publishes-first-overview-size-</w:t>
      </w:r>
      <w:r>
        <w:t xml:space="preserve"> </w:t>
      </w:r>
      <w:r>
        <w:t xml:space="preserve">and-structure-eu-securities-markets.</w:t>
      </w:r>
      <w:r>
        <w:br/>
      </w:r>
      <w:r>
        <w:t xml:space="preserve">37 A trading venue includes Regulated Markets, Multilateral Trading Facilities and Organised Trading</w:t>
      </w:r>
      <w:r>
        <w:t xml:space="preserve"> </w:t>
      </w:r>
      <w:r>
        <w:t xml:space="preserve">Facilities.</w:t>
      </w:r>
      <w:r>
        <w:br/>
      </w:r>
      <w:r>
        <w:t xml:space="preserve">38 Data based on ‘EU securities markets 2020, ESMA Annual Statistical Report (see note 36), p.15 &amp; p.24.</w:t>
      </w:r>
      <w:r>
        <w:t xml:space="preserve"> </w:t>
      </w:r>
      <w:r>
        <w:t xml:space="preserve">39 Ibid.</w:t>
      </w:r>
      <w:r>
        <w:t xml:space="preserve"> </w:t>
      </w:r>
      <w:r>
        <w:t xml:space="preserve">40 Data generated through the Securities Trading, Clearing and Settlement Statistics Database, European</w:t>
      </w:r>
      <w:r>
        <w:t xml:space="preserve"> </w:t>
      </w:r>
      <w:r>
        <w:t xml:space="preserve">Central Bank, https://sdw.ecb.europa.eu/browse.do?node=9691131.</w:t>
      </w:r>
      <w:r>
        <w:br/>
      </w:r>
      <w:r>
        <w:t xml:space="preserve">41 Euroclear Bank Belgium (28%), Clearstream Banking Frankfurt (18%), Clearstream Banking Luxembourg</w:t>
      </w:r>
      <w:r>
        <w:t xml:space="preserve"> </w:t>
      </w:r>
      <w:r>
        <w:t xml:space="preserve">(15%).</w:t>
      </w:r>
      <w:r>
        <w:t xml:space="preserve"> </w:t>
      </w:r>
      <w:r>
        <w:t xml:space="preserve">42 In 2018 securities trading (debt and equity) on French, German, Italian and Spanish exchanges represented</w:t>
      </w:r>
      <w:r>
        <w:t xml:space="preserve"> </w:t>
      </w:r>
      <w:r>
        <w:t xml:space="preserve">app. 88% of EU-27 total. Source: European Central Bank, Statistical Data Warehouse, Securities Trading,</w:t>
      </w:r>
      <w:r>
        <w:t xml:space="preserve"> </w:t>
      </w:r>
      <w:r>
        <w:t xml:space="preserve">Clearing and Settlement, Securities Exchange – Trading Statistics.</w:t>
      </w:r>
      <w:r>
        <w:br/>
      </w:r>
      <w:r>
        <w:t xml:space="preserve">43 In the same period, the value of securities held by the UK CSD (Euroclear UK and Ireland) rose from</w:t>
      </w:r>
      <w:r>
        <w:t xml:space="preserve"> </w:t>
      </w:r>
      <w:r>
        <w:t xml:space="preserve">EUR 6 215 billion in 2015 to EUR 6 406 billion in 2019 (3% increase), while the value of delivery</w:t>
      </w:r>
      <w:r>
        <w:t xml:space="preserve"> </w:t>
      </w:r>
      <w:r>
        <w:t xml:space="preserve">instructions rose from EUR 272 087 billion to EUR 357 184 billion respectively (31% increase –</w:t>
      </w:r>
      <w:r>
        <w:t xml:space="preserve"> </w:t>
      </w:r>
      <w:r>
        <w:t xml:space="preserve">‘Securities trading, clearing and settlement statistics’, European Central Bank, September 2020). In the US,</w:t>
      </w:r>
      <w:r>
        <w:t xml:space="preserve"> </w:t>
      </w:r>
      <w:r>
        <w:t xml:space="preserve">the value of securities held by the two CSDs (DTC and Fedwire Securities Service) rose from</w:t>
      </w:r>
      <w:r>
        <w:t xml:space="preserve"> </w:t>
      </w:r>
      <w:r>
        <w:t xml:space="preserve">EUR 100 739 billion in 2015 to EUR 130 366 billion in 2019 (29% increase), the number of delivery</w:t>
      </w:r>
      <w:r>
        <w:t xml:space="preserve"> </w:t>
      </w:r>
      <w:r>
        <w:t xml:space="preserve">instructions processed increased from 362 663 000 (2015) to 672 887 000 (2019) (86% increase) for a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1.3.3. Main forces driving market evolution</w:t>
      </w:r>
      <w:r>
        <w:br/>
      </w:r>
      <w:r>
        <w:t xml:space="preserve">In addition to regulatory changes aimed at facilitating cross-border activity, there are</w:t>
      </w:r>
      <w:r>
        <w:t xml:space="preserve"> </w:t>
      </w:r>
      <w:r>
        <w:t xml:space="preserve">economies of scale and scope, driving both consolidation of different types of post-trade</w:t>
      </w:r>
      <w:r>
        <w:t xml:space="preserve"> </w:t>
      </w:r>
      <w:r>
        <w:t xml:space="preserve">services and competition among EU CSDs and the different services they offer.</w:t>
      </w:r>
      <w:r>
        <w:br/>
      </w:r>
      <w:r>
        <w:t xml:space="preserve">(a) Consolidation of the sector</w:t>
      </w:r>
      <w:r>
        <w:t xml:space="preserve"> </w:t>
      </w:r>
      <w:r>
        <w:t xml:space="preserve">First, there is a strong complementary relationship between the various components of</w:t>
      </w:r>
      <w:r>
        <w:t xml:space="preserve"> </w:t>
      </w:r>
      <w:r>
        <w:t xml:space="preserve">securities settlement. Economies of scope may be achieved by integrating along the value</w:t>
      </w:r>
      <w:r>
        <w:t xml:space="preserve"> </w:t>
      </w:r>
      <w:r>
        <w:t xml:space="preserve">chain of securities transaction, i.e. by combining trading, clearing and settlement into one</w:t>
      </w:r>
      <w:r>
        <w:t xml:space="preserve"> </w:t>
      </w:r>
      <w:r>
        <w:t xml:space="preserve">conglomerate. Consolidation between CCPs, CSDs, and stock exchanges has created EU</w:t>
      </w:r>
      <w:r>
        <w:t xml:space="preserve"> </w:t>
      </w:r>
      <w:r>
        <w:t xml:space="preserve">financial market infrastructure conglomerates, e.g. the formation of Clearstream</w:t>
      </w:r>
      <w:r>
        <w:t xml:space="preserve"> </w:t>
      </w:r>
      <w:r>
        <w:t xml:space="preserve">through the merger of Cedel International and Deutsche Boerse in 2012. With the</w:t>
      </w:r>
      <w:r>
        <w:t xml:space="preserve"> </w:t>
      </w:r>
      <w:r>
        <w:t xml:space="preserve">acquisition of the Norwegian and Danish CSDs in 2019 and 2020 respectively, Euronext</w:t>
      </w:r>
      <w:r>
        <w:t xml:space="preserve"> </w:t>
      </w:r>
      <w:r>
        <w:t xml:space="preserve">has also strengthened its presence in the CSD space. This was followed in 2020 with the</w:t>
      </w:r>
      <w:r>
        <w:t xml:space="preserve"> </w:t>
      </w:r>
      <w:r>
        <w:t xml:space="preserve">acquisition of Borsa Italiana (the Italian stock exchange), MTS, where most of Italy’s</w:t>
      </w:r>
      <w:r>
        <w:t xml:space="preserve"> </w:t>
      </w:r>
      <w:r>
        <w:t xml:space="preserve">sovereign debt is traded, as well as the major multi-asset clearing house, CC&amp;G.</w:t>
      </w:r>
      <w:r>
        <w:t xml:space="preserve"> </w:t>
      </w:r>
      <w:r>
        <w:t xml:space="preserve">Economies of scope could also be obtained through horizontal synergies. In 2009</w:t>
      </w:r>
      <w:r>
        <w:t xml:space="preserve"> </w:t>
      </w:r>
      <w:r>
        <w:t xml:space="preserve">Euroclear brought the Belgian, Dutch and French domestic CSDs onto a single platform,</w:t>
      </w:r>
      <w:r>
        <w:t xml:space="preserve"> </w:t>
      </w:r>
      <w:r>
        <w:t xml:space="preserve">under a harmonised framework, but as separate legal entities. Nasdaq has also</w:t>
      </w:r>
      <w:r>
        <w:t xml:space="preserve"> </w:t>
      </w:r>
      <w:r>
        <w:t xml:space="preserve">consolidated the three Baltic CSDs (Estonia, Lithuania and Latvia) in 2017 and the</w:t>
      </w:r>
      <w:r>
        <w:t xml:space="preserve"> </w:t>
      </w:r>
      <w:r>
        <w:t xml:space="preserve">Icelandic CSD into a single legal entity in 2020. A number of integrated post-trade</w:t>
      </w:r>
      <w:r>
        <w:t xml:space="preserve"> </w:t>
      </w:r>
      <w:r>
        <w:t xml:space="preserve">services groups operate in the EU post-trade market, i.e. Euroclear (bringing together the</w:t>
      </w:r>
      <w:r>
        <w:t xml:space="preserve"> </w:t>
      </w:r>
      <w:r>
        <w:t xml:space="preserve">ICSD Euroclear Bank and national CSDs in Belgium, Finland, France, Ireland, the</w:t>
      </w:r>
      <w:r>
        <w:t xml:space="preserve"> </w:t>
      </w:r>
      <w:r>
        <w:t xml:space="preserve">Netherlands, Sweden and the United Kingdom), Euronext (bringing together national</w:t>
      </w:r>
      <w:r>
        <w:t xml:space="preserve"> </w:t>
      </w:r>
      <w:r>
        <w:t xml:space="preserve">CSDs in Portugal, Denmark, Norway and Italy), Deutsche Boerse (operating the ICSD</w:t>
      </w:r>
      <w:r>
        <w:t xml:space="preserve"> </w:t>
      </w:r>
      <w:r>
        <w:t xml:space="preserve">Clearstream Luxembourg, the German CSD and LuxCSD) and Nasdaq CSD (following</w:t>
      </w:r>
      <w:r>
        <w:t xml:space="preserve"> </w:t>
      </w:r>
      <w:r>
        <w:t xml:space="preserve">the merger of the regional CSDs for Lithuania, Latvia, Estonia and Iceland).</w:t>
      </w:r>
      <w:r>
        <w:t xml:space="preserve"> </w:t>
      </w:r>
      <w:r>
        <w:t xml:space="preserve">(b) Emerging technological innovation</w:t>
      </w:r>
      <w:r>
        <w:t xml:space="preserve"> </w:t>
      </w:r>
      <w:r>
        <w:t xml:space="preserve">The rise of new record-keeping technologies also has the potential to alter the</w:t>
      </w:r>
      <w:r>
        <w:t xml:space="preserve"> </w:t>
      </w:r>
      <w:r>
        <w:t xml:space="preserve">landscape. In post-trade, distributed ledger technology44 (DLT) is currently considered</w:t>
      </w:r>
      <w:r>
        <w:t xml:space="preserve"> </w:t>
      </w:r>
      <w:r>
        <w:t xml:space="preserve">the most promising to simplify processes, reduce costs, and increase efficiency and</w:t>
      </w:r>
      <w:r>
        <w:t xml:space="preserve"> </w:t>
      </w:r>
      <w:r>
        <w:t xml:space="preserve">security45. This will potentially lead to lower costs and faster settlement, transform how</w:t>
      </w:r>
      <w:r>
        <w:t xml:space="preserve"> </w:t>
      </w:r>
      <w:r>
        <w:t xml:space="preserve">securities are held and recorded46 and challenge incumbent settlement systems.</w:t>
      </w:r>
      <w:r>
        <w:br/>
      </w:r>
      <w:r>
        <w:t xml:space="preserve">Most of the realised projects so far point to the potential for financial</w:t>
      </w:r>
      <w:r>
        <w:t xml:space="preserve"> </w:t>
      </w:r>
      <w:r>
        <w:t xml:space="preserve">infrastructures to move towards real-time settlement, flatter structures, continuous</w:t>
      </w:r>
    </w:p>
    <w:p>
      <w:pPr>
        <w:pStyle w:val="BodyText"/>
      </w:pPr>
      <w:r>
        <w:t xml:space="preserve">value of EUR 355 trillion in 2015 to EUR 401 trillion in 2019 (13% increase) (based on data from the</w:t>
      </w:r>
      <w:r>
        <w:t xml:space="preserve"> </w:t>
      </w:r>
      <w:r>
        <w:t xml:space="preserve">Bank for International Settlement, Red Book Statistics, Payment and financial market infrastructures). The</w:t>
      </w:r>
      <w:r>
        <w:t xml:space="preserve"> </w:t>
      </w:r>
      <w:r>
        <w:t xml:space="preserve">data shows that in 2019, there was generally increased settlement activity, explained by loose monetary</w:t>
      </w:r>
      <w:r>
        <w:t xml:space="preserve"> </w:t>
      </w:r>
      <w:r>
        <w:t xml:space="preserve">conditions, low interest rates and new trading techniques.</w:t>
      </w:r>
      <w:r>
        <w:t xml:space="preserve"> </w:t>
      </w:r>
      <w:r>
        <w:t xml:space="preserve">44 Distributed ledger describes a decentralised dataset architecture which allows the keeping and sharing of</w:t>
      </w:r>
      <w:r>
        <w:t xml:space="preserve"> </w:t>
      </w:r>
      <w:r>
        <w:t xml:space="preserve">records in a synchronized way, while ensuring their integrity through the use of consensus-based validation</w:t>
      </w:r>
      <w:r>
        <w:t xml:space="preserve"> </w:t>
      </w:r>
      <w:r>
        <w:t xml:space="preserve">protocols and cryptographic signatures.</w:t>
      </w:r>
      <w:r>
        <w:br/>
      </w:r>
      <w:r>
        <w:t xml:space="preserve">45 Benos, Evangelos &amp; Garratt, Rod &amp; Gurrola Perez, Pedro, ‘The economics of distributed ledger</w:t>
      </w:r>
      <w:r>
        <w:t xml:space="preserve"> </w:t>
      </w:r>
      <w:r>
        <w:t xml:space="preserve">technology for securities settlement’ (2019). Ledger. 4. 10.5195/ledger.2019.144.</w:t>
      </w:r>
      <w:r>
        <w:t xml:space="preserve"> </w:t>
      </w:r>
      <w:r>
        <w:t xml:space="preserve">46 In 2015 an estimated EUR 17-24 billion was spent annually on trade processing globally; Bech, J.</w:t>
      </w:r>
      <w:r>
        <w:t xml:space="preserve"> </w:t>
      </w:r>
      <w:r>
        <w:t xml:space="preserve">Hancock, T. Rice &amp; A. Wadsworth, ‘On the future of securities settlement’, Bank for International</w:t>
      </w:r>
      <w:r>
        <w:t xml:space="preserve"> </w:t>
      </w:r>
      <w:r>
        <w:t xml:space="preserve">Settlement, BIS Quarterly Review, March 2020.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operations and global reach.47 This is reflected48 in the growing application of DLT in</w:t>
      </w:r>
      <w:r>
        <w:t xml:space="preserve"> </w:t>
      </w:r>
      <w:r>
        <w:t xml:space="preserve">post-trade processes, i.e. issuance and settlement of shares and bonds, data recording or</w:t>
      </w:r>
      <w:r>
        <w:t xml:space="preserve"> </w:t>
      </w:r>
      <w:r>
        <w:t xml:space="preserve">the use of tokens to represent shares. Currently, applying DLT to post-trade processes has</w:t>
      </w:r>
      <w:r>
        <w:t xml:space="preserve"> </w:t>
      </w:r>
      <w:r>
        <w:t xml:space="preserve">the greatest potential with respect to DvP, automation of risk management, settlement</w:t>
      </w:r>
      <w:r>
        <w:t xml:space="preserve"> </w:t>
      </w:r>
      <w:r>
        <w:t xml:space="preserve">and the development of currency-substitutes as means of payment.49</w:t>
      </w:r>
      <w:r>
        <w:br/>
      </w:r>
      <w:r>
        <w:t xml:space="preserve">(c) Provision of cross border services by CSDs</w:t>
      </w:r>
      <w:r>
        <w:t xml:space="preserve"> </w:t>
      </w:r>
      <w:r>
        <w:t xml:space="preserve">Fostering competition, greater interoperability and better connectivity among CSDs</w:t>
      </w:r>
      <w:r>
        <w:t xml:space="preserve"> </w:t>
      </w:r>
      <w:r>
        <w:t xml:space="preserve">were some of the main policy objectives of CSDR. Nevertheless, data collected by</w:t>
      </w:r>
      <w:r>
        <w:t xml:space="preserve"> </w:t>
      </w:r>
      <w:r>
        <w:t xml:space="preserve">ESMA does not reflect this.50 EU CSDs’ cross-border activity, i.e. the CSD services</w:t>
      </w:r>
      <w:r>
        <w:t xml:space="preserve"> </w:t>
      </w:r>
      <w:r>
        <w:t xml:space="preserve">provided in host Member States can be measured by (1) the use of CSD links established</w:t>
      </w:r>
      <w:r>
        <w:t xml:space="preserve"> </w:t>
      </w:r>
      <w:r>
        <w:t xml:space="preserve">between EU CSDs; (2) the measurement of the services provided to participants and</w:t>
      </w:r>
      <w:r>
        <w:t xml:space="preserve"> </w:t>
      </w:r>
      <w:r>
        <w:t xml:space="preserve">issuers from host Member States; and (3) T2S activity.</w:t>
      </w:r>
      <w:r>
        <w:br/>
      </w:r>
      <w:r>
        <w:t xml:space="preserve">First, a link allows a CSD to give its clients access to securities recorded and settled in</w:t>
      </w:r>
      <w:r>
        <w:t xml:space="preserve"> </w:t>
      </w:r>
      <w:r>
        <w:t xml:space="preserve">another CSD. The number of links and the volumes handled by established connections</w:t>
      </w:r>
      <w:r>
        <w:t xml:space="preserve"> </w:t>
      </w:r>
      <w:r>
        <w:t xml:space="preserve">measure the cross-border provision of settlement services by CSDs. In this regard,</w:t>
      </w:r>
      <w:r>
        <w:t xml:space="preserve"> </w:t>
      </w:r>
      <w:r>
        <w:t xml:space="preserve">established connections are handling increasing volumes, suggesting growing cross-</w:t>
      </w:r>
      <w:r>
        <w:t xml:space="preserve"> </w:t>
      </w:r>
      <w:r>
        <w:t xml:space="preserve">border activity through this channel. The value of settlement instructions settled through</w:t>
      </w:r>
      <w:r>
        <w:t xml:space="preserve"> </w:t>
      </w:r>
      <w:r>
        <w:t xml:space="preserve">links with other EU CSDs increased from EUR 109 trillion in 2017 to EUR 160 trillion</w:t>
      </w:r>
      <w:r>
        <w:t xml:space="preserve"> </w:t>
      </w:r>
      <w:r>
        <w:t xml:space="preserve">in 2019,51 a growth of 47%. The total number of settlement instructions through links</w:t>
      </w:r>
      <w:r>
        <w:t xml:space="preserve"> </w:t>
      </w:r>
      <w:r>
        <w:t xml:space="preserve">almost doubled between 2017 (23 278 314 instructions) and 2019 (38 984 805</w:t>
      </w:r>
      <w:r>
        <w:t xml:space="preserve"> </w:t>
      </w:r>
      <w:r>
        <w:t xml:space="preserve">instructions). 52 The growth in the use of links outpaced the growth in settlement</w:t>
      </w:r>
      <w:r>
        <w:t xml:space="preserve"> </w:t>
      </w:r>
      <w:r>
        <w:t xml:space="preserve">instructions by EU CSDs (32% and 28% in 2014 and 2019 respectively).</w:t>
      </w:r>
      <w:r>
        <w:t xml:space="preserve"> </w:t>
      </w:r>
      <w:r>
        <w:t xml:space="preserve">However, the number of CSD links53 has remained stable since 2017. Excluding the</w:t>
      </w:r>
      <w:r>
        <w:t xml:space="preserve"> </w:t>
      </w:r>
      <w:r>
        <w:t xml:space="preserve">ICSDs which both have a very high number of links (31 for Clearstream Banking, 25 for</w:t>
      </w:r>
      <w:r>
        <w:t xml:space="preserve"> </w:t>
      </w:r>
      <w:r>
        <w:t xml:space="preserve">Euroclear Bank), the average number of links per CSD is 5 links with other EU CSDs</w:t>
      </w:r>
      <w:r>
        <w:t xml:space="preserve"> </w:t>
      </w:r>
      <w:r>
        <w:t xml:space="preserve">between 2017- 2020.54 At the same time, the total number of links for all CSDs,</w:t>
      </w:r>
      <w:r>
        <w:t xml:space="preserve"> </w:t>
      </w:r>
      <w:r>
        <w:t xml:space="preserve">including links with ICSDs, increased by 14% between 2017 (121 links) and 2020 (138</w:t>
      </w:r>
      <w:r>
        <w:t xml:space="preserve"> </w:t>
      </w:r>
      <w:r>
        <w:t xml:space="preserve">links). Excluding ICSDs, the number of links rose by 28% from 64 to 82 links.55 The</w:t>
      </w:r>
      <w:r>
        <w:t xml:space="preserve"> </w:t>
      </w:r>
      <w:r>
        <w:t xml:space="preserve">increasing traffic through links shows that such connections serve the development of</w:t>
      </w:r>
      <w:r>
        <w:t xml:space="preserve"> </w:t>
      </w:r>
      <w:r>
        <w:t xml:space="preserve">cross-border settlement, but the limited increase of CSD links demonstrates that barriers</w:t>
      </w:r>
      <w:r>
        <w:t xml:space="preserve"> </w:t>
      </w:r>
      <w:r>
        <w:t xml:space="preserve">to cross-border activities remain.</w:t>
      </w:r>
      <w:r>
        <w:br/>
      </w:r>
      <w:r>
        <w:t xml:space="preserve">Second, another measure of use of cross-border services are the type of CSD services,</w:t>
      </w:r>
      <w:r>
        <w:t xml:space="preserve"> </w:t>
      </w:r>
      <w:r>
        <w:t xml:space="preserve">including notary and central maintenance services, provided to participants and</w:t>
      </w:r>
      <w:r>
        <w:t xml:space="preserve"> </w:t>
      </w:r>
      <w:r>
        <w:t xml:space="preserve">issuers from other Member States.</w:t>
      </w:r>
    </w:p>
    <w:p>
      <w:pPr>
        <w:pStyle w:val="BodyText"/>
      </w:pPr>
      <w:r>
        <w:t xml:space="preserve">47 Shabsigh, G., Khiaonarong, T. Leinonen H., ‘Distributed ledger technology experiments in payments and</w:t>
      </w:r>
      <w:r>
        <w:t xml:space="preserve"> </w:t>
      </w:r>
      <w:r>
        <w:t xml:space="preserve">settlements”, International Monetary Fund, June 2020.</w:t>
      </w:r>
      <w:r>
        <w:t xml:space="preserve"> </w:t>
      </w:r>
      <w:r>
        <w:t xml:space="preserve">48 See ‘The use of DLT in post-trade processes’, Annex 1, Advisory Groups on Market Infrastructures for</w:t>
      </w:r>
      <w:r>
        <w:t xml:space="preserve"> </w:t>
      </w:r>
      <w:r>
        <w:t xml:space="preserve">Securities and Collateral and for Payments, European Central Bank, April 2021.</w:t>
      </w:r>
      <w:r>
        <w:t xml:space="preserve"> </w:t>
      </w:r>
      <w:r>
        <w:t xml:space="preserve">49 Ibid.</w:t>
      </w:r>
      <w:r>
        <w:br/>
      </w:r>
      <w:r>
        <w:t xml:space="preserve">50 ESMA Report to the European Commission, ‘Cross-border services and handling of applications under</w:t>
      </w:r>
      <w:r>
        <w:t xml:space="preserve"> </w:t>
      </w:r>
      <w:r>
        <w:t xml:space="preserve">Article 23 of CSDR’, ESMA70-156-3569, 05 November 2020.</w:t>
      </w:r>
      <w:r>
        <w:t xml:space="preserve"> </w:t>
      </w:r>
      <w:r>
        <w:t xml:space="preserve">51 Ibid.</w:t>
      </w:r>
      <w:r>
        <w:br/>
      </w:r>
      <w:r>
        <w:t xml:space="preserve">52 Ibid, para. 25.</w:t>
      </w:r>
      <w:r>
        <w:t xml:space="preserve"> </w:t>
      </w:r>
      <w:r>
        <w:t xml:space="preserve">53 According to CSDR Art. 2(1)(29) a link is “…an arrangement between CSDs whereby one CSD becomes a</w:t>
      </w:r>
      <w:r>
        <w:t xml:space="preserve"> </w:t>
      </w:r>
      <w:r>
        <w:t xml:space="preserve">participant in the securities settlement system of another CSD, in order to facilitate the transfer of</w:t>
      </w:r>
      <w:r>
        <w:t xml:space="preserve"> </w:t>
      </w:r>
      <w:r>
        <w:t xml:space="preserve">securities from participants of the latter CSD to the participants of the former CSD, or an arrangement</w:t>
      </w:r>
      <w:r>
        <w:t xml:space="preserve"> </w:t>
      </w:r>
      <w:r>
        <w:t xml:space="preserve">whereby a CSD accesses another CSD indirectly via an intermediary…”.</w:t>
      </w:r>
      <w:r>
        <w:br/>
      </w:r>
      <w:r>
        <w:t xml:space="preserve">54 ESMA Report on cross-border services (see note 50), para. 15</w:t>
      </w:r>
      <w:r>
        <w:t xml:space="preserve"> </w:t>
      </w:r>
      <w:r>
        <w:t xml:space="preserve">55 Ibid, para 14.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In 2019, the share of central maintenance and settlement services provided to participants</w:t>
      </w:r>
      <w:r>
        <w:t xml:space="preserve"> </w:t>
      </w:r>
      <w:r>
        <w:t xml:space="preserve">from other Member States by EU CSDs was 37%;56 a slight increase compared to 2018.</w:t>
      </w:r>
      <w:r>
        <w:t xml:space="preserve"> </w:t>
      </w:r>
      <w:r>
        <w:t xml:space="preserve">However, settlement activity shows that only 6 CSDs provide settlement services to more</w:t>
      </w:r>
      <w:r>
        <w:t xml:space="preserve"> </w:t>
      </w:r>
      <w:r>
        <w:t xml:space="preserve">than 75% of participants from other Member States, while two-thirds of EU CSDs settle</w:t>
      </w:r>
      <w:r>
        <w:t xml:space="preserve"> </w:t>
      </w:r>
      <w:r>
        <w:t xml:space="preserve">less than 50% of instructions for participants from other Member States (in value of</w:t>
      </w:r>
      <w:r>
        <w:t xml:space="preserve"> </w:t>
      </w:r>
      <w:r>
        <w:t xml:space="preserve">instructions settled). A similar concentration is noted for notary and central maintenance</w:t>
      </w:r>
      <w:r>
        <w:t xml:space="preserve"> </w:t>
      </w:r>
      <w:r>
        <w:t xml:space="preserve">services provided in relation to financial instruments issued by issuers from other</w:t>
      </w:r>
      <w:r>
        <w:t xml:space="preserve"> </w:t>
      </w:r>
      <w:r>
        <w:t xml:space="preserve">Member States with 3 CSDs (including the two ICSDs) providing more than 80% of their</w:t>
      </w:r>
      <w:r>
        <w:t xml:space="preserve"> </w:t>
      </w:r>
      <w:r>
        <w:t xml:space="preserve">services to issuers from other Member States, while most EU CSDs do not provide or</w:t>
      </w:r>
      <w:r>
        <w:t xml:space="preserve"> </w:t>
      </w:r>
      <w:r>
        <w:t xml:space="preserve">dedicate less than 5% of their notary and central maintenance activity to securities issued</w:t>
      </w:r>
      <w:r>
        <w:t xml:space="preserve"> </w:t>
      </w:r>
      <w:r>
        <w:t xml:space="preserve">by issuers from other Member States.57</w:t>
      </w:r>
      <w:r>
        <w:br/>
      </w:r>
      <w:r>
        <w:t xml:space="preserve">Figure II: Member States in which</w:t>
      </w:r>
      <w:r>
        <w:t xml:space="preserve"> </w:t>
      </w:r>
      <w:r>
        <w:t xml:space="preserve">activities of CSDs from other Member</w:t>
      </w:r>
      <w:r>
        <w:t xml:space="preserve"> </w:t>
      </w:r>
      <w:r>
        <w:t xml:space="preserve">States are of substantial importance</w:t>
      </w:r>
    </w:p>
    <w:p>
      <w:pPr>
        <w:pStyle w:val="BodyText"/>
      </w:pPr>
      <w:r>
        <w:t xml:space="preserve">Figure III: Central maintenance services</w:t>
      </w:r>
      <w:r>
        <w:t xml:space="preserve"> </w:t>
      </w:r>
      <w:r>
        <w:t xml:space="preserve">provided to participants from other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Source: Report to the European Commission: cross-border services and handling of applications under</w:t>
      </w:r>
      <w:r>
        <w:t xml:space="preserve"> </w:t>
      </w:r>
      <w:r>
        <w:t xml:space="preserve">Article 23 of CSDR, ESMA70-156-356, 5 November 2020, par. 40.</w:t>
      </w:r>
      <w:r>
        <w:t xml:space="preserve"> </w:t>
      </w:r>
      <w:r>
        <w:t xml:space="preserve">CSDs can provide all types of services, including of notary and central maintenance</w:t>
      </w:r>
      <w:r>
        <w:t xml:space="preserve"> </w:t>
      </w:r>
      <w:r>
        <w:t xml:space="preserve">services, to participants and issuers from other Member States. In that case, a CSD may</w:t>
      </w:r>
      <w:r>
        <w:t xml:space="preserve"> </w:t>
      </w:r>
      <w:r>
        <w:t xml:space="preserve">become of ‘substantial importance for the functioning of the securities markets and the</w:t>
      </w:r>
      <w:r>
        <w:t xml:space="preserve"> </w:t>
      </w:r>
      <w:r>
        <w:t xml:space="preserve">protection of the investors’58 in the host Member State which allows to estimate the</w:t>
      </w:r>
      <w:r>
        <w:t xml:space="preserve"> </w:t>
      </w:r>
      <w:r>
        <w:t xml:space="preserve">progression of cross border services. There was a slight increase in the number of</w:t>
      </w:r>
      <w:r>
        <w:t xml:space="preserve"> </w:t>
      </w:r>
      <w:r>
        <w:t xml:space="preserve">Member States in which the activities of CSDs from other Member States are of</w:t>
      </w:r>
      <w:r>
        <w:t xml:space="preserve"> </w:t>
      </w:r>
      <w:r>
        <w:t xml:space="preserve">substantial importance and to this date, in 19 Member States there is no substantial</w:t>
      </w:r>
    </w:p>
    <w:p>
      <w:pPr>
        <w:pStyle w:val="BodyText"/>
      </w:pPr>
      <w:r>
        <w:t xml:space="preserve">56 Of the value of financial instruments centrally maintained in securities accounts by the CSD for</w:t>
      </w:r>
      <w:r>
        <w:t xml:space="preserve"> </w:t>
      </w:r>
      <w:r>
        <w:t xml:space="preserve">participants and other holders of securities accounts from other Member States.</w:t>
      </w:r>
      <w:r>
        <w:t xml:space="preserve"> </w:t>
      </w:r>
      <w:r>
        <w:t xml:space="preserve">57 ESMA Report on cross-border services (see note 50), paras. 41 and 43.</w:t>
      </w:r>
      <w:r>
        <w:t xml:space="preserve"> </w:t>
      </w:r>
      <w:r>
        <w:t xml:space="preserve">58 Commission Delegated Regulation (EU) 2017/389 of 11 November 2016 supplementing Regulation (EU)</w:t>
      </w:r>
      <w:r>
        <w:t xml:space="preserve"> </w:t>
      </w:r>
      <w:r>
        <w:t xml:space="preserve">No 909/2014 of the European Parliament and of the Council as regards the parameters for the calculation</w:t>
      </w:r>
      <w:r>
        <w:t xml:space="preserve"> </w:t>
      </w:r>
      <w:r>
        <w:t xml:space="preserve">of cash penalties for settlement fails and the operations of CSDs in host Member States, OJ L 65,</w:t>
      </w:r>
      <w:r>
        <w:t xml:space="preserve"> </w:t>
      </w:r>
      <w:r>
        <w:t xml:space="preserve">10.3.2017, specifies the criteria to be considered in order to determine whether a CSD is of substantial</w:t>
      </w:r>
      <w:r>
        <w:t xml:space="preserve"> </w:t>
      </w:r>
      <w:r>
        <w:t xml:space="preserve">importance for the functioning of the securities markets and the protection of investors in the host Member</w:t>
      </w:r>
      <w:r>
        <w:t xml:space="preserve"> </w:t>
      </w:r>
      <w:r>
        <w:t xml:space="preserve">States concerned.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activity from CSDs from other Member States (Figure II). In line with this trend, there</w:t>
      </w:r>
      <w:r>
        <w:t xml:space="preserve"> </w:t>
      </w:r>
      <w:r>
        <w:t xml:space="preserve">has been a slight increase in the share of EU CSDs providing central maintenance (Figure</w:t>
      </w:r>
      <w:r>
        <w:t xml:space="preserve"> </w:t>
      </w:r>
      <w:r>
        <w:t xml:space="preserve">III) and settlement services59 to participants in other Member States.</w:t>
      </w:r>
      <w:r>
        <w:t xml:space="preserve"> </w:t>
      </w:r>
      <w:r>
        <w:t xml:space="preserve">Third, Target2-Securities (T2S), launched in 2015, aimed to address fragmented</w:t>
      </w:r>
      <w:r>
        <w:t xml:space="preserve"> </w:t>
      </w:r>
      <w:r>
        <w:t xml:space="preserve">securities settlement in the EU and the resulting complex cross-border settlement. It</w:t>
      </w:r>
      <w:r>
        <w:t xml:space="preserve"> </w:t>
      </w:r>
      <w:r>
        <w:t xml:space="preserve">offers delivery versus payment settlement in central bank money. It also provides</w:t>
      </w:r>
      <w:r>
        <w:t xml:space="preserve"> </w:t>
      </w:r>
      <w:r>
        <w:t xml:space="preserve">harmonised and commoditised securities settlement to CSDs and applies a single set of</w:t>
      </w:r>
      <w:r>
        <w:t xml:space="preserve"> </w:t>
      </w:r>
      <w:r>
        <w:t xml:space="preserve">rules, standards and prices to all participants. T2S facilitates cross-border settlement,</w:t>
      </w:r>
      <w:r>
        <w:t xml:space="preserve"> </w:t>
      </w:r>
      <w:r>
        <w:t xml:space="preserve">resulting in increased integration of Europe’s financial markets infrastructure by:</w:t>
      </w:r>
      <w:r>
        <w:t xml:space="preserve"> </w:t>
      </w:r>
      <w:r>
        <w:t xml:space="preserve"> simplifying the purchase of securities in other EU countries;</w:t>
      </w:r>
      <w:r>
        <w:br/>
      </w:r>
      <w:r>
        <w:t xml:space="preserve"> reducing costs of cross-border settlement;</w:t>
      </w:r>
      <w:r>
        <w:t xml:space="preserve"> </w:t>
      </w:r>
      <w:r>
        <w:t xml:space="preserve"> increasing competition among providers of post-trade services;</w:t>
      </w:r>
      <w:r>
        <w:t xml:space="preserve"> </w:t>
      </w:r>
      <w:r>
        <w:t xml:space="preserve"> pooling collateral and liquidity;</w:t>
      </w:r>
      <w:r>
        <w:t xml:space="preserve"> </w:t>
      </w:r>
      <w:r>
        <w:t xml:space="preserve"> reducing settlement risk by using central bank money for transactions on T2S.</w:t>
      </w:r>
      <w:r>
        <w:t xml:space="preserve"> </w:t>
      </w:r>
      <w:r>
        <w:t xml:space="preserve">It connects 21 CSDs60 from 18 Member States and Switzerland. It offers settlement in</w:t>
      </w:r>
      <w:r>
        <w:t xml:space="preserve"> </w:t>
      </w:r>
      <w:r>
        <w:t xml:space="preserve">Euro and Danish Krone and processes 687 476 securities transactions worth EUR 672.53</w:t>
      </w:r>
      <w:r>
        <w:t xml:space="preserve"> </w:t>
      </w:r>
      <w:r>
        <w:t xml:space="preserve">billion per day.61 T2S has also helped encourage harmonisation of market practices and</w:t>
      </w:r>
      <w:r>
        <w:t xml:space="preserve"> </w:t>
      </w:r>
      <w:r>
        <w:t xml:space="preserve">competition in the EU.</w:t>
      </w:r>
      <w:r>
        <w:br/>
      </w:r>
      <w:r>
        <w:t xml:space="preserve">1.4. Legal and political context</w:t>
      </w:r>
      <w:r>
        <w:br/>
      </w:r>
      <w:r>
        <w:t xml:space="preserve">1.4.1. Legal context: Central Securities Depositories Regulation</w:t>
      </w:r>
      <w:r>
        <w:t xml:space="preserve"> </w:t>
      </w:r>
      <w:r>
        <w:t xml:space="preserve">CSDR is one of the key regulations adopted by the EU following the financial crisis of</w:t>
      </w:r>
      <w:r>
        <w:t xml:space="preserve"> </w:t>
      </w:r>
      <w:r>
        <w:t xml:space="preserve">2008 to ensure that securities settlement is safe, stable and efficient. It entered into</w:t>
      </w:r>
      <w:r>
        <w:t xml:space="preserve"> </w:t>
      </w:r>
      <w:r>
        <w:t xml:space="preserve">force on 17 September 2014.62</w:t>
      </w:r>
      <w:r>
        <w:br/>
      </w:r>
      <w:r>
        <w:t xml:space="preserve">CSDR provides a set of common requirements for CSDs across the EU by introducing:</w:t>
      </w:r>
      <w:r>
        <w:br/>
      </w:r>
      <w:r>
        <w:t xml:space="preserve"> shorter settlement periods;</w:t>
      </w:r>
      <w:r>
        <w:br/>
      </w:r>
      <w:r>
        <w:t xml:space="preserve"> cash penalties and other deterrents for settlement fails;</w:t>
      </w:r>
      <w:r>
        <w:br/>
      </w:r>
      <w:r>
        <w:t xml:space="preserve"> strict authorisation, organisational, conduct of business and prudential</w:t>
      </w:r>
      <w:r>
        <w:t xml:space="preserve"> </w:t>
      </w:r>
      <w:r>
        <w:t xml:space="preserve">requirements for CSDs;</w:t>
      </w:r>
      <w:r>
        <w:br/>
      </w:r>
      <w:r>
        <w:t xml:space="preserve"> a passport procedure allowing authorised CSDs to provide services across the EU;</w:t>
      </w:r>
      <w:r>
        <w:br/>
      </w:r>
      <w:r>
        <w:t xml:space="preserve"> increased prudential and supervisory requirements for CSDs and other institutions</w:t>
      </w:r>
      <w:r>
        <w:t xml:space="preserve"> </w:t>
      </w:r>
      <w:r>
        <w:t xml:space="preserve">providing banking services that support securities settlement;</w:t>
      </w:r>
      <w:r>
        <w:t xml:space="preserve"> </w:t>
      </w:r>
      <w:r>
        <w:t xml:space="preserve"> increased cooperation requirements for authorities across Member States with</w:t>
      </w:r>
      <w:r>
        <w:t xml:space="preserve"> </w:t>
      </w:r>
      <w:r>
        <w:t xml:space="preserve">respect to CSDs providing their services in relation to financial instruments</w:t>
      </w:r>
      <w:r>
        <w:t xml:space="preserve"> </w:t>
      </w:r>
      <w:r>
        <w:t xml:space="preserve">constituted under the law of a Member State other than that of their authorisation</w:t>
      </w:r>
      <w:r>
        <w:t xml:space="preserve"> </w:t>
      </w:r>
      <w:r>
        <w:t xml:space="preserve">and to CSDs establishing a branch in another Member State.</w:t>
      </w:r>
    </w:p>
    <w:p>
      <w:pPr>
        <w:pStyle w:val="BodyText"/>
      </w:pPr>
      <w:r>
        <w:t xml:space="preserve">59 See para 41, ESMA Report on cross-border services, ESMA70-156-3569, 05 November 2020.</w:t>
      </w:r>
      <w:r>
        <w:t xml:space="preserve"> </w:t>
      </w:r>
      <w:r>
        <w:t xml:space="preserve">60 In case of Belgium (Euroclear Belgium and National Bank of Belgium Securities Settlement System) and</w:t>
      </w:r>
      <w:r>
        <w:t xml:space="preserve"> </w:t>
      </w:r>
      <w:r>
        <w:t xml:space="preserve">France (Euroclear France and ID2S) more than one CSD participates to T2S. For a list of CSDs</w:t>
      </w:r>
      <w:r>
        <w:t xml:space="preserve"> </w:t>
      </w:r>
      <w:r>
        <w:t xml:space="preserve">participating</w:t>
      </w:r>
      <w:r>
        <w:t xml:space="preserve"> </w:t>
      </w:r>
      <w:r>
        <w:t xml:space="preserve">to</w:t>
      </w:r>
      <w:r>
        <w:t xml:space="preserve"> </w:t>
      </w:r>
      <w:r>
        <w:t xml:space="preserve">T2S</w:t>
      </w:r>
      <w:r>
        <w:t xml:space="preserve"> </w:t>
      </w:r>
      <w:r>
        <w:t xml:space="preserve">see:</w:t>
      </w:r>
      <w:r>
        <w:t xml:space="preserve"> </w:t>
      </w:r>
      <w:r>
        <w:t xml:space="preserve">https://www.ecb.europa.eu/paym/target/t2s/profuse/shared/pdf/List_of_CSDs_connected_to_T2S.pdf.</w:t>
      </w:r>
      <w:r>
        <w:br/>
      </w:r>
      <w:r>
        <w:t xml:space="preserve">61 Eurosystem T2S Annual Report 2020.</w:t>
      </w:r>
      <w:r>
        <w:br/>
      </w:r>
      <w:r>
        <w:t xml:space="preserve">62 CSDR was incorporated in the EEA Agreement with Council Decision (EU) 2019/134 of 21 January 2019</w:t>
      </w:r>
      <w:r>
        <w:t xml:space="preserve"> </w:t>
      </w:r>
      <w:r>
        <w:t xml:space="preserve">on the position to be adopted, on behalf of the European Union, within the EEA Joint Committee,</w:t>
      </w:r>
      <w:r>
        <w:t xml:space="preserve"> </w:t>
      </w:r>
      <w:r>
        <w:t xml:space="preserve">concerning the amendment of Annex IX (Financial Services) to the EEA Agreement, OJ L 25, 29.1.2019.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CSDR legal framework also includes Level 263 and Level 3 measures (e.g. ESMA</w:t>
      </w:r>
      <w:r>
        <w:t xml:space="preserve"> </w:t>
      </w:r>
      <w:r>
        <w:t xml:space="preserve">guidelines and Q&amp;As).</w:t>
      </w:r>
      <w:r>
        <w:t xml:space="preserve"> </w:t>
      </w:r>
      <w:r>
        <w:t xml:space="preserve">CSDs may also be subject to other EU legislation depending on their status, e.g. CSDs</w:t>
      </w:r>
      <w:r>
        <w:t xml:space="preserve"> </w:t>
      </w:r>
      <w:r>
        <w:t xml:space="preserve">operating with a banking license are also subject to the relevant banking legislation.</w:t>
      </w:r>
      <w:r>
        <w:t xml:space="preserve"> </w:t>
      </w:r>
      <w:r>
        <w:t xml:space="preserve">Moreover, they may have to comply with certain national laws in the Member State in</w:t>
      </w:r>
      <w:r>
        <w:t xml:space="preserve"> </w:t>
      </w:r>
      <w:r>
        <w:t xml:space="preserve">which they are incorporated, e.g. securities, corporate or civil law. As securities</w:t>
      </w:r>
      <w:r>
        <w:t xml:space="preserve"> </w:t>
      </w:r>
      <w:r>
        <w:t xml:space="preserve">settlement systems, CSDs qualify as systems under the Settlement Finality Directive64</w:t>
      </w:r>
      <w:r>
        <w:t xml:space="preserve"> </w:t>
      </w:r>
      <w:r>
        <w:t xml:space="preserve">and are therefore subject to the applicable national transposing laws.</w:t>
      </w:r>
      <w:r>
        <w:br/>
      </w:r>
      <w:r>
        <w:t xml:space="preserve">Finally, CSDs should also consider the International Principles for financial market</w:t>
      </w:r>
      <w:r>
        <w:t xml:space="preserve"> </w:t>
      </w:r>
      <w:r>
        <w:t xml:space="preserve">infrastructures65 issued by the Committee on Payments and Market Infrastructures</w:t>
      </w:r>
      <w:r>
        <w:t xml:space="preserve"> </w:t>
      </w:r>
      <w:r>
        <w:t xml:space="preserve">(CPMI)66, the International Organization of Securities Commissions (IOSCO)67 and the</w:t>
      </w:r>
      <w:r>
        <w:t xml:space="preserve"> </w:t>
      </w:r>
      <w:r>
        <w:t xml:space="preserve">FSB68.</w:t>
      </w:r>
      <w:r>
        <w:t xml:space="preserve"> </w:t>
      </w:r>
      <w:r>
        <w:t xml:space="preserve">1.4.2. Political context: Capital Markets Union (CMU), Brexit, Recovery post Covid-19</w:t>
      </w:r>
      <w:r>
        <w:br/>
      </w:r>
      <w:r>
        <w:t xml:space="preserve">The Commission launched its follow-up CMU Action Plan to create a single market for</w:t>
      </w:r>
      <w:r>
        <w:t xml:space="preserve"> </w:t>
      </w:r>
      <w:r>
        <w:t xml:space="preserve">capital across the EU. The aim is to increase investment and savings flowing throughout</w:t>
      </w:r>
      <w:r>
        <w:t xml:space="preserve"> </w:t>
      </w:r>
      <w:r>
        <w:t xml:space="preserve">the EU, benefitting citizens, investors and companies, regardless of where they are</w:t>
      </w:r>
      <w:r>
        <w:t xml:space="preserve"> </w:t>
      </w:r>
      <w:r>
        <w:t xml:space="preserve">located. A fully functioning and integrated market for capital will allow the EU economy</w:t>
      </w:r>
      <w:r>
        <w:t xml:space="preserve"> </w:t>
      </w:r>
      <w:r>
        <w:t xml:space="preserve">to grow in a sustainable way and be more competitive.</w:t>
      </w:r>
    </w:p>
    <w:p>
      <w:pPr>
        <w:pStyle w:val="BodyText"/>
      </w:pPr>
      <w:r>
        <w:t xml:space="preserve">63 Commission Delegated Regulation (EU) 2017/389 (see note 58); Commission Delegated Regulation (EU)</w:t>
      </w:r>
      <w:r>
        <w:t xml:space="preserve"> </w:t>
      </w:r>
      <w:r>
        <w:t xml:space="preserve">2017/390 of 11 November 2016 supplementing Regulation (EU) No 909/2014 of the European Parliament</w:t>
      </w:r>
      <w:r>
        <w:t xml:space="preserve"> </w:t>
      </w:r>
      <w:r>
        <w:t xml:space="preserve">and of the Council with regard to regulatory technical standards on certain prudential requirements for</w:t>
      </w:r>
      <w:r>
        <w:t xml:space="preserve"> </w:t>
      </w:r>
      <w:r>
        <w:t xml:space="preserve">central securities depositories and designated credit institutions offering banking-type ancillary services,</w:t>
      </w:r>
      <w:r>
        <w:t xml:space="preserve"> </w:t>
      </w:r>
      <w:r>
        <w:t xml:space="preserve">OJ L 65, 10.3.2017; Commission Delegated Regulation (EU) 2017/392 of 11 November 2016</w:t>
      </w:r>
      <w:r>
        <w:t xml:space="preserve"> </w:t>
      </w:r>
      <w:r>
        <w:t xml:space="preserve">supplementing Regulation (EU) No 909/2014 of the European Parliament and of the Council with regard to</w:t>
      </w:r>
      <w:r>
        <w:t xml:space="preserve"> </w:t>
      </w:r>
      <w:r>
        <w:t xml:space="preserve">regulatory technical standards on authorisation, supervisory and operational requirements for central</w:t>
      </w:r>
      <w:r>
        <w:t xml:space="preserve"> </w:t>
      </w:r>
      <w:r>
        <w:t xml:space="preserve">securities depositories, OJ L 65, 10.3.2017, Commission Implementing Regulation (EU) 2017/394 of 11</w:t>
      </w:r>
      <w:r>
        <w:t xml:space="preserve"> </w:t>
      </w:r>
      <w:r>
        <w:t xml:space="preserve">November 2016 laying down implementing technical standards with regard to standard forms, templates</w:t>
      </w:r>
      <w:r>
        <w:t xml:space="preserve"> </w:t>
      </w:r>
      <w:r>
        <w:t xml:space="preserve">and procedures for authorisation, review and evaluation of central securities depositories, for the</w:t>
      </w:r>
      <w:r>
        <w:t xml:space="preserve"> </w:t>
      </w:r>
      <w:r>
        <w:t xml:space="preserve">cooperation between authorities of the home Member State and the host Member State, for the consultation</w:t>
      </w:r>
      <w:r>
        <w:t xml:space="preserve"> </w:t>
      </w:r>
      <w:r>
        <w:t xml:space="preserve">of authorities involved in the authorisation to provide banking-type ancillary services, for access involving</w:t>
      </w:r>
      <w:r>
        <w:t xml:space="preserve"> </w:t>
      </w:r>
      <w:r>
        <w:t xml:space="preserve">central securities depositories, and with regard to the format of the records to be maintained by central</w:t>
      </w:r>
      <w:r>
        <w:t xml:space="preserve"> </w:t>
      </w:r>
      <w:r>
        <w:t xml:space="preserve">securities depositories in accordance with Regulation (EU) No 909/2014 of the European Parliament and of</w:t>
      </w:r>
      <w:r>
        <w:t xml:space="preserve"> </w:t>
      </w:r>
      <w:r>
        <w:t xml:space="preserve">the Council, OJ L 65, 10.3.2017; Commission Delegated Regulation (EU) 2018/1229 of 25 May 2018</w:t>
      </w:r>
      <w:r>
        <w:t xml:space="preserve"> </w:t>
      </w:r>
      <w:r>
        <w:t xml:space="preserve">supplementing Regulation (EU) No 909/2014 of the European Parliament and of the Council with regard to</w:t>
      </w:r>
      <w:r>
        <w:t xml:space="preserve"> </w:t>
      </w:r>
      <w:r>
        <w:t xml:space="preserve">regulatory technical standards on settlement discipline, OJ L 230, 13.9.2018, (‘RTS on settlement</w:t>
      </w:r>
      <w:r>
        <w:t xml:space="preserve"> </w:t>
      </w:r>
      <w:r>
        <w:t xml:space="preserve">discipline’); Commission Delegated Regulation (EU) 2017/391 of 11 November 2016 supplementing</w:t>
      </w:r>
      <w:r>
        <w:t xml:space="preserve"> </w:t>
      </w:r>
      <w:r>
        <w:t xml:space="preserve">Regulation (EU) No 909/2014 of the European Parliament and of the Council with regard to regulatory</w:t>
      </w:r>
      <w:r>
        <w:t xml:space="preserve"> </w:t>
      </w:r>
      <w:r>
        <w:t xml:space="preserve">technical standards further specifying the content of the reporting on internalised settlements, OJ L 65,</w:t>
      </w:r>
      <w:r>
        <w:t xml:space="preserve"> </w:t>
      </w:r>
      <w:r>
        <w:t xml:space="preserve">10.3.2017; Commission Implementing Regulation (EU) 2017/393 of 11 November 2016 laying down</w:t>
      </w:r>
      <w:r>
        <w:t xml:space="preserve"> </w:t>
      </w:r>
      <w:r>
        <w:t xml:space="preserve">implementing technical standards with regard to the templates and procedures for the reporting and</w:t>
      </w:r>
      <w:r>
        <w:t xml:space="preserve"> </w:t>
      </w:r>
      <w:r>
        <w:t xml:space="preserve">transmission of information on internalised settlements in accordance with Regulation (EU) No 909/2014</w:t>
      </w:r>
      <w:r>
        <w:t xml:space="preserve"> </w:t>
      </w:r>
      <w:r>
        <w:t xml:space="preserve">of the European Parliament and of the Council, OJ L 65, 10.3.2017.</w:t>
      </w:r>
      <w:r>
        <w:t xml:space="preserve"> </w:t>
      </w:r>
      <w:r>
        <w:t xml:space="preserve">64 Directive 98/26/EC of the European Parliament and of the Council of 19 May 1998 on settlement finality</w:t>
      </w:r>
      <w:r>
        <w:t xml:space="preserve"> </w:t>
      </w:r>
      <w:r>
        <w:t xml:space="preserve">in payment and securities settlement systems, OJ L 166, 11.6.1998.</w:t>
      </w:r>
      <w:r>
        <w:t xml:space="preserve"> </w:t>
      </w:r>
      <w:r>
        <w:t xml:space="preserve">65 https://www.iosco.org/about/?subsection=cpmi_iosco.</w:t>
      </w:r>
      <w:r>
        <w:br/>
      </w:r>
      <w:r>
        <w:t xml:space="preserve">66 Committee on Payments and Market Infrastructures (CPMI) of the BIS sets international standards to</w:t>
      </w:r>
      <w:r>
        <w:t xml:space="preserve"> </w:t>
      </w:r>
      <w:r>
        <w:t xml:space="preserve">promote, monitor and recommend about safety and efficiency of payment, clearing, settlement and related</w:t>
      </w:r>
      <w:r>
        <w:t xml:space="preserve"> </w:t>
      </w:r>
      <w:r>
        <w:t xml:space="preserve">arrangements. See: https://www.bis.org/cpmi/about/overview.htm .</w:t>
      </w:r>
      <w:r>
        <w:br/>
      </w:r>
      <w:r>
        <w:t xml:space="preserve">67 International Organization of Securities Commissions (IOSCO) is an association of organizations that</w:t>
      </w:r>
      <w:r>
        <w:t xml:space="preserve"> </w:t>
      </w:r>
      <w:r>
        <w:t xml:space="preserve">regulate the world’s securities and futures markets. See: https://www.iosco.org</w:t>
      </w:r>
      <w:r>
        <w:br/>
      </w:r>
      <w:r>
        <w:t xml:space="preserve">68 Financial Stability Board (FSB) is an international body, operating in the framework of the G20, that</w:t>
      </w:r>
      <w:r>
        <w:t xml:space="preserve"> </w:t>
      </w:r>
      <w:r>
        <w:t xml:space="preserve">monitors and makes recommendations about the global financial system. See: https://www.fsb.org/about/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2020 CMU Action Plan69 and the 2021 Commission Work Programme</w:t>
      </w:r>
      <w:r>
        <w:t xml:space="preserve"> </w:t>
      </w:r>
      <w:r>
        <w:t xml:space="preserve">announced the Commission’s intention to come forward with a legislative proposal to</w:t>
      </w:r>
      <w:r>
        <w:t xml:space="preserve"> </w:t>
      </w:r>
      <w:r>
        <w:t xml:space="preserve">amend CSDR to improve its efficiency and effectiveness (CSDR REFIT) and contribute</w:t>
      </w:r>
      <w:r>
        <w:t xml:space="preserve"> </w:t>
      </w:r>
      <w:r>
        <w:t xml:space="preserve">to the development of a more efficient post-trading landscape in the EU. This follows</w:t>
      </w:r>
      <w:r>
        <w:t xml:space="preserve"> </w:t>
      </w:r>
      <w:r>
        <w:t xml:space="preserve">from the work of the High Level Forum for the CMU70 that, amongst others, made</w:t>
      </w:r>
      <w:r>
        <w:t xml:space="preserve"> </w:t>
      </w:r>
      <w:r>
        <w:t xml:space="preserve">recommendations to facilitate the emergence of a common EU CSD market. Resilient</w:t>
      </w:r>
      <w:r>
        <w:t xml:space="preserve"> </w:t>
      </w:r>
      <w:r>
        <w:t xml:space="preserve">and efficient markets for settlement in the EU should remove barriers to cross-border</w:t>
      </w:r>
      <w:r>
        <w:t xml:space="preserve"> </w:t>
      </w:r>
      <w:r>
        <w:t xml:space="preserve">settlement, ensure adequate powers to monitor risks and reduce administrative burden</w:t>
      </w:r>
      <w:r>
        <w:t xml:space="preserve"> </w:t>
      </w:r>
      <w:r>
        <w:t xml:space="preserve">and compliance costs. As such, costs of securities transactions should fall, and trust in</w:t>
      </w:r>
      <w:r>
        <w:t xml:space="preserve"> </w:t>
      </w:r>
      <w:r>
        <w:t xml:space="preserve">securities transactions rise, contributing to a better financing of the economy.</w:t>
      </w:r>
      <w:r>
        <w:br/>
      </w:r>
      <w:r>
        <w:t xml:space="preserve">More generally, any forthcoming EU legislative proposal, including on CSDR, will have</w:t>
      </w:r>
      <w:r>
        <w:t xml:space="preserve"> </w:t>
      </w:r>
      <w:r>
        <w:t xml:space="preserve">to take into account, where necessary, the consequences of Brexit as well as to identify</w:t>
      </w:r>
      <w:r>
        <w:t xml:space="preserve"> </w:t>
      </w:r>
      <w:r>
        <w:t xml:space="preserve">how to contribute to the return to long-term growth of the EU following the crisis</w:t>
      </w:r>
      <w:r>
        <w:t xml:space="preserve"> </w:t>
      </w:r>
      <w:r>
        <w:t xml:space="preserve">resulting from the Covid-19 pandemic and to finance the EU’s environmental and</w:t>
      </w:r>
      <w:r>
        <w:t xml:space="preserve"> </w:t>
      </w:r>
      <w:r>
        <w:t xml:space="preserve">digital transitions.</w:t>
      </w:r>
      <w:r>
        <w:br/>
      </w:r>
      <w:r>
        <w:t xml:space="preserve">Regarding Brexit, on 25 November 2020, the Commission adopted an equivalence</w:t>
      </w:r>
      <w:r>
        <w:t xml:space="preserve"> </w:t>
      </w:r>
      <w:r>
        <w:t xml:space="preserve">decision determining that, until 30 June 2021, the regulatory and supervisory framework</w:t>
      </w:r>
      <w:r>
        <w:t xml:space="preserve"> </w:t>
      </w:r>
      <w:r>
        <w:t xml:space="preserve">applicable to CSDs established in the UK is equivalent in accordance with CSDR. On 11</w:t>
      </w:r>
      <w:r>
        <w:t xml:space="preserve"> </w:t>
      </w:r>
      <w:r>
        <w:t xml:space="preserve">December 2020,71 ESMA announced that Euroclear UK &amp; Ireland Limited, the UK CSD,</w:t>
      </w:r>
      <w:r>
        <w:t xml:space="preserve"> </w:t>
      </w:r>
      <w:r>
        <w:t xml:space="preserve">would be recognised as a third-country CSD. ESMA’s recognition decision applied</w:t>
      </w:r>
      <w:r>
        <w:t xml:space="preserve"> </w:t>
      </w:r>
      <w:r>
        <w:t xml:space="preserve">from 1 January until 30 June 2021. The aim was to give EU issuers, and in particular</w:t>
      </w:r>
      <w:r>
        <w:t xml:space="preserve"> </w:t>
      </w:r>
      <w:r>
        <w:t xml:space="preserve">Irish issuers that used that CSD, sufficient time to transfer their securities to an EU CSD,</w:t>
      </w:r>
      <w:r>
        <w:t xml:space="preserve"> </w:t>
      </w:r>
      <w:r>
        <w:t xml:space="preserve">a project which was completed on 15 March 2021.72 From its side, the UK introduced a</w:t>
      </w:r>
      <w:r>
        <w:t xml:space="preserve"> </w:t>
      </w:r>
      <w:r>
        <w:t xml:space="preserve">transitional regime73 under which certain non-UK CSDs can offer CSD services until</w:t>
      </w:r>
      <w:r>
        <w:t xml:space="preserve"> </w:t>
      </w:r>
      <w:r>
        <w:t xml:space="preserve">they are permanently recognised under the UK CSDR. As of 30 April 2021, 15 non-UK</w:t>
      </w:r>
      <w:r>
        <w:t xml:space="preserve"> </w:t>
      </w:r>
      <w:r>
        <w:t xml:space="preserve">CSDs that have notified the Bank of England that they will offer CSD services in the UK</w:t>
      </w:r>
      <w:r>
        <w:t xml:space="preserve"> </w:t>
      </w:r>
      <w:r>
        <w:t xml:space="preserve">under the transitional regime.74 In addition, the UK Treasury75 announced that the UK</w:t>
      </w:r>
      <w:r>
        <w:t xml:space="preserve"> </w:t>
      </w:r>
      <w:r>
        <w:t xml:space="preserve">will not implement the CSDR settlement discipline regime.</w:t>
      </w:r>
      <w:r>
        <w:t xml:space="preserve"> </w:t>
      </w:r>
      <w:r>
        <w:t xml:space="preserve">As concerns the Covid-19 crisis, post-trade infrastructures, and CSDs in particular, have</w:t>
      </w:r>
      <w:r>
        <w:t xml:space="preserve"> </w:t>
      </w:r>
      <w:r>
        <w:t xml:space="preserve">remained resilient and continue to provide their services. Nevertheless, due to the impact</w:t>
      </w:r>
      <w:r>
        <w:t xml:space="preserve"> </w:t>
      </w:r>
      <w:r>
        <w:t xml:space="preserve">of the Covid-19 pandemic on the implementation of regulatory projects and IT deliveries</w:t>
      </w:r>
      <w:r>
        <w:t xml:space="preserve"> </w:t>
      </w:r>
      <w:r>
        <w:t xml:space="preserve">by CSDs and their participants, ESMA proposed postponing the date of entry into force</w:t>
      </w:r>
    </w:p>
    <w:p>
      <w:pPr>
        <w:pStyle w:val="BodyText"/>
      </w:pPr>
      <w:r>
        <w:t xml:space="preserve">69 Commission Communication ‘A Capital Markets Union for people and businesses – New Action Plan’ (see</w:t>
      </w:r>
      <w:r>
        <w:t xml:space="preserve"> </w:t>
      </w:r>
      <w:r>
        <w:t xml:space="preserve">note 10).</w:t>
      </w:r>
      <w:r>
        <w:t xml:space="preserve"> </w:t>
      </w:r>
      <w:r>
        <w:t xml:space="preserve">70 Final report of the High Level Forum on the Capital Markets Union - A new vision for Europe’s capital</w:t>
      </w:r>
      <w:r>
        <w:t xml:space="preserve"> </w:t>
      </w:r>
      <w:r>
        <w:t xml:space="preserve">markets |European Commission (europa.eu): https://ec.europa.eu/info/files/200610-cmu-high-level-forum-</w:t>
      </w:r>
      <w:r>
        <w:t xml:space="preserve"> </w:t>
      </w:r>
      <w:r>
        <w:t xml:space="preserve">final-report_en.</w:t>
      </w:r>
      <w:r>
        <w:t xml:space="preserve"> </w:t>
      </w:r>
      <w:r>
        <w:t xml:space="preserve">71 ESMA to recognise Euroclear UK &amp; Ireland Limited (EUI) after Brexit transition period (europa.eu)</w:t>
      </w:r>
      <w:r>
        <w:t xml:space="preserve"> </w:t>
      </w:r>
      <w:r>
        <w:t xml:space="preserve">https://www.esma.europa.eu/press-news/esma-news/esma-recognise-euroclear-uk-ireland-limited-eui-after-</w:t>
      </w:r>
      <w:r>
        <w:t xml:space="preserve"> </w:t>
      </w:r>
      <w:r>
        <w:t xml:space="preserve">brexit-transition-period.</w:t>
      </w:r>
      <w:r>
        <w:br/>
      </w:r>
      <w:r>
        <w:t xml:space="preserve">72 Successful migration of Issuer CSD Services for Irish Securities from Euroclear UK &amp; Ireland to Euroclear</w:t>
      </w:r>
      <w:r>
        <w:t xml:space="preserve"> </w:t>
      </w:r>
      <w:r>
        <w:t xml:space="preserve">Bank - Euroclear: https://www.euroclear.com/newsandinsights/en/press/2021/2021-mr-07-irish-securities-</w:t>
      </w:r>
      <w:r>
        <w:t xml:space="preserve"> </w:t>
      </w:r>
      <w:r>
        <w:t xml:space="preserve">migration.html.</w:t>
      </w:r>
      <w:r>
        <w:t xml:space="preserve"> </w:t>
      </w:r>
      <w:r>
        <w:t xml:space="preserve">73 As the Settlement Finality Directive is closely linked to CSDR, it is worth noting that the UK also allows</w:t>
      </w:r>
      <w:r>
        <w:t xml:space="preserve"> </w:t>
      </w:r>
      <w:r>
        <w:t xml:space="preserve">certain EEA systems to receive temporary UK settlement finality protection under the temporary</w:t>
      </w:r>
      <w:r>
        <w:t xml:space="preserve"> </w:t>
      </w:r>
      <w:r>
        <w:t xml:space="preserve">designation regime of the Financial Markets and Insolvency until they receive ‘steady state’ designation.</w:t>
      </w:r>
      <w:r>
        <w:t xml:space="preserve"> </w:t>
      </w:r>
      <w:r>
        <w:t xml:space="preserve">74 List</w:t>
      </w:r>
      <w:r>
        <w:t xml:space="preserve"> </w:t>
      </w:r>
      <w:r>
        <w:t xml:space="preserve">of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</w:t>
      </w:r>
      <w:r>
        <w:t xml:space="preserve"> </w:t>
      </w:r>
      <w:r>
        <w:t xml:space="preserve">(bankofengland.co.uk),</w:t>
      </w:r>
      <w:r>
        <w:t xml:space="preserve"> </w:t>
      </w:r>
      <w:r>
        <w:t xml:space="preserve">https://www.bankofengland.co.uk/-</w:t>
      </w:r>
      <w:r>
        <w:t xml:space="preserve"> </w:t>
      </w:r>
      <w:r>
        <w:t xml:space="preserve">/media/boe/files/financial-stability/financial-market-infrastructure-supervision/list-of-third-country-</w:t>
      </w:r>
      <w:r>
        <w:t xml:space="preserve"> </w:t>
      </w:r>
      <w:r>
        <w:t xml:space="preserve">csds.pdf?la=en&amp;hash=824459A062CBB16DD1C8A42AD2D99A9DC36E3E31.</w:t>
      </w:r>
      <w:r>
        <w:t xml:space="preserve"> </w:t>
      </w:r>
      <w:r>
        <w:t xml:space="preserve">75 Written statements - Written questions, answers and statements - UK Parliament, https://questions-</w:t>
      </w:r>
      <w:r>
        <w:t xml:space="preserve"> </w:t>
      </w:r>
      <w:r>
        <w:t xml:space="preserve">statements.parliament.uk/written-statements/detail/2020-06-23/HCWS309 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of the Regulatory Technical Standards (RTS) on settlement discipline76 until 1 February</w:t>
      </w:r>
      <w:r>
        <w:t xml:space="preserve"> </w:t>
      </w:r>
      <w:r>
        <w:t xml:space="preserve">2022.77 Stakeholders also noted that market developments during this crisis would have</w:t>
      </w:r>
      <w:r>
        <w:t xml:space="preserve"> </w:t>
      </w:r>
      <w:r>
        <w:t xml:space="preserve">been significantly worse in terms of available market liquidity if the settlement discipline</w:t>
      </w:r>
      <w:r>
        <w:t xml:space="preserve"> </w:t>
      </w:r>
      <w:r>
        <w:t xml:space="preserve">was in place. In this regard, the European Parliament, in its resolution on further</w:t>
      </w:r>
      <w:r>
        <w:t xml:space="preserve"> </w:t>
      </w:r>
      <w:r>
        <w:t xml:space="preserve">development of the Capital Markets Union,78 also invited the Commission to review</w:t>
      </w:r>
      <w:r>
        <w:t xml:space="preserve"> </w:t>
      </w:r>
      <w:r>
        <w:t xml:space="preserve">the settlement discipline regime under CSDR in view of Brexit and the Covid-19 crisis.</w:t>
      </w:r>
      <w:r>
        <w:t xml:space="preserve"> </w:t>
      </w:r>
      <w:r>
        <w:t xml:space="preserve">Finally, market infrastructures were also part of two recent packages published by the</w:t>
      </w:r>
      <w:r>
        <w:t xml:space="preserve"> </w:t>
      </w:r>
      <w:r>
        <w:t xml:space="preserve">Commission on digital finance79 and on fostering openness, strength and resilience of</w:t>
      </w:r>
      <w:r>
        <w:t xml:space="preserve"> </w:t>
      </w:r>
      <w:r>
        <w:t xml:space="preserve">the European economic and financial system.80 In September 2020, in line with the</w:t>
      </w:r>
      <w:r>
        <w:t xml:space="preserve"> </w:t>
      </w:r>
      <w:r>
        <w:t xml:space="preserve">Commission priorities to make Europe fit for the digital age and to build a future-ready</w:t>
      </w:r>
      <w:r>
        <w:t xml:space="preserve"> </w:t>
      </w:r>
      <w:r>
        <w:t xml:space="preserve">economy that works for people, the Commission published a New Digital Finance</w:t>
      </w:r>
      <w:r>
        <w:t xml:space="preserve"> </w:t>
      </w:r>
      <w:r>
        <w:t xml:space="preserve">Package,81 which included a legislative proposal on a pilot regime82. This proposal seeks</w:t>
      </w:r>
      <w:r>
        <w:t xml:space="preserve"> </w:t>
      </w:r>
      <w:r>
        <w:t xml:space="preserve">to collect experience and to provide legal certainty and flexibility for market</w:t>
      </w:r>
      <w:r>
        <w:t xml:space="preserve"> </w:t>
      </w:r>
      <w:r>
        <w:t xml:space="preserve">participants (including CSDs) who wish to operate a DLT market infrastructure, by</w:t>
      </w:r>
      <w:r>
        <w:t xml:space="preserve"> </w:t>
      </w:r>
      <w:r>
        <w:t xml:space="preserve">establishing uniform requirements for operating these DLT systems. Under this pilot</w:t>
      </w:r>
      <w:r>
        <w:t xml:space="preserve"> </w:t>
      </w:r>
      <w:r>
        <w:t xml:space="preserve">regime trading facilities and CSDs using DLT can develop their businesses and provide a</w:t>
      </w:r>
      <w:r>
        <w:t xml:space="preserve"> </w:t>
      </w:r>
      <w:r>
        <w:t xml:space="preserve">safe environment for market participants and investors. To this end, it provides optional</w:t>
      </w:r>
      <w:r>
        <w:t xml:space="preserve"> </w:t>
      </w:r>
      <w:r>
        <w:t xml:space="preserve">exemptions to certain requirements of CSDR. The New Digital Finance Package also</w:t>
      </w:r>
      <w:r>
        <w:t xml:space="preserve"> </w:t>
      </w:r>
      <w:r>
        <w:t xml:space="preserve">includes a ‘Digital Operational Resilience Act’ (DORA)83 that aims to ensure that all</w:t>
      </w:r>
      <w:r>
        <w:t xml:space="preserve"> </w:t>
      </w:r>
      <w:r>
        <w:t xml:space="preserve">participants in the financial system, including CSDs, have the necessary safeguards in</w:t>
      </w:r>
      <w:r>
        <w:t xml:space="preserve"> </w:t>
      </w:r>
      <w:r>
        <w:t xml:space="preserve">place to mitigate cyber-attacks and other risks.</w:t>
      </w:r>
      <w:r>
        <w:br/>
      </w:r>
      <w:r>
        <w:t xml:space="preserve">Furthermore, in January 2021, as part of a broader set of actions to strengthen the EU’s</w:t>
      </w:r>
      <w:r>
        <w:t xml:space="preserve"> </w:t>
      </w:r>
      <w:r>
        <w:t xml:space="preserve">open strategic autonomy and resilience, the Commission published a communication on</w:t>
      </w:r>
      <w:r>
        <w:t xml:space="preserve"> </w:t>
      </w:r>
      <w:r>
        <w:t xml:space="preserve">‘The European economic and financial system: fostering openness, strength and</w:t>
      </w:r>
      <w:r>
        <w:t xml:space="preserve"> </w:t>
      </w:r>
      <w:r>
        <w:t xml:space="preserve">resilience.84 This Communication sets out how the EU can reinforce its open strategic</w:t>
      </w:r>
      <w:r>
        <w:t xml:space="preserve"> </w:t>
      </w:r>
      <w:r>
        <w:t xml:space="preserve">autonomy in the macroeconomic and financial fields by, inter alia, further developing EU</w:t>
      </w:r>
      <w:r>
        <w:t xml:space="preserve"> </w:t>
      </w:r>
      <w:r>
        <w:t xml:space="preserve">financial market infrastructures, including CSDs, and increasing their resilience.</w:t>
      </w:r>
      <w:r>
        <w:br/>
      </w:r>
      <w:r>
        <w:t xml:space="preserve">In conclusion, this REFIT initiative should be viewed within the context of the broader</w:t>
      </w:r>
      <w:r>
        <w:t xml:space="preserve"> </w:t>
      </w:r>
      <w:r>
        <w:t xml:space="preserve">agenda to make the EU markets more competitive, digital and resilient as represented by</w:t>
      </w:r>
      <w:r>
        <w:t xml:space="preserve"> </w:t>
      </w:r>
      <w:r>
        <w:t xml:space="preserve">the CMU, digital and open strategic autonomy initiatives. However, developing</w:t>
      </w:r>
      <w:r>
        <w:t xml:space="preserve"> </w:t>
      </w:r>
      <w:r>
        <w:t xml:space="preserve">internationally competitive CSDs is not a direct objective of CSDR per se. The main</w:t>
      </w:r>
      <w:r>
        <w:t xml:space="preserve"> </w:t>
      </w:r>
      <w:r>
        <w:t xml:space="preserve">objectives of CSDR and this Review are to allow EU settlement markets to become</w:t>
      </w:r>
      <w:r>
        <w:t xml:space="preserve"> </w:t>
      </w:r>
      <w:r>
        <w:t xml:space="preserve">more efficient and secure. However, market players will benefit from efficient and</w:t>
      </w:r>
    </w:p>
    <w:p>
      <w:pPr>
        <w:pStyle w:val="BodyText"/>
      </w:pPr>
      <w:r>
        <w:t xml:space="preserve">76 RTS on settlement discipline (see note 63).</w:t>
      </w:r>
      <w:r>
        <w:t xml:space="preserve"> </w:t>
      </w:r>
      <w:r>
        <w:t xml:space="preserve">77 ESMA proposes to further postpone CSDR settlement discipline, https://www.esma.europa.eu/press-</w:t>
      </w:r>
      <w:r>
        <w:t xml:space="preserve"> </w:t>
      </w:r>
      <w:r>
        <w:t xml:space="preserve">news/esma-news/esma-proposes-further-postpone-csdr-settlement-discipline.</w:t>
      </w:r>
      <w:r>
        <w:t xml:space="preserve"> </w:t>
      </w:r>
      <w:r>
        <w:t xml:space="preserve">78 European Parliament Resolution of 8 October 2020 on further development of the Capital Markets Union</w:t>
      </w:r>
      <w:r>
        <w:t xml:space="preserve"> </w:t>
      </w:r>
      <w:r>
        <w:t xml:space="preserve">(CMU), (2020/2036,(INI)), see para. 21.</w:t>
      </w:r>
      <w:r>
        <w:br/>
      </w:r>
      <w:r>
        <w:t xml:space="preserve">79 https://ec.europa.eu/info/publications/200924-digital-finance-proposals_en.</w:t>
      </w:r>
      <w:r>
        <w:br/>
      </w:r>
      <w:r>
        <w:t xml:space="preserve">80 Communication from the Commission to the European Parliament, the Council, the European Central</w:t>
      </w:r>
      <w:r>
        <w:t xml:space="preserve"> </w:t>
      </w:r>
      <w:r>
        <w:t xml:space="preserve">Bank, the European Economic and Social Committee and the Committee of the Regions, ‘The European</w:t>
      </w:r>
      <w:r>
        <w:t xml:space="preserve"> </w:t>
      </w:r>
      <w:r>
        <w:t xml:space="preserve">economic and financial system: fostering openness, strength and resilience’, COM/2021/32.</w:t>
      </w:r>
      <w:r>
        <w:t xml:space="preserve"> </w:t>
      </w:r>
      <w:r>
        <w:t xml:space="preserve">81 https://ec.europa.eu/info/publications/200924-digital-finance-proposals_en.</w:t>
      </w:r>
      <w:r>
        <w:br/>
      </w:r>
      <w:r>
        <w:t xml:space="preserve">82 Proposal for a Regulation of the European Parliament and the Council on a pilot regime for market</w:t>
      </w:r>
      <w:r>
        <w:t xml:space="preserve"> </w:t>
      </w:r>
      <w:r>
        <w:t xml:space="preserve">infrastructures based on distributed ledger technology, COM(2020) 594.</w:t>
      </w:r>
      <w:r>
        <w:t xml:space="preserve"> </w:t>
      </w:r>
      <w:r>
        <w:t xml:space="preserve">83 Proposal for a Regulation of the European Parliament and of the Council on digital operational resilience</w:t>
      </w:r>
      <w:r>
        <w:t xml:space="preserve"> </w:t>
      </w:r>
      <w:r>
        <w:t xml:space="preserve">for the financial sector and amending Regulations (EC) No 1060/2009, (EU) No 648/2012, (EU) No</w:t>
      </w:r>
      <w:r>
        <w:t xml:space="preserve"> </w:t>
      </w:r>
      <w:r>
        <w:t xml:space="preserve">600/2014 and (EU) No 909/2014, COM(2020) 595.</w:t>
      </w:r>
      <w:r>
        <w:t xml:space="preserve"> </w:t>
      </w:r>
      <w:r>
        <w:t xml:space="preserve">84 Commission Communication, ‘The European economic and financial system: fostering openness, strength</w:t>
      </w:r>
      <w:r>
        <w:t xml:space="preserve"> </w:t>
      </w:r>
      <w:r>
        <w:t xml:space="preserve">and resilience’ (see note 80).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reliable settlement as well as increased competition in the EU capital market. This</w:t>
      </w:r>
      <w:r>
        <w:t xml:space="preserve"> </w:t>
      </w:r>
      <w:r>
        <w:t xml:space="preserve">may drive the emergence of internationally competitive EU post-trade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1.4.3. Stakeholder consultation</w:t>
      </w:r>
      <w:r>
        <w:t xml:space="preserve"> </w:t>
      </w:r>
      <w:r>
        <w:t xml:space="preserve">Stakeholder consultation took different forms (see Annex 3), including:</w:t>
      </w:r>
      <w:r>
        <w:t xml:space="preserve"> </w:t>
      </w:r>
      <w:r>
        <w:t xml:space="preserve"> a Commission targeted consultation between 8 December 2020 and 2 February</w:t>
      </w:r>
      <w:r>
        <w:t xml:space="preserve"> </w:t>
      </w:r>
      <w:r>
        <w:t xml:space="preserve">202185;</w:t>
      </w:r>
      <w:r>
        <w:t xml:space="preserve"> </w:t>
      </w:r>
      <w:r>
        <w:t xml:space="preserve"> ESMA reports - four reports in 2020 and 2021 were submitted to the</w:t>
      </w:r>
      <w:r>
        <w:t xml:space="preserve"> </w:t>
      </w:r>
      <w:r>
        <w:t xml:space="preserve">Commission on internalised settlement,86 the cross-border provision of services</w:t>
      </w:r>
      <w:r>
        <w:t xml:space="preserve"> </w:t>
      </w:r>
      <w:r>
        <w:t xml:space="preserve">by CSDs and the handling of applications to provide notary and central</w:t>
      </w:r>
      <w:r>
        <w:t xml:space="preserve"> </w:t>
      </w:r>
      <w:r>
        <w:t xml:space="preserve">maintenance services cross-border,87 the provision of banking type ancillary</w:t>
      </w:r>
      <w:r>
        <w:t xml:space="preserve"> </w:t>
      </w:r>
      <w:r>
        <w:t xml:space="preserve">services88 and the use of FinTech by CSDs.89 Such reports also took into account</w:t>
      </w:r>
      <w:r>
        <w:t xml:space="preserve"> </w:t>
      </w:r>
      <w:r>
        <w:t xml:space="preserve">answers to ESMA surveys from national authorities, CSDs and participants;</w:t>
      </w:r>
      <w:r>
        <w:t xml:space="preserve"> </w:t>
      </w:r>
      <w:r>
        <w:t xml:space="preserve"> Meetings with Member States’ Experts, where the secretariat of the Economic</w:t>
      </w:r>
      <w:r>
        <w:t xml:space="preserve"> </w:t>
      </w:r>
      <w:r>
        <w:t xml:space="preserve">and Monetary Affairs committee of the European Parliament, the ECB and</w:t>
      </w:r>
      <w:r>
        <w:t xml:space="preserve"> </w:t>
      </w:r>
      <w:r>
        <w:t xml:space="preserve">ESMA were also invited, on 22 September 2020 and 15 July 2021;</w:t>
      </w:r>
      <w:r>
        <w:t xml:space="preserve"> </w:t>
      </w:r>
      <w:r>
        <w:t xml:space="preserve"> Input from the European System of Central Banks (ESCB) to the CSDR</w:t>
      </w:r>
      <w:r>
        <w:t xml:space="preserve"> </w:t>
      </w:r>
      <w:r>
        <w:t xml:space="preserve">consultation process, including an anonymised and consolidated outcome of a</w:t>
      </w:r>
      <w:r>
        <w:t xml:space="preserve"> </w:t>
      </w:r>
      <w:r>
        <w:t xml:space="preserve">survey conducted among CSDs.</w:t>
      </w:r>
      <w:r>
        <w:t xml:space="preserve"> </w:t>
      </w:r>
      <w:r>
        <w:t xml:space="preserve"> A meeting with Members of the European Parliament on 6 September 2021;</w:t>
      </w:r>
      <w:r>
        <w:br/>
      </w:r>
      <w:r>
        <w:t xml:space="preserve"> Bilateral meetings with stakeholders as well as confidential information received</w:t>
      </w:r>
      <w:r>
        <w:t xml:space="preserve"> </w:t>
      </w:r>
      <w:r>
        <w:t xml:space="preserve">from a wide range of stakeholders.</w:t>
      </w:r>
      <w:r>
        <w:t xml:space="preserve"> </w:t>
      </w:r>
      <w:r>
        <w:t xml:space="preserve">1.4.4. Report to the Council and the Parliament</w:t>
      </w:r>
      <w:r>
        <w:br/>
      </w:r>
      <w:r>
        <w:t xml:space="preserve">Article 75 of CSDR required the Commission to review and prepare a general report</w:t>
      </w:r>
      <w:r>
        <w:t xml:space="preserve"> </w:t>
      </w:r>
      <w:r>
        <w:t xml:space="preserve">on the Regulation and submit it to the Parliament and the Council by 19 September</w:t>
      </w:r>
      <w:r>
        <w:t xml:space="preserve"> </w:t>
      </w:r>
      <w:r>
        <w:t xml:space="preserve">2019. Furthermore, Article 81(2c) of Regulation (EU) 2010/10 establishing a European</w:t>
      </w:r>
      <w:r>
        <w:t xml:space="preserve"> </w:t>
      </w:r>
      <w:r>
        <w:t xml:space="preserve">Supervisory Authority (European Securities and Markets Authority), required the</w:t>
      </w:r>
      <w:r>
        <w:t xml:space="preserve"> </w:t>
      </w:r>
      <w:r>
        <w:t xml:space="preserve">Commission, after consulting all relevant authorities and stakeholders, to conduct a</w:t>
      </w:r>
      <w:r>
        <w:t xml:space="preserve"> </w:t>
      </w:r>
      <w:r>
        <w:t xml:space="preserve">comprehensive assessment of the potential supervision of third-country CSDs by</w:t>
      </w:r>
      <w:r>
        <w:t xml:space="preserve"> </w:t>
      </w:r>
      <w:r>
        <w:t xml:space="preserve">ESMA exploring certain aspects, including recognition based on systemic importance,</w:t>
      </w:r>
      <w:r>
        <w:t xml:space="preserve"> </w:t>
      </w:r>
      <w:r>
        <w:t xml:space="preserve">ongoing compliance, fines and periodic penalty payments.</w:t>
      </w:r>
      <w:r>
        <w:br/>
      </w:r>
      <w:r>
        <w:t xml:space="preserve">Taking into account that some CSDR requirements did not apply until the entry into</w:t>
      </w:r>
      <w:r>
        <w:t xml:space="preserve"> </w:t>
      </w:r>
      <w:r>
        <w:t xml:space="preserve">force of the relevant regulatory technical standards in March 2017 and that some EU</w:t>
      </w:r>
      <w:r>
        <w:t xml:space="preserve"> </w:t>
      </w:r>
      <w:r>
        <w:t xml:space="preserve">CSDs were only recently authorised under CSDR, the Commission report on CSDR was</w:t>
      </w:r>
      <w:r>
        <w:t xml:space="preserve"> </w:t>
      </w:r>
      <w:r>
        <w:t xml:space="preserve">adopted in July 2021.90 The report identifies specific areas where targeted action may be</w:t>
      </w:r>
    </w:p>
    <w:p>
      <w:pPr>
        <w:pStyle w:val="BodyText"/>
      </w:pPr>
      <w:r>
        <w:t xml:space="preserve">85 Commission targeted consultation on the review of regulation on improving securities settlement in the</w:t>
      </w:r>
      <w:r>
        <w:t xml:space="preserve"> </w:t>
      </w:r>
      <w:r>
        <w:t xml:space="preserve">European Union and on central securities depositories, https://ec.europa.eu/info/consultations/finance-</w:t>
      </w:r>
      <w:r>
        <w:t xml:space="preserve"> </w:t>
      </w:r>
      <w:r>
        <w:t xml:space="preserve">2020-csdr-review_en.</w:t>
      </w:r>
      <w:r>
        <w:t xml:space="preserve"> </w:t>
      </w:r>
      <w:r>
        <w:t xml:space="preserve">86 ESMA Report to the European Commission, ‘CSDR Internalised Settlement’, 5 November 2020,</w:t>
      </w:r>
      <w:r>
        <w:t xml:space="preserve"> </w:t>
      </w:r>
      <w:r>
        <w:t xml:space="preserve">ESMA70-156-3729.</w:t>
      </w:r>
      <w:r>
        <w:t xml:space="preserve"> </w:t>
      </w:r>
      <w:r>
        <w:t xml:space="preserve">87 ESMA Report on cross-border services (see note 50).</w:t>
      </w:r>
      <w:r>
        <w:t xml:space="preserve"> </w:t>
      </w:r>
      <w:r>
        <w:t xml:space="preserve">88 ESMA Report to the European Commission, ‘Provision of banking-type ancillary services under CSDR’,</w:t>
      </w:r>
      <w:r>
        <w:t xml:space="preserve"> </w:t>
      </w:r>
      <w:r>
        <w:t xml:space="preserve">08 July 2021, ESMA70-156-4582.</w:t>
      </w:r>
      <w:r>
        <w:t xml:space="preserve"> </w:t>
      </w:r>
      <w:r>
        <w:t xml:space="preserve">89 ESMA Report to the European Commission, ‘Use of FinTech by CSDs’, 2 August 2021, ESMA70-156-</w:t>
      </w:r>
      <w:r>
        <w:t xml:space="preserve"> </w:t>
      </w:r>
      <w:r>
        <w:t xml:space="preserve">4576.</w:t>
      </w:r>
      <w:r>
        <w:t xml:space="preserve"> </w:t>
      </w:r>
      <w:r>
        <w:t xml:space="preserve">90 Report from the Commission to the European Parliament and the Council under Article 75 of Regulation</w:t>
      </w:r>
      <w:r>
        <w:t xml:space="preserve"> </w:t>
      </w:r>
      <w:r>
        <w:t xml:space="preserve">(EU) No 909/2014 of the European Parliament and of the Council of 23 July 2014 on improving securities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necessary to ensure the fulfilment of the objectives of CSDR in a more proportionate,</w:t>
      </w:r>
      <w:r>
        <w:t xml:space="preserve"> </w:t>
      </w:r>
      <w:r>
        <w:t xml:space="preserve">efficient and effective manner. The five main areas identified are the following:</w:t>
      </w:r>
      <w:r>
        <w:br/>
      </w:r>
      <w:r>
        <w:t xml:space="preserve"> clarifying and simplifying the burdensome requirements related to the provision</w:t>
      </w:r>
      <w:r>
        <w:t xml:space="preserve"> </w:t>
      </w:r>
      <w:r>
        <w:t xml:space="preserve">of services by CSDs domestically and cross-border;</w:t>
      </w:r>
      <w:r>
        <w:br/>
      </w:r>
      <w:r>
        <w:t xml:space="preserve"> improving the supervisory convergence amongst authorities involved in CSDs’</w:t>
      </w:r>
      <w:r>
        <w:t xml:space="preserve"> </w:t>
      </w:r>
      <w:r>
        <w:t xml:space="preserve">supervision;</w:t>
      </w:r>
      <w:r>
        <w:br/>
      </w:r>
      <w:r>
        <w:t xml:space="preserve"> facilitating the provision of banking-type ancillary services;</w:t>
      </w:r>
      <w:r>
        <w:t xml:space="preserve"> </w:t>
      </w:r>
      <w:r>
        <w:t xml:space="preserve"> reducing the disproportionate burdens and costs related to settlement discipline;</w:t>
      </w:r>
      <w:r>
        <w:t xml:space="preserve"> </w:t>
      </w:r>
      <w:r>
        <w:t xml:space="preserve"> enhancing the framework for third-country CSDs.</w:t>
      </w:r>
      <w:r>
        <w:t xml:space="preserve"> </w:t>
      </w:r>
      <w:r>
        <w:t xml:space="preserve">In its report, the Commission also invited ESMA to consider whether supervisory</w:t>
      </w:r>
      <w:r>
        <w:t xml:space="preserve"> </w:t>
      </w:r>
      <w:r>
        <w:t xml:space="preserve">convergence tools could be used or amendments to existing regulatory technical</w:t>
      </w:r>
      <w:r>
        <w:t xml:space="preserve"> </w:t>
      </w:r>
      <w:r>
        <w:t xml:space="preserve">standards may be required to facilitate the use of technological innovation by CSDs.</w:t>
      </w:r>
      <w:r>
        <w:t xml:space="preserve"> </w:t>
      </w:r>
      <w:r>
        <w:t xml:space="preserve">2. PROBLEM DEFINITION</w:t>
      </w:r>
      <w:r>
        <w:br/>
      </w:r>
      <w:r>
        <w:t xml:space="preserve">2.1. Methodology</w:t>
      </w:r>
      <w:r>
        <w:br/>
      </w:r>
      <w:r>
        <w:t xml:space="preserve">The main problems assessed in this impact assessment concern areas for which an</w:t>
      </w:r>
      <w:r>
        <w:t xml:space="preserve"> </w:t>
      </w:r>
      <w:r>
        <w:t xml:space="preserve">evaluation has been carried91 out, as well as input received from various authorities and</w:t>
      </w:r>
      <w:r>
        <w:t xml:space="preserve"> </w:t>
      </w:r>
      <w:r>
        <w:t xml:space="preserve">stakeholders (see section 1.4.3). These indicate that targeted action is necessary to ensure</w:t>
      </w:r>
      <w:r>
        <w:t xml:space="preserve"> </w:t>
      </w:r>
      <w:r>
        <w:t xml:space="preserve">fulfilment of the CSDR objectives more proportionately, efficiently and effectively.</w:t>
      </w:r>
      <w:r>
        <w:br/>
      </w:r>
      <w:r>
        <w:t xml:space="preserve">The impact assessment considers the costs and benefits of targeted amendments to CSDR</w:t>
      </w:r>
      <w:r>
        <w:t xml:space="preserve"> </w:t>
      </w:r>
      <w:r>
        <w:t xml:space="preserve">concerning the barriers to cross-border settlement, the disproportionate compliance costs</w:t>
      </w:r>
      <w:r>
        <w:t xml:space="preserve"> </w:t>
      </w:r>
      <w:r>
        <w:t xml:space="preserve">and the insufficient insight into the activities of third-country CSDs. While the definition</w:t>
      </w:r>
      <w:r>
        <w:t xml:space="preserve"> </w:t>
      </w:r>
      <w:r>
        <w:t xml:space="preserve">of the problems is targeted, the impact assessment considers the cumulative impact of</w:t>
      </w:r>
      <w:r>
        <w:t xml:space="preserve"> </w:t>
      </w:r>
      <w:r>
        <w:t xml:space="preserve">targeted changes as presented in section 8.</w:t>
      </w:r>
      <w:r>
        <w:t xml:space="preserve"> </w:t>
      </w:r>
      <w:r>
        <w:t xml:space="preserve">A key consideration is that the application of CSDR remains work in progress. A</w:t>
      </w:r>
      <w:r>
        <w:t xml:space="preserve"> </w:t>
      </w:r>
      <w:r>
        <w:t xml:space="preserve">sufficient number of EU CSDs was authorised only recently under CSDR, the regulatory</w:t>
      </w:r>
      <w:r>
        <w:t xml:space="preserve"> </w:t>
      </w:r>
      <w:r>
        <w:t xml:space="preserve">technical standards specifying CSDR started applying only as of 2017 and certain core</w:t>
      </w:r>
      <w:r>
        <w:t xml:space="preserve"> </w:t>
      </w:r>
      <w:r>
        <w:t xml:space="preserve">CSDR requirements (including settlement discipline) are yet to enter into application.</w:t>
      </w:r>
      <w:r>
        <w:t xml:space="preserve"> </w:t>
      </w:r>
      <w:r>
        <w:t xml:space="preserve">This limits the availability of data on costs and benefits of the requirements.</w:t>
      </w:r>
      <w:r>
        <w:t xml:space="preserve"> </w:t>
      </w:r>
      <w:r>
        <w:t xml:space="preserve">First, while the full impact of CSDR is still unfolding, feedback from stakeholders and</w:t>
      </w:r>
      <w:r>
        <w:t xml:space="preserve"> </w:t>
      </w:r>
      <w:r>
        <w:t xml:space="preserve">public authorities92 indicates that CSDR has contributed to achieving its original</w:t>
      </w:r>
      <w:r>
        <w:t xml:space="preserve"> </w:t>
      </w:r>
      <w:r>
        <w:t xml:space="preserve">objectives of ensuring safety of settlement and financial stability. The impact assessment</w:t>
      </w:r>
      <w:r>
        <w:t xml:space="preserve"> </w:t>
      </w:r>
      <w:r>
        <w:t xml:space="preserve">therefore only considers targeted changes at this point in time.</w:t>
      </w:r>
      <w:r>
        <w:t xml:space="preserve"> </w:t>
      </w:r>
      <w:r>
        <w:t xml:space="preserve">Second, certain issues raised by authorities and stakeholders are not covered in this</w:t>
      </w:r>
      <w:r>
        <w:t xml:space="preserve"> </w:t>
      </w:r>
      <w:r>
        <w:t xml:space="preserve">impact assessment, because they cannot or should not at present be addressed within the</w:t>
      </w:r>
      <w:r>
        <w:t xml:space="preserve"> </w:t>
      </w:r>
      <w:r>
        <w:t xml:space="preserve">context of CSDR, e.g.:</w:t>
      </w:r>
      <w:r>
        <w:t xml:space="preserve"> </w:t>
      </w:r>
      <w:r>
        <w:t xml:space="preserve">a) stakeholders noted that CSDs are still subject to Member States’ national laws</w:t>
      </w:r>
      <w:r>
        <w:t xml:space="preserve"> </w:t>
      </w:r>
      <w:r>
        <w:t xml:space="preserve">for issues not regulated in CSDR, such as corporate or civil law matters. This</w:t>
      </w:r>
    </w:p>
    <w:p>
      <w:pPr>
        <w:pStyle w:val="BodyText"/>
      </w:pPr>
      <w:r>
        <w:t xml:space="preserve">settlement in the European Union and on central securities depositories and amending Directives 98/26/EC</w:t>
      </w:r>
      <w:r>
        <w:t xml:space="preserve"> </w:t>
      </w:r>
      <w:r>
        <w:t xml:space="preserve">and 2014/65/EU and Regulation (EU) No 236/2012, COM(2021) 348.</w:t>
      </w:r>
      <w:r>
        <w:t xml:space="preserve"> </w:t>
      </w:r>
      <w:r>
        <w:t xml:space="preserve">91 See Annex 6.</w:t>
      </w:r>
      <w:r>
        <w:t xml:space="preserve"> </w:t>
      </w:r>
      <w:r>
        <w:t xml:space="preserve">92 See Summary report of the targeted consultation document on the review of regulation on improving</w:t>
      </w:r>
      <w:r>
        <w:t xml:space="preserve"> </w:t>
      </w:r>
      <w:r>
        <w:t xml:space="preserve">securities settlement in the European Union and on central securities depositories (‘Summary report of the</w:t>
      </w:r>
      <w:r>
        <w:t xml:space="preserve"> </w:t>
      </w:r>
      <w:r>
        <w:t xml:space="preserve">Commission CSDR targeted consultation’),</w:t>
      </w:r>
      <w:r>
        <w:br/>
      </w:r>
      <w:r>
        <w:t xml:space="preserve">https://ec.europa.eu/info/sites/default/files/business_economy_euro/banking_and_finance/documents/2020-</w:t>
      </w:r>
      <w:r>
        <w:t xml:space="preserve"> </w:t>
      </w:r>
      <w:r>
        <w:t xml:space="preserve">csdr-review-summary-of-responses_en.pdf.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may impact their ability to offer services cross-border as they may need to set up</w:t>
      </w:r>
      <w:r>
        <w:t xml:space="preserve"> </w:t>
      </w:r>
      <w:r>
        <w:t xml:space="preserve">separate operational processes and procedures to comply with the relevant host</w:t>
      </w:r>
      <w:r>
        <w:t xml:space="preserve"> </w:t>
      </w:r>
      <w:r>
        <w:t xml:space="preserve">Member States’ requirements. Nonetheless, harmonisation of the relevant</w:t>
      </w:r>
      <w:r>
        <w:t xml:space="preserve"> </w:t>
      </w:r>
      <w:r>
        <w:t xml:space="preserve">national laws goes beyond the scope of CSDR and therefore is not considered.</w:t>
      </w:r>
      <w:r>
        <w:br/>
      </w:r>
      <w:r>
        <w:t xml:space="preserve">b) stakeholders, including the High Level Forum on the CMU, raised concerns about</w:t>
      </w:r>
      <w:r>
        <w:t xml:space="preserve"> </w:t>
      </w:r>
      <w:r>
        <w:t xml:space="preserve">CSDs’ access to central bank money93 which is subject to conditions set by the</w:t>
      </w:r>
      <w:r>
        <w:t xml:space="preserve"> </w:t>
      </w:r>
      <w:r>
        <w:t xml:space="preserve">central bank in question; e.g. in the Euro area, the ECB sets the access</w:t>
      </w:r>
      <w:r>
        <w:t xml:space="preserve"> </w:t>
      </w:r>
      <w:r>
        <w:t xml:space="preserve">conditions.94 For CSDs that want to settle in central bank money in a currency</w:t>
      </w:r>
      <w:r>
        <w:t xml:space="preserve"> </w:t>
      </w:r>
      <w:r>
        <w:t xml:space="preserve">other than that of the jurisdiction of their authorisation (or outside of the EU),</w:t>
      </w:r>
      <w:r>
        <w:t xml:space="preserve"> </w:t>
      </w:r>
      <w:r>
        <w:t xml:space="preserve">access to the respective central banks can be challenging95 and therefore limited.</w:t>
      </w:r>
      <w:r>
        <w:t xml:space="preserve"> </w:t>
      </w:r>
      <w:r>
        <w:t xml:space="preserve">Indeed, very few EU CSDs seem to have direct access to foreign central banks;</w:t>
      </w:r>
      <w:r>
        <w:t xml:space="preserve"> </w:t>
      </w:r>
      <w:r>
        <w:t xml:space="preserve">e.g. one EU CSD has locally incorporated licensed subsidiaries to obtain access to</w:t>
      </w:r>
      <w:r>
        <w:t xml:space="preserve"> </w:t>
      </w:r>
      <w:r>
        <w:t xml:space="preserve">some foreign central banks (e.g. Australian, Canadian, US), however access to</w:t>
      </w:r>
      <w:r>
        <w:t xml:space="preserve"> </w:t>
      </w:r>
      <w:r>
        <w:t xml:space="preserve">others remains impossible (e.g. Russia).96 This is particularly an issue for smaller</w:t>
      </w:r>
      <w:r>
        <w:t xml:space="preserve"> </w:t>
      </w:r>
      <w:r>
        <w:t xml:space="preserve">CSDs, due to the cost and significant time the process requires. Nonetheless, due</w:t>
      </w:r>
      <w:r>
        <w:t xml:space="preserve"> </w:t>
      </w:r>
      <w:r>
        <w:t xml:space="preserve">to the principle of central bank independence, CSDR cannot introduce obligations</w:t>
      </w:r>
      <w:r>
        <w:t xml:space="preserve"> </w:t>
      </w:r>
      <w:r>
        <w:t xml:space="preserve">on central banks to facilitate CSDs’ access to central bank money within the EU.</w:t>
      </w:r>
      <w:r>
        <w:br/>
      </w:r>
      <w:r>
        <w:t xml:space="preserve">c) digitalisation and new technologies are transforming the EU financial system and</w:t>
      </w:r>
      <w:r>
        <w:t xml:space="preserve"> </w:t>
      </w:r>
      <w:r>
        <w:t xml:space="preserve">the way it provides financial services to EU businesses and citizens. This raised</w:t>
      </w:r>
      <w:r>
        <w:t xml:space="preserve"> </w:t>
      </w:r>
      <w:r>
        <w:t xml:space="preserve">questions of whether existing CSDR provisions ensure technology</w:t>
      </w:r>
      <w:r>
        <w:t xml:space="preserve"> </w:t>
      </w:r>
      <w:r>
        <w:t xml:space="preserve">neutrality.97 The Regulation for pilot regime for market infrastructures based on</w:t>
      </w:r>
      <w:r>
        <w:t xml:space="preserve"> </w:t>
      </w:r>
      <w:r>
        <w:t xml:space="preserve">DLT (see section 1.4.2), which allows DLT entities to be exempted under certain</w:t>
      </w:r>
      <w:r>
        <w:t xml:space="preserve"> </w:t>
      </w:r>
      <w:r>
        <w:t xml:space="preserve">conditions from complying with certain CSDR provisions, should enable all</w:t>
      </w:r>
      <w:r>
        <w:t xml:space="preserve"> </w:t>
      </w:r>
      <w:r>
        <w:t xml:space="preserve">stakeholders to gain insights into the use of DLT for market infrastructures and</w:t>
      </w:r>
      <w:r>
        <w:t xml:space="preserve"> </w:t>
      </w:r>
      <w:r>
        <w:t xml:space="preserve">the legislation to adapt to the gathered experiences. It therefore seems that any</w:t>
      </w:r>
      <w:r>
        <w:t xml:space="preserve"> </w:t>
      </w:r>
      <w:r>
        <w:t xml:space="preserve">fundamental changes to CSDR to realise the full potential of technology should</w:t>
      </w:r>
      <w:r>
        <w:t xml:space="preserve"> </w:t>
      </w:r>
      <w:r>
        <w:t xml:space="preserve">be postponed until the lessons can be drawn from the pilot regime’s</w:t>
      </w:r>
      <w:r>
        <w:t xml:space="preserve"> </w:t>
      </w:r>
      <w:r>
        <w:t xml:space="preserve">implementation. This is a view that most respondents to the targeted consultation,</w:t>
      </w:r>
      <w:r>
        <w:t xml:space="preserve"> </w:t>
      </w:r>
      <w:r>
        <w:t xml:space="preserve">as well as ESMA, share. Fintech, which is an area related to the existing CSDR</w:t>
      </w:r>
      <w:r>
        <w:t xml:space="preserve"> </w:t>
      </w:r>
      <w:r>
        <w:t xml:space="preserve">framework, is therefore outside of the scope of this impact assessment.</w:t>
      </w:r>
      <w:r>
        <w:t xml:space="preserve"> </w:t>
      </w:r>
      <w:r>
        <w:t xml:space="preserve">d) Processes for withholding tax are a barrier for efficient EEA market</w:t>
      </w:r>
      <w:r>
        <w:t xml:space="preserve"> </w:t>
      </w:r>
      <w:r>
        <w:t xml:space="preserve">infrastructures and for cross-border settlement. It was identified in the first</w:t>
      </w:r>
      <w:r>
        <w:t xml:space="preserve"> </w:t>
      </w:r>
      <w:r>
        <w:t xml:space="preserve">Giovannini Report98 and reconfirmed in the 2020 CMU Action Plan.99 However,</w:t>
      </w:r>
    </w:p>
    <w:p>
      <w:pPr>
        <w:pStyle w:val="BodyText"/>
      </w:pPr>
      <w:r>
        <w:t xml:space="preserve">93 A securities trade typically results in an obligation for the seller to deliver securities and a corresponding</w:t>
      </w:r>
      <w:r>
        <w:t xml:space="preserve"> </w:t>
      </w:r>
      <w:r>
        <w:t xml:space="preserve">obligation for the buyer to deliver cash. In principle, to deliver cash, CSDR promotes settlement in central</w:t>
      </w:r>
      <w:r>
        <w:t xml:space="preserve"> </w:t>
      </w:r>
      <w:r>
        <w:t xml:space="preserve">bank money. Settling in central bank money meant the risk of the cash part of a securities transaction is</w:t>
      </w:r>
      <w:r>
        <w:t xml:space="preserve"> </w:t>
      </w:r>
      <w:r>
        <w:t xml:space="preserve">settled in a central bank account. This offers more security than commercial banks in terms of continuity of</w:t>
      </w:r>
      <w:r>
        <w:t xml:space="preserve"> </w:t>
      </w:r>
      <w:r>
        <w:t xml:space="preserve">the payment services as well as the availability of liquidity. When settlement in central bank money is not</w:t>
      </w:r>
      <w:r>
        <w:t xml:space="preserve"> </w:t>
      </w:r>
      <w:r>
        <w:t xml:space="preserve">practical or available, CSDR allows settlement under commercial bank money under strict conditions (on</w:t>
      </w:r>
      <w:r>
        <w:t xml:space="preserve"> </w:t>
      </w:r>
      <w:r>
        <w:t xml:space="preserve">settlement in commercial bank money see section 2.3.3).</w:t>
      </w:r>
      <w:r>
        <w:t xml:space="preserve"> </w:t>
      </w:r>
      <w:r>
        <w:t xml:space="preserve">94 See https://www.ecb.europa.eu/paym/coll/coll/html/SSS_links_eligibility.en.html.</w:t>
      </w:r>
      <w:r>
        <w:br/>
      </w:r>
      <w:r>
        <w:t xml:space="preserve">95 European Post-Trade Forum Report (see note 11), p. 116; remote participation is not always allowed and</w:t>
      </w:r>
      <w:r>
        <w:t xml:space="preserve"> </w:t>
      </w:r>
      <w:r>
        <w:t xml:space="preserve">most CSDs are not authorised as banks.</w:t>
      </w:r>
      <w:r>
        <w:t xml:space="preserve"> </w:t>
      </w:r>
      <w:r>
        <w:t xml:space="preserve">96 ESMA Report ‘Provision of banking-type ancillary services under CSDR’ (see note 88), p. 16.</w:t>
      </w:r>
      <w:r>
        <w:t xml:space="preserve"> </w:t>
      </w:r>
      <w:r>
        <w:t xml:space="preserve">97 The technology neutrality principle means that legislation or policy should not prescribe technological</w:t>
      </w:r>
      <w:r>
        <w:t xml:space="preserve"> </w:t>
      </w:r>
      <w:r>
        <w:t xml:space="preserve">solutions on businesses, citizens or other stakeholders. Any product or service should be accessible through</w:t>
      </w:r>
      <w:r>
        <w:t xml:space="preserve"> </w:t>
      </w:r>
      <w:r>
        <w:t xml:space="preserve">any means, platform or operating system.</w:t>
      </w:r>
      <w:r>
        <w:t xml:space="preserve"> </w:t>
      </w:r>
      <w:r>
        <w:t xml:space="preserve">98 Cross-border clearing and settlement arrangements in the European Union - Giovannini Group – 22</w:t>
      </w:r>
      <w:r>
        <w:t xml:space="preserve"> </w:t>
      </w:r>
      <w:r>
        <w:t xml:space="preserve">November 2001: Giovannini reports, https://ec.europa.eu/info/publications/giovannini-reports_en 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as taxation aspects cannot be dealt with in CSDR, and as the Commission plans to</w:t>
      </w:r>
      <w:r>
        <w:t xml:space="preserve"> </w:t>
      </w:r>
      <w:r>
        <w:t xml:space="preserve">propose a legislative initiative for introducing a common, standardised, EU wide</w:t>
      </w:r>
      <w:r>
        <w:t xml:space="preserve"> </w:t>
      </w:r>
      <w:r>
        <w:t xml:space="preserve">system for withholding tax relief at source, accompanied by an exchange of</w:t>
      </w:r>
      <w:r>
        <w:t xml:space="preserve"> </w:t>
      </w:r>
      <w:r>
        <w:t xml:space="preserve">information and cooperation mechanism among tax administrations, this issue is</w:t>
      </w:r>
      <w:r>
        <w:t xml:space="preserve"> </w:t>
      </w:r>
      <w:r>
        <w:t xml:space="preserve">outside the scope of this impact assessment.</w:t>
      </w:r>
      <w:r>
        <w:br/>
      </w:r>
      <w:r>
        <w:t xml:space="preserve">2.2. What are the problems?</w:t>
      </w:r>
    </w:p>
    <w:p>
      <w:pPr>
        <w:pStyle w:val="BodyText"/>
      </w:pPr>
      <w:r>
        <w:t xml:space="preserve">For a detailed description of the identified problem areas see Annex 6.</w:t>
      </w:r>
      <w:r>
        <w:br/>
      </w:r>
      <w:r>
        <w:t xml:space="preserve">2.2.1. Barriers to cross-border settlement</w:t>
      </w:r>
      <w:r>
        <w:t xml:space="preserve"> </w:t>
      </w:r>
      <w:r>
        <w:t xml:space="preserve">One of the main objectives of CSDR was to facilitate cross-border settlement in order to</w:t>
      </w:r>
      <w:r>
        <w:t xml:space="preserve"> </w:t>
      </w:r>
      <w:r>
        <w:t xml:space="preserve">limit the risks and costs involved. Nevertheless, most stakeholders see limited progress in</w:t>
      </w:r>
      <w:r>
        <w:t xml:space="preserve"> </w:t>
      </w:r>
      <w:r>
        <w:t xml:space="preserve">the provision of cross-border services by CSDs (see point (c) in Section 1.3.3).100 The</w:t>
      </w:r>
      <w:r>
        <w:t xml:space="preserve"> </w:t>
      </w:r>
      <w:r>
        <w:t xml:space="preserve">evaluation,101 has identified three main reasons for this: (i) burdensome passporting</w:t>
      </w:r>
      <w:r>
        <w:t xml:space="preserve"> </w:t>
      </w:r>
      <w:r>
        <w:t xml:space="preserve">process; (ii) insufficient cooperation between authorities; and (iii) restrictive</w:t>
      </w:r>
      <w:r>
        <w:t xml:space="preserve"> </w:t>
      </w:r>
      <w:r>
        <w:t xml:space="preserve">requirements for the provision of banking services related to settlement.</w:t>
      </w:r>
      <w:r>
        <w:br/>
      </w:r>
      <w:r>
        <w:t xml:space="preserve">First, the passporting process (i.e. the special procedure under which a CSD authorised</w:t>
      </w:r>
      <w:r>
        <w:t xml:space="preserve"> </w:t>
      </w:r>
      <w:r>
        <w:t xml:space="preserve">in a Member State can provide services in relation to financial instruments constituted</w:t>
      </w:r>
      <w:r>
        <w:t xml:space="preserve"> </w:t>
      </w:r>
      <w:r>
        <w:t xml:space="preserve">under the law of another Member State), is burdensome. It requires, where relevant, the</w:t>
      </w:r>
      <w:r>
        <w:t xml:space="preserve"> </w:t>
      </w:r>
      <w:r>
        <w:t xml:space="preserve">agreement of the host national supervisor, regarding the assessment by the CSD of the</w:t>
      </w:r>
      <w:r>
        <w:t xml:space="preserve"> </w:t>
      </w:r>
      <w:r>
        <w:t xml:space="preserve">measures it intends to take to allow its users to comply with the national law referred to</w:t>
      </w:r>
      <w:r>
        <w:t xml:space="preserve"> </w:t>
      </w:r>
      <w:r>
        <w:t xml:space="preserve">in Article 49(1). This partially shifted the burden from the participants to CSDs by</w:t>
      </w:r>
      <w:r>
        <w:t xml:space="preserve"> </w:t>
      </w:r>
      <w:r>
        <w:t xml:space="preserve">requiring the latter to demonstrate that they have the relevant measures in place, rather</w:t>
      </w:r>
    </w:p>
    <w:p>
      <w:pPr>
        <w:pStyle w:val="BodyText"/>
      </w:pPr>
      <w:r>
        <w:t xml:space="preserve">99 Commission Communication, ‘A Capital Markets Union for people and businesses - New Action Plan’</w:t>
      </w:r>
      <w:r>
        <w:t xml:space="preserve"> </w:t>
      </w:r>
      <w:r>
        <w:t xml:space="preserve">(see note 10), see Action 10.</w:t>
      </w:r>
      <w:r>
        <w:t xml:space="preserve"> </w:t>
      </w:r>
      <w:r>
        <w:t xml:space="preserve">100 ESMA Report on cross-border services (see note 50), p. 20.</w:t>
      </w:r>
      <w:r>
        <w:t xml:space="preserve"> </w:t>
      </w:r>
      <w:r>
        <w:t xml:space="preserve">101 See “Annex 5 – Evaluation” and ESMA Report ‘Provision of banking-type ancillary services under CSDR’</w:t>
      </w:r>
      <w:r>
        <w:t xml:space="preserve"> </w:t>
      </w:r>
      <w:r>
        <w:t xml:space="preserve">(see note 88).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than relying on users to directly ensure that the CSD they use allows them to comply</w:t>
      </w:r>
      <w:r>
        <w:t xml:space="preserve"> </w:t>
      </w:r>
      <w:r>
        <w:t xml:space="preserve">with the applicable national legislation, despite the fact that it is the users’ responsibility</w:t>
      </w:r>
      <w:r>
        <w:t xml:space="preserve"> </w:t>
      </w:r>
      <w:r>
        <w:t xml:space="preserve">to comply with such national legislation. The objective was to ensure that the provision</w:t>
      </w:r>
      <w:r>
        <w:t xml:space="preserve"> </w:t>
      </w:r>
      <w:r>
        <w:t xml:space="preserve">of cross-border services by a CSD would not affect the application of relevant national</w:t>
      </w:r>
      <w:r>
        <w:t xml:space="preserve"> </w:t>
      </w:r>
      <w:r>
        <w:t xml:space="preserve">laws. The unintended consequence was to make the passporting process burdensome102,</w:t>
      </w:r>
      <w:r>
        <w:t xml:space="preserve"> </w:t>
      </w:r>
      <w:r>
        <w:t xml:space="preserve">thereby deterring CSDs from expanding their activities across borders (see sections 1.3.3,</w:t>
      </w:r>
      <w:r>
        <w:t xml:space="preserve"> </w:t>
      </w:r>
      <w:r>
        <w:t xml:space="preserve">2.2.1 and 2.3.1) or leading others to stop providing cross-border services. The fact that so</w:t>
      </w:r>
      <w:r>
        <w:t xml:space="preserve"> </w:t>
      </w:r>
      <w:r>
        <w:t xml:space="preserve">far there have been no refusals by host national supervisors shows that although</w:t>
      </w:r>
      <w:r>
        <w:t xml:space="preserve"> </w:t>
      </w:r>
      <w:r>
        <w:t xml:space="preserve">passporting is not used as tool to protect national markets, it has added a burdensome and</w:t>
      </w:r>
      <w:r>
        <w:t xml:space="preserve"> </w:t>
      </w:r>
      <w:r>
        <w:t xml:space="preserve">costly level of complexity. Simultaneously, certain third-country CSDs seem to be</w:t>
      </w:r>
      <w:r>
        <w:t xml:space="preserve"> </w:t>
      </w:r>
      <w:r>
        <w:t xml:space="preserve">exempted from these requirements (See section 2.3.5), making it is easier for them to</w:t>
      </w:r>
      <w:r>
        <w:t xml:space="preserve"> </w:t>
      </w:r>
      <w:r>
        <w:t xml:space="preserve">operate cross-border in the EU than for an EU CSD.</w:t>
      </w:r>
      <w:r>
        <w:t xml:space="preserve"> </w:t>
      </w:r>
      <w:r>
        <w:t xml:space="preserve">Second, cooperation between authorities in home and host Member States and</w:t>
      </w:r>
      <w:r>
        <w:t xml:space="preserve"> </w:t>
      </w:r>
      <w:r>
        <w:t xml:space="preserve">supervisory convergence is insufficient (see section 2.3.2). Despite the existence of</w:t>
      </w:r>
      <w:r>
        <w:t xml:space="preserve"> </w:t>
      </w:r>
      <w:r>
        <w:t xml:space="preserve">provisions enabling the use of cooperative arrangements or voluntary supervisory</w:t>
      </w:r>
      <w:r>
        <w:t xml:space="preserve"> </w:t>
      </w:r>
      <w:r>
        <w:t xml:space="preserve">colleges, there is no evidence of their extensive use (only one college of supervisors</w:t>
      </w:r>
      <w:r>
        <w:t xml:space="preserve"> </w:t>
      </w:r>
      <w:r>
        <w:t xml:space="preserve">has been set up and no information is available to ESMA on whether the other required</w:t>
      </w:r>
      <w:r>
        <w:t xml:space="preserve"> </w:t>
      </w:r>
      <w:r>
        <w:t xml:space="preserve">cooperative arrangements under CSDR have been set up). This means that the same CSD</w:t>
      </w:r>
      <w:r>
        <w:t xml:space="preserve"> </w:t>
      </w:r>
      <w:r>
        <w:t xml:space="preserve">is likely to be subject to different supervisory arrangements and requirements depending</w:t>
      </w:r>
      <w:r>
        <w:t xml:space="preserve"> </w:t>
      </w:r>
      <w:r>
        <w:t xml:space="preserve">on the Member States of operation (see also section 2.3.2).</w:t>
      </w:r>
      <w:r>
        <w:br/>
      </w:r>
      <w:r>
        <w:t xml:space="preserve">Third, CSDR contains strict conditions for CSDs to settle a transaction in</w:t>
      </w:r>
      <w:r>
        <w:t xml:space="preserve"> </w:t>
      </w:r>
      <w:r>
        <w:t xml:space="preserve">commercial bank money (see section 2.3.3). A securities trade typically results in an</w:t>
      </w:r>
      <w:r>
        <w:t xml:space="preserve"> </w:t>
      </w:r>
      <w:r>
        <w:t xml:space="preserve">obligation for the seller to deliver securities (securities leg) and a corresponding</w:t>
      </w:r>
      <w:r>
        <w:t xml:space="preserve"> </w:t>
      </w:r>
      <w:r>
        <w:t xml:space="preserve">obligation for the buyer to deliver cash (cash leg). To ensure delivery of the cash, a CSD</w:t>
      </w:r>
      <w:r>
        <w:t xml:space="preserve"> </w:t>
      </w:r>
      <w:r>
        <w:t xml:space="preserve">may use accounts at a central bank103 or commercial bank (i.e. CSDs may open accounts</w:t>
      </w:r>
      <w:r>
        <w:t xml:space="preserve"> </w:t>
      </w:r>
      <w:r>
        <w:t xml:space="preserve">in their own books or in a commercial bank). Access to central banks depends on the</w:t>
      </w:r>
      <w:r>
        <w:t xml:space="preserve"> </w:t>
      </w:r>
      <w:r>
        <w:t xml:space="preserve">respective central bank, brings cost and therefore requires economies of scale.</w:t>
      </w:r>
      <w:r>
        <w:t xml:space="preserve"> </w:t>
      </w:r>
      <w:r>
        <w:t xml:space="preserve">Consequently, settlement in commercial bank money is sometimes the only option</w:t>
      </w:r>
      <w:r>
        <w:t xml:space="preserve"> </w:t>
      </w:r>
      <w:r>
        <w:t xml:space="preserve">available for CSDs that want to settle in currencies other than that of the jurisdiction in</w:t>
      </w:r>
      <w:r>
        <w:t xml:space="preserve"> </w:t>
      </w:r>
      <w:r>
        <w:t xml:space="preserve">which they are authorised (e.g. because the CSD does not have an account with the</w:t>
      </w:r>
      <w:r>
        <w:t xml:space="preserve"> </w:t>
      </w:r>
      <w:r>
        <w:t xml:space="preserve">central bank of the transaction’s currency). However due to the restrictive nature of the</w:t>
      </w:r>
      <w:r>
        <w:t xml:space="preserve"> </w:t>
      </w:r>
      <w:r>
        <w:t xml:space="preserve">conditions, the percentage of EEA CSDs’ settlement activity in foreign currencies</w:t>
      </w:r>
      <w:r>
        <w:t xml:space="preserve"> </w:t>
      </w:r>
      <w:r>
        <w:t xml:space="preserve">(Figure V) and the level of settlement in foreign currencies remains limited. 104</w:t>
      </w:r>
      <w:r>
        <w:br/>
      </w:r>
      <w:r>
        <w:t xml:space="preserve">Figure V: Settlement in foreign currencies by EEA CSDs</w:t>
      </w:r>
    </w:p>
    <w:p>
      <w:pPr>
        <w:pStyle w:val="BodyText"/>
      </w:pPr>
      <w:r>
        <w:t xml:space="preserve">102 Summary report of the Commission CSDR targeted consultation (see note 92).</w:t>
      </w:r>
      <w:r>
        <w:t xml:space="preserve"> </w:t>
      </w:r>
      <w:r>
        <w:t xml:space="preserve">103 CSDR, in line with international standards, gives preference to settlement in central bank money as a credit</w:t>
      </w:r>
      <w:r>
        <w:t xml:space="preserve"> </w:t>
      </w:r>
      <w:r>
        <w:t xml:space="preserve">balance at a central bank implies no credit risk since what defines a central bank is its absolute ability to</w:t>
      </w:r>
      <w:r>
        <w:t xml:space="preserve"> </w:t>
      </w:r>
      <w:r>
        <w:t xml:space="preserve">issue currency to meet its needs. CSDs in the EU in principle have access to the central bank of the</w:t>
      </w:r>
      <w:r>
        <w:t xml:space="preserve"> </w:t>
      </w:r>
      <w:r>
        <w:t xml:space="preserve">currency in their jurisdiction and can therefore settle trades in that currency in central bank money.</w:t>
      </w:r>
      <w:r>
        <w:t xml:space="preserve"> </w:t>
      </w:r>
      <w:r>
        <w:t xml:space="preserve">104 As central banks can set their own access criteria, such as an obligation to be established in the jurisdiction</w:t>
      </w:r>
      <w:r>
        <w:t xml:space="preserve"> </w:t>
      </w:r>
      <w:r>
        <w:t xml:space="preserve">of the relevant currency, this is even more pertinent for EEA CSDs considering activities outside the EEA.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Furthermore, as seen in Figure VI, the vast majority of CSDs settle in only one or two</w:t>
      </w:r>
      <w:r>
        <w:t xml:space="preserve"> </w:t>
      </w:r>
      <w:r>
        <w:t xml:space="preserve">foreign currencies.105 This means that issuers have a limited choice for multicurrency</w:t>
      </w:r>
      <w:r>
        <w:t xml:space="preserve"> </w:t>
      </w:r>
      <w:r>
        <w:t xml:space="preserve">issuance which prevents genuine cross-border competition (especially since issuers seek</w:t>
      </w:r>
      <w:r>
        <w:t xml:space="preserve"> </w:t>
      </w:r>
      <w:r>
        <w:t xml:space="preserve">one-stop-shop solutions)106 and the emergence of a single capital market.</w:t>
      </w:r>
      <w:r>
        <w:br/>
      </w:r>
      <w:r>
        <w:t xml:space="preserve">Figure VI: Number of CSDs per range of yearly settlement in foreign currencies107</w:t>
      </w:r>
    </w:p>
    <w:p>
      <w:pPr>
        <w:pStyle w:val="BodyText"/>
      </w:pPr>
      <w:r>
        <w:t xml:space="preserve">2.2.2. Disproportionate compliance costs</w:t>
      </w:r>
      <w:r>
        <w:br/>
      </w:r>
      <w:r>
        <w:t xml:space="preserve">Market participants and authorities have identified targeted areas where the CSDR</w:t>
      </w:r>
      <w:r>
        <w:t xml:space="preserve"> </w:t>
      </w:r>
      <w:r>
        <w:t xml:space="preserve">compliance costs are disproportionate, because (a) legal requirements are unclear,</w:t>
      </w:r>
      <w:r>
        <w:t xml:space="preserve"> </w:t>
      </w:r>
      <w:r>
        <w:t xml:space="preserve">and/or (b) they are considered excessively burdensome, and/or (c) the costs of complying</w:t>
      </w:r>
      <w:r>
        <w:t xml:space="preserve"> </w:t>
      </w:r>
      <w:r>
        <w:t xml:space="preserve">with the rules appear to outweigh the potential benefits. Three areas have been identified</w:t>
      </w:r>
      <w:r>
        <w:t xml:space="preserve"> </w:t>
      </w:r>
      <w:r>
        <w:t xml:space="preserve">as generating disproportionate compliance costs: passporting rules; rules on the provision</w:t>
      </w:r>
      <w:r>
        <w:t xml:space="preserve"> </w:t>
      </w:r>
      <w:r>
        <w:t xml:space="preserve">of banking services related to settlement; and the settlement discipline regime.</w:t>
      </w:r>
      <w:r>
        <w:br/>
      </w:r>
      <w:r>
        <w:t xml:space="preserve">First, the CSDR passporting rules allow CSDs to provide services for financial</w:t>
      </w:r>
      <w:r>
        <w:t xml:space="preserve"> </w:t>
      </w:r>
      <w:r>
        <w:t xml:space="preserve">instruments constituted under the law of any Members State, thus allowing CSDs to</w:t>
      </w:r>
      <w:r>
        <w:t xml:space="preserve"> </w:t>
      </w:r>
      <w:r>
        <w:t xml:space="preserve">benefit from access to a larger market and issuers to have more choice in where they</w:t>
      </w:r>
      <w:r>
        <w:t xml:space="preserve"> </w:t>
      </w:r>
      <w:r>
        <w:t xml:space="preserve">issue and hold their securities. However, the associated the legal requirements have</w:t>
      </w:r>
      <w:r>
        <w:t xml:space="preserve"> </w:t>
      </w:r>
      <w:r>
        <w:t xml:space="preserve">turned out to be unclear and burdensome (see section 2.3.1).</w:t>
      </w:r>
    </w:p>
    <w:p>
      <w:pPr>
        <w:pStyle w:val="BodyText"/>
      </w:pPr>
      <w:r>
        <w:t xml:space="preserve">105 ESMA Report ‘Provision of banking-type ancillary services under CSDR’ (see note 88).</w:t>
      </w:r>
      <w:r>
        <w:t xml:space="preserve"> </w:t>
      </w:r>
      <w:r>
        <w:t xml:space="preserve">106 Euronext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on</w:t>
      </w:r>
      <w:r>
        <w:t xml:space="preserve"> </w:t>
      </w:r>
      <w:r>
        <w:t xml:space="preserve">CSDR:</w:t>
      </w:r>
      <w:r>
        <w:t xml:space="preserve"> </w:t>
      </w:r>
      <w:r>
        <w:t xml:space="preserve">https://www.euronext.com/it/regulation/government-affairs.</w:t>
      </w:r>
      <w:r>
        <w:br/>
      </w:r>
      <w:r>
        <w:t xml:space="preserve">107 Report to the European Commission: provision of banking-type ancillary services under CSDR, ESMA, 8</w:t>
      </w:r>
      <w:r>
        <w:t xml:space="preserve"> </w:t>
      </w:r>
      <w:r>
        <w:t xml:space="preserve">July 2021: esma70-156-4582_report_to_the_ec_-_csdr_banking_services.pdf (europa.eu).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In addition, the objective difficulty to comply with the legal requirements and the</w:t>
      </w:r>
      <w:r>
        <w:t xml:space="preserve"> </w:t>
      </w:r>
      <w:r>
        <w:t xml:space="preserve">subsequent threat of potential legal action, generate costs that present an unnecessary</w:t>
      </w:r>
      <w:r>
        <w:t xml:space="preserve"> </w:t>
      </w:r>
      <w:r>
        <w:t xml:space="preserve">barrier to the development of CSD activities. A CSD reported confidentially108 that the</w:t>
      </w:r>
      <w:r>
        <w:t xml:space="preserve"> </w:t>
      </w:r>
      <w:r>
        <w:t xml:space="preserve">associated internal legal support required throughout the passporting process was</w:t>
      </w:r>
      <w:r>
        <w:t xml:space="preserve"> </w:t>
      </w:r>
      <w:r>
        <w:t xml:space="preserve">significant109. Even if most CSDs applying for a passport to operate cross-border have</w:t>
      </w:r>
      <w:r>
        <w:t xml:space="preserve"> </w:t>
      </w:r>
      <w:r>
        <w:t xml:space="preserve">been able to obtain it, stakeholders have indicated that this process is difficult, lengthy</w:t>
      </w:r>
      <w:r>
        <w:t xml:space="preserve"> </w:t>
      </w:r>
      <w:r>
        <w:t xml:space="preserve">and demanding (see section 2.3.1).</w:t>
      </w:r>
      <w:r>
        <w:br/>
      </w:r>
      <w:r>
        <w:t xml:space="preserve">Second, the rules around the provision of banking services create disproportionate</w:t>
      </w:r>
      <w:r>
        <w:t xml:space="preserve"> </w:t>
      </w:r>
      <w:r>
        <w:t xml:space="preserve">compliance costs for CSDs. This negatively impacts the provision of cross-border</w:t>
      </w:r>
      <w:r>
        <w:t xml:space="preserve"> </w:t>
      </w:r>
      <w:r>
        <w:t xml:space="preserve">services. The lack of alternatives to settle in commercial or central bank money could</w:t>
      </w:r>
      <w:r>
        <w:t xml:space="preserve"> </w:t>
      </w:r>
      <w:r>
        <w:t xml:space="preserve">undermine the safety of settlement, as transactions could be settled free of payment</w:t>
      </w:r>
      <w:r>
        <w:t xml:space="preserve"> </w:t>
      </w:r>
      <w:r>
        <w:t xml:space="preserve">instead of delivery versus payment, increasing risks for the market as a whole.110 For a</w:t>
      </w:r>
      <w:r>
        <w:t xml:space="preserve"> </w:t>
      </w:r>
      <w:r>
        <w:t xml:space="preserve">detailed explanation of specific problems faced and/ or risks created by CDS settling in</w:t>
      </w:r>
      <w:r>
        <w:t xml:space="preserve"> </w:t>
      </w:r>
      <w:r>
        <w:t xml:space="preserve">commercial bank money see Annex 6.</w:t>
      </w:r>
      <w:r>
        <w:br/>
      </w:r>
      <w:r>
        <w:t xml:space="preserve">Third, certain elements of settlement discipline,111 although not yet applicable, would</w:t>
      </w:r>
      <w:r>
        <w:t xml:space="preserve"> </w:t>
      </w:r>
      <w:r>
        <w:t xml:space="preserve">potentially create disproportionate compliance costs for CSDs and market participants.</w:t>
      </w:r>
      <w:r>
        <w:t xml:space="preserve"> </w:t>
      </w:r>
      <w:r>
        <w:t xml:space="preserve">To ensure the safety of settlement, any participant in a securities settlement system</w:t>
      </w:r>
      <w:r>
        <w:t xml:space="preserve"> </w:t>
      </w:r>
      <w:r>
        <w:t xml:space="preserve">should settle its obligation on the intended settlement date (ISD); a settlement fail occurs</w:t>
      </w:r>
      <w:r>
        <w:t xml:space="preserve"> </w:t>
      </w:r>
      <w:r>
        <w:t xml:space="preserve">when a transaction does not settle on that date.112 The settlement discipline regime aims</w:t>
      </w:r>
      <w:r>
        <w:t xml:space="preserve"> </w:t>
      </w:r>
      <w:r>
        <w:t xml:space="preserve">to encourage market participants to avoid settlement fails; its two main elements are the</w:t>
      </w:r>
      <w:r>
        <w:t xml:space="preserve"> </w:t>
      </w:r>
      <w:r>
        <w:t xml:space="preserve">measures to prevent settlement fails (Article 6 of CSDR) and the measures to address</w:t>
      </w:r>
      <w:r>
        <w:t xml:space="preserve"> </w:t>
      </w:r>
      <w:r>
        <w:t xml:space="preserve">settlement fails (Article 7 of CSDR). The latter comprise two main pillars; cash penalties</w:t>
      </w:r>
      <w:r>
        <w:t xml:space="preserve"> </w:t>
      </w:r>
      <w:r>
        <w:t xml:space="preserve">and mandatory buy-ins. CSDs would be required to impose cash penalties on their</w:t>
      </w:r>
      <w:r>
        <w:t xml:space="preserve"> </w:t>
      </w:r>
      <w:r>
        <w:t xml:space="preserve">participants in case of settlement fails. If despite the cash penalties, the original seller</w:t>
      </w:r>
      <w:r>
        <w:t xml:space="preserve"> </w:t>
      </w:r>
      <w:r>
        <w:t xml:space="preserve">fails to deliver the securities, it will be subject to a mandatory buy-in. A buy-in</w:t>
      </w:r>
      <w:r>
        <w:t xml:space="preserve"> </w:t>
      </w:r>
      <w:r>
        <w:t xml:space="preserve">provides the buyer of securities with the right to buy the securities elsewhere, cancel the</w:t>
      </w:r>
      <w:r>
        <w:t xml:space="preserve"> </w:t>
      </w:r>
      <w:r>
        <w:t xml:space="preserve">original transaction and put the costs of the buy-in, as well as any price difference, with</w:t>
      </w:r>
      <w:r>
        <w:t xml:space="preserve"> </w:t>
      </w:r>
      <w:r>
        <w:t xml:space="preserve">the original seller.113</w:t>
      </w:r>
      <w:r>
        <w:br/>
      </w:r>
      <w:r>
        <w:t xml:space="preserve">The original objective of the settlement discipline regime as contained in the 2012</w:t>
      </w:r>
      <w:r>
        <w:t xml:space="preserve"> </w:t>
      </w:r>
      <w:r>
        <w:t xml:space="preserve">Commission proposal114 was mainly to harmonise the diverse market discipline measures</w:t>
      </w:r>
      <w:r>
        <w:t xml:space="preserve"> </w:t>
      </w:r>
      <w:r>
        <w:t xml:space="preserve">across EU capital markets. Hence the proposed measures were general, with detailed</w:t>
      </w:r>
      <w:r>
        <w:t xml:space="preserve"> </w:t>
      </w:r>
      <w:r>
        <w:t xml:space="preserve">technical standards to be set in secondary legislation115. The impact assessment could not</w:t>
      </w:r>
      <w:r>
        <w:t xml:space="preserve"> </w:t>
      </w:r>
      <w:r>
        <w:t xml:space="preserve">quantify ex ante the costs and benefits of these general settlement discipline measures</w:t>
      </w:r>
      <w:r>
        <w:t xml:space="preserve"> </w:t>
      </w:r>
      <w:r>
        <w:t xml:space="preserve">relying rather on qualitative assessments. The final set-up of the settlement discipline</w:t>
      </w:r>
      <w:r>
        <w:t xml:space="preserve"> </w:t>
      </w:r>
      <w:r>
        <w:t xml:space="preserve">regime and the associated costs and benefits, became evident to the market participants</w:t>
      </w:r>
      <w:r>
        <w:t xml:space="preserve"> </w:t>
      </w:r>
      <w:r>
        <w:t xml:space="preserve">only when the 2018 regulatory technical standard116 (RTS) was published. Furthermore,</w:t>
      </w:r>
    </w:p>
    <w:p>
      <w:pPr>
        <w:pStyle w:val="BodyText"/>
      </w:pPr>
      <w:r>
        <w:t xml:space="preserve">108 Based on confidential information provided to DG FISMA services.</w:t>
      </w:r>
      <w:r>
        <w:br/>
      </w:r>
      <w:r>
        <w:t xml:space="preserve">109 Information provided to DG FISMA services confidentially. In addition to the internal legal support, it is in</w:t>
      </w:r>
      <w:r>
        <w:t xml:space="preserve"> </w:t>
      </w:r>
      <w:r>
        <w:t xml:space="preserve">practice impossible to provide a formalised assessment per market and per type of securities in all EEA</w:t>
      </w:r>
      <w:r>
        <w:t xml:space="preserve"> </w:t>
      </w:r>
      <w:r>
        <w:t xml:space="preserve">countries without external legal advice.</w:t>
      </w:r>
      <w:r>
        <w:br/>
      </w:r>
      <w:r>
        <w:t xml:space="preserve">110 European Post-Trade Forum Report (see note 11), p. 117.</w:t>
      </w:r>
      <w:r>
        <w:t xml:space="preserve"> </w:t>
      </w:r>
      <w:r>
        <w:t xml:space="preserve">111 Articles 6 and 7 of CSDR.</w:t>
      </w:r>
      <w:r>
        <w:t xml:space="preserve"> </w:t>
      </w:r>
      <w:r>
        <w:t xml:space="preserve">112 CSDR defines settlement fails as the non-occurrence of settlement, or partial settlement of a securities</w:t>
      </w:r>
      <w:r>
        <w:t xml:space="preserve"> </w:t>
      </w:r>
      <w:r>
        <w:t xml:space="preserve">transaction on the intended settlement date, due to the lack of securities or cash and regardless of the</w:t>
      </w:r>
      <w:r>
        <w:t xml:space="preserve"> </w:t>
      </w:r>
      <w:r>
        <w:t xml:space="preserve">underlying cause (Article 2(15) of CSDR).</w:t>
      </w:r>
      <w:r>
        <w:br/>
      </w:r>
      <w:r>
        <w:t xml:space="preserve">113 More details regarding the buy-in process is included in Annex 9.</w:t>
      </w:r>
      <w:r>
        <w:t xml:space="preserve"> </w:t>
      </w:r>
      <w:r>
        <w:t xml:space="preserve">114 COM (2012) 73 final.</w:t>
      </w:r>
      <w:r>
        <w:br/>
      </w:r>
      <w:r>
        <w:t xml:space="preserve">115 See the Impact Assessment supporting the 2012 CSDR proposal. See SWD92012) 22 final, Option 1.1.2:</w:t>
      </w:r>
      <w:r>
        <w:t xml:space="preserve"> </w:t>
      </w:r>
      <w:r>
        <w:t xml:space="preserve">Introduce common EU principles for settlement discipline</w:t>
      </w:r>
      <w:r>
        <w:t xml:space="preserve"> </w:t>
      </w:r>
      <w:r>
        <w:t xml:space="preserve">116 Commission Delegated Regulation (EU) 2018/1229.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market volatility of spring 2020 triggered reflections about the potential impact of the</w:t>
      </w:r>
      <w:r>
        <w:t xml:space="preserve"> </w:t>
      </w:r>
      <w:r>
        <w:t xml:space="preserve">regime on trading conditions or ability to fulfil certain market functions.</w:t>
      </w:r>
      <w:r>
        <w:t xml:space="preserve"> </w:t>
      </w:r>
      <w:r>
        <w:t xml:space="preserve">Although settlement discipline rules would incentivise improvements in settlement rates,</w:t>
      </w:r>
      <w:r>
        <w:t xml:space="preserve"> </w:t>
      </w:r>
      <w:r>
        <w:t xml:space="preserve">it would also create high one-off (i.e. connecting to buy-in agents, repapering existing</w:t>
      </w:r>
      <w:r>
        <w:t xml:space="preserve"> </w:t>
      </w:r>
      <w:r>
        <w:t xml:space="preserve">contracts to take account of mandatory buy-in rules) and ongoing costs (i.e. in terms of</w:t>
      </w:r>
      <w:r>
        <w:t xml:space="preserve"> </w:t>
      </w:r>
      <w:r>
        <w:t xml:space="preserve">pricing and reduced liquidity of instruments potentially at risk of being bought-in or</w:t>
      </w:r>
      <w:r>
        <w:t xml:space="preserve"> </w:t>
      </w:r>
      <w:r>
        <w:t xml:space="preserve">trades being abandoned or migrating to non-EU trading venues (see section 2.3.4)).</w:t>
      </w:r>
      <w:r>
        <w:br/>
      </w:r>
      <w:r>
        <w:t xml:space="preserve">Evidence provided seems to show that these costs are disproportionate and would stem</w:t>
      </w:r>
      <w:r>
        <w:t xml:space="preserve"> </w:t>
      </w:r>
      <w:r>
        <w:t xml:space="preserve">both from the lack of clarity around the rules governing the process (i.e. what</w:t>
      </w:r>
      <w:r>
        <w:t xml:space="preserve"> </w:t>
      </w:r>
      <w:r>
        <w:t xml:space="preserve">transactions are in-scope or how to use buy-in agents), from the framework’s impact on</w:t>
      </w:r>
      <w:r>
        <w:t xml:space="preserve"> </w:t>
      </w:r>
      <w:r>
        <w:t xml:space="preserve">market conditions (deterioration of liquidity for some instruments, higher bid-ask</w:t>
      </w:r>
      <w:r>
        <w:t xml:space="preserve"> </w:t>
      </w:r>
      <w:r>
        <w:t xml:space="preserve">spreads) and market participants’ trading behaviour (migration of trading from</w:t>
      </w:r>
      <w:r>
        <w:t xml:space="preserve"> </w:t>
      </w:r>
      <w:r>
        <w:t xml:space="preserve">peripheral instruments to liquid instruments, doubts around the viability of the market</w:t>
      </w:r>
      <w:r>
        <w:t xml:space="preserve"> </w:t>
      </w:r>
      <w:r>
        <w:t xml:space="preserve">maker role for less liquid instruments). The costs of applying in particular the rules on</w:t>
      </w:r>
      <w:r>
        <w:t xml:space="preserve"> </w:t>
      </w:r>
      <w:r>
        <w:t xml:space="preserve">mandatory buy-in could outweigh their benefits for three main reasons:</w:t>
      </w:r>
      <w:r>
        <w:br/>
      </w:r>
      <w:r>
        <w:t xml:space="preserve">First, the market volatility of March/April 2020 gave stakeholders the opportunity to</w:t>
      </w:r>
      <w:r>
        <w:t xml:space="preserve"> </w:t>
      </w:r>
      <w:r>
        <w:t xml:space="preserve">reflect on how the upcoming settlement discipline regime would have impacted the</w:t>
      </w:r>
      <w:r>
        <w:t xml:space="preserve"> </w:t>
      </w:r>
      <w:r>
        <w:t xml:space="preserve">market.117 In essence, mandatory buy-ins could have exacerbated the negative impacts</w:t>
      </w:r>
      <w:r>
        <w:t xml:space="preserve"> </w:t>
      </w:r>
      <w:r>
        <w:t xml:space="preserve">linked to the crisis; in particular they could have increased liquidity pressure and</w:t>
      </w:r>
      <w:r>
        <w:t xml:space="preserve"> </w:t>
      </w:r>
      <w:r>
        <w:t xml:space="preserve">increased the costs of securities at risk of being bought-in.118</w:t>
      </w:r>
      <w:r>
        <w:br/>
      </w:r>
      <w:r>
        <w:t xml:space="preserve">This would affect negatively market makers that take on risk onto their balance sheet to</w:t>
      </w:r>
      <w:r>
        <w:t xml:space="preserve"> </w:t>
      </w:r>
      <w:r>
        <w:t xml:space="preserve">provide immediate execution to clients. They119 are an important source of liquidity and</w:t>
      </w:r>
      <w:r>
        <w:t xml:space="preserve"> </w:t>
      </w:r>
      <w:r>
        <w:t xml:space="preserve">often offer securities they do not hold,120 based on the reasonable assumption of sourcing</w:t>
      </w:r>
      <w:r>
        <w:t xml:space="preserve"> </w:t>
      </w:r>
      <w:r>
        <w:t xml:space="preserve">these securities when necessary. For securities not held on their balance sheet, or which</w:t>
      </w:r>
      <w:r>
        <w:t xml:space="preserve"> </w:t>
      </w:r>
      <w:r>
        <w:t xml:space="preserve">cannot be readily sourced, the introduction of mandatory buy-ins would impact the</w:t>
      </w:r>
      <w:r>
        <w:t xml:space="preserve"> </w:t>
      </w:r>
      <w:r>
        <w:t xml:space="preserve">ability of market makers to make markets. To adjust for the expected cost of being</w:t>
      </w:r>
      <w:r>
        <w:t xml:space="preserve"> </w:t>
      </w:r>
      <w:r>
        <w:t xml:space="preserve">bought-in, market makers will have to add a premium to their prices – which will widen</w:t>
      </w:r>
      <w:r>
        <w:t xml:space="preserve"> </w:t>
      </w:r>
      <w:r>
        <w:t xml:space="preserve">the bid-offer spread (which will in turn increase costs to end-investors) – or they may</w:t>
      </w:r>
      <w:r>
        <w:t xml:space="preserve"> </w:t>
      </w:r>
      <w:r>
        <w:t xml:space="preserve">simply not make an offer price on an enquiry thereby deteriorating market liquidity.</w:t>
      </w:r>
      <w:r>
        <w:br/>
      </w:r>
      <w:r>
        <w:t xml:space="preserve">Although these liquidity effects are most pronounced in choices made by market makers,</w:t>
      </w:r>
      <w:r>
        <w:t xml:space="preserve"> </w:t>
      </w:r>
      <w:r>
        <w:t xml:space="preserve">all investors, even in liquid securities, could face similar trade-offs between entering into</w:t>
      </w:r>
      <w:r>
        <w:t xml:space="preserve"> </w:t>
      </w:r>
      <w:r>
        <w:t xml:space="preserve">a trade (providing liquidity), the availability of the instrument and the cost of being</w:t>
      </w:r>
      <w:r>
        <w:t xml:space="preserve"> </w:t>
      </w:r>
      <w:r>
        <w:t xml:space="preserve">bought-in. These impacts are likely to be reflected in behavioural change, rather than a</w:t>
      </w:r>
      <w:r>
        <w:t xml:space="preserve"> </w:t>
      </w:r>
      <w:r>
        <w:t xml:space="preserve">price adjustment.121</w:t>
      </w:r>
    </w:p>
    <w:p>
      <w:pPr>
        <w:pStyle w:val="BodyText"/>
      </w:pPr>
      <w:r>
        <w:t xml:space="preserve">117 Summary Report of the Commission CSDR targeted consultation (see note 92).</w:t>
      </w:r>
      <w:r>
        <w:br/>
      </w:r>
      <w:r>
        <w:t xml:space="preserve">118 More than half of respondents to the targeted consultation, all categories included, considered that the</w:t>
      </w:r>
      <w:r>
        <w:t xml:space="preserve"> </w:t>
      </w:r>
      <w:r>
        <w:t xml:space="preserve">CSDR settlement discipline regime would have had a significant negative impact on the market if it had</w:t>
      </w:r>
      <w:r>
        <w:t xml:space="preserve"> </w:t>
      </w:r>
      <w:r>
        <w:t xml:space="preserve">been in place during the market turmoil provoked by Covid-19. Summary Report of the Commission</w:t>
      </w:r>
      <w:r>
        <w:t xml:space="preserve"> </w:t>
      </w:r>
      <w:r>
        <w:t xml:space="preserve">CSDR targeted consultation (see note 92).</w:t>
      </w:r>
      <w:r>
        <w:t xml:space="preserve"> </w:t>
      </w:r>
      <w:r>
        <w:t xml:space="preserve">119 By providing a buy and sell price for securities (bid-ask spread) market makers establish liquidity and</w:t>
      </w:r>
      <w:r>
        <w:t xml:space="preserve"> </w:t>
      </w:r>
      <w:r>
        <w:t xml:space="preserve">pricing, and help end-investors to redeem funds or transact in a timely fashion in instruments for which</w:t>
      </w:r>
      <w:r>
        <w:t xml:space="preserve"> </w:t>
      </w:r>
      <w:r>
        <w:t xml:space="preserve">there may not be a counterparty with an immediate opposite intention.</w:t>
      </w:r>
      <w:r>
        <w:br/>
      </w:r>
      <w:r>
        <w:t xml:space="preserve">120 Market makers aim to run low levels of inventory since high levels of inventories have high risk, capital</w:t>
      </w:r>
      <w:r>
        <w:t xml:space="preserve"> </w:t>
      </w:r>
      <w:r>
        <w:t xml:space="preserve">and funding costs.</w:t>
      </w:r>
      <w:r>
        <w:t xml:space="preserve"> </w:t>
      </w:r>
      <w:r>
        <w:t xml:space="preserve">121 Especially during a credit crunch, this effect could be amplified as lenders would want to have the ability to</w:t>
      </w:r>
      <w:r>
        <w:t xml:space="preserve"> </w:t>
      </w:r>
      <w:r>
        <w:t xml:space="preserve">sell holdings at short notice to raise cash liquidity and the amount they will be willing to lend will be</w:t>
      </w:r>
      <w:r>
        <w:t xml:space="preserve"> </w:t>
      </w:r>
      <w:r>
        <w:t xml:space="preserve">further reduced.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Periods of market stress could be exacerbated by mandatory buy-ins as participants</w:t>
      </w:r>
      <w:r>
        <w:t xml:space="preserve"> </w:t>
      </w:r>
      <w:r>
        <w:t xml:space="preserve">would have to buy back the securities that already had limited availability adding</w:t>
      </w:r>
      <w:r>
        <w:t xml:space="preserve"> </w:t>
      </w:r>
      <w:r>
        <w:t xml:space="preserve">further liquidity pressure.122 Investors would have chased a small number of available</w:t>
      </w:r>
      <w:r>
        <w:t xml:space="preserve"> </w:t>
      </w:r>
      <w:r>
        <w:t xml:space="preserve">securities, driving up prices and potentially, further driving volatility in a stressed</w:t>
      </w:r>
      <w:r>
        <w:t xml:space="preserve"> </w:t>
      </w:r>
      <w:r>
        <w:t xml:space="preserve">market. Evidence provided by one bank, showed that the application of mandatory buy-</w:t>
      </w:r>
      <w:r>
        <w:t xml:space="preserve"> </w:t>
      </w:r>
      <w:r>
        <w:t xml:space="preserve">ins to EU government bonds in the current liquidity context could have led to a 50%-</w:t>
      </w:r>
      <w:r>
        <w:t xml:space="preserve"> </w:t>
      </w:r>
      <w:r>
        <w:t xml:space="preserve">100% increase in bid-offer spreads.123</w:t>
      </w:r>
      <w:r>
        <w:t xml:space="preserve"> </w:t>
      </w:r>
      <w:r>
        <w:t xml:space="preserve">Second, the settlement discipline regime could also give rise to unintended</w:t>
      </w:r>
      <w:r>
        <w:t xml:space="preserve"> </w:t>
      </w:r>
      <w:r>
        <w:t xml:space="preserve">consequences for the competitiveness of the EU capital markets. Capital markets</w:t>
      </w:r>
      <w:r>
        <w:t xml:space="preserve"> </w:t>
      </w:r>
      <w:r>
        <w:t xml:space="preserve">outside the EU do not have a comparable settlement discipline regime.124 These markets</w:t>
      </w:r>
      <w:r>
        <w:t xml:space="preserve"> </w:t>
      </w:r>
      <w:r>
        <w:t xml:space="preserve">rather rely on industry-led measures125, i.e. the UK announced it is not implementing the</w:t>
      </w:r>
      <w:r>
        <w:t xml:space="preserve"> </w:t>
      </w:r>
      <w:r>
        <w:t xml:space="preserve">CSDR settlement discipline regime and will rely on settlement rules set by CREST, the</w:t>
      </w:r>
      <w:r>
        <w:t xml:space="preserve"> </w:t>
      </w:r>
      <w:r>
        <w:t xml:space="preserve">UK-based CSD.126 In particular mandatory buy-ins may create an additional cost and risk</w:t>
      </w:r>
      <w:r>
        <w:t xml:space="preserve"> </w:t>
      </w:r>
      <w:r>
        <w:t xml:space="preserve">for EU-settled securities that could disadvantage EU companies. Wider spreads and less</w:t>
      </w:r>
      <w:r>
        <w:t xml:space="preserve"> </w:t>
      </w:r>
      <w:r>
        <w:t xml:space="preserve">liquidity will reduce the investment returns of pension funds, asset managers and,</w:t>
      </w:r>
      <w:r>
        <w:t xml:space="preserve"> </w:t>
      </w:r>
      <w:r>
        <w:t xml:space="preserve">ultimately, end investors, which, according to some stakeholders, could risk driving</w:t>
      </w:r>
      <w:r>
        <w:t xml:space="preserve"> </w:t>
      </w:r>
      <w:r>
        <w:t xml:space="preserve">issuance, trading and investment activity outside of the EU.127 Furthermore, application</w:t>
      </w:r>
      <w:r>
        <w:t xml:space="preserve"> </w:t>
      </w:r>
      <w:r>
        <w:t xml:space="preserve">of mandatory buy-ins could lead to a potentially loss of counterparties and liquidity for</w:t>
      </w:r>
      <w:r>
        <w:t xml:space="preserve"> </w:t>
      </w:r>
      <w:r>
        <w:t xml:space="preserve">the EU capital market.128 The potential negative impact on the attractiveness of the EU</w:t>
      </w:r>
      <w:r>
        <w:t xml:space="preserve"> </w:t>
      </w:r>
      <w:r>
        <w:t xml:space="preserve">market would be at odds with the objectives making the EU capital market more</w:t>
      </w:r>
      <w:r>
        <w:t xml:space="preserve"> </w:t>
      </w:r>
      <w:r>
        <w:t xml:space="preserve">attractive by increasing the safety of settlement.</w:t>
      </w:r>
      <w:r>
        <w:t xml:space="preserve"> </w:t>
      </w:r>
      <w:r>
        <w:t xml:space="preserve">Finally, against the above arguments, it should be noted that despite the dramatic</w:t>
      </w:r>
      <w:r>
        <w:t xml:space="preserve"> </w:t>
      </w:r>
      <w:r>
        <w:t xml:space="preserve">increase in trading (settlement instructions increased by 30% between 2015 – 2019 in EU</w:t>
      </w:r>
    </w:p>
    <w:p>
      <w:pPr>
        <w:pStyle w:val="BodyText"/>
      </w:pPr>
      <w:r>
        <w:t xml:space="preserve">122 Based on responses to the Commission CSDR targeted consultation from AFME, Association of German</w:t>
      </w:r>
      <w:r>
        <w:t xml:space="preserve"> </w:t>
      </w:r>
      <w:r>
        <w:t xml:space="preserve">Banks, European Fund and Asset Management Association (EFAMA), et al. </w:t>
      </w:r>
      <w:r>
        <w:t xml:space="preserve"> </w:t>
      </w:r>
      <w:r>
        <w:t xml:space="preserve">123 Based on confidential information provided to DG FISMA services.</w:t>
      </w:r>
      <w:r>
        <w:br/>
      </w:r>
      <w:r>
        <w:t xml:space="preserve">124 During the CSDR consultation process stakeholders referred to SHO Regulation and SEC Rule 204, which</w:t>
      </w:r>
      <w:r>
        <w:t xml:space="preserve"> </w:t>
      </w:r>
      <w:r>
        <w:t xml:space="preserve">however relates only to short-selling and the obligation that broker and dealer must close-out unresolved</w:t>
      </w:r>
      <w:r>
        <w:t xml:space="preserve"> </w:t>
      </w:r>
      <w:r>
        <w:t xml:space="preserve">equities transactions. This was introduced to discourage the market from naked short-selling. Also</w:t>
      </w:r>
      <w:r>
        <w:t xml:space="preserve"> </w:t>
      </w:r>
      <w:r>
        <w:t xml:space="preserve">examples of buy-in were given for Asian markets, in particular Singapore Exchange where any unsettled</w:t>
      </w:r>
      <w:r>
        <w:t xml:space="preserve"> </w:t>
      </w:r>
      <w:r>
        <w:t xml:space="preserve">buy-in trade is carried forward to the next business day for settlement. If the buy-in and procurement</w:t>
      </w:r>
      <w:r>
        <w:t xml:space="preserve"> </w:t>
      </w:r>
      <w:r>
        <w:t xml:space="preserve">remains unsuccessful by ISD +6, cash settlement will be initiated against the seller to provide resolution of</w:t>
      </w:r>
      <w:r>
        <w:t xml:space="preserve"> </w:t>
      </w:r>
      <w:r>
        <w:t xml:space="preserve">the sale trade. However the Singapore Exchange has a very low failure rate because of DvP and very few</w:t>
      </w:r>
      <w:r>
        <w:t xml:space="preserve"> </w:t>
      </w:r>
      <w:r>
        <w:t xml:space="preserve">trades go to buy-in.</w:t>
      </w:r>
      <w:r>
        <w:t xml:space="preserve"> </w:t>
      </w:r>
      <w:r>
        <w:t xml:space="preserve">125 For instance, the International Capital Markets Association (ICMA) provides voluntary buy-in and sell-out</w:t>
      </w:r>
      <w:r>
        <w:t xml:space="preserve"> </w:t>
      </w:r>
      <w:r>
        <w:t xml:space="preserve">rules that allow non-defaulting parties the right to enforce physical settlement of failed trades without</w:t>
      </w:r>
      <w:r>
        <w:t xml:space="preserve"> </w:t>
      </w:r>
      <w:r>
        <w:t xml:space="preserve">incurring any direct losses, while the Global Master Repurchase Agreement allows non-defaulting parties</w:t>
      </w:r>
      <w:r>
        <w:t xml:space="preserve"> </w:t>
      </w:r>
      <w:r>
        <w:t xml:space="preserve">to remedy failed repo transactions. These tools are voluntary and application is subject to contractual</w:t>
      </w:r>
      <w:r>
        <w:t xml:space="preserve"> </w:t>
      </w:r>
      <w:r>
        <w:t xml:space="preserve">agreements between trading parties. “How to survive in a mandatory buy-in world?”, ICMA, June 2018.</w:t>
      </w:r>
      <w:r>
        <w:t xml:space="preserve"> </w:t>
      </w:r>
      <w:r>
        <w:t xml:space="preserve">126 Written statement by</w:t>
      </w:r>
      <w:r>
        <w:t xml:space="preserve"> </w:t>
      </w:r>
      <w:r>
        <w:t xml:space="preserve">Chancellor of the Exchequer on 23 June 2020,</w:t>
      </w:r>
      <w:r>
        <w:t xml:space="preserve"> </w:t>
      </w:r>
      <w:r>
        <w:t xml:space="preserve">https://questions-</w:t>
      </w:r>
      <w:r>
        <w:t xml:space="preserve"> </w:t>
      </w:r>
      <w:r>
        <w:t xml:space="preserve">statements.parliament.uk/written-statements/detail/2020-06-23/HCWS309. In the meantime the UK 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CREST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failed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(p.37):</w:t>
      </w:r>
      <w:r>
        <w:t xml:space="preserve"> </w:t>
      </w:r>
      <w:r>
        <w:t xml:space="preserve">https://www.crh.com/media/3376/crest-rules-january-2021.pdf It provides for fines on either failed bought</w:t>
      </w:r>
      <w:r>
        <w:t xml:space="preserve"> </w:t>
      </w:r>
      <w:r>
        <w:t xml:space="preserve">or sold transactions.</w:t>
      </w:r>
      <w:r>
        <w:br/>
      </w:r>
      <w:r>
        <w:t xml:space="preserve">127 See</w:t>
      </w:r>
      <w:r>
        <w:t xml:space="preserve"> </w:t>
      </w:r>
      <w:r>
        <w:t xml:space="preserve">AFME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p. </w:t>
      </w:r>
      <w:r>
        <w:t xml:space="preserve"> </w:t>
      </w:r>
      <w:r>
        <w:t xml:space="preserve">36,</w:t>
      </w:r>
      <w:r>
        <w:t xml:space="preserve"> </w:t>
      </w:r>
      <w:r>
        <w:t xml:space="preserve">https://www.afme.eu/Portals/0/DispatchFeaturedImages/AFME_CSDR_CP_Response_Final.pdf.</w:t>
      </w:r>
      <w:r>
        <w:t xml:space="preserve"> </w:t>
      </w:r>
      <w:r>
        <w:t xml:space="preserve">128 ‘Who Owns the European Economy? Evolution of the Ownership of EU-Listed Companies between 1970</w:t>
      </w:r>
      <w:r>
        <w:t xml:space="preserve"> </w:t>
      </w:r>
      <w:r>
        <w:t xml:space="preserve">and</w:t>
      </w:r>
      <w:r>
        <w:t xml:space="preserve"> </w:t>
      </w:r>
      <w:r>
        <w:t xml:space="preserve">2012’,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Savings</w:t>
      </w:r>
      <w:r>
        <w:t xml:space="preserve"> </w:t>
      </w:r>
      <w:r>
        <w:t xml:space="preserve">Institute</w:t>
      </w:r>
      <w:r>
        <w:t xml:space="preserve"> </w:t>
      </w:r>
      <w:r>
        <w:t xml:space="preserve">&amp;</w:t>
      </w:r>
      <w:r>
        <w:t xml:space="preserve"> </w:t>
      </w:r>
      <w:r>
        <w:t xml:space="preserve">INSEAD</w:t>
      </w:r>
      <w:r>
        <w:t xml:space="preserve"> </w:t>
      </w:r>
      <w:r>
        <w:t xml:space="preserve">OEE</w:t>
      </w:r>
      <w:r>
        <w:t xml:space="preserve"> </w:t>
      </w:r>
      <w:r>
        <w:t xml:space="preserve">Data</w:t>
      </w:r>
      <w:r>
        <w:t xml:space="preserve"> </w:t>
      </w:r>
      <w:r>
        <w:t xml:space="preserve">Services,</w:t>
      </w:r>
      <w:r>
        <w:t xml:space="preserve"> </w:t>
      </w:r>
      <w:r>
        <w:t xml:space="preserve">2013,</w:t>
      </w:r>
      <w:r>
        <w:t xml:space="preserve"> </w:t>
      </w:r>
      <w:r>
        <w:t xml:space="preserve">https://ec.europa.eu/info/sites/default/files/file_import/1308-report-who-owns-european-</w:t>
      </w:r>
      <w:r>
        <w:t xml:space="preserve"> </w:t>
      </w:r>
      <w:r>
        <w:t xml:space="preserve">economy_en_0.pdf.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CSDs129) the settlement fail rate has remained relatively stable in the EU, both as a</w:t>
      </w:r>
      <w:r>
        <w:t xml:space="preserve"> </w:t>
      </w:r>
      <w:r>
        <w:t xml:space="preserve">share of value and number of total transactions (See Annex 8, Figure II ). It</w:t>
      </w:r>
      <w:r>
        <w:t xml:space="preserve"> </w:t>
      </w:r>
      <w:r>
        <w:t xml:space="preserve">experienced a spike for both types of instruments only during March/ April 2020 from</w:t>
      </w:r>
      <w:r>
        <w:t xml:space="preserve"> </w:t>
      </w:r>
      <w:r>
        <w:t xml:space="preserve">which both have recovered (albeit more slowly in the case of equity instruments). This</w:t>
      </w:r>
      <w:r>
        <w:t xml:space="preserve"> </w:t>
      </w:r>
      <w:r>
        <w:t xml:space="preserve">indicates that in normal market circumstances settlement in the EU can be relatively</w:t>
      </w:r>
      <w:r>
        <w:t xml:space="preserve"> </w:t>
      </w:r>
      <w:r>
        <w:t xml:space="preserve">efficient. Quantitative evidence suggests that, in relative terms, the buy-in regime targets</w:t>
      </w:r>
      <w:r>
        <w:t xml:space="preserve"> </w:t>
      </w:r>
      <w:r>
        <w:t xml:space="preserve">a small proportion of the total volume of transactions but will have an impact on the</w:t>
      </w:r>
      <w:r>
        <w:t xml:space="preserve"> </w:t>
      </w:r>
      <w:r>
        <w:t xml:space="preserve">pricing and liquidity of a much larger percentage of overall transactions.130</w:t>
      </w:r>
      <w:r>
        <w:t xml:space="preserve"> </w:t>
      </w:r>
      <w:r>
        <w:t xml:space="preserve">Nevertheless, even if settlement efficiency in the EU seems to be stable or improving</w:t>
      </w:r>
      <w:r>
        <w:t xml:space="preserve"> </w:t>
      </w:r>
      <w:r>
        <w:t xml:space="preserve">slightly, fail rates in the EU still remain higher than in, e.g. the US where about 2% of all</w:t>
      </w:r>
      <w:r>
        <w:t xml:space="preserve"> </w:t>
      </w:r>
      <w:r>
        <w:t xml:space="preserve">US treasuries and mortgage backed securities transactions fail.131 Different levels of</w:t>
      </w:r>
      <w:r>
        <w:t xml:space="preserve"> </w:t>
      </w:r>
      <w:r>
        <w:t xml:space="preserve">settlement efficiency between national capital markets can partly explain the lower</w:t>
      </w:r>
      <w:r>
        <w:t xml:space="preserve"> </w:t>
      </w:r>
      <w:r>
        <w:t xml:space="preserve">overall EU settlement efficiency132.</w:t>
      </w:r>
      <w:r>
        <w:t xml:space="preserve"> </w:t>
      </w:r>
      <w:r>
        <w:t xml:space="preserve">2.2.3. Insufficient insight into the activities of third-country CSDs</w:t>
      </w:r>
      <w:r>
        <w:t xml:space="preserve"> </w:t>
      </w:r>
      <w:r>
        <w:t xml:space="preserve">Under CSDR, third-country CSDs providing services in the EU provide insufficient</w:t>
      </w:r>
      <w:r>
        <w:t xml:space="preserve"> </w:t>
      </w:r>
      <w:r>
        <w:t xml:space="preserve">insight into their activities in relation to financial instruments constituted under the law</w:t>
      </w:r>
      <w:r>
        <w:t xml:space="preserve"> </w:t>
      </w:r>
      <w:r>
        <w:t xml:space="preserve">of a Member State, in particular when they provide services under the grandfathering</w:t>
      </w:r>
      <w:r>
        <w:t xml:space="preserve"> </w:t>
      </w:r>
      <w:r>
        <w:t xml:space="preserve">clause (see section 2.3.5). This leads to potential risks for the whole settlement</w:t>
      </w:r>
      <w:r>
        <w:t xml:space="preserve"> </w:t>
      </w:r>
      <w:r>
        <w:t xml:space="preserve">ecosystem, and in particular on EU authorities, EU CSDs and issuers.</w:t>
      </w:r>
      <w:r>
        <w:t xml:space="preserve"> </w:t>
      </w:r>
      <w:r>
        <w:t xml:space="preserve">First, EU authorities are not aware of the activities of third-country CSDs in the</w:t>
      </w:r>
      <w:r>
        <w:t xml:space="preserve"> </w:t>
      </w:r>
      <w:r>
        <w:t xml:space="preserve">EEA, a fact underlined both by ESMA and several respondents to the targeted</w:t>
      </w:r>
      <w:r>
        <w:t xml:space="preserve"> </w:t>
      </w:r>
      <w:r>
        <w:t xml:space="preserve">consultation133. Some third-country CSDs operating in the EU are not subject to any</w:t>
      </w:r>
      <w:r>
        <w:t xml:space="preserve"> </w:t>
      </w:r>
      <w:r>
        <w:t xml:space="preserve">notification requirement (see section 2.3.5). EU authorities therefore have no information</w:t>
      </w:r>
      <w:r>
        <w:t xml:space="preserve"> </w:t>
      </w:r>
      <w:r>
        <w:t xml:space="preserve">on which services they provide, their volume or the Member States affected by them.</w:t>
      </w:r>
      <w:r>
        <w:t xml:space="preserve"> </w:t>
      </w:r>
      <w:r>
        <w:t xml:space="preserve">This means that, if needed, neither issuers nor public authorities at national and EU level</w:t>
      </w:r>
      <w:r>
        <w:t xml:space="preserve"> </w:t>
      </w:r>
      <w:r>
        <w:t xml:space="preserve">can assess the impact of these CSDs on the financial stability of the EU.</w:t>
      </w:r>
      <w:r>
        <w:t xml:space="preserve"> </w:t>
      </w:r>
      <w:r>
        <w:t xml:space="preserve">Second, certain third-country CSDs follow different rules than those EU CSDs are</w:t>
      </w:r>
      <w:r>
        <w:t xml:space="preserve"> </w:t>
      </w:r>
      <w:r>
        <w:t xml:space="preserve">subject to, and provide services in relation to the same financial instruments (see section</w:t>
      </w:r>
      <w:r>
        <w:t xml:space="preserve"> </w:t>
      </w:r>
      <w:r>
        <w:t xml:space="preserve">2.3.5). The lack of information on third-country CSDs’ activities may create a risk for</w:t>
      </w:r>
      <w:r>
        <w:t xml:space="preserve"> </w:t>
      </w:r>
      <w:r>
        <w:t xml:space="preserve">investors in those cases where the legislation governing them does not offer the same</w:t>
      </w:r>
      <w:r>
        <w:t xml:space="preserve"> </w:t>
      </w:r>
      <w:r>
        <w:t xml:space="preserve">level of protection than EU legislation would.</w:t>
      </w:r>
    </w:p>
    <w:p>
      <w:pPr>
        <w:pStyle w:val="BodyText"/>
      </w:pPr>
      <w:r>
        <w:t xml:space="preserve">129 Data generated through the Securities Trading, Clearing and Settlement Statistics Database, European</w:t>
      </w:r>
      <w:r>
        <w:t xml:space="preserve"> </w:t>
      </w:r>
      <w:r>
        <w:t xml:space="preserve">Central Bank, https://sdw.ecb.europa.eu/browse.do?node=9691131.</w:t>
      </w:r>
      <w:r>
        <w:br/>
      </w:r>
      <w:r>
        <w:t xml:space="preserve">130 Ibid.</w:t>
      </w:r>
      <w:r>
        <w:t xml:space="preserve"> </w:t>
      </w:r>
      <w:r>
        <w:t xml:space="preserve">131 K. Burne, ‘How to succeed in fixing settlement fails’, Aerial View, Bank of New York Mellon, 2020.</w:t>
      </w:r>
      <w:r>
        <w:t xml:space="preserve"> </w:t>
      </w:r>
      <w:r>
        <w:t xml:space="preserve">132 Based on confidential information provided to DG FISMA services.</w:t>
      </w:r>
      <w:r>
        <w:t xml:space="preserve"> </w:t>
      </w:r>
      <w:r>
        <w:t xml:space="preserve">133 ESMA letter to the European Commission, ‘ESMA’s Proposals regarding the Review of the CSD</w:t>
      </w:r>
      <w:r>
        <w:t xml:space="preserve"> </w:t>
      </w:r>
      <w:r>
        <w:t xml:space="preserve">Regulation (CSDR), 20 May 2021, https://www.esma.europa.eu/sites/default/files/library/esma70-156-</w:t>
      </w:r>
      <w:r>
        <w:t xml:space="preserve"> </w:t>
      </w:r>
      <w:r>
        <w:t xml:space="preserve">4519_letter_to_ec_-_csdr_review.pdf 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Third, the lack of information on third-country CSDs’ activities may create a risk</w:t>
      </w:r>
      <w:r>
        <w:t xml:space="preserve"> </w:t>
      </w:r>
      <w:r>
        <w:t xml:space="preserve">for investors. The Commission has not assessed the rules to which CSDs operating</w:t>
      </w:r>
      <w:r>
        <w:t xml:space="preserve"> </w:t>
      </w:r>
      <w:r>
        <w:t xml:space="preserve">under the grandfathering clause are subject, despite the fact that they provide services in</w:t>
      </w:r>
      <w:r>
        <w:t xml:space="preserve"> </w:t>
      </w:r>
      <w:r>
        <w:t xml:space="preserve">relation to the same financial instruments EU CSDs do (see section 2.3.5). The lack of</w:t>
      </w:r>
      <w:r>
        <w:t xml:space="preserve"> </w:t>
      </w:r>
      <w:r>
        <w:t xml:space="preserve">information on those CSDs’ activities may create a risk for investors where the</w:t>
      </w:r>
      <w:r>
        <w:t xml:space="preserve"> </w:t>
      </w:r>
      <w:r>
        <w:t xml:space="preserve">legislation governing them does not offer the same level of protection as EU legislation.</w:t>
      </w:r>
      <w:r>
        <w:t xml:space="preserve"> </w:t>
      </w:r>
      <w:r>
        <w:t xml:space="preserve">2.3. What are the problem drivers?</w:t>
      </w:r>
      <w:r>
        <w:t xml:space="preserve"> </w:t>
      </w:r>
      <w:r>
        <w:t xml:space="preserve">2.3.1. Burdensome and unclear passporting requirements for CSDs</w:t>
      </w:r>
      <w:r>
        <w:br/>
      </w:r>
      <w:r>
        <w:t xml:space="preserve">A core objective of CSDR was to dismantle the barriers to cross-border settlement in</w:t>
      </w:r>
      <w:r>
        <w:t xml:space="preserve"> </w:t>
      </w:r>
      <w:r>
        <w:t xml:space="preserve">order for authorised CSDs to enjoy the freedom to provide services within the EU.</w:t>
      </w:r>
      <w:r>
        <w:br/>
      </w:r>
      <w:r>
        <w:t xml:space="preserve">To ensure an appropriate level of safety in the provision of services by CSDs in another</w:t>
      </w:r>
      <w:r>
        <w:t xml:space="preserve"> </w:t>
      </w:r>
      <w:r>
        <w:t xml:space="preserve">Member State, CSDs are currently subject to a specific procedure in Article 23 of CSDR.</w:t>
      </w:r>
      <w:r>
        <w:t xml:space="preserve"> </w:t>
      </w:r>
      <w:r>
        <w:t xml:space="preserve">Under this article, when CSDs wish to provide notary and central maintenance services</w:t>
      </w:r>
      <w:r>
        <w:t xml:space="preserve"> </w:t>
      </w:r>
      <w:r>
        <w:t xml:space="preserve">in relation to financial instruments “constituted under the law of another EU Member</w:t>
      </w:r>
      <w:r>
        <w:t xml:space="preserve"> </w:t>
      </w:r>
      <w:r>
        <w:t xml:space="preserve">State” or to set up a branch in another Member State a specific procedure needs to be</w:t>
      </w:r>
      <w:r>
        <w:t xml:space="preserve"> </w:t>
      </w:r>
      <w:r>
        <w:t xml:space="preserve">followed, involving the approval by the host national authority. In particular, they should</w:t>
      </w:r>
      <w:r>
        <w:t xml:space="preserve"> </w:t>
      </w:r>
      <w:r>
        <w:t xml:space="preserve">communicate to the competent authority of their home Member State information</w:t>
      </w:r>
      <w:r>
        <w:t xml:space="preserve"> </w:t>
      </w:r>
      <w:r>
        <w:t xml:space="preserve">including, where relevant, an assessment of the measures the CSD intends to take to</w:t>
      </w:r>
      <w:r>
        <w:t xml:space="preserve"> </w:t>
      </w:r>
      <w:r>
        <w:t xml:space="preserve">allow its users to comply with the national law referred to in Article 49(1).</w:t>
      </w:r>
      <w:r>
        <w:br/>
      </w:r>
      <w:r>
        <w:t xml:space="preserve">These requirement of the CSDR passporting process aimed to ensure that the relevant</w:t>
      </w:r>
      <w:r>
        <w:t xml:space="preserve"> </w:t>
      </w:r>
      <w:r>
        <w:t xml:space="preserve">pieces of national legislation would be taken into account and would still be complied</w:t>
      </w:r>
      <w:r>
        <w:t xml:space="preserve"> </w:t>
      </w:r>
      <w:r>
        <w:t xml:space="preserve">with. However, such requirements allow the host competent authority to verify this only</w:t>
      </w:r>
      <w:r>
        <w:t xml:space="preserve"> </w:t>
      </w:r>
      <w:r>
        <w:t xml:space="preserve">once, when assessing the passporting request, and not on a continuous basis.</w:t>
      </w:r>
      <w:r>
        <w:t xml:space="preserve"> </w:t>
      </w:r>
      <w:r>
        <w:t xml:space="preserve">Furthermore, the possibility to refuse the passport does not seem to have been used by</w:t>
      </w:r>
      <w:r>
        <w:t xml:space="preserve"> </w:t>
      </w:r>
      <w:r>
        <w:t xml:space="preserve">host competent authorities134.</w:t>
      </w:r>
      <w:r>
        <w:br/>
      </w:r>
      <w:r>
        <w:t xml:space="preserve">26 CSDs have been authorised under CSDR, out of which 15 provide cross-border</w:t>
      </w:r>
      <w:r>
        <w:t xml:space="preserve"> </w:t>
      </w:r>
      <w:r>
        <w:t xml:space="preserve">services in the EEA.135</w:t>
      </w:r>
      <w:r>
        <w:t xml:space="preserve"> </w:t>
      </w:r>
      <w:r>
        <w:t xml:space="preserve">Further to these first passporting procedures, the majority of stakeholders136 and</w:t>
      </w:r>
      <w:r>
        <w:t xml:space="preserve"> </w:t>
      </w:r>
      <w:r>
        <w:t xml:space="preserve">Members States137 now generally agree that the passporting procedure is burdensome</w:t>
      </w:r>
      <w:r>
        <w:t xml:space="preserve"> </w:t>
      </w:r>
      <w:r>
        <w:t xml:space="preserve">(one CSD even noted that it stopped providing services with respect to foreign securities</w:t>
      </w:r>
      <w:r>
        <w:t xml:space="preserve"> </w:t>
      </w:r>
      <w:r>
        <w:t xml:space="preserve">in order to avoid it138) and some of its requirements are unclear and could result in</w:t>
      </w:r>
      <w:r>
        <w:t xml:space="preserve"> </w:t>
      </w:r>
      <w:r>
        <w:t xml:space="preserve">divergent interpretations by national authorities, thus reducing CSDs’ cross-border</w:t>
      </w:r>
      <w:r>
        <w:t xml:space="preserve"> </w:t>
      </w:r>
      <w:r>
        <w:t xml:space="preserve">activity and leading to disproportionate compliance costs (see sections 2.2.1 and</w:t>
      </w:r>
      <w:r>
        <w:t xml:space="preserve"> </w:t>
      </w:r>
      <w:r>
        <w:t xml:space="preserve">2.2.2). As underlined by one stakeholder: “the rules in CSDR Article 23 – together with</w:t>
      </w:r>
      <w:r>
        <w:t xml:space="preserve"> </w:t>
      </w:r>
      <w:r>
        <w:t xml:space="preserve">divergent application by National Competent Authorities (NCAs) of Article 23 and the</w:t>
      </w:r>
      <w:r>
        <w:t xml:space="preserve"> </w:t>
      </w:r>
      <w:r>
        <w:t xml:space="preserve">closely related Article 49.1 list – have reduced the possibility for CSDs to offer services</w:t>
      </w:r>
      <w:r>
        <w:t xml:space="preserve"> </w:t>
      </w:r>
      <w:r>
        <w:t xml:space="preserve">as Issuer CSDs for instruments issued under the law of another Member State.”139</w:t>
      </w:r>
    </w:p>
    <w:p>
      <w:pPr>
        <w:pStyle w:val="BodyText"/>
      </w:pPr>
      <w:r>
        <w:t xml:space="preserve">134 ESMA Report on cross-border services (see note 50).</w:t>
      </w:r>
      <w:r>
        <w:t xml:space="preserve"> </w:t>
      </w:r>
      <w:r>
        <w:t xml:space="preserve">135 https://ecsda.eu/.</w:t>
      </w:r>
      <w:r>
        <w:t xml:space="preserve"> </w:t>
      </w:r>
      <w:r>
        <w:t xml:space="preserve">136 Summary Report of the Commission CSDR targeted consultation (see note 92).</w:t>
      </w:r>
      <w:r>
        <w:br/>
      </w:r>
      <w:r>
        <w:t xml:space="preserve">137 Member States, based on the Member States’ Experts Group meeting held in July 2021 and September</w:t>
      </w:r>
      <w:r>
        <w:t xml:space="preserve"> </w:t>
      </w:r>
      <w:r>
        <w:t xml:space="preserve">2020 as well as the targeted consultation, also agree that the CSDR passporting requirements are unclear</w:t>
      </w:r>
      <w:r>
        <w:t xml:space="preserve"> </w:t>
      </w:r>
      <w:r>
        <w:t xml:space="preserve">and burdensome.</w:t>
      </w:r>
      <w:r>
        <w:t xml:space="preserve"> </w:t>
      </w:r>
      <w:r>
        <w:t xml:space="preserve">138 Summary Report of the Commission CSDR targeted consultation (see note 92).</w:t>
      </w:r>
      <w:r>
        <w:t xml:space="preserve"> </w:t>
      </w:r>
      <w:r>
        <w:t xml:space="preserve">139 Euronext, response to the Commission CSDR targeted consultation (see note 106), page 16.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 costs per passport are estimated to amount on average to ca. EUR 30 000.140 This</w:t>
      </w:r>
      <w:r>
        <w:t xml:space="preserve"> </w:t>
      </w:r>
      <w:r>
        <w:t xml:space="preserve">means that, at least theoretically, for a CSD to be able to provide services for financial</w:t>
      </w:r>
      <w:r>
        <w:t xml:space="preserve"> </w:t>
      </w:r>
      <w:r>
        <w:t xml:space="preserve">instruments constituted under the law of 26 other Member States it may be required to</w:t>
      </w:r>
      <w:r>
        <w:t xml:space="preserve"> </w:t>
      </w:r>
      <w:r>
        <w:t xml:space="preserve">pay on average about EUR 780 000.141 Similarly, internal resources in terms of the time</w:t>
      </w:r>
      <w:r>
        <w:t xml:space="preserve"> </w:t>
      </w:r>
      <w:r>
        <w:t xml:space="preserve">required to prepare an application for a passport are estimated at 1-3 months (1 FTE). 142</w:t>
      </w:r>
      <w:r>
        <w:t xml:space="preserve"> </w:t>
      </w:r>
      <w:r>
        <w:t xml:space="preserve">At least theoretically, for a CSD to be able to provide its services throughout 26 other</w:t>
      </w:r>
      <w:r>
        <w:t xml:space="preserve"> </w:t>
      </w:r>
      <w:r>
        <w:t xml:space="preserve">Member States it needs to dedicate one FTE that would have to spend between 26</w:t>
      </w:r>
      <w:r>
        <w:t xml:space="preserve"> </w:t>
      </w:r>
      <w:r>
        <w:t xml:space="preserve">and 78 months (i.e. 6.5 years).143 Once a passport is granted, the applicant CSD also has</w:t>
      </w:r>
      <w:r>
        <w:t xml:space="preserve"> </w:t>
      </w:r>
      <w:r>
        <w:t xml:space="preserve">to continue to monitor it to ensure ongoing compliance, which also entails costs. These</w:t>
      </w:r>
      <w:r>
        <w:t xml:space="preserve"> </w:t>
      </w:r>
      <w:r>
        <w:t xml:space="preserve">costs are estimated at on average ca. EUR 2 000 per passport per year.144 This means</w:t>
      </w:r>
      <w:r>
        <w:t xml:space="preserve"> </w:t>
      </w:r>
      <w:r>
        <w:t xml:space="preserve">that, at least theoretically, when the CSD has obtained a passport in 26 other Member</w:t>
      </w:r>
      <w:r>
        <w:t xml:space="preserve"> </w:t>
      </w:r>
      <w:r>
        <w:t xml:space="preserve">States it may be required to pay on average about EUR 52 000 per year.</w:t>
      </w:r>
      <w:r>
        <w:t xml:space="preserve"> </w:t>
      </w:r>
      <w:r>
        <w:t xml:space="preserve">Given, amongst others, the high cost of the passport, CSDs require a minimum amount of</w:t>
      </w:r>
      <w:r>
        <w:t xml:space="preserve"> </w:t>
      </w:r>
      <w:r>
        <w:t xml:space="preserve">activity in order to provide services cross-border. This means that cross-border services</w:t>
      </w:r>
      <w:r>
        <w:t xml:space="preserve"> </w:t>
      </w:r>
      <w:r>
        <w:t xml:space="preserve">are generally provided to larger issuances in order to make them more economically</w:t>
      </w:r>
      <w:r>
        <w:t xml:space="preserve"> </w:t>
      </w:r>
      <w:r>
        <w:t xml:space="preserve">viable, potentially limiting the access of smaller- and medium-sized companies to the</w:t>
      </w:r>
      <w:r>
        <w:t xml:space="preserve"> </w:t>
      </w:r>
      <w:r>
        <w:t xml:space="preserve">benefits of the single market.145</w:t>
      </w:r>
      <w:r>
        <w:br/>
      </w:r>
      <w:r>
        <w:t xml:space="preserve">The costs of passporting are less significant for authorities; ranging from ca. EUR 1 000</w:t>
      </w:r>
      <w:r>
        <w:t xml:space="preserve"> </w:t>
      </w:r>
      <w:r>
        <w:t xml:space="preserve">per passport for the home national authority146 to EUR 3 000 for the host national</w:t>
      </w:r>
      <w:r>
        <w:t xml:space="preserve"> </w:t>
      </w:r>
      <w:r>
        <w:t xml:space="preserve">authority. This means that, at least theoretically, a CSD that would decide to passport in</w:t>
      </w:r>
      <w:r>
        <w:t xml:space="preserve"> </w:t>
      </w:r>
      <w:r>
        <w:t xml:space="preserve">26 Member States would generate estimated costs of ca. EUR 79 000.147</w:t>
      </w:r>
      <w:r>
        <w:br/>
      </w:r>
      <w:r>
        <w:t xml:space="preserve">Annex 6 provides further examples of burdensome and unclear passporting requirements.</w:t>
      </w:r>
      <w:r>
        <w:br/>
      </w:r>
      <w:r>
        <w:t xml:space="preserve">Finally, the effects of the burdensome and unclear passporting requirements are</w:t>
      </w:r>
      <w:r>
        <w:t xml:space="preserve"> </w:t>
      </w:r>
      <w:r>
        <w:t xml:space="preserve">illustrated by the figures showing the slow progression of provision of cross-border</w:t>
      </w:r>
      <w:r>
        <w:t xml:space="preserve"> </w:t>
      </w:r>
      <w:r>
        <w:t xml:space="preserve">services (see section 1.3). According to ESMA “there has been a limited progression of</w:t>
      </w:r>
      <w:r>
        <w:t xml:space="preserve"> </w:t>
      </w:r>
      <w:r>
        <w:t xml:space="preserve">the provision of CSD services on a cross-border basis within the EU since of the entry</w:t>
      </w:r>
      <w:r>
        <w:t xml:space="preserve"> </w:t>
      </w:r>
      <w:r>
        <w:t xml:space="preserve">into force since 2017 and in the context of the progressive entry into force of CSDR”.148</w:t>
      </w:r>
      <w:r>
        <w:br/>
      </w:r>
      <w:r>
        <w:t xml:space="preserve">2.3.2. Insufficient coordination and cooperation between authorities</w:t>
      </w:r>
      <w:r>
        <w:br/>
      </w:r>
      <w:r>
        <w:t xml:space="preserve">CSDR requires the cooperation of authorities that have an interest in the operations of</w:t>
      </w:r>
      <w:r>
        <w:t xml:space="preserve"> </w:t>
      </w:r>
      <w:r>
        <w:t xml:space="preserve">CSDs that operate domestically and cross-border. Nonetheless, the supervisory</w:t>
      </w:r>
      <w:r>
        <w:t xml:space="preserve"> </w:t>
      </w:r>
      <w:r>
        <w:t xml:space="preserve">arrangements remain fragmented and can lead to differences in the allocation and</w:t>
      </w:r>
      <w:r>
        <w:t xml:space="preserve"> </w:t>
      </w:r>
      <w:r>
        <w:t xml:space="preserve">nature of supervisory powers depending on the EU CSD concerned. This in turn</w:t>
      </w:r>
      <w:r>
        <w:t xml:space="preserve"> </w:t>
      </w:r>
      <w:r>
        <w:t xml:space="preserve">creates barriers to the cross-border provision of CSD services, perpetuates the remaining</w:t>
      </w:r>
      <w:r>
        <w:t xml:space="preserve"> </w:t>
      </w:r>
      <w:r>
        <w:t xml:space="preserve">inefficiencies in the EU settlement market and has negative impacts on the stability of</w:t>
      </w:r>
      <w:r>
        <w:t xml:space="preserve"> </w:t>
      </w:r>
      <w:r>
        <w:t xml:space="preserve">EU financial markets.</w:t>
      </w:r>
    </w:p>
    <w:p>
      <w:pPr>
        <w:pStyle w:val="BodyText"/>
      </w:pPr>
      <w:r>
        <w:t xml:space="preserve">140 Commission calculations based on confidential information provided to DG FISMA services.</w:t>
      </w:r>
      <w:r>
        <w:br/>
      </w:r>
      <w:r>
        <w:t xml:space="preserve">141 Commission calculations based on confidential information provided to DG FISMA services.</w:t>
      </w:r>
      <w:r>
        <w:br/>
      </w:r>
      <w:r>
        <w:t xml:space="preserve">142 Commission calculations based on confidential information provided to DG FISMA services.</w:t>
      </w:r>
      <w:r>
        <w:br/>
      </w:r>
      <w:r>
        <w:t xml:space="preserve">143 Commission calculations based on confidential information provided to DG FISMA services.</w:t>
      </w:r>
      <w:r>
        <w:br/>
      </w:r>
      <w:r>
        <w:t xml:space="preserve">144 Commission calculations based on confidential information provided to DG FISMA services.</w:t>
      </w:r>
      <w:r>
        <w:t xml:space="preserve"> </w:t>
      </w:r>
      <w:r>
        <w:t xml:space="preserve">145 Supported by confidential provided to DG FISMA services.</w:t>
      </w:r>
      <w:r>
        <w:t xml:space="preserve"> </w:t>
      </w:r>
      <w:r>
        <w:t xml:space="preserve">146 Commission estimates based on confidential data provided by one authority to DG FISMA services. This</w:t>
      </w:r>
      <w:r>
        <w:t xml:space="preserve"> </w:t>
      </w:r>
      <w:r>
        <w:t xml:space="preserve">estimate covers only the costs of interactions between the host and home NCAs. The costs of analysing of</w:t>
      </w:r>
      <w:r>
        <w:t xml:space="preserve"> </w:t>
      </w:r>
      <w:r>
        <w:t xml:space="preserve">the passporting request by the home NCA is much higher in itself and varies depending on the complexity</w:t>
      </w:r>
      <w:r>
        <w:t xml:space="preserve"> </w:t>
      </w:r>
      <w:r>
        <w:t xml:space="preserve">of the file.</w:t>
      </w:r>
      <w:r>
        <w:br/>
      </w:r>
      <w:r>
        <w:t xml:space="preserve">147 Commission calculations based on confidential information provided to DG FISMA services.</w:t>
      </w:r>
      <w:r>
        <w:t xml:space="preserve"> </w:t>
      </w:r>
      <w:r>
        <w:t xml:space="preserve">148 ESMA Report on cross-border services (see note 50), para. 127.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Notwithstanding ESMA’s competence to promote supervisory convergence, the powers</w:t>
      </w:r>
      <w:r>
        <w:t xml:space="preserve"> </w:t>
      </w:r>
      <w:r>
        <w:t xml:space="preserve">of national supervisors and the requirements for CSDs are interpreted differently across</w:t>
      </w:r>
      <w:r>
        <w:t xml:space="preserve"> </w:t>
      </w:r>
      <w:r>
        <w:t xml:space="preserve">the EU resulting in a significant heterogeneity in supervisory practices, in particular as</w:t>
      </w:r>
      <w:r>
        <w:t xml:space="preserve"> </w:t>
      </w:r>
      <w:r>
        <w:t xml:space="preserve">regards CSDs that operate cross-border.</w:t>
      </w:r>
      <w:r>
        <w:br/>
      </w:r>
      <w:r>
        <w:t xml:space="preserve">First, insufficient cooperation between home and host supervisors prevents the</w:t>
      </w:r>
      <w:r>
        <w:t xml:space="preserve"> </w:t>
      </w:r>
      <w:r>
        <w:t xml:space="preserve">creation of a single market for CSD services, as acknowledged amongst others by</w:t>
      </w:r>
      <w:r>
        <w:t xml:space="preserve"> </w:t>
      </w:r>
      <w:r>
        <w:t xml:space="preserve">ESMA and the CMU High Level Forum. CSDR does not ensure the effective</w:t>
      </w:r>
      <w:r>
        <w:t xml:space="preserve"> </w:t>
      </w:r>
      <w:r>
        <w:t xml:space="preserve">cooperation between home and host national supervisors for several reasons:</w:t>
      </w:r>
      <w:r>
        <w:br/>
      </w:r>
      <w:r>
        <w:t xml:space="preserve"> formal cooperation of home and host authorities on a continuous basis (through</w:t>
      </w:r>
      <w:r>
        <w:t xml:space="preserve"> </w:t>
      </w:r>
      <w:r>
        <w:t xml:space="preserve">the establishment of the so-called ‘cooperation arrangements’) is required only for</w:t>
      </w:r>
      <w:r>
        <w:t xml:space="preserve"> </w:t>
      </w:r>
      <w:r>
        <w:t xml:space="preserve">CSDs that establish a branch in a host Member State or when the activities of a</w:t>
      </w:r>
      <w:r>
        <w:t xml:space="preserve"> </w:t>
      </w:r>
      <w:r>
        <w:t xml:space="preserve">CSD are of substantial importance for the functioning of the securities markets</w:t>
      </w:r>
      <w:r>
        <w:t xml:space="preserve"> </w:t>
      </w:r>
      <w:r>
        <w:t xml:space="preserve">and the protection of the investors in that host Member State. This means that only</w:t>
      </w:r>
      <w:r>
        <w:t xml:space="preserve"> </w:t>
      </w:r>
      <w:r>
        <w:t xml:space="preserve">for certain CSDs with activities in host Member States structural and ongoing</w:t>
      </w:r>
      <w:r>
        <w:t xml:space="preserve"> </w:t>
      </w:r>
      <w:r>
        <w:t xml:space="preserve">cooperation between home and host authorities is required. For other situations,</w:t>
      </w:r>
      <w:r>
        <w:t xml:space="preserve"> </w:t>
      </w:r>
      <w:r>
        <w:t xml:space="preserve">home and host authorities may cooperate on an ad hoc basis on request. CSDs of</w:t>
      </w:r>
      <w:r>
        <w:t xml:space="preserve"> </w:t>
      </w:r>
      <w:r>
        <w:t xml:space="preserve">substantial importance to different host Member States are subject to national</w:t>
      </w:r>
      <w:r>
        <w:t xml:space="preserve"> </w:t>
      </w:r>
      <w:r>
        <w:t xml:space="preserve">supervisors’ divergent interpretations as to the content of CSDs’ reporting</w:t>
      </w:r>
      <w:r>
        <w:t xml:space="preserve"> </w:t>
      </w:r>
      <w:r>
        <w:t xml:space="preserve">obligations, which can be burdensome especially for small CSDs.149 Furthermore,</w:t>
      </w:r>
      <w:r>
        <w:t xml:space="preserve"> </w:t>
      </w:r>
      <w:r>
        <w:t xml:space="preserve">due to the absence of structured cooperation between the home and host authorities</w:t>
      </w:r>
      <w:r>
        <w:t xml:space="preserve"> </w:t>
      </w:r>
      <w:r>
        <w:t xml:space="preserve">before the granting of the passport, CSDs face widely divergent interpretations of the</w:t>
      </w:r>
      <w:r>
        <w:t xml:space="preserve"> </w:t>
      </w:r>
      <w:r>
        <w:t xml:space="preserve">same requirements, as illustrated by the differences in the time and cost that each</w:t>
      </w:r>
      <w:r>
        <w:t xml:space="preserve"> </w:t>
      </w:r>
      <w:r>
        <w:t xml:space="preserve">passport requires (see Section 2.3.1).</w:t>
      </w:r>
      <w:r>
        <w:t xml:space="preserve"> </w:t>
      </w:r>
      <w:r>
        <w:t xml:space="preserve"> It is not specified what these cooperation arrangements should entail in practice.</w:t>
      </w:r>
      <w:r>
        <w:t xml:space="preserve"> </w:t>
      </w:r>
      <w:r>
        <w:t xml:space="preserve">This means that it is up to each home supervisor to decide when setting them up.</w:t>
      </w:r>
      <w:r>
        <w:br/>
      </w:r>
      <w:r>
        <w:t xml:space="preserve"> CSDR states that when a CSD is of substantial importance for the functioning of the</w:t>
      </w:r>
      <w:r>
        <w:t xml:space="preserve"> </w:t>
      </w:r>
      <w:r>
        <w:t xml:space="preserve">securities markets and the protection of the investors in more than one host Member</w:t>
      </w:r>
      <w:r>
        <w:t xml:space="preserve"> </w:t>
      </w:r>
      <w:r>
        <w:t xml:space="preserve">State, it is up to the home Member State to decide that such cooperation</w:t>
      </w:r>
      <w:r>
        <w:t xml:space="preserve"> </w:t>
      </w:r>
      <w:r>
        <w:t xml:space="preserve">arrangements are to take the form of a college. To date only one college has been</w:t>
      </w:r>
      <w:r>
        <w:t xml:space="preserve"> </w:t>
      </w:r>
      <w:r>
        <w:t xml:space="preserve">set up (with six authorities from four Member States, without ESMA’s</w:t>
      </w:r>
      <w:r>
        <w:t xml:space="preserve"> </w:t>
      </w:r>
      <w:r>
        <w:t xml:space="preserve">participation). The experience of that home supervisor has been positive, as it serves</w:t>
      </w:r>
      <w:r>
        <w:t xml:space="preserve"> </w:t>
      </w:r>
      <w:r>
        <w:t xml:space="preserve">as good forum for discussion, information exchange and enables an exchange of</w:t>
      </w:r>
      <w:r>
        <w:t xml:space="preserve"> </w:t>
      </w:r>
      <w:r>
        <w:t xml:space="preserve">expertise, potentially even dividing tasks.</w:t>
      </w:r>
      <w:r>
        <w:t xml:space="preserve"> </w:t>
      </w:r>
      <w:r>
        <w:t xml:space="preserve">Second, CSDR does not sufficiently consider the fact that several CSDs are part of</w:t>
      </w:r>
      <w:r>
        <w:t xml:space="preserve"> </w:t>
      </w:r>
      <w:r>
        <w:t xml:space="preserve">larger groups comprising several CSDs or financial market infrastructures. CSDs in</w:t>
      </w:r>
      <w:r>
        <w:t xml:space="preserve"> </w:t>
      </w:r>
      <w:r>
        <w:t xml:space="preserve">a group may outsource key IT infrastructure components, activities and processes (e.g. </w:t>
      </w:r>
      <w:r>
        <w:t xml:space="preserve"> </w:t>
      </w:r>
      <w:r>
        <w:t xml:space="preserve">risk management, cyber security) to other group entities and major strategic, business,</w:t>
      </w:r>
      <w:r>
        <w:t xml:space="preserve"> </w:t>
      </w:r>
      <w:r>
        <w:t xml:space="preserve">risk management decisions and governance may be established (directly or indirectly) at</w:t>
      </w:r>
      <w:r>
        <w:t xml:space="preserve"> </w:t>
      </w:r>
      <w:r>
        <w:t xml:space="preserve">group level. While during the authorisation process CSDR provides for the consultation</w:t>
      </w:r>
      <w:r>
        <w:t xml:space="preserve"> </w:t>
      </w:r>
      <w:r>
        <w:t xml:space="preserve">of competent authorities from other Member States where the CSD is part of a group of</w:t>
      </w:r>
      <w:r>
        <w:t xml:space="preserve"> </w:t>
      </w:r>
      <w:r>
        <w:t xml:space="preserve">CSDs, the current supervisory and cooperation approach focuses on individual CSDs,</w:t>
      </w:r>
      <w:r>
        <w:t xml:space="preserve"> </w:t>
      </w:r>
      <w:r>
        <w:t xml:space="preserve">and not on the group or the entity which has been outsourced to. Nonetheless, decisions</w:t>
      </w:r>
      <w:r>
        <w:t xml:space="preserve"> </w:t>
      </w:r>
      <w:r>
        <w:t xml:space="preserve">made by the authority of one CSD in the group can impact the other financial market</w:t>
      </w:r>
      <w:r>
        <w:t xml:space="preserve"> </w:t>
      </w:r>
      <w:r>
        <w:t xml:space="preserve">infrastructures in the group.150</w:t>
      </w:r>
    </w:p>
    <w:p>
      <w:pPr>
        <w:pStyle w:val="BodyText"/>
      </w:pPr>
      <w:r>
        <w:t xml:space="preserve">149 Based on confidential information provided to DG FISMA services.</w:t>
      </w:r>
      <w:r>
        <w:t xml:space="preserve"> </w:t>
      </w:r>
      <w:r>
        <w:t xml:space="preserve">150 Information received from the ESCB.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As an example to illustrate the above, Figure III in Annex 8151 includes the governance</w:t>
      </w:r>
      <w:r>
        <w:t xml:space="preserve"> </w:t>
      </w:r>
      <w:r>
        <w:t xml:space="preserve">structure of one of the biggest groups of CSDs in the EU, Euroclear. Euroclear SA is</w:t>
      </w:r>
      <w:r>
        <w:t xml:space="preserve"> </w:t>
      </w:r>
      <w:r>
        <w:t xml:space="preserve">the parent company for six domestic CSDs and an ICSD, Euroclear Bank. Three of</w:t>
      </w:r>
      <w:r>
        <w:t xml:space="preserve"> </w:t>
      </w:r>
      <w:r>
        <w:t xml:space="preserve">those domestic CSDs (Euroclear France, Belgium and the Netherlands) use a common</w:t>
      </w:r>
      <w:r>
        <w:t xml:space="preserve"> </w:t>
      </w:r>
      <w:r>
        <w:t xml:space="preserve">settlement platform (ESES) and, amongst others, use a common admission process.</w:t>
      </w:r>
      <w:r>
        <w:t xml:space="preserve"> </w:t>
      </w:r>
      <w:r>
        <w:t xml:space="preserve">While the Belgian national supervisor cooperates with the French and Dutch overseers</w:t>
      </w:r>
      <w:r>
        <w:t xml:space="preserve"> </w:t>
      </w:r>
      <w:r>
        <w:t xml:space="preserve">and market supervisors,152 this cooperation does not take place under the CSDR</w:t>
      </w:r>
      <w:r>
        <w:t xml:space="preserve"> </w:t>
      </w:r>
      <w:r>
        <w:t xml:space="preserve">framework and ESMA is not involved.</w:t>
      </w:r>
      <w:r>
        <w:t xml:space="preserve"> </w:t>
      </w:r>
      <w:r>
        <w:t xml:space="preserve">Finally, regarding domestic CSDs, there is insufficient cooperation and supervisory</w:t>
      </w:r>
      <w:r>
        <w:t xml:space="preserve"> </w:t>
      </w:r>
      <w:r>
        <w:t xml:space="preserve">convergence amongst authorities interested in CSDs’ activities. This means that their</w:t>
      </w:r>
      <w:r>
        <w:t xml:space="preserve"> </w:t>
      </w:r>
      <w:r>
        <w:t xml:space="preserve">concerns may not be sufficiently taken into account by the national authority when</w:t>
      </w:r>
      <w:r>
        <w:t xml:space="preserve"> </w:t>
      </w:r>
      <w:r>
        <w:t xml:space="preserve">making decisions. One stakeholder noted that it was not easy to get a good understanding</w:t>
      </w:r>
      <w:r>
        <w:t xml:space="preserve"> </w:t>
      </w:r>
      <w:r>
        <w:t xml:space="preserve">of the overall functioning of the CSD, the supervisory approach, the interpretation and</w:t>
      </w:r>
      <w:r>
        <w:t xml:space="preserve"> </w:t>
      </w:r>
      <w:r>
        <w:t xml:space="preserve">application of the regulatory provisions, the aspects of concern for the competent</w:t>
      </w:r>
      <w:r>
        <w:t xml:space="preserve"> </w:t>
      </w:r>
      <w:r>
        <w:t xml:space="preserve">authority, the views/opinions of the other authorities if others were involved, etc.</w:t>
      </w:r>
      <w:r>
        <w:t xml:space="preserve"> </w:t>
      </w:r>
      <w:r>
        <w:t xml:space="preserve">Furthermore, some authorisation and review and evaluation processes revealed a</w:t>
      </w:r>
      <w:r>
        <w:t xml:space="preserve"> </w:t>
      </w:r>
      <w:r>
        <w:t xml:space="preserve">different understanding and application of various requirements as well as different</w:t>
      </w:r>
      <w:r>
        <w:t xml:space="preserve"> </w:t>
      </w:r>
      <w:r>
        <w:t xml:space="preserve">readings of background documents, which may impact the consistent application of</w:t>
      </w:r>
      <w:r>
        <w:t xml:space="preserve"> </w:t>
      </w:r>
      <w:r>
        <w:t xml:space="preserve">CSDR and distort the level playing field.</w:t>
      </w:r>
      <w:r>
        <w:br/>
      </w:r>
      <w:r>
        <w:t xml:space="preserve">Additionally, while CSDR requires national supervisors to involve other relevant</w:t>
      </w:r>
      <w:r>
        <w:t xml:space="preserve"> </w:t>
      </w:r>
      <w:r>
        <w:t xml:space="preserve">authorities, i.e. central banks, in the authorisation of CSDs, the former are not required to</w:t>
      </w:r>
      <w:r>
        <w:t xml:space="preserve"> </w:t>
      </w:r>
      <w:r>
        <w:t xml:space="preserve">inform the latter if and how their views have been considered in the outcome of the</w:t>
      </w:r>
      <w:r>
        <w:t xml:space="preserve"> </w:t>
      </w:r>
      <w:r>
        <w:t xml:space="preserve">authorisation process and if additional issues have been identified. This means that</w:t>
      </w:r>
      <w:r>
        <w:t xml:space="preserve"> </w:t>
      </w:r>
      <w:r>
        <w:t xml:space="preserve">relevant central banks may not be able to express their views on newly identified</w:t>
      </w:r>
      <w:r>
        <w:t xml:space="preserve"> </w:t>
      </w:r>
      <w:r>
        <w:t xml:space="preserve">issues or they may not know that their concerns have not been taken on board, in which</w:t>
      </w:r>
      <w:r>
        <w:t xml:space="preserve"> </w:t>
      </w:r>
      <w:r>
        <w:t xml:space="preserve">they could adopt a more rigorous oversight approach, especially in areas of concern.</w:t>
      </w:r>
      <w:r>
        <w:br/>
      </w:r>
      <w:r>
        <w:t xml:space="preserve">2.3.3. Restrictive requirements for provision of banking services related to settlement in</w:t>
      </w:r>
      <w:r>
        <w:t xml:space="preserve"> </w:t>
      </w:r>
      <w:r>
        <w:t xml:space="preserve">foreign currencies</w:t>
      </w:r>
      <w:r>
        <w:t xml:space="preserve"> </w:t>
      </w:r>
      <w:r>
        <w:t xml:space="preserve">An important element of the functioning of CSDR is the banking services that CSDs can</w:t>
      </w:r>
      <w:r>
        <w:t xml:space="preserve"> </w:t>
      </w:r>
      <w:r>
        <w:t xml:space="preserve">offer to clients153 in addition to the core CSD services and other non-banking settlement</w:t>
      </w:r>
      <w:r>
        <w:t xml:space="preserve"> </w:t>
      </w:r>
      <w:r>
        <w:t xml:space="preserve">services.154 As noted, the provision of banking services is a prerequisite to settle in</w:t>
      </w:r>
      <w:r>
        <w:t xml:space="preserve"> </w:t>
      </w:r>
      <w:r>
        <w:t xml:space="preserve">foreign currencies, if no access to the relevant central bank is practical or available.155</w:t>
      </w:r>
      <w:r>
        <w:t xml:space="preserve"> </w:t>
      </w:r>
      <w:r>
        <w:t xml:space="preserve">Nonetheless, the requirements for the provision of banking-type services related to</w:t>
      </w:r>
      <w:r>
        <w:t xml:space="preserve"> </w:t>
      </w:r>
      <w:r>
        <w:t xml:space="preserve">settlement are restrictive, leading to both a reduction of CSDs’ cross-border activity</w:t>
      </w:r>
      <w:r>
        <w:t xml:space="preserve"> </w:t>
      </w:r>
      <w:r>
        <w:t xml:space="preserve">and to disproportionate compliance costs (see sections 2.2.1 and 2.2.2).</w:t>
      </w:r>
      <w:r>
        <w:br/>
      </w:r>
      <w:r>
        <w:t xml:space="preserve">First, under CSDR, apart from being authorised themselves to provide banking services,</w:t>
      </w:r>
      <w:r>
        <w:t xml:space="preserve"> </w:t>
      </w:r>
      <w:r>
        <w:t xml:space="preserve">CSDs may also use a designated credit institution for such services. Nonetheless, the</w:t>
      </w:r>
      <w:r>
        <w:t xml:space="preserve"> </w:t>
      </w:r>
      <w:r>
        <w:t xml:space="preserve">conditions set out in CSDR for such institutions are very strict156 to mitigate risks to</w:t>
      </w:r>
      <w:r>
        <w:t xml:space="preserve"> </w:t>
      </w:r>
      <w:r>
        <w:t xml:space="preserve">financial stability: in addition to having to be authorised as a credit institution under the</w:t>
      </w:r>
    </w:p>
    <w:p>
      <w:pPr>
        <w:pStyle w:val="BodyText"/>
      </w:pPr>
      <w:r>
        <w:t xml:space="preserve">151 https://www.euroclear.com/about/en/business/Becomingaclient/BecomingaclientESES.html.</w:t>
      </w:r>
      <w:r>
        <w:t xml:space="preserve"> </w:t>
      </w:r>
      <w:r>
        <w:t xml:space="preserve">152 National Bank of Belgium ‘Financial Market Infrastructures and Payment Services Report 2021’, p. 33.</w:t>
      </w:r>
      <w:r>
        <w:t xml:space="preserve"> </w:t>
      </w:r>
      <w:r>
        <w:t xml:space="preserve">153 Section C of the Annex of CSDR lists the banking type ancillary services that must be directly related to</w:t>
      </w:r>
      <w:r>
        <w:t xml:space="preserve"> </w:t>
      </w:r>
      <w:r>
        <w:t xml:space="preserve">the core settlement services of a CSD of which the 2 most important are providing cash accounts and</w:t>
      </w:r>
      <w:r>
        <w:t xml:space="preserve"> </w:t>
      </w:r>
      <w:r>
        <w:t xml:space="preserve">intraday credit.</w:t>
      </w:r>
      <w:r>
        <w:t xml:space="preserve"> </w:t>
      </w:r>
      <w:r>
        <w:t xml:space="preserve">154 Section B of the Annex of CSDR.</w:t>
      </w:r>
      <w:r>
        <w:t xml:space="preserve"> </w:t>
      </w:r>
      <w:r>
        <w:t xml:space="preserve">155 In addition, one of the objectives of CSDR is to promote Delivery versus Payment, to reduce risks for</w:t>
      </w:r>
      <w:r>
        <w:t xml:space="preserve"> </w:t>
      </w:r>
      <w:r>
        <w:t xml:space="preserve">participants in securities transactions.</w:t>
      </w:r>
      <w:r>
        <w:t xml:space="preserve"> </w:t>
      </w:r>
      <w:r>
        <w:t xml:space="preserve">156 Article 54(4) of CSDR.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applicable EU banking legislation (Capital Requirements Regulation, Capital</w:t>
      </w:r>
      <w:r>
        <w:t xml:space="preserve"> </w:t>
      </w:r>
      <w:r>
        <w:t xml:space="preserve">Requirements Directive157) and to comply with additional prudential and liquidity</w:t>
      </w:r>
      <w:r>
        <w:t xml:space="preserve"> </w:t>
      </w:r>
      <w:r>
        <w:t xml:space="preserve">requirements under CSDR,158 designated credit institutions can only offer services in</w:t>
      </w:r>
      <w:r>
        <w:t xml:space="preserve"> </w:t>
      </w:r>
      <w:r>
        <w:t xml:space="preserve">relation to settlement. This means that there is a very limited business case for such</w:t>
      </w:r>
      <w:r>
        <w:t xml:space="preserve"> </w:t>
      </w:r>
      <w:r>
        <w:t xml:space="preserve">entities, as also evidenced by the fact that no such institutions exist to date.</w:t>
      </w:r>
      <w:r>
        <w:t xml:space="preserve"> </w:t>
      </w:r>
      <w:r>
        <w:t xml:space="preserve">Furthermore, CSDR requires that designated credit institutions do not carry out</w:t>
      </w:r>
      <w:r>
        <w:t xml:space="preserve"> </w:t>
      </w:r>
      <w:r>
        <w:t xml:space="preserve">themselves any of the core CSDR services (i.e. notary, central maintenance, settlement).</w:t>
      </w:r>
      <w:r>
        <w:t xml:space="preserve"> </w:t>
      </w:r>
      <w:r>
        <w:t xml:space="preserve">This means that CSDs that have been authorised to provide banking-type services</w:t>
      </w:r>
      <w:r>
        <w:t xml:space="preserve"> </w:t>
      </w:r>
      <w:r>
        <w:t xml:space="preserve">themselves cannot function as designated credit institutions to other CSDs (even if</w:t>
      </w:r>
      <w:r>
        <w:t xml:space="preserve"> </w:t>
      </w:r>
      <w:r>
        <w:t xml:space="preserve">they are part of the same corporate group), which greatly limits synergies and restricts</w:t>
      </w:r>
      <w:r>
        <w:t xml:space="preserve"> </w:t>
      </w:r>
      <w:r>
        <w:t xml:space="preserve">access to commercial bank money.</w:t>
      </w:r>
      <w:r>
        <w:t xml:space="preserve"> </w:t>
      </w:r>
      <w:r>
        <w:t xml:space="preserve">Second, the threshold under which a commercial bank may provide banking</w:t>
      </w:r>
      <w:r>
        <w:t xml:space="preserve"> </w:t>
      </w:r>
      <w:r>
        <w:t xml:space="preserve">services (i.e. the total value of cash settlement is less than 1% of the total value of all</w:t>
      </w:r>
      <w:r>
        <w:t xml:space="preserve"> </w:t>
      </w:r>
      <w:r>
        <w:t xml:space="preserve">securities transactions against cash settled in the books of the CSD and does not exceed a</w:t>
      </w:r>
      <w:r>
        <w:t xml:space="preserve"> </w:t>
      </w:r>
      <w:r>
        <w:t xml:space="preserve">maximum of EUR 2.5 billion per year)159 is considered by the majority of stakeholders,</w:t>
      </w:r>
      <w:r>
        <w:t xml:space="preserve"> </w:t>
      </w:r>
      <w:r>
        <w:t xml:space="preserve">including CSDs and their association as well as a public authority, as too low for the</w:t>
      </w:r>
      <w:r>
        <w:t xml:space="preserve"> </w:t>
      </w:r>
      <w:r>
        <w:t xml:space="preserve">majority of EU CSDs to be able to compete in the settlement in foreign currencies.</w:t>
      </w:r>
      <w:r>
        <w:t xml:space="preserve"> </w:t>
      </w:r>
      <w:r>
        <w:t xml:space="preserve">CSDs without a banking license could increase their settlement activity in foreign</w:t>
      </w:r>
      <w:r>
        <w:t xml:space="preserve"> </w:t>
      </w:r>
      <w:r>
        <w:t xml:space="preserve">currencies over a 5 year horizon to ca. 5% of their total yearly settlement activity.160 As</w:t>
      </w:r>
      <w:r>
        <w:t xml:space="preserve"> </w:t>
      </w:r>
      <w:r>
        <w:t xml:space="preserve">an example, for smaller CSDs with lower turnover ratio,161 e.g. 11, the current threshold</w:t>
      </w:r>
      <w:r>
        <w:t xml:space="preserve"> </w:t>
      </w:r>
      <w:r>
        <w:t xml:space="preserve">of EUR 2.5 billion settlement per year would be reached with issuance corresponding to</w:t>
      </w:r>
      <w:r>
        <w:t xml:space="preserve"> </w:t>
      </w:r>
      <w:r>
        <w:t xml:space="preserve">EUR 229 million162 – less than half the size of a regular bond issue, leaving no</w:t>
      </w:r>
      <w:r>
        <w:t xml:space="preserve"> </w:t>
      </w:r>
      <w:r>
        <w:t xml:space="preserve">possibility to offer issuance to others in the same or other currencies in commercial bank</w:t>
      </w:r>
      <w:r>
        <w:t xml:space="preserve"> </w:t>
      </w:r>
      <w:r>
        <w:t xml:space="preserve">money or even allow the same entity to do other issuances.</w:t>
      </w:r>
      <w:r>
        <w:t xml:space="preserve"> </w:t>
      </w:r>
      <w:r>
        <w:t xml:space="preserve">2.3.4. Unclear and complicated requirements for settlement discipline</w:t>
      </w:r>
      <w:r>
        <w:t xml:space="preserve"> </w:t>
      </w:r>
      <w:r>
        <w:t xml:space="preserve">CSDR introduced rules on settlement discipline to prevent and address failures in the</w:t>
      </w:r>
      <w:r>
        <w:t xml:space="preserve"> </w:t>
      </w:r>
      <w:r>
        <w:t xml:space="preserve">settlement of securities transactions and therefore ensure the safety of settlement (see</w:t>
      </w:r>
      <w:r>
        <w:t xml:space="preserve"> </w:t>
      </w:r>
      <w:r>
        <w:t xml:space="preserve">section 2.2.2). Despite the absence of experience in applying the rules, the development</w:t>
      </w:r>
      <w:r>
        <w:t xml:space="preserve"> </w:t>
      </w:r>
      <w:r>
        <w:t xml:space="preserve">and specification of the framework in the relevant RTS has allowed all interested parties</w:t>
      </w:r>
      <w:r>
        <w:t xml:space="preserve"> </w:t>
      </w:r>
      <w:r>
        <w:t xml:space="preserve">to better understand the regime and the challenges its application could give rise to,</w:t>
      </w:r>
      <w:r>
        <w:t xml:space="preserve"> </w:t>
      </w:r>
      <w:r>
        <w:t xml:space="preserve">especially at times of crisis, e.g. the COVID-19 crisis in spring 2020.</w:t>
      </w:r>
      <w:r>
        <w:br/>
      </w:r>
      <w:r>
        <w:t xml:space="preserve">A large majority of respondents to the Commission targeted consultation (public</w:t>
      </w:r>
      <w:r>
        <w:t xml:space="preserve"> </w:t>
      </w:r>
      <w:r>
        <w:t xml:space="preserve">authorities, CSDs, CCPs, banks, asset management companies, market makers, and their</w:t>
      </w:r>
      <w:r>
        <w:t xml:space="preserve"> </w:t>
      </w:r>
      <w:r>
        <w:t xml:space="preserve">respective associations), considered that the settlement discipline framework should be</w:t>
      </w:r>
    </w:p>
    <w:p>
      <w:pPr>
        <w:pStyle w:val="BodyText"/>
      </w:pPr>
      <w:r>
        <w:t xml:space="preserve">157 Regulation (EU) No 575/2013 of the European Parliament and of the Council of 26 June 2013 on</w:t>
      </w:r>
      <w:r>
        <w:t xml:space="preserve"> </w:t>
      </w:r>
      <w:r>
        <w:t xml:space="preserve">prudential requirements for credit institutions and investment firms and amending Regulation (EU) No</w:t>
      </w:r>
      <w:r>
        <w:t xml:space="preserve"> </w:t>
      </w:r>
      <w:r>
        <w:t xml:space="preserve">648/2012, OJ L 176, 27.6.2013, and Directive 2013/36/EU of the European Parliament and of the Council</w:t>
      </w:r>
      <w:r>
        <w:t xml:space="preserve"> </w:t>
      </w:r>
      <w:r>
        <w:t xml:space="preserve">of 26 June 2013 on access to the activity of credit institutions and the prudential supervision of credit</w:t>
      </w:r>
      <w:r>
        <w:t xml:space="preserve"> </w:t>
      </w:r>
      <w:r>
        <w:t xml:space="preserve">institutions and investment firms, amending Directive 2002/87/EC and repealing Directives 2006/48/EC</w:t>
      </w:r>
      <w:r>
        <w:t xml:space="preserve"> </w:t>
      </w:r>
      <w:r>
        <w:t xml:space="preserve">and 2006/49/EC, OJ L 176, 27.6.2013.</w:t>
      </w:r>
      <w:r>
        <w:t xml:space="preserve"> </w:t>
      </w:r>
      <w:r>
        <w:t xml:space="preserve">158 Articles 54(4)(e) and 54(8) of CSDR and Commission Delegated Regulation (EU) 2017/390.</w:t>
      </w:r>
      <w:r>
        <w:t xml:space="preserve"> </w:t>
      </w:r>
      <w:r>
        <w:t xml:space="preserve">159 Article 54(5) of CSDR.</w:t>
      </w:r>
      <w:r>
        <w:t xml:space="preserve"> </w:t>
      </w:r>
      <w:r>
        <w:t xml:space="preserve">160 Based on confidential information provided to DG FISMA services.</w:t>
      </w:r>
      <w:r>
        <w:br/>
      </w:r>
      <w:r>
        <w:t xml:space="preserve">161 The asset turnover ratio measures the value of a company’s sales or revenues relative to the value of its</w:t>
      </w:r>
      <w:r>
        <w:t xml:space="preserve"> </w:t>
      </w:r>
      <w:r>
        <w:t xml:space="preserve">assets. The asset turnover ratio can be used as an indicator of the efficiency with which a company is using</w:t>
      </w:r>
      <w:r>
        <w:t xml:space="preserve"> </w:t>
      </w:r>
      <w:r>
        <w:t xml:space="preserve">its assets to generate revenue. The higher the asset turnover ratio, the more efficient a company is at</w:t>
      </w:r>
      <w:r>
        <w:t xml:space="preserve"> </w:t>
      </w:r>
      <w:r>
        <w:t xml:space="preserve">generating revenue from its assets.</w:t>
      </w:r>
      <w:r>
        <w:br/>
      </w:r>
      <w:r>
        <w:t xml:space="preserve">162 Euronext response to the Commission CSDR targeted consultation (see note 106).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reviewed.163 Member States took a similar position in the Member States’ Experts Group</w:t>
      </w:r>
      <w:r>
        <w:t xml:space="preserve"> </w:t>
      </w:r>
      <w:r>
        <w:t xml:space="preserve">meeting in July 2021. They almost unanimously expressed concerns about the current</w:t>
      </w:r>
      <w:r>
        <w:t xml:space="preserve"> </w:t>
      </w:r>
      <w:r>
        <w:t xml:space="preserve">design of mandatory buy-ins and their influence, in particularly on trading activity,</w:t>
      </w:r>
      <w:r>
        <w:t xml:space="preserve"> </w:t>
      </w:r>
      <w:r>
        <w:t xml:space="preserve">liquidity or the competitiveness of EU capital markets. ESMA also supported a delay in</w:t>
      </w:r>
      <w:r>
        <w:t xml:space="preserve"> </w:t>
      </w:r>
      <w:r>
        <w:t xml:space="preserve">the application of the buy-in regime noting that “ESMA is aware of market participants’</w:t>
      </w:r>
      <w:r>
        <w:t xml:space="preserve"> </w:t>
      </w:r>
      <w:r>
        <w:t xml:space="preserve">serious difficulties regarding the implementation of the buy-in regime.”</w:t>
      </w:r>
      <w:r>
        <w:t xml:space="preserve"> </w:t>
      </w:r>
      <w:r>
        <w:t xml:space="preserve">Two main issues have been identified: the lack of clarity and the complexity/burden of</w:t>
      </w:r>
      <w:r>
        <w:t xml:space="preserve"> </w:t>
      </w:r>
      <w:r>
        <w:t xml:space="preserve">the settlement discipline requirements. These drivers lead to disproportionate</w:t>
      </w:r>
      <w:r>
        <w:t xml:space="preserve"> </w:t>
      </w:r>
      <w:r>
        <w:t xml:space="preserve">compliance costs, in so far as the costs of complying with the framework potentially</w:t>
      </w:r>
      <w:r>
        <w:t xml:space="preserve"> </w:t>
      </w:r>
      <w:r>
        <w:t xml:space="preserve">seem to outweigh the achievable benefits (see section 5.1.4).</w:t>
      </w:r>
      <w:r>
        <w:t xml:space="preserve"> </w:t>
      </w:r>
      <w:r>
        <w:t xml:space="preserve">First, the requirements of the settlement discipline regime are often unclear, creating</w:t>
      </w:r>
      <w:r>
        <w:t xml:space="preserve"> </w:t>
      </w:r>
      <w:r>
        <w:t xml:space="preserve">legal uncertainty, thus increasing compliance costs. This lack of clarity is also shown by</w:t>
      </w:r>
      <w:r>
        <w:t xml:space="preserve"> </w:t>
      </w:r>
      <w:r>
        <w:t xml:space="preserve">the number of Q&amp;As received by ESMA and the Commission. Since 2017, ESMA has</w:t>
      </w:r>
      <w:r>
        <w:t xml:space="preserve"> </w:t>
      </w:r>
      <w:r>
        <w:t xml:space="preserve">frequently updated its CSDR Q&amp;As, with currently164 seven Q&amp;A’s related to settlement</w:t>
      </w:r>
      <w:r>
        <w:t xml:space="preserve"> </w:t>
      </w:r>
      <w:r>
        <w:t xml:space="preserve">discipline. More than 25 Q&amp;As on settlement discipline are also currently being</w:t>
      </w:r>
      <w:r>
        <w:t xml:space="preserve"> </w:t>
      </w:r>
      <w:r>
        <w:t xml:space="preserve">assessed. The need to clarify questions related to the settlement discipline regime puts an</w:t>
      </w:r>
      <w:r>
        <w:t xml:space="preserve"> </w:t>
      </w:r>
      <w:r>
        <w:t xml:space="preserve">additional burden on market participants, but also the relevant authorities. This</w:t>
      </w:r>
      <w:r>
        <w:t xml:space="preserve"> </w:t>
      </w:r>
      <w:r>
        <w:t xml:space="preserve">uncertainty means that companies have to obtain additional legal opinions on how the</w:t>
      </w:r>
      <w:r>
        <w:t xml:space="preserve"> </w:t>
      </w:r>
      <w:r>
        <w:t xml:space="preserve">rules should be applied, to enable them to adapt existing trading and reporting</w:t>
      </w:r>
      <w:r>
        <w:t xml:space="preserve"> </w:t>
      </w:r>
      <w:r>
        <w:t xml:space="preserve">procedures. Should those rules subsequently be interpreted differently, additional costs</w:t>
      </w:r>
      <w:r>
        <w:t xml:space="preserve"> </w:t>
      </w:r>
      <w:r>
        <w:t xml:space="preserve">will be incurred to re-adapt.</w:t>
      </w:r>
      <w:r>
        <w:t xml:space="preserve"> </w:t>
      </w:r>
      <w:r>
        <w:t xml:space="preserve">The unclear requirements are primarily linked to the scope of cash penalties and</w:t>
      </w:r>
      <w:r>
        <w:t xml:space="preserve"> </w:t>
      </w:r>
      <w:r>
        <w:t xml:space="preserve">buy-in rules. One business association stated “…the different provisions of CSDR setting</w:t>
      </w:r>
      <w:r>
        <w:t xml:space="preserve"> </w:t>
      </w:r>
      <w:r>
        <w:t xml:space="preserve">out the scope of the requirements such as settlement fails reporting, cash penalties or</w:t>
      </w:r>
      <w:r>
        <w:t xml:space="preserve"> </w:t>
      </w:r>
      <w:r>
        <w:t xml:space="preserve">buy-ins are not always clear. This lack of legal certainty could potentially lead to</w:t>
      </w:r>
      <w:r>
        <w:t xml:space="preserve"> </w:t>
      </w:r>
      <w:r>
        <w:t xml:space="preserve">reducing the efficiency in securities settlement.”165</w:t>
      </w:r>
      <w:r>
        <w:t xml:space="preserve"> </w:t>
      </w:r>
      <w:r>
        <w:t xml:space="preserve"> Unclear scope of rules on cash penalties:166 A cash penalty applies for each day</w:t>
      </w:r>
      <w:r>
        <w:t xml:space="preserve"> </w:t>
      </w:r>
      <w:r>
        <w:t xml:space="preserve">that a transaction fails to be settled after its intended settlement date. Examples of</w:t>
      </w:r>
      <w:r>
        <w:t xml:space="preserve"> </w:t>
      </w:r>
      <w:r>
        <w:t xml:space="preserve">lack of clarity relate to the types of securities transactions covered and the scope</w:t>
      </w:r>
      <w:r>
        <w:t xml:space="preserve"> </w:t>
      </w:r>
      <w:r>
        <w:t xml:space="preserve">of entities concerned by cash penalties.167 As an example, the scope of</w:t>
      </w:r>
      <w:r>
        <w:t xml:space="preserve"> </w:t>
      </w:r>
      <w:r>
        <w:t xml:space="preserve">“transactions” is not defined in CSDR; however certain transactions are outside</w:t>
      </w:r>
      <w:r>
        <w:t xml:space="preserve"> </w:t>
      </w:r>
      <w:r>
        <w:t xml:space="preserve">CSD participants’ control. It is therefore unclear whether such transactions should</w:t>
      </w:r>
      <w:r>
        <w:t xml:space="preserve"> </w:t>
      </w:r>
      <w:r>
        <w:t xml:space="preserve">be within the scope of the cash penalty regime. This uncertainty generates costs</w:t>
      </w:r>
      <w:r>
        <w:t xml:space="preserve"> </w:t>
      </w:r>
      <w:r>
        <w:t xml:space="preserve">when CSDs implement the IT systems to monitor cash penalties, requires</w:t>
      </w:r>
      <w:r>
        <w:t xml:space="preserve"> </w:t>
      </w:r>
      <w:r>
        <w:t xml:space="preserve">additional legal advice and increases potential legal risks. The questions about the</w:t>
      </w:r>
      <w:r>
        <w:t xml:space="preserve"> </w:t>
      </w:r>
      <w:r>
        <w:t xml:space="preserve">interpretation of CSDR stem not only from the text of the Regulation itself but</w:t>
      </w:r>
      <w:r>
        <w:t xml:space="preserve"> </w:t>
      </w:r>
      <w:r>
        <w:t xml:space="preserve">also from the delegated acts; e.g. Commission Delegated Regulation (EU)</w:t>
      </w:r>
      <w:r>
        <w:t xml:space="preserve"> </w:t>
      </w:r>
      <w:r>
        <w:t xml:space="preserve">2017/389 states that, in certain circumstances, the calculation of penalties rates</w:t>
      </w:r>
      <w:r>
        <w:t xml:space="preserve"> </w:t>
      </w:r>
      <w:r>
        <w:t xml:space="preserve">should use the official interest rate for overnight credit charged by the central</w:t>
      </w:r>
      <w:r>
        <w:t xml:space="preserve"> </w:t>
      </w:r>
      <w:r>
        <w:t xml:space="preserve">bank issuing the settlement currency. However, in at least two Member States, it</w:t>
      </w:r>
      <w:r>
        <w:t xml:space="preserve"> </w:t>
      </w:r>
      <w:r>
        <w:t xml:space="preserve">has been reported recently that central banks do not have this official rate and</w:t>
      </w:r>
      <w:r>
        <w:t xml:space="preserve"> </w:t>
      </w:r>
      <w:r>
        <w:t xml:space="preserve">therefore the calculation of the penalties cannot fulfil this requirement.</w:t>
      </w:r>
    </w:p>
    <w:p>
      <w:pPr>
        <w:pStyle w:val="BodyText"/>
      </w:pPr>
      <w:r>
        <w:t xml:space="preserve">163 Summary Report of the Commission CSDR targeted consultation (see note 92).</w:t>
      </w:r>
      <w:r>
        <w:t xml:space="preserve"> </w:t>
      </w:r>
      <w:r>
        <w:t xml:space="preserve">164 CSDR</w:t>
      </w:r>
      <w:r>
        <w:t xml:space="preserve"> </w:t>
      </w:r>
      <w:r>
        <w:t xml:space="preserve">Q&amp;As,</w:t>
      </w:r>
      <w:r>
        <w:t xml:space="preserve"> </w:t>
      </w:r>
      <w:r>
        <w:t xml:space="preserve">ESMA70-156-4448,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https://www.esma.europa.eu/sites/default/files/library/esma70-708036281-2_csdr_qas_2.pdf.</w:t>
      </w:r>
      <w:r>
        <w:t xml:space="preserve"> </w:t>
      </w:r>
      <w:r>
        <w:t xml:space="preserve">165 ESCDA, response to the Commission targeted consultation on the CSDR review.</w:t>
      </w:r>
      <w:r>
        <w:t xml:space="preserve"> </w:t>
      </w:r>
      <w:r>
        <w:t xml:space="preserve">166 A cash penalty applies for each day that a transaction fails to be settled after its intended settlement date.</w:t>
      </w:r>
      <w:r>
        <w:t xml:space="preserve"> </w:t>
      </w:r>
      <w:r>
        <w:t xml:space="preserve">167 Summary Report of the Commission CSDR targeted consultation (see note 92).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 Unclear scope of rules on buy-ins: there is lack of clarity on a wide range of</w:t>
      </w:r>
      <w:r>
        <w:t xml:space="preserve"> </w:t>
      </w:r>
      <w:r>
        <w:t xml:space="preserve">issues, i.e. types of securities covered, scope of entities concerned, and in-scope</w:t>
      </w:r>
      <w:r>
        <w:t xml:space="preserve"> </w:t>
      </w:r>
      <w:r>
        <w:t xml:space="preserve">transactions.168 For example, while CSDR refers only to participants (i.e. failing</w:t>
      </w:r>
      <w:r>
        <w:t xml:space="preserve"> </w:t>
      </w:r>
      <w:r>
        <w:t xml:space="preserve">participant and receiving participant), multiple terms are used in Level 2 (e.g. </w:t>
      </w:r>
      <w:r>
        <w:t xml:space="preserve"> </w:t>
      </w:r>
      <w:r>
        <w:t xml:space="preserve">failing trading party, failing trading venue member, failing clearing member)</w:t>
      </w:r>
      <w:r>
        <w:t xml:space="preserve"> </w:t>
      </w:r>
      <w:r>
        <w:t xml:space="preserve">which could create difficulties of interpretation and lead to legal challenges.169</w:t>
      </w:r>
      <w:r>
        <w:t xml:space="preserve"> </w:t>
      </w:r>
      <w:r>
        <w:t xml:space="preserve">Second, the requirements of the settlement discipline regime are often complicated</w:t>
      </w:r>
      <w:r>
        <w:t xml:space="preserve"> </w:t>
      </w:r>
      <w:r>
        <w:t xml:space="preserve">and increase compliance costs. In addition to one-off costs incurred to adapt IT</w:t>
      </w:r>
      <w:r>
        <w:t xml:space="preserve"> </w:t>
      </w:r>
      <w:r>
        <w:t xml:space="preserve">systems,170 the two examples below on contractual repapering (i.e. update of existing</w:t>
      </w:r>
      <w:r>
        <w:t xml:space="preserve"> </w:t>
      </w:r>
      <w:r>
        <w:t xml:space="preserve">contracts) and the use of buy-in agents show how the actual application of the</w:t>
      </w:r>
      <w:r>
        <w:t xml:space="preserve"> </w:t>
      </w:r>
      <w:r>
        <w:t xml:space="preserve">requirements could increase costs for market participants.</w:t>
      </w:r>
      <w:r>
        <w:t xml:space="preserve"> </w:t>
      </w:r>
      <w:r>
        <w:t xml:space="preserve">Trading parties that settle transactions in-scope of mandatory buy-ins would need a</w:t>
      </w:r>
      <w:r>
        <w:t xml:space="preserve"> </w:t>
      </w:r>
      <w:r>
        <w:t xml:space="preserve">global repapering exercise.171 This would ensure that appropriate contractual</w:t>
      </w:r>
      <w:r>
        <w:t xml:space="preserve"> </w:t>
      </w:r>
      <w:r>
        <w:t xml:space="preserve">arrangements are in place between the relevant counterparties to guarantee effective</w:t>
      </w:r>
      <w:r>
        <w:t xml:space="preserve"> </w:t>
      </w:r>
      <w:r>
        <w:t xml:space="preserve">application and enforceability of the buy-in requirements, even where some parties are</w:t>
      </w:r>
      <w:r>
        <w:t xml:space="preserve"> </w:t>
      </w:r>
      <w:r>
        <w:t xml:space="preserve">located outside the EU.172 EU securities valued EUR 33.5 trillion and bonds valued at</w:t>
      </w:r>
      <w:r>
        <w:t xml:space="preserve"> </w:t>
      </w:r>
      <w:r>
        <w:t xml:space="preserve">EUR 13.2 trillion could be subject to this exercise173 showing the one-off compliance</w:t>
      </w:r>
      <w:r>
        <w:t xml:space="preserve"> </w:t>
      </w:r>
      <w:r>
        <w:t xml:space="preserve">costs it could generate. Data suggests that, on average, each firm would need to repaper</w:t>
      </w:r>
      <w:r>
        <w:t xml:space="preserve"> </w:t>
      </w:r>
      <w:r>
        <w:t xml:space="preserve">27 120 agreements, taking on average 10 months to complete.174 The scope of the</w:t>
      </w:r>
      <w:r>
        <w:t xml:space="preserve"> </w:t>
      </w:r>
      <w:r>
        <w:t xml:space="preserve">repapering is however related to and reliant on the interpretation of the scope of the rules.</w:t>
      </w:r>
      <w:r>
        <w:t xml:space="preserve"> </w:t>
      </w:r>
      <w:r>
        <w:t xml:space="preserve">Increased compliance costs result also from the requirement to use buy-in agents.175 The</w:t>
      </w:r>
      <w:r>
        <w:t xml:space="preserve"> </w:t>
      </w:r>
      <w:r>
        <w:t xml:space="preserve">concerns relate mainly to the limited number of third-party buy-in agents (currently</w:t>
      </w:r>
      <w:r>
        <w:t xml:space="preserve"> </w:t>
      </w:r>
      <w:r>
        <w:t xml:space="preserve">only one stakeholder has made substantial investments to comply with these rules and</w:t>
      </w:r>
      <w:r>
        <w:t xml:space="preserve"> </w:t>
      </w:r>
      <w:r>
        <w:t xml:space="preserve">establish themselves as buy-in agent). This adds one-off investment and ongoing costs to</w:t>
      </w:r>
      <w:r>
        <w:t xml:space="preserve"> </w:t>
      </w:r>
      <w:r>
        <w:t xml:space="preserve">trading for asset managers in terms of onboarding, connectivity, fees and collateral</w:t>
      </w:r>
      <w:r>
        <w:t xml:space="preserve"> </w:t>
      </w:r>
      <w:r>
        <w:t xml:space="preserve">requirements as well as impacting best execution and adding concentration risk176. In</w:t>
      </w:r>
    </w:p>
    <w:p>
      <w:pPr>
        <w:pStyle w:val="BodyText"/>
      </w:pPr>
      <w:r>
        <w:t xml:space="preserve">168 To the question 34 of the Commission targeted consultation on whether the scope of the buy-in regime and</w:t>
      </w:r>
      <w:r>
        <w:t xml:space="preserve"> </w:t>
      </w:r>
      <w:r>
        <w:t xml:space="preserve">the exemptions applicable should be clarified, 62 responded that they agree, while 2 being neutral and one</w:t>
      </w:r>
      <w:r>
        <w:t xml:space="preserve"> </w:t>
      </w:r>
      <w:r>
        <w:t xml:space="preserve">disagreeing.</w:t>
      </w:r>
      <w:r>
        <w:t xml:space="preserve"> </w:t>
      </w:r>
      <w:r>
        <w:t xml:space="preserve">169 AFME response to the Commission CSDR targeted consultation (see note 127) “the term participant</w:t>
      </w:r>
      <w:r>
        <w:t xml:space="preserve"> </w:t>
      </w:r>
      <w:r>
        <w:t xml:space="preserve">including references to ‘failing participant’ and ‘receiving participant’ is used inconsistently throughout</w:t>
      </w:r>
      <w:r>
        <w:t xml:space="preserve"> </w:t>
      </w:r>
      <w:r>
        <w:t xml:space="preserve">the Level 1 and Level 2 texts (…). Without a clear distinction of what provisions relate to which actor in</w:t>
      </w:r>
      <w:r>
        <w:t xml:space="preserve"> </w:t>
      </w:r>
      <w:r>
        <w:t xml:space="preserve">the ‘trade through to settlement chain’ the SDR may be, in its application, fraught with disputes and legal</w:t>
      </w:r>
      <w:r>
        <w:t xml:space="preserve"> </w:t>
      </w:r>
      <w:r>
        <w:t xml:space="preserve">challenges”.</w:t>
      </w:r>
      <w:r>
        <w:t xml:space="preserve"> </w:t>
      </w:r>
      <w:r>
        <w:t xml:space="preserve">170 “CSDR: Settlement discipline regime toolkit”, Deutsche Bank, September 2019.</w:t>
      </w:r>
      <w:r>
        <w:t xml:space="preserve"> </w:t>
      </w:r>
      <w:r>
        <w:t xml:space="preserve">171 Article 25 of the RTS on settlement discipline. According to a joint trade association letter “ […] the</w:t>
      </w:r>
      <w:r>
        <w:t xml:space="preserve"> </w:t>
      </w:r>
      <w:r>
        <w:t xml:space="preserve">implementation of the CSDR mandatory buy-in regime is a significant undertaking for the entire financial</w:t>
      </w:r>
      <w:r>
        <w:t xml:space="preserve"> </w:t>
      </w:r>
      <w:r>
        <w:t xml:space="preserve">market, not only in Europe, but globally. This involves not only extensive system developments, but also</w:t>
      </w:r>
      <w:r>
        <w:t xml:space="preserve"> </w:t>
      </w:r>
      <w:r>
        <w:t xml:space="preserve">major client outreach across multiple markets and jurisdictions to undertake contractual papering and</w:t>
      </w:r>
      <w:r>
        <w:t xml:space="preserve"> </w:t>
      </w:r>
      <w:r>
        <w:t xml:space="preserve">remediation in line with the requirements set out in Article 25 of the Commission Delegated 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2018/1229</w:t>
      </w:r>
      <w:r>
        <w:t xml:space="preserve"> </w:t>
      </w:r>
      <w:r>
        <w:t xml:space="preserve">(‘RTS’)”</w:t>
      </w:r>
      <w:r>
        <w:t xml:space="preserve"> </w:t>
      </w:r>
      <w:r>
        <w:t xml:space="preserve">Joint-Trade-Association-Letter-regarding-Implementation-of-the-CSDR-</w:t>
      </w:r>
      <w:r>
        <w:t xml:space="preserve"> </w:t>
      </w:r>
      <w:r>
        <w:t xml:space="preserve">Settlement-Discipline-Regime_Final.pdf (ebf.eu)</w:t>
      </w:r>
      <w:r>
        <w:t xml:space="preserve"> </w:t>
      </w:r>
      <w:r>
        <w:t xml:space="preserve">172 Association of Global Custodians response to the Commission CSDR targeted consultation, Q. 32.1</w:t>
      </w:r>
      <w:r>
        <w:t xml:space="preserve"> </w:t>
      </w:r>
      <w:r>
        <w:t xml:space="preserve">173 Based on confidential information provided to DG FISMA services.</w:t>
      </w:r>
      <w:r>
        <w:t xml:space="preserve"> </w:t>
      </w:r>
      <w:r>
        <w:t xml:space="preserve">174 Based on confidential information provided to DG FISMA services.</w:t>
      </w:r>
      <w:r>
        <w:br/>
      </w:r>
      <w:r>
        <w:t xml:space="preserve">175 If the settlement of a transaction fails, the receiving party of the transaction is obligated to appoint a buy-in</w:t>
      </w:r>
      <w:r>
        <w:t xml:space="preserve"> </w:t>
      </w:r>
      <w:r>
        <w:t xml:space="preserve">agent to execute a buy-in</w:t>
      </w:r>
      <w:r>
        <w:t xml:space="preserve"> </w:t>
      </w:r>
      <w:r>
        <w:t xml:space="preserve">176 BlackRock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Q.</w:t>
      </w:r>
      <w:r>
        <w:t xml:space="preserve"> </w:t>
      </w:r>
      <w:r>
        <w:t xml:space="preserve">34.1,</w:t>
      </w:r>
      <w:r>
        <w:t xml:space="preserve"> </w:t>
      </w:r>
      <w:r>
        <w:t xml:space="preserve">https://www.blackrock.com/corporate/literature/publication/ec-consultation-on-the-review-of-regulation-</w:t>
      </w:r>
      <w:r>
        <w:t xml:space="preserve"> </w:t>
      </w:r>
      <w:r>
        <w:t xml:space="preserve">on-improving-securities-settlement-in-the-european-union-and-on-central-securities-depositories-</w:t>
      </w:r>
      <w:r>
        <w:t xml:space="preserve"> </w:t>
      </w:r>
      <w:r>
        <w:t xml:space="preserve">020221.pdf.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addition, some stakeholders claim that the current buy-in offering may not be compatible</w:t>
      </w:r>
      <w:r>
        <w:t xml:space="preserve"> </w:t>
      </w:r>
      <w:r>
        <w:t xml:space="preserve">with the diverse needs of market participants.177 Therefore, certain market participants</w:t>
      </w:r>
      <w:r>
        <w:t xml:space="preserve"> </w:t>
      </w:r>
      <w:r>
        <w:t xml:space="preserve">(e.g., asset managers) may have to provide the buy-in agent with sufficient liquidity even</w:t>
      </w:r>
      <w:r>
        <w:t xml:space="preserve"> </w:t>
      </w:r>
      <w:r>
        <w:t xml:space="preserve">if they will use the service rarely.178 Due to the costs and risks linked to the role of buy-in</w:t>
      </w:r>
      <w:r>
        <w:t xml:space="preserve"> </w:t>
      </w:r>
      <w:r>
        <w:t xml:space="preserve">agents, some market-makers traditionally acting as buy-in agents for specific instruments</w:t>
      </w:r>
      <w:r>
        <w:t xml:space="preserve"> </w:t>
      </w:r>
      <w:r>
        <w:t xml:space="preserve">have stopped providing that service. Other concerns related to high costs,179 the potential</w:t>
      </w:r>
      <w:r>
        <w:t xml:space="preserve"> </w:t>
      </w:r>
      <w:r>
        <w:t xml:space="preserve">risk associated with abuse of a dominant position by the agents or the difficulty to</w:t>
      </w:r>
      <w:r>
        <w:t xml:space="preserve"> </w:t>
      </w:r>
      <w:r>
        <w:t xml:space="preserve">execute a buy-in for instruments with limited supply (the use of substitute instruments</w:t>
      </w:r>
      <w:r>
        <w:t xml:space="preserve"> </w:t>
      </w:r>
      <w:r>
        <w:t xml:space="preserve">has been advocated in such a case). These further drive up firms’ compliance costs.</w:t>
      </w:r>
      <w:r>
        <w:t xml:space="preserve"> </w:t>
      </w:r>
      <w:r>
        <w:t xml:space="preserve">2.3.5. Insufficient reporting for third-country CSDs</w:t>
      </w:r>
      <w:r>
        <w:br/>
      </w:r>
      <w:r>
        <w:t xml:space="preserve">Under CSDR, certain third-country CSDs providing services for financial</w:t>
      </w:r>
      <w:r>
        <w:t xml:space="preserve"> </w:t>
      </w:r>
      <w:r>
        <w:t xml:space="preserve">instruments constituted under the law of a Member State could benefit from a</w:t>
      </w:r>
      <w:r>
        <w:t xml:space="preserve"> </w:t>
      </w:r>
      <w:r>
        <w:t xml:space="preserve">lighter regulatory regime. The insufficient reporting by third-country CSDs leads to</w:t>
      </w:r>
      <w:r>
        <w:t xml:space="preserve"> </w:t>
      </w:r>
      <w:r>
        <w:t xml:space="preserve">insufficient insight into their activities (see section 2.2.3), mainly due to two factors.</w:t>
      </w:r>
      <w:r>
        <w:br/>
      </w:r>
      <w:r>
        <w:t xml:space="preserve">First, third-country CSDs180 that provide services in relation to financial instruments</w:t>
      </w:r>
      <w:r>
        <w:t xml:space="preserve"> </w:t>
      </w:r>
      <w:r>
        <w:t xml:space="preserve">constituted under the law of a Member State under the national laws applicable before</w:t>
      </w:r>
      <w:r>
        <w:t xml:space="preserve"> </w:t>
      </w:r>
      <w:r>
        <w:t xml:space="preserve">the adoption of CSDR can continue to do so until they have been recognised by ESMA</w:t>
      </w:r>
      <w:r>
        <w:t xml:space="preserve"> </w:t>
      </w:r>
      <w:r>
        <w:t xml:space="preserve">(the “grandfathering clause”).181 The objective of that clause was to defer application of</w:t>
      </w:r>
      <w:r>
        <w:t xml:space="preserve"> </w:t>
      </w:r>
      <w:r>
        <w:t xml:space="preserve">CSDR to provide CSDs with sufficient time to apply for recognition. However, even</w:t>
      </w:r>
      <w:r>
        <w:t xml:space="preserve"> </w:t>
      </w:r>
      <w:r>
        <w:t xml:space="preserve">though CSDR was adopted in July 2014,182 the grandfathering clause still applies and</w:t>
      </w:r>
      <w:r>
        <w:t xml:space="preserve"> </w:t>
      </w:r>
      <w:r>
        <w:t xml:space="preserve">does not have an end-date.183 This means that third-country CSDs have no incentive to</w:t>
      </w:r>
      <w:r>
        <w:t xml:space="preserve"> </w:t>
      </w:r>
      <w:r>
        <w:t xml:space="preserve">apply for recognition to ESMA. To date, no third-country CSD, other than the UK CSD,</w:t>
      </w:r>
      <w:r>
        <w:t xml:space="preserve"> </w:t>
      </w:r>
      <w:r>
        <w:t xml:space="preserve">has applied for recognition.</w:t>
      </w:r>
      <w:r>
        <w:t xml:space="preserve"> </w:t>
      </w:r>
      <w:r>
        <w:t xml:space="preserve">Under the current regime, third-country CSDs benefiting from the grandfathering clause</w:t>
      </w:r>
      <w:r>
        <w:t xml:space="preserve"> </w:t>
      </w:r>
      <w:r>
        <w:t xml:space="preserve">can indefinitely provide services in relation to financial instruments constituted under</w:t>
      </w:r>
      <w:r>
        <w:t xml:space="preserve"> </w:t>
      </w:r>
      <w:r>
        <w:t xml:space="preserve">the law of a Member State even though: (a) they do not have to comply with CSDR or</w:t>
      </w:r>
      <w:r>
        <w:t xml:space="preserve"> </w:t>
      </w:r>
      <w:r>
        <w:t xml:space="preserve">rules that have been considered as equivalent by the Commission and, (b) they have not</w:t>
      </w:r>
      <w:r>
        <w:t xml:space="preserve"> </w:t>
      </w:r>
      <w:r>
        <w:t xml:space="preserve">been recognised by ESMA - while authorised EU CSDs with which they compete have to</w:t>
      </w:r>
      <w:r>
        <w:t xml:space="preserve"> </w:t>
      </w:r>
      <w:r>
        <w:t xml:space="preserve">comply with CSDR. Third-country CSDs benefiting from the grandfathering clause are</w:t>
      </w:r>
      <w:r>
        <w:t xml:space="preserve"> </w:t>
      </w:r>
      <w:r>
        <w:t xml:space="preserve">also not under any notification requirements regarding their activities in the EU. Hence,</w:t>
      </w:r>
      <w:r>
        <w:t xml:space="preserve"> </w:t>
      </w:r>
      <w:r>
        <w:t xml:space="preserve">they are not required to provide any information to EU authorities.</w:t>
      </w:r>
      <w:r>
        <w:t xml:space="preserve"> </w:t>
      </w:r>
      <w:r>
        <w:t xml:space="preserve">Second, settlement services are outside the scope of the CSDR third-country regime.</w:t>
      </w:r>
      <w:r>
        <w:t xml:space="preserve"> </w:t>
      </w:r>
      <w:r>
        <w:t xml:space="preserve">Under CSDR,184 third-country CSDs that do not benefit from the grandfathering clause,</w:t>
      </w:r>
    </w:p>
    <w:p>
      <w:pPr>
        <w:pStyle w:val="BodyText"/>
      </w:pPr>
      <w:r>
        <w:t xml:space="preserve">177 Confidential information provided to DG FISMA services. Some asset management firms claim that</w:t>
      </w:r>
      <w:r>
        <w:t xml:space="preserve"> </w:t>
      </w:r>
      <w:r>
        <w:t xml:space="preserve">because no transactions are concluded on asset managers’ own accounts, (they are all executed as an agent</w:t>
      </w:r>
      <w:r>
        <w:t xml:space="preserve"> </w:t>
      </w:r>
      <w:r>
        <w:t xml:space="preserve">for fund and client accounts), all fund and client accounts globally have to be on-boarded with the buy-in</w:t>
      </w:r>
      <w:r>
        <w:t xml:space="preserve"> </w:t>
      </w:r>
      <w:r>
        <w:t xml:space="preserve">agent even though only a fraction of these accounts may ever require a buy-in. This requires prefunding</w:t>
      </w:r>
      <w:r>
        <w:t xml:space="preserve"> </w:t>
      </w:r>
      <w:r>
        <w:t xml:space="preserve">ahead of the execution of a buy-in.</w:t>
      </w:r>
      <w:r>
        <w:t xml:space="preserve"> </w:t>
      </w:r>
      <w:r>
        <w:t xml:space="preserve">178 Confidential information provided to DG FISMA services.</w:t>
      </w:r>
      <w:r>
        <w:t xml:space="preserve"> </w:t>
      </w:r>
      <w:r>
        <w:t xml:space="preserve">179 Confidential information provided to DG FISMA services.</w:t>
      </w:r>
      <w:r>
        <w:br/>
      </w:r>
      <w:r>
        <w:t xml:space="preserve">180 It is worth noting that both third-country CSDs and EU CSDs can benefit from the grandfathering clause.</w:t>
      </w:r>
      <w:r>
        <w:t xml:space="preserve"> </w:t>
      </w:r>
      <w:r>
        <w:t xml:space="preserve">As of May 2021, to our knowledge, CSDs of one Member State and one EEA country are still operating</w:t>
      </w:r>
      <w:r>
        <w:t xml:space="preserve"> </w:t>
      </w:r>
      <w:r>
        <w:t xml:space="preserve">under the grandfathering clause.</w:t>
      </w:r>
      <w:r>
        <w:br/>
      </w:r>
      <w:r>
        <w:t xml:space="preserve">181 Article 69(4) of CSDR.</w:t>
      </w:r>
      <w:r>
        <w:t xml:space="preserve"> </w:t>
      </w:r>
      <w:r>
        <w:t xml:space="preserve">182 However, please note that the deadline to apply CSDR in EEA countries was 30 June 2020.</w:t>
      </w:r>
      <w:r>
        <w:t xml:space="preserve"> </w:t>
      </w:r>
      <w:r>
        <w:t xml:space="preserve">183 As an exception, in Liechtenstein the grandfathering clause for third-country CSDs providing services</w:t>
      </w:r>
      <w:r>
        <w:t xml:space="preserve"> </w:t>
      </w:r>
      <w:r>
        <w:t xml:space="preserve">therein (i.e. Six, the Swiss CSD) ends 5 years after the date of entry into force of Council Decision (EU)</w:t>
      </w:r>
      <w:r>
        <w:t xml:space="preserve"> </w:t>
      </w:r>
      <w:r>
        <w:t xml:space="preserve">2019/134.</w:t>
      </w:r>
      <w:r>
        <w:t xml:space="preserve"> </w:t>
      </w:r>
      <w:r>
        <w:t xml:space="preserve">184 Article 25 of CSDR.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may provide services in relation to financial instruments issued under the law of a</w:t>
      </w:r>
      <w:r>
        <w:t xml:space="preserve"> </w:t>
      </w:r>
      <w:r>
        <w:t xml:space="preserve">Member State, including through setting up a branch, only if they comply with the CSDR</w:t>
      </w:r>
      <w:r>
        <w:t xml:space="preserve"> </w:t>
      </w:r>
      <w:r>
        <w:t xml:space="preserve">third-country framework. Requirements applying to third-country CSDs differ however</w:t>
      </w:r>
      <w:r>
        <w:t xml:space="preserve"> </w:t>
      </w:r>
      <w:r>
        <w:t xml:space="preserve">depending on the type of service (notary, central maintenance, settlement) they intend</w:t>
      </w:r>
      <w:r>
        <w:t xml:space="preserve"> </w:t>
      </w:r>
      <w:r>
        <w:t xml:space="preserve">to provide. A recognition by ESMA is required for notary or central maintenance</w:t>
      </w:r>
      <w:r>
        <w:t xml:space="preserve"> </w:t>
      </w:r>
      <w:r>
        <w:t xml:space="preserve">services; a condition of this recognition is that the Commission has adopted an</w:t>
      </w:r>
      <w:r>
        <w:t xml:space="preserve"> </w:t>
      </w:r>
      <w:r>
        <w:t xml:space="preserve">equivalence decision, determining that the legal and supervisory arrangements of the</w:t>
      </w:r>
      <w:r>
        <w:t xml:space="preserve"> </w:t>
      </w:r>
      <w:r>
        <w:t xml:space="preserve">third country ensure that CSDs authorised therein comply with legally binding</w:t>
      </w:r>
      <w:r>
        <w:t xml:space="preserve"> </w:t>
      </w:r>
      <w:r>
        <w:t xml:space="preserve">requirements which are in effect equivalent to the requirements of CSDR. Settlement</w:t>
      </w:r>
      <w:r>
        <w:t xml:space="preserve"> </w:t>
      </w:r>
      <w:r>
        <w:t xml:space="preserve">services provided by third-country CSDs do not require recognition by ESMA.</w:t>
      </w:r>
      <w:r>
        <w:br/>
      </w:r>
      <w:r>
        <w:t xml:space="preserve">Despite the fact that settlement is one of the three core services provided by CSDs, third-</w:t>
      </w:r>
      <w:r>
        <w:t xml:space="preserve"> </w:t>
      </w:r>
      <w:r>
        <w:t xml:space="preserve">country CSDs may provide settlement services for securities issued under the law of a</w:t>
      </w:r>
      <w:r>
        <w:t xml:space="preserve"> </w:t>
      </w:r>
      <w:r>
        <w:t xml:space="preserve">Member State without applying for recognition by ESMA. In that case, third-country</w:t>
      </w:r>
      <w:r>
        <w:t xml:space="preserve"> </w:t>
      </w:r>
      <w:r>
        <w:t xml:space="preserve">CSDs do not have to comply with CSDR or at least equivalent rules nor are they required</w:t>
      </w:r>
      <w:r>
        <w:t xml:space="preserve"> </w:t>
      </w:r>
      <w:r>
        <w:t xml:space="preserve">to provide any information or notification regarding their activity. They are also not</w:t>
      </w:r>
      <w:r>
        <w:t xml:space="preserve"> </w:t>
      </w:r>
      <w:r>
        <w:t xml:space="preserve">subject to any type of supervisory activity by an EU supervisor.</w:t>
      </w:r>
      <w:r>
        <w:br/>
      </w:r>
      <w:r>
        <w:t xml:space="preserve">To conclude, third-country CSDs operating in the EU under the grandfathering clause or</w:t>
      </w:r>
      <w:r>
        <w:t xml:space="preserve"> </w:t>
      </w:r>
      <w:r>
        <w:t xml:space="preserve">providing settlement services might not comply with CSDR or equivalent rules. National</w:t>
      </w:r>
      <w:r>
        <w:t xml:space="preserve"> </w:t>
      </w:r>
      <w:r>
        <w:t xml:space="preserve">and EU authorities have very little information on the activities of these third-</w:t>
      </w:r>
      <w:r>
        <w:t xml:space="preserve"> </w:t>
      </w:r>
      <w:r>
        <w:t xml:space="preserve">country CSDs, as confirmed also by ESMA.185</w:t>
      </w:r>
      <w:r>
        <w:t xml:space="preserve"> </w:t>
      </w:r>
      <w:r>
        <w:t xml:space="preserve">2.4. How will the problem evolve?</w:t>
      </w:r>
      <w:r>
        <w:t xml:space="preserve"> </w:t>
      </w:r>
      <w:r>
        <w:t xml:space="preserve">2.4.1. Ongoing inefficiencies in the EU settlement market</w:t>
      </w:r>
      <w:r>
        <w:t xml:space="preserve"> </w:t>
      </w:r>
      <w:r>
        <w:t xml:space="preserve">The ongoing inefficiencies in the EU settlement market stem from two main problems:</w:t>
      </w:r>
      <w:r>
        <w:t xml:space="preserve"> </w:t>
      </w:r>
      <w:r>
        <w:t xml:space="preserve">barriers to cross border settlement (see section 2.2.1) and disproportionate compliance</w:t>
      </w:r>
      <w:r>
        <w:t xml:space="preserve"> </w:t>
      </w:r>
      <w:r>
        <w:t xml:space="preserve">costs (see section 2.2.2).</w:t>
      </w:r>
      <w:r>
        <w:t xml:space="preserve"> </w:t>
      </w:r>
      <w:r>
        <w:t xml:space="preserve">Under a baseline scenario, CSDR is unchanged, barriers to cross-border settlement</w:t>
      </w:r>
      <w:r>
        <w:t xml:space="preserve"> </w:t>
      </w:r>
      <w:r>
        <w:t xml:space="preserve">through: burdensome passporting requirements; insufficient coordination among</w:t>
      </w:r>
      <w:r>
        <w:t xml:space="preserve"> </w:t>
      </w:r>
      <w:r>
        <w:t xml:space="preserve">authorities; burdensome, even restrictive, requirements for the provision of banking</w:t>
      </w:r>
      <w:r>
        <w:t xml:space="preserve"> </w:t>
      </w:r>
      <w:r>
        <w:t xml:space="preserve">services; and a disproportionate settlement discipline regime would remain.</w:t>
      </w:r>
      <w:r>
        <w:br/>
      </w:r>
      <w:r>
        <w:t xml:space="preserve">Competition among CSDs within the EU would not improve. For example, challenges</w:t>
      </w:r>
      <w:r>
        <w:t xml:space="preserve"> </w:t>
      </w:r>
      <w:r>
        <w:t xml:space="preserve">accessing banking services and in particular settling in foreign currencies would reduce</w:t>
      </w:r>
      <w:r>
        <w:t xml:space="preserve"> </w:t>
      </w:r>
      <w:r>
        <w:t xml:space="preserve">the possibility of CSDs offering multi-currency services therefore reducing their</w:t>
      </w:r>
      <w:r>
        <w:t xml:space="preserve"> </w:t>
      </w:r>
      <w:r>
        <w:t xml:space="preserve">attractiveness. Consequently, cross-border investment will remain at a lower level than</w:t>
      </w:r>
      <w:r>
        <w:t xml:space="preserve"> </w:t>
      </w:r>
      <w:r>
        <w:t xml:space="preserve">could otherwise be achieved, leading to a sub-optimal pan-EU settlement market.</w:t>
      </w:r>
      <w:r>
        <w:br/>
      </w:r>
      <w:r>
        <w:t xml:space="preserve">The entry into application of mandatory buy-ins could further increase the costs for</w:t>
      </w:r>
      <w:r>
        <w:t xml:space="preserve"> </w:t>
      </w:r>
      <w:r>
        <w:t xml:space="preserve">CSDs, investors and market makers (see section 2.3.4). This could lead to a reduced</w:t>
      </w:r>
      <w:r>
        <w:t xml:space="preserve"> </w:t>
      </w:r>
      <w:r>
        <w:t xml:space="preserve">willingness by liquidity providers to create markets and offer prices for a security when</w:t>
      </w:r>
      <w:r>
        <w:t xml:space="preserve"> </w:t>
      </w:r>
      <w:r>
        <w:t xml:space="preserve">they do not have access to inventory or for securities which cannot be readily sourced.</w:t>
      </w:r>
      <w:r>
        <w:t xml:space="preserve"> </w:t>
      </w:r>
      <w:r>
        <w:t xml:space="preserve">Market makers will find price-setting complicated for these instruments as it is unclear</w:t>
      </w:r>
      <w:r>
        <w:t xml:space="preserve"> </w:t>
      </w:r>
      <w:r>
        <w:t xml:space="preserve">whether the trade will be subject to a mandatory buy-in. This could also lead to increased</w:t>
      </w:r>
      <w:r>
        <w:t xml:space="preserve"> </w:t>
      </w:r>
      <w:r>
        <w:t xml:space="preserve">higher bid-offer spreads for investors as market makers hedge risks related to such</w:t>
      </w:r>
      <w:r>
        <w:t xml:space="preserve"> </w:t>
      </w:r>
      <w:r>
        <w:t xml:space="preserve">difficulty to set prices of less liquid instruments. This, in particular, could affect</w:t>
      </w:r>
      <w:r>
        <w:t xml:space="preserve"> </w:t>
      </w:r>
      <w:r>
        <w:t xml:space="preserve">negatively less liquid instruments and even lead to a substantial drop of liquidity, as</w:t>
      </w:r>
      <w:r>
        <w:t xml:space="preserve"> </w:t>
      </w:r>
      <w:r>
        <w:t xml:space="preserve">market makers withdraw from making markets for these instruments.</w:t>
      </w:r>
    </w:p>
    <w:p>
      <w:pPr>
        <w:pStyle w:val="BodyText"/>
      </w:pPr>
      <w:r>
        <w:t xml:space="preserve">185 ESMA letter to the Commission (see note 133).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EU post-trade landscape will remain fragmented along national lines, impairing</w:t>
      </w:r>
      <w:r>
        <w:t xml:space="preserve"> </w:t>
      </w:r>
      <w:r>
        <w:t xml:space="preserve">cross-border investment due to additional costs caused by added complexity relative to</w:t>
      </w:r>
      <w:r>
        <w:t xml:space="preserve"> </w:t>
      </w:r>
      <w:r>
        <w:t xml:space="preserve">other jurisdictions, e.g. the US and the UK. Transaction costs in the EU could increase</w:t>
      </w:r>
      <w:r>
        <w:t xml:space="preserve"> </w:t>
      </w:r>
      <w:r>
        <w:t xml:space="preserve">with full entry into force of the settlement discipline regime (see section 2.2.1).</w:t>
      </w:r>
      <w:r>
        <w:br/>
      </w:r>
      <w:r>
        <w:t xml:space="preserve">If nothing is done, it will continue to be easier to do business outside the EU than within</w:t>
      </w:r>
      <w:r>
        <w:t xml:space="preserve"> </w:t>
      </w:r>
      <w:r>
        <w:t xml:space="preserve">the EU. Participants will increasingly be attracted to issuing their securities and settling</w:t>
      </w:r>
      <w:r>
        <w:t xml:space="preserve"> </w:t>
      </w:r>
      <w:r>
        <w:t xml:space="preserve">in non-EU 27 countries as EU CSDs’ ability to offer a wide range of services including</w:t>
      </w:r>
      <w:r>
        <w:t xml:space="preserve"> </w:t>
      </w:r>
      <w:r>
        <w:t xml:space="preserve">in different currencies is limited by burdensome passporting processes and restrictive</w:t>
      </w:r>
      <w:r>
        <w:t xml:space="preserve"> </w:t>
      </w:r>
      <w:r>
        <w:t xml:space="preserve">requirements for the settlement in commercial bank money. In addition, lending market</w:t>
      </w:r>
      <w:r>
        <w:t xml:space="preserve"> </w:t>
      </w:r>
      <w:r>
        <w:t xml:space="preserve">participants may increase the amount of stock they hold back as buffer by up to 10% to</w:t>
      </w:r>
      <w:r>
        <w:t xml:space="preserve"> </w:t>
      </w:r>
      <w:r>
        <w:t xml:space="preserve">reduce the risk of buy-ins.186 This would represent a fall of EUR 398 billion in securities</w:t>
      </w:r>
      <w:r>
        <w:t xml:space="preserve"> </w:t>
      </w:r>
      <w:r>
        <w:t xml:space="preserve">available to facilitate market liquidity and banking financing activities.187</w:t>
      </w:r>
      <w:r>
        <w:br/>
      </w:r>
      <w:r>
        <w:t xml:space="preserve">Together these impacts negatively impact the safety and efficiency of EU financial</w:t>
      </w:r>
      <w:r>
        <w:t xml:space="preserve"> </w:t>
      </w:r>
      <w:r>
        <w:t xml:space="preserve">markets, limiting the potential benefits of a larger-scale integrated EU market. They</w:t>
      </w:r>
      <w:r>
        <w:t xml:space="preserve"> </w:t>
      </w:r>
      <w:r>
        <w:t xml:space="preserve">would be to the detriment of the EU financial system as a crucial building block of CMU</w:t>
      </w:r>
      <w:r>
        <w:t xml:space="preserve"> </w:t>
      </w:r>
      <w:r>
        <w:t xml:space="preserve">would perform sub-optimally, to the detriment of EU investors and businesses.</w:t>
      </w:r>
      <w:r>
        <w:t xml:space="preserve"> </w:t>
      </w:r>
      <w:r>
        <w:t xml:space="preserve">2.4.2. Negative impacts on stability of EU financial markets</w:t>
      </w:r>
      <w:r>
        <w:t xml:space="preserve"> </w:t>
      </w:r>
      <w:r>
        <w:t xml:space="preserve">The negative impacts of CSDR on the stability of EU financial markets stem from three</w:t>
      </w:r>
      <w:r>
        <w:t xml:space="preserve"> </w:t>
      </w:r>
      <w:r>
        <w:t xml:space="preserve">main problems: barriers to cross border settlement (see section 2.2.1), insufficient insight</w:t>
      </w:r>
      <w:r>
        <w:t xml:space="preserve"> </w:t>
      </w:r>
      <w:r>
        <w:t xml:space="preserve">on third-country CSDs activities (see section 2.2.3) and disproportionate compliance</w:t>
      </w:r>
      <w:r>
        <w:t xml:space="preserve"> </w:t>
      </w:r>
      <w:r>
        <w:t xml:space="preserve">costs (see section 2.2.2).</w:t>
      </w:r>
      <w:r>
        <w:t xml:space="preserve"> </w:t>
      </w:r>
      <w:r>
        <w:t xml:space="preserve">First, cross-border settlement remains difficult, limiting competition in the EU,</w:t>
      </w:r>
      <w:r>
        <w:t xml:space="preserve"> </w:t>
      </w:r>
      <w:r>
        <w:t xml:space="preserve">hampering the development of CMU. Inability to ensure swift cross-border settlement</w:t>
      </w:r>
      <w:r>
        <w:t xml:space="preserve"> </w:t>
      </w:r>
      <w:r>
        <w:t xml:space="preserve">may restrict activity to national capital markets, which would make them more</w:t>
      </w:r>
      <w:r>
        <w:t xml:space="preserve"> </w:t>
      </w:r>
      <w:r>
        <w:t xml:space="preserve">vulnerable to country-specific asymmetric shocks that may over time endanger the</w:t>
      </w:r>
      <w:r>
        <w:t xml:space="preserve"> </w:t>
      </w:r>
      <w:r>
        <w:t xml:space="preserve">stability of the EU capital market. If nothing is done, CSDs will continue to find</w:t>
      </w:r>
      <w:r>
        <w:t xml:space="preserve"> </w:t>
      </w:r>
      <w:r>
        <w:t xml:space="preserve">providing cross-border services difficult. The level of cross-border activity will remain</w:t>
      </w:r>
      <w:r>
        <w:t xml:space="preserve"> </w:t>
      </w:r>
      <w:r>
        <w:t xml:space="preserve">reduced, limiting competition and entrenching fragmentation of EU capital markets along</w:t>
      </w:r>
      <w:r>
        <w:t xml:space="preserve"> </w:t>
      </w:r>
      <w:r>
        <w:t xml:space="preserve">national borders, potentially exposing EU capital markets to asymmetric shocks, in</w:t>
      </w:r>
      <w:r>
        <w:t xml:space="preserve"> </w:t>
      </w:r>
      <w:r>
        <w:t xml:space="preserve">particular for some shallow national markets that cannot rely on abundant liquidity.</w:t>
      </w:r>
      <w:r>
        <w:br/>
      </w:r>
      <w:r>
        <w:t xml:space="preserve">Second, the insufficient insight into third-country CSDs’ activities could potentially</w:t>
      </w:r>
      <w:r>
        <w:t xml:space="preserve"> </w:t>
      </w:r>
      <w:r>
        <w:t xml:space="preserve">lead to financial stability risks. EU and national authorities alike currently do not have</w:t>
      </w:r>
      <w:r>
        <w:t xml:space="preserve"> </w:t>
      </w:r>
      <w:r>
        <w:t xml:space="preserve">information on most third-country CSDs activities in the EU; this means that they cannot</w:t>
      </w:r>
      <w:r>
        <w:t xml:space="preserve"> </w:t>
      </w:r>
      <w:r>
        <w:t xml:space="preserve">evaluate whether any of these CSDs are important for the EU financial stability, which in</w:t>
      </w:r>
      <w:r>
        <w:t xml:space="preserve"> </w:t>
      </w:r>
      <w:r>
        <w:t xml:space="preserve">itself creates a potential risk to financial stability. If nothing is done, this risk will persist.</w:t>
      </w:r>
      <w:r>
        <w:t xml:space="preserve"> </w:t>
      </w:r>
      <w:r>
        <w:t xml:space="preserve">Furthermore, market participants may choose to use the services of third-country CSDs</w:t>
      </w:r>
      <w:r>
        <w:t xml:space="preserve"> </w:t>
      </w:r>
      <w:r>
        <w:t xml:space="preserve">outside the transparency arrangements set by CSDR, potentially allowing for a build-up</w:t>
      </w:r>
      <w:r>
        <w:t xml:space="preserve"> </w:t>
      </w:r>
      <w:r>
        <w:t xml:space="preserve">of risk that may threaten the stability of the EU capital market.</w:t>
      </w:r>
      <w:r>
        <w:br/>
      </w:r>
      <w:r>
        <w:t xml:space="preserve">Third, if no specialised credit institution can provide access to commercial bank money</w:t>
      </w:r>
      <w:r>
        <w:t xml:space="preserve"> </w:t>
      </w:r>
      <w:r>
        <w:t xml:space="preserve">to CSDs under the CSDR due to disproportionate compliance costs, the risk is that non-</w:t>
      </w:r>
      <w:r>
        <w:t xml:space="preserve"> </w:t>
      </w:r>
      <w:r>
        <w:t xml:space="preserve">bank CSDs may not be able to provide DvP settlement in foreign currencies to their</w:t>
      </w:r>
      <w:r>
        <w:t xml:space="preserve"> </w:t>
      </w:r>
      <w:r>
        <w:t xml:space="preserve">participants. This could lead to transactions being processed free of payment instead</w:t>
      </w:r>
      <w:r>
        <w:t xml:space="preserve"> </w:t>
      </w:r>
      <w:r>
        <w:t xml:space="preserve">of versus payment, leading to less safe markets and undermining the CSDR’s</w:t>
      </w:r>
      <w:r>
        <w:t xml:space="preserve"> </w:t>
      </w:r>
      <w:r>
        <w:t xml:space="preserve">objective of promoting DvP settlement. The decrease in foreign currency settlement at</w:t>
      </w:r>
    </w:p>
    <w:p>
      <w:pPr>
        <w:pStyle w:val="BodyText"/>
      </w:pPr>
      <w:r>
        <w:t xml:space="preserve">186 Based on confidential data provided to DG FISMA services.</w:t>
      </w:r>
      <w:r>
        <w:t xml:space="preserve"> </w:t>
      </w:r>
      <w:r>
        <w:t xml:space="preserve">187 Based on confidential data provided to DG FISMA services.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non-bank CSDs would constitute a step backwards if it results in the settlement of these</w:t>
      </w:r>
      <w:r>
        <w:t xml:space="preserve"> </w:t>
      </w:r>
      <w:r>
        <w:t xml:space="preserve">transactions outside CSDs.188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CSDR has a comprehensive regulatory framework for the settlement of financial</w:t>
      </w:r>
      <w:r>
        <w:t xml:space="preserve"> </w:t>
      </w:r>
      <w:r>
        <w:t xml:space="preserve">instruments in the EU as well as common rules on the organisation and conduct of CSDs</w:t>
      </w:r>
      <w:r>
        <w:t xml:space="preserve"> </w:t>
      </w:r>
      <w:r>
        <w:t xml:space="preserve">to promote safe, efficient and smooth settlement. The legal basis for CSDR was Article</w:t>
      </w:r>
      <w:r>
        <w:t xml:space="preserve"> </w:t>
      </w:r>
      <w:r>
        <w:t xml:space="preserve">114 of the Treaty on the Functioning of the European Union (TFEU) as it aimed to create</w:t>
      </w:r>
      <w:r>
        <w:t xml:space="preserve"> </w:t>
      </w:r>
      <w:r>
        <w:t xml:space="preserve">an integrated market for securities settlement with no distinction between national and</w:t>
      </w:r>
      <w:r>
        <w:t xml:space="preserve"> </w:t>
      </w:r>
      <w:r>
        <w:t xml:space="preserve">cross-border securities transactions. Considering that this initiative proposes policy</w:t>
      </w:r>
      <w:r>
        <w:t xml:space="preserve"> </w:t>
      </w:r>
      <w:r>
        <w:t xml:space="preserve">actions to allow the achievement of these objectives more effectively and efficiently,</w:t>
      </w:r>
      <w:r>
        <w:t xml:space="preserve"> </w:t>
      </w:r>
      <w:r>
        <w:t xml:space="preserve">amendments to CSDR would be adopted under the same legal basis.</w:t>
      </w:r>
      <w:r>
        <w:t xml:space="preserve"> </w:t>
      </w:r>
      <w:r>
        <w:t xml:space="preserve">3.2. Subsidiarity: Necessity of EU action</w:t>
      </w:r>
      <w:r>
        <w:br/>
      </w:r>
      <w:r>
        <w:t xml:space="preserve">The review could amend certain provisions of CSDR, in particular to clarify and simplify</w:t>
      </w:r>
      <w:r>
        <w:t xml:space="preserve"> </w:t>
      </w:r>
      <w:r>
        <w:t xml:space="preserve">burdensome and unclear requirements, reduce administrative burden and costs, and</w:t>
      </w:r>
      <w:r>
        <w:t xml:space="preserve"> </w:t>
      </w:r>
      <w:r>
        <w:t xml:space="preserve">ensure that authorities have enough information to monitor risks. EU action should</w:t>
      </w:r>
      <w:r>
        <w:t xml:space="preserve"> </w:t>
      </w:r>
      <w:r>
        <w:t xml:space="preserve">therefore ensure that CSDR’s regulatory requirements are more effective, efficient and</w:t>
      </w:r>
      <w:r>
        <w:t xml:space="preserve"> </w:t>
      </w:r>
      <w:r>
        <w:t xml:space="preserve">proportionate, are applied uniformly, and guarantee a sound and consistent regulatory</w:t>
      </w:r>
      <w:r>
        <w:t xml:space="preserve"> </w:t>
      </w:r>
      <w:r>
        <w:t xml:space="preserve">framework for securities settlement in the EU and the operations of CSDs, both of which</w:t>
      </w:r>
      <w:r>
        <w:t xml:space="preserve"> </w:t>
      </w:r>
      <w:r>
        <w:t xml:space="preserve">are essential foundation stones for the development of CMU as well as to ensure a safe</w:t>
      </w:r>
      <w:r>
        <w:t xml:space="preserve"> </w:t>
      </w:r>
      <w:r>
        <w:t xml:space="preserve">and efficient single market for financial services.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The 2020 CMU Action Plan189 explicitly acknowledged that amending CSDR could help</w:t>
      </w:r>
      <w:r>
        <w:t xml:space="preserve"> </w:t>
      </w:r>
      <w:r>
        <w:t xml:space="preserve">develop a more integrated post-trading landscape in the EU and thus contribute to the</w:t>
      </w:r>
      <w:r>
        <w:t xml:space="preserve"> </w:t>
      </w:r>
      <w:r>
        <w:t xml:space="preserve">development of CMU. The objectives of CSDR, namely to lay down uniform</w:t>
      </w:r>
      <w:r>
        <w:t xml:space="preserve"> </w:t>
      </w:r>
      <w:r>
        <w:t xml:space="preserve">requirements for the settlement of financial instruments in the EU and rules on the</w:t>
      </w:r>
      <w:r>
        <w:t xml:space="preserve"> </w:t>
      </w:r>
      <w:r>
        <w:t xml:space="preserve">organisation and conduct of CSDs, to promote safe, efficient and smooth settlement</w:t>
      </w:r>
      <w:r>
        <w:t xml:space="preserve"> </w:t>
      </w:r>
      <w:r>
        <w:t xml:space="preserve">cannot be sufficiently achieved by the Member States alone, as the co-legislators already</w:t>
      </w:r>
      <w:r>
        <w:t xml:space="preserve"> </w:t>
      </w:r>
      <w:r>
        <w:t xml:space="preserve">acknowledged in 2014 when adopting CSDR. Similarly, today Member States and</w:t>
      </w:r>
      <w:r>
        <w:t xml:space="preserve"> </w:t>
      </w:r>
      <w:r>
        <w:t xml:space="preserve">national supervisors cannot solve on their own the challenges arising from the</w:t>
      </w:r>
      <w:r>
        <w:t xml:space="preserve"> </w:t>
      </w:r>
      <w:r>
        <w:t xml:space="preserve">burdensome and unclear CSDR requirements or the risks resulting from diverging</w:t>
      </w:r>
      <w:r>
        <w:t xml:space="preserve"> </w:t>
      </w:r>
      <w:r>
        <w:t xml:space="preserve">national supervisory practices, in particular where those stem from primary or secondary</w:t>
      </w:r>
      <w:r>
        <w:t xml:space="preserve"> </w:t>
      </w:r>
      <w:r>
        <w:t xml:space="preserve">legislation. In addition, Member States and national authorities cannot address on their</w:t>
      </w:r>
      <w:r>
        <w:t xml:space="preserve"> </w:t>
      </w:r>
      <w:r>
        <w:t xml:space="preserve">own the risk to the EU financial stability that the lack of information on the activities of</w:t>
      </w:r>
      <w:r>
        <w:t xml:space="preserve"> </w:t>
      </w:r>
      <w:r>
        <w:t xml:space="preserve">third-country CSDs may pose, as the conditions for the regime are contained in CSDR.</w:t>
      </w:r>
      <w:r>
        <w:br/>
      </w:r>
      <w:r>
        <w:t xml:space="preserve">As such, the objectives of CSDR cannot be sufficiently achieved by the Member States</w:t>
      </w:r>
      <w:r>
        <w:t xml:space="preserve"> </w:t>
      </w:r>
      <w:r>
        <w:t xml:space="preserve">and can therefore, by reason of the scale of actions, be better achieved at EU level in</w:t>
      </w:r>
      <w:r>
        <w:t xml:space="preserve"> </w:t>
      </w:r>
      <w:r>
        <w:t xml:space="preserve">accordance with the principle of subsidiarity as set out in Article 5 of the TEU.</w:t>
      </w:r>
    </w:p>
    <w:p>
      <w:pPr>
        <w:pStyle w:val="BodyText"/>
      </w:pPr>
      <w:r>
        <w:t xml:space="preserve">188 European Post-Trade Forum Report, (see note 11), p. 117.</w:t>
      </w:r>
      <w:r>
        <w:t xml:space="preserve"> </w:t>
      </w:r>
      <w:r>
        <w:t xml:space="preserve">189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 of CSDR remains to create a safe and efficient market for the</w:t>
      </w:r>
      <w:r>
        <w:t xml:space="preserve"> </w:t>
      </w:r>
      <w:r>
        <w:t xml:space="preserve">settlement of securities transactions in the EU. This could be achieved by enhancing</w:t>
      </w:r>
      <w:r>
        <w:t xml:space="preserve"> </w:t>
      </w:r>
      <w:r>
        <w:t xml:space="preserve">cross-border competition between CSDs, improved risk monitoring for EU and non-EU</w:t>
      </w:r>
      <w:r>
        <w:t xml:space="preserve"> </w:t>
      </w:r>
      <w:r>
        <w:t xml:space="preserve">CSDs, more efficient supervisory cooperation and reduced compliance costs, where</w:t>
      </w:r>
      <w:r>
        <w:t xml:space="preserve"> </w:t>
      </w:r>
      <w:r>
        <w:t xml:space="preserve">appropriate, for post-trade service providers, market participants and competent</w:t>
      </w:r>
      <w:r>
        <w:t xml:space="preserve"> </w:t>
      </w:r>
      <w:r>
        <w:t xml:space="preserve">authorities. The benefits should however not come at the expense of the resilience and</w:t>
      </w:r>
      <w:r>
        <w:t xml:space="preserve"> </w:t>
      </w:r>
      <w:r>
        <w:t xml:space="preserve">stability of the EU financial system. In this respect, the present initiative aims to render</w:t>
      </w:r>
      <w:r>
        <w:t xml:space="preserve"> </w:t>
      </w:r>
      <w:r>
        <w:t xml:space="preserve">the application of CSDR more proportionate, effective and efficient and, by fine-tuning</w:t>
      </w:r>
      <w:r>
        <w:t xml:space="preserve"> </w:t>
      </w:r>
      <w:r>
        <w:t xml:space="preserve">certain requirements, to reduce the regulatory and compliance burden for market</w:t>
      </w:r>
      <w:r>
        <w:t xml:space="preserve"> </w:t>
      </w:r>
      <w:r>
        <w:t xml:space="preserve">participants where compliance costs outweigh benefits, but without endangering financial</w:t>
      </w:r>
      <w:r>
        <w:t xml:space="preserve"> </w:t>
      </w:r>
      <w:r>
        <w:t xml:space="preserve">stability. The initiative thus contributes to the Commission’s Better Regulation Agenda</w:t>
      </w:r>
      <w:r>
        <w:t xml:space="preserve"> </w:t>
      </w:r>
      <w:r>
        <w:t xml:space="preserve">and the Regulatory Fitness and Performance (REFIT) programme.</w:t>
      </w:r>
      <w:r>
        <w:br/>
      </w:r>
      <w:r>
        <w:t xml:space="preserve">The overarching policy objective will be achieved via the pursuit of the following</w:t>
      </w:r>
      <w:r>
        <w:t xml:space="preserve"> </w:t>
      </w:r>
      <w:r>
        <w:t xml:space="preserve">specific objectives:</w:t>
      </w:r>
      <w:r>
        <w:t xml:space="preserve"> </w:t>
      </w:r>
      <w:r>
        <w:t xml:space="preserve"> Minimise barriers to cross border settlement;</w:t>
      </w:r>
      <w:r>
        <w:t xml:space="preserve"> </w:t>
      </w:r>
      <w:r>
        <w:t xml:space="preserve"> Ensure adequate powers and information to monitor risks;</w:t>
      </w:r>
      <w:r>
        <w:t xml:space="preserve"> </w:t>
      </w:r>
      <w:r>
        <w:t xml:space="preserve"> Reduce administrative burden and compliance costs, without endangering</w:t>
      </w:r>
      <w:r>
        <w:t xml:space="preserve"> </w:t>
      </w:r>
      <w:r>
        <w:t xml:space="preserve">financial stability;</w:t>
      </w:r>
      <w:r>
        <w:t xml:space="preserve"> </w:t>
      </w:r>
      <w:r>
        <w:t xml:space="preserve">This initiative is also in line with the objectives of the CMU. Efficient and resilient post-</w:t>
      </w:r>
      <w:r>
        <w:t xml:space="preserve"> </w:t>
      </w:r>
      <w:r>
        <w:t xml:space="preserve">trading systems are essential elements for the well-functioning of the CMU. Better means</w:t>
      </w:r>
      <w:r>
        <w:t xml:space="preserve"> </w:t>
      </w:r>
      <w:r>
        <w:t xml:space="preserve">of cooperation between competent authorities, streamlined procedures, better access to</w:t>
      </w:r>
      <w:r>
        <w:t xml:space="preserve"> </w:t>
      </w:r>
      <w:r>
        <w:t xml:space="preserve">liquidity for CSDs and credit institutions will contribute to integrating the EU capital</w:t>
      </w:r>
      <w:r>
        <w:t xml:space="preserve"> </w:t>
      </w:r>
      <w:r>
        <w:t xml:space="preserve">market, that is currently fragmented along national lines, will strengthen cross-border</w:t>
      </w:r>
      <w:r>
        <w:t xml:space="preserve"> </w:t>
      </w:r>
      <w:r>
        <w:t xml:space="preserve">investment and will lower investment costs for market participants while ensuring that</w:t>
      </w:r>
      <w:r>
        <w:t xml:space="preserve"> </w:t>
      </w:r>
      <w:r>
        <w:t xml:space="preserve">the associated risks are contained and managed. Effective and efficient CSDR rules thus</w:t>
      </w:r>
      <w:r>
        <w:t xml:space="preserve"> </w:t>
      </w:r>
      <w:r>
        <w:t xml:space="preserve">contribute to achieving the objectives of the CMU and help making post-trade markets an</w:t>
      </w:r>
      <w:r>
        <w:t xml:space="preserve"> </w:t>
      </w:r>
      <w:r>
        <w:t xml:space="preserve">important building block of an economy that works for people, in line with the strategic</w:t>
      </w:r>
      <w:r>
        <w:t xml:space="preserve"> </w:t>
      </w:r>
      <w:r>
        <w:t xml:space="preserve">priorities of the Commission.</w:t>
      </w:r>
      <w:r>
        <w:br/>
      </w:r>
      <w:r>
        <w:t xml:space="preserve">Figure VII: Objective tree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There are three specific objectives, relating to the five problem drivers (see section 2.3).</w:t>
      </w:r>
      <w:r>
        <w:br/>
      </w:r>
      <w:r>
        <w:t xml:space="preserve">4.2.1. Reduce administrative burden and compliance costs, without endangering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The effectiveness and efficiency of applying CSDR should be improved by simplifying</w:t>
      </w:r>
      <w:r>
        <w:t xml:space="preserve"> </w:t>
      </w:r>
      <w:r>
        <w:t xml:space="preserve">and clarifying the passporting process. This should, in turn, enable more competition for</w:t>
      </w:r>
      <w:r>
        <w:t xml:space="preserve"> </w:t>
      </w:r>
      <w:r>
        <w:t xml:space="preserve">CSD services across borders. Furthermore, to facilitate settlement in foreign currencies,</w:t>
      </w:r>
      <w:r>
        <w:t xml:space="preserve"> </w:t>
      </w:r>
      <w:r>
        <w:t xml:space="preserve">and promote more cross-border activity, the requirements faced by CSDs and credit</w:t>
      </w:r>
      <w:r>
        <w:t xml:space="preserve"> </w:t>
      </w:r>
      <w:r>
        <w:t xml:space="preserve">institutions when providing banking-type ancillary services should be more</w:t>
      </w:r>
      <w:r>
        <w:t xml:space="preserve"> </w:t>
      </w:r>
      <w:r>
        <w:t xml:space="preserve">proportionate. Lastly, the efficiency and safety of settlement should be ensured through</w:t>
      </w:r>
      <w:r>
        <w:t xml:space="preserve"> </w:t>
      </w:r>
      <w:r>
        <w:t xml:space="preserve">more proportionate requirements for settlement discipline, which balance the reliability</w:t>
      </w:r>
      <w:r>
        <w:t xml:space="preserve"> </w:t>
      </w:r>
      <w:r>
        <w:t xml:space="preserve">of settlement with potential negative impacts on trading behaviour and markets,</w:t>
      </w:r>
      <w:r>
        <w:t xml:space="preserve"> </w:t>
      </w:r>
      <w:r>
        <w:t xml:space="preserve">including financial stability.</w:t>
      </w:r>
      <w:r>
        <w:t xml:space="preserve"> </w:t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Burdensome and unclear passporting requirements for CSDS</w:t>
      </w:r>
      <w:r>
        <w:br/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costs, without endangering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Restrictive requirements for provision of banking services</w:t>
      </w:r>
      <w:r>
        <w:t xml:space="preserve"> </w:t>
      </w:r>
      <w:r>
        <w:t xml:space="preserve">related to settlement</w:t>
      </w:r>
      <w:r>
        <w:t xml:space="preserve"> </w:t>
      </w:r>
      <w:r>
        <w:t xml:space="preserve">Complicated and unclear requirements for settlement</w:t>
      </w:r>
      <w:r>
        <w:t xml:space="preserve"> </w:t>
      </w:r>
      <w:r>
        <w:t xml:space="preserve">discipline</w:t>
      </w:r>
    </w:p>
    <w:p>
      <w:pPr>
        <w:pStyle w:val="BodyText"/>
      </w:pPr>
      <w:r>
        <w:t xml:space="preserve">4.2.2. Minimise barriers to cross-border settlement</w:t>
      </w:r>
      <w:r>
        <w:t xml:space="preserve"> </w:t>
      </w:r>
      <w:r>
        <w:t xml:space="preserve">Provision of cross-border services should be enhanced by: (a) clarifying and streamlining</w:t>
      </w:r>
      <w:r>
        <w:t xml:space="preserve"> </w:t>
      </w:r>
      <w:r>
        <w:t xml:space="preserve">the passporting process for CSDs offering such services or setting up a branch in another</w:t>
      </w:r>
      <w:r>
        <w:t xml:space="preserve"> </w:t>
      </w:r>
      <w:r>
        <w:t xml:space="preserve">Member State; (b) increasing the cooperation between authorities involved in the</w:t>
      </w:r>
      <w:r>
        <w:t xml:space="preserve"> </w:t>
      </w:r>
      <w:r>
        <w:t xml:space="preserve">supervision of the relevant CSDs; and (c) improving access to banking services related to</w:t>
      </w:r>
      <w:r>
        <w:t xml:space="preserve"> </w:t>
      </w:r>
      <w:r>
        <w:t xml:space="preserve">settlement.</w:t>
      </w:r>
      <w:r>
        <w:br/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settlement</w:t>
      </w:r>
      <w:r>
        <w:t xml:space="preserve"> </w:t>
      </w:r>
      <w:r>
        <w:t xml:space="preserve">Burdensome and unclear passporting requirements for CSDs</w:t>
      </w:r>
      <w:r>
        <w:br/>
      </w:r>
      <w:r>
        <w:t xml:space="preserve">Minimise barriers to cross-</w:t>
      </w:r>
      <w:r>
        <w:t xml:space="preserve"> </w:t>
      </w:r>
      <w:r>
        <w:t xml:space="preserve">border settlement</w:t>
      </w:r>
      <w:r>
        <w:t xml:space="preserve"> </w:t>
      </w:r>
      <w:r>
        <w:t xml:space="preserve">Insufficient coordination and cooperation between authorities</w:t>
      </w:r>
      <w:r>
        <w:t xml:space="preserve"> </w:t>
      </w:r>
      <w:r>
        <w:t xml:space="preserve">Restrictive requirements for provision of banking services</w:t>
      </w:r>
      <w:r>
        <w:t xml:space="preserve"> </w:t>
      </w:r>
      <w:r>
        <w:t xml:space="preserve">related to settlement</w:t>
      </w:r>
    </w:p>
    <w:p>
      <w:pPr>
        <w:pStyle w:val="BodyText"/>
      </w:pPr>
      <w:r>
        <w:t xml:space="preserve">4.2.3. Ensure adequate powers and information to monitor risks</w:t>
      </w:r>
      <w:r>
        <w:t xml:space="preserve"> </w:t>
      </w:r>
      <w:r>
        <w:t xml:space="preserve">The insufficient insight of EU authorities into the activities of third-country CSDs should</w:t>
      </w:r>
      <w:r>
        <w:t xml:space="preserve"> </w:t>
      </w:r>
      <w:r>
        <w:t xml:space="preserve">be addressed by increasing the reporting obligations for such CSDs. This should ensure</w:t>
      </w:r>
      <w:r>
        <w:t xml:space="preserve"> </w:t>
      </w:r>
      <w:r>
        <w:t xml:space="preserve">that adequate information is available to monitor risks. Furthermore, while better</w:t>
      </w:r>
      <w:r>
        <w:t xml:space="preserve"> </w:t>
      </w:r>
      <w:r>
        <w:t xml:space="preserve">coordination and cooperation between authorities involved in the supervision of EU</w:t>
      </w:r>
      <w:r>
        <w:t xml:space="preserve"> </w:t>
      </w:r>
      <w:r>
        <w:t xml:space="preserve">CSDs aims primarily at minimising barriers to the cross-border provision of services, it</w:t>
      </w:r>
      <w:r>
        <w:t xml:space="preserve"> </w:t>
      </w:r>
      <w:r>
        <w:t xml:space="preserve">will also provide authorities with increased powers and information to monitor any risks</w:t>
      </w:r>
      <w:r>
        <w:t xml:space="preserve"> </w:t>
      </w:r>
      <w:r>
        <w:t xml:space="preserve">that may be arising from the operation of these CSDs.</w:t>
      </w:r>
      <w:r>
        <w:t xml:space="preserve"> </w:t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insight into the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</w:t>
      </w:r>
      <w:r>
        <w:t xml:space="preserve"> </w:t>
      </w:r>
      <w:r>
        <w:t xml:space="preserve">Insufficient reporting by third-country CSDs</w:t>
      </w:r>
      <w:r>
        <w:br/>
      </w:r>
      <w:r>
        <w:t xml:space="preserve">Ensure adequate powers and</w:t>
      </w:r>
      <w:r>
        <w:t xml:space="preserve"> </w:t>
      </w:r>
      <w:r>
        <w:t xml:space="preserve">information to monitor risks</w:t>
      </w:r>
      <w:r>
        <w:t xml:space="preserve"> </w:t>
      </w:r>
      <w:r>
        <w:t xml:space="preserve">Insufficient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This section describes, for each policy option, the most likely scenario is going to be</w:t>
      </w:r>
      <w:r>
        <w:t xml:space="preserve"> </w:t>
      </w:r>
      <w:r>
        <w:t xml:space="preserve">without any further intervention.</w:t>
      </w:r>
      <w:r>
        <w:br/>
      </w:r>
      <w:r>
        <w:t xml:space="preserve">5.1.1. Burdensome and unclear passporting requirements</w:t>
      </w:r>
      <w:r>
        <w:br/>
      </w:r>
      <w:r>
        <w:t xml:space="preserve">All issues identified in Section 2.3.1 remain. The passporting requirements are unclear</w:t>
      </w:r>
      <w:r>
        <w:t xml:space="preserve"> </w:t>
      </w:r>
      <w:r>
        <w:t xml:space="preserve">and burdensome for CSDs and national authorities, generating costs and lengthy</w:t>
      </w:r>
      <w:r>
        <w:t xml:space="preserve"> </w:t>
      </w:r>
      <w:r>
        <w:t xml:space="preserve">processes. Consequently, cross-border activities of CSDs may stagnate or fall and the</w:t>
      </w:r>
      <w:r>
        <w:t xml:space="preserve"> </w:t>
      </w:r>
      <w:r>
        <w:t xml:space="preserve">administrative burden for CSDs and national authorities remains high. Indirectly, issuers</w:t>
      </w:r>
      <w:r>
        <w:t xml:space="preserve"> </w:t>
      </w:r>
      <w:r>
        <w:t xml:space="preserve">could be negatively impacted as less cross-border CSD activities would mean less</w:t>
      </w:r>
      <w:r>
        <w:t xml:space="preserve"> </w:t>
      </w:r>
      <w:r>
        <w:t xml:space="preserve">competition and reduced choice, preventing them from benefitting from an integrated</w:t>
      </w:r>
      <w:r>
        <w:t xml:space="preserve"> </w:t>
      </w:r>
      <w:r>
        <w:t xml:space="preserve">capital market for financial services. National authorities would continue to face unclear</w:t>
      </w:r>
      <w:r>
        <w:t xml:space="preserve"> </w:t>
      </w:r>
      <w:r>
        <w:t xml:space="preserve">requirements when assessing CSDs’ applications to obtain a passport.</w:t>
      </w:r>
      <w:r>
        <w:t xml:space="preserve"> </w:t>
      </w:r>
      <w:r>
        <w:t xml:space="preserve">5.1.2. Insufficient coordination and cooperation between authorities</w:t>
      </w:r>
      <w:r>
        <w:t xml:space="preserve"> </w:t>
      </w:r>
      <w:r>
        <w:t xml:space="preserve">All issues identified in Section 2.3.2 remain. Cooperation between authorities in home</w:t>
      </w:r>
      <w:r>
        <w:t xml:space="preserve"> </w:t>
      </w:r>
      <w:r>
        <w:t xml:space="preserve">and host Member States is insufficient, creating obstacles in the cross-border operations</w:t>
      </w:r>
      <w:r>
        <w:t xml:space="preserve"> </w:t>
      </w:r>
      <w:r>
        <w:t xml:space="preserve">of CSDs and hindering the creation of a true single market for CSD services. In</w:t>
      </w:r>
      <w:r>
        <w:t xml:space="preserve"> </w:t>
      </w:r>
      <w:r>
        <w:t xml:space="preserve">particular, communication between authorities in different Member States is not</w:t>
      </w:r>
      <w:r>
        <w:t xml:space="preserve"> </w:t>
      </w:r>
      <w:r>
        <w:t xml:space="preserve">standardised and the same CSD may be subject to different supervisory arrangements and</w:t>
      </w:r>
      <w:r>
        <w:t xml:space="preserve"> </w:t>
      </w:r>
      <w:r>
        <w:t xml:space="preserve">requirements in the different Member States in which it may be operating. Inefficiencies</w:t>
      </w:r>
      <w:r>
        <w:t xml:space="preserve"> </w:t>
      </w:r>
      <w:r>
        <w:t xml:space="preserve">in the cooperation of authorities interested in the activities of CSDs operating</w:t>
      </w:r>
      <w:r>
        <w:t xml:space="preserve"> </w:t>
      </w:r>
      <w:r>
        <w:t xml:space="preserve">domestically also remain.</w:t>
      </w:r>
      <w:r>
        <w:t xml:space="preserve"> </w:t>
      </w:r>
      <w:r>
        <w:t xml:space="preserve">5.1.3. Restrictive requirements for provision of banking services related to settlement in</w:t>
      </w:r>
      <w:r>
        <w:t xml:space="preserve"> </w:t>
      </w:r>
      <w:r>
        <w:t xml:space="preserve">foreign currencies</w:t>
      </w:r>
      <w:r>
        <w:t xml:space="preserve"> </w:t>
      </w:r>
      <w:r>
        <w:t xml:space="preserve">All issues identified in section 2.3.3 will remain regarding CSDs’ access to commercial</w:t>
      </w:r>
      <w:r>
        <w:t xml:space="preserve"> </w:t>
      </w:r>
      <w:r>
        <w:t xml:space="preserve">bank money. In particular, settlement in foreign currencies by CSDs will continue to be</w:t>
      </w:r>
      <w:r>
        <w:t xml:space="preserve"> </w:t>
      </w:r>
      <w:r>
        <w:t xml:space="preserve">limited as no designated credit institution is likely to be established and commercial</w:t>
      </w:r>
      <w:r>
        <w:t xml:space="preserve"> </w:t>
      </w:r>
      <w:r>
        <w:t xml:space="preserve">banks will remain limited in their service offering (mostly intraday- credit and liquidity</w:t>
      </w:r>
      <w:r>
        <w:t xml:space="preserve"> </w:t>
      </w:r>
      <w:r>
        <w:t xml:space="preserve">to the participants of the CSD). This situation will hamper cross-border securities</w:t>
      </w:r>
      <w:r>
        <w:t xml:space="preserve"> </w:t>
      </w:r>
      <w:r>
        <w:t xml:space="preserve">transactions, e.g. bond issuances in foreign currencies, due to the disproportionate</w:t>
      </w:r>
      <w:r>
        <w:t xml:space="preserve"> </w:t>
      </w:r>
      <w:r>
        <w:t xml:space="preserve">compliance costs of obtaining these services. CSDs will be limited in their choice of</w:t>
      </w:r>
      <w:r>
        <w:t xml:space="preserve"> </w:t>
      </w:r>
      <w:r>
        <w:t xml:space="preserve">providers to settle in foreign currencies, be it designated credit institutions (which do not</w:t>
      </w:r>
      <w:r>
        <w:t xml:space="preserve"> </w:t>
      </w:r>
      <w:r>
        <w:t xml:space="preserve">exist currently) or commercial banks that are only allowed to provide these services</w:t>
      </w:r>
      <w:r>
        <w:t xml:space="preserve"> </w:t>
      </w:r>
      <w:r>
        <w:t xml:space="preserve">within the limits set by CSDR. This runs counter to the EU’s objective to ensure a true</w:t>
      </w:r>
      <w:r>
        <w:t xml:space="preserve"> </w:t>
      </w:r>
      <w:r>
        <w:t xml:space="preserve">single market for CSD services.</w:t>
      </w:r>
      <w:r>
        <w:t xml:space="preserve"> </w:t>
      </w:r>
      <w:r>
        <w:t xml:space="preserve">Although the requirements to provide banking services have a positive effect on the</w:t>
      </w:r>
      <w:r>
        <w:t xml:space="preserve"> </w:t>
      </w:r>
      <w:r>
        <w:t xml:space="preserve">stability of the financial system as liquidity and credit risks attached to these services</w:t>
      </w:r>
      <w:r>
        <w:t xml:space="preserve"> </w:t>
      </w:r>
      <w:r>
        <w:t xml:space="preserve">remain limited, they also affect competition on the EU settlements markets. Due to the</w:t>
      </w:r>
      <w:r>
        <w:t xml:space="preserve"> </w:t>
      </w:r>
      <w:r>
        <w:t xml:space="preserve">restrictiveness in the provision of these services and the compliance costs, new players,</w:t>
      </w:r>
      <w:r>
        <w:t xml:space="preserve"> </w:t>
      </w:r>
      <w:r>
        <w:t xml:space="preserve">whether in the form of a designated credit institutions or commercial banks offering these</w:t>
      </w:r>
      <w:r>
        <w:t xml:space="preserve"> </w:t>
      </w:r>
      <w:r>
        <w:t xml:space="preserve">services, will not enter the market. This runs counter to the core of the CMU Action Plan</w:t>
      </w:r>
      <w:r>
        <w:t xml:space="preserve"> </w:t>
      </w:r>
      <w:r>
        <w:t xml:space="preserve">to enhance the Union’s capital markets.</w:t>
      </w:r>
      <w:r>
        <w:t xml:space="preserve"> </w:t>
      </w:r>
      <w:r>
        <w:t xml:space="preserve">5.1.4. Unclear and complicated requirements for settlement discipline</w:t>
      </w:r>
      <w:r>
        <w:br/>
      </w:r>
      <w:r>
        <w:t xml:space="preserve">The settlement discipline regime, as described in Art. 6 and Art.7 of CSDR and</w:t>
      </w:r>
      <w:r>
        <w:t xml:space="preserve"> </w:t>
      </w:r>
      <w:r>
        <w:t xml:space="preserve">Regulation (EU) 2018/1229, would enter into force on 1 February 2022. Retail investors</w:t>
      </w:r>
      <w:r>
        <w:t xml:space="preserve"> </w:t>
      </w:r>
      <w:r>
        <w:t xml:space="preserve">should benefit from improved settlement efficiency due to the fact that market makers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often provide prices for many financial instruments without having immediate access to</w:t>
      </w:r>
      <w:r>
        <w:t xml:space="preserve"> </w:t>
      </w:r>
      <w:r>
        <w:t xml:space="preserve">these securities. In case of smaller equity trades which are often carried out by retail</w:t>
      </w:r>
      <w:r>
        <w:t xml:space="preserve"> </w:t>
      </w:r>
      <w:r>
        <w:t xml:space="preserve">investors, the coverage of these sales may be considered as too expensive and</w:t>
      </w:r>
      <w:r>
        <w:t xml:space="preserve"> </w:t>
      </w:r>
      <w:r>
        <w:t xml:space="preserve">cumbersome, leading to no delivery taking place. Settlement discipline measures aim at</w:t>
      </w:r>
      <w:r>
        <w:t xml:space="preserve"> </w:t>
      </w:r>
      <w:r>
        <w:t xml:space="preserve">incentivising market makers to avoid this kind of situation. The settlement discipline</w:t>
      </w:r>
      <w:r>
        <w:t xml:space="preserve"> </w:t>
      </w:r>
      <w:r>
        <w:t xml:space="preserve">regime would also potentially allow investors to consolidate trading positions and rely on</w:t>
      </w:r>
      <w:r>
        <w:t xml:space="preserve"> </w:t>
      </w:r>
      <w:r>
        <w:t xml:space="preserve">cross-border settlement to settle trades, as they would have more confidence that they</w:t>
      </w:r>
      <w:r>
        <w:t xml:space="preserve"> </w:t>
      </w:r>
      <w:r>
        <w:t xml:space="preserve">would be settled. Finally, mandatory buy-ins can be applied by the market. Regulation</w:t>
      </w:r>
      <w:r>
        <w:t xml:space="preserve"> </w:t>
      </w:r>
      <w:r>
        <w:t xml:space="preserve">(EU) No 236/2012 (Short Selling Regulation (SSR)) introduced them for centrally</w:t>
      </w:r>
      <w:r>
        <w:t xml:space="preserve"> </w:t>
      </w:r>
      <w:r>
        <w:t xml:space="preserve">cleared equity transactions. According to some stakeholders, settlement efficiency on</w:t>
      </w:r>
      <w:r>
        <w:t xml:space="preserve"> </w:t>
      </w:r>
      <w:r>
        <w:t xml:space="preserve">intended settlement date is now almost 100% for centrally cleared equity transactions190.</w:t>
      </w:r>
      <w:r>
        <w:t xml:space="preserve"> </w:t>
      </w:r>
      <w:r>
        <w:t xml:space="preserve">However, it should be noted that equity trading generally features high levels of liquidity.</w:t>
      </w:r>
      <w:r>
        <w:t xml:space="preserve"> </w:t>
      </w:r>
      <w:r>
        <w:t xml:space="preserve">Implementation and the resulting effect cannot therefore be directly compared to other,</w:t>
      </w:r>
      <w:r>
        <w:t xml:space="preserve"> </w:t>
      </w:r>
      <w:r>
        <w:t xml:space="preserve">less liquid markets.</w:t>
      </w:r>
      <w:r>
        <w:br/>
      </w:r>
      <w:r>
        <w:t xml:space="preserve">However, the impact of a miscalibrated settlement discipline regime on overall market</w:t>
      </w:r>
      <w:r>
        <w:t xml:space="preserve"> </w:t>
      </w:r>
      <w:r>
        <w:t xml:space="preserve">conditions could outweigh these benefits for investors. The majority of the potential</w:t>
      </w:r>
      <w:r>
        <w:t xml:space="preserve"> </w:t>
      </w:r>
      <w:r>
        <w:t xml:space="preserve">negative impacts of the settlement discipline regime are likely to be related to mandatory</w:t>
      </w:r>
      <w:r>
        <w:t xml:space="preserve"> </w:t>
      </w:r>
      <w:r>
        <w:t xml:space="preserve">buy-ins. In particular, mandatory buy-ins as currently designed could theoretically widen</w:t>
      </w:r>
      <w:r>
        <w:t xml:space="preserve"> </w:t>
      </w:r>
      <w:r>
        <w:t xml:space="preserve">bid-offer spreads and negatively impact market liquidity, favouring settlement in non-EU</w:t>
      </w:r>
      <w:r>
        <w:t xml:space="preserve"> </w:t>
      </w:r>
      <w:r>
        <w:t xml:space="preserve">CSDs particularly for less liquid securities,191 remove incentives for securities lending in</w:t>
      </w:r>
      <w:r>
        <w:t xml:space="preserve"> </w:t>
      </w:r>
      <w:r>
        <w:t xml:space="preserve">the securities lending and repo markets and ultimately lead to increased costs for end</w:t>
      </w:r>
      <w:r>
        <w:t xml:space="preserve"> </w:t>
      </w:r>
      <w:r>
        <w:t xml:space="preserve">investors without providing additional benefits to markets or investors.192 This could</w:t>
      </w:r>
      <w:r>
        <w:t xml:space="preserve"> </w:t>
      </w:r>
      <w:r>
        <w:t xml:space="preserve">affect a broad range of asset classes including corporate bonds, sovereign bonds,</w:t>
      </w:r>
      <w:r>
        <w:t xml:space="preserve"> </w:t>
      </w:r>
      <w:r>
        <w:t xml:space="preserve">securities lending / repo transactions and other exchange traded products.193 These</w:t>
      </w:r>
      <w:r>
        <w:t xml:space="preserve"> </w:t>
      </w:r>
      <w:r>
        <w:t xml:space="preserve">increased costs would negatively impact investors’ returns and their ability to save, and</w:t>
      </w:r>
      <w:r>
        <w:t xml:space="preserve"> </w:t>
      </w:r>
      <w:r>
        <w:t xml:space="preserve">companies’ access to capital market funding, especially in times of market stress.194</w:t>
      </w:r>
      <w:r>
        <w:t xml:space="preserve"> </w:t>
      </w:r>
      <w:r>
        <w:t xml:space="preserve">Estimates195 provided suggest that in normal market conditions a mandatory buy-in</w:t>
      </w:r>
      <w:r>
        <w:t xml:space="preserve"> </w:t>
      </w:r>
      <w:r>
        <w:t xml:space="preserve">regime would theoretically increase the mid-offer price by 21 cents or 59% when the</w:t>
      </w:r>
      <w:r>
        <w:t xml:space="preserve"> </w:t>
      </w:r>
      <w:r>
        <w:t xml:space="preserve">regime applies. In times of stress the regime could theoretically increase the mid-offer</w:t>
      </w:r>
      <w:r>
        <w:t xml:space="preserve"> </w:t>
      </w:r>
      <w:r>
        <w:t xml:space="preserve">price by 146 cents or 291% in the event that the current settlement discipline regime</w:t>
      </w:r>
      <w:r>
        <w:t xml:space="preserve"> </w:t>
      </w:r>
      <w:r>
        <w:t xml:space="preserve">applies unchanged. It is thus estimated that up to 4%-5% of trade volume could cease to</w:t>
      </w:r>
      <w:r>
        <w:t xml:space="preserve"> </w:t>
      </w:r>
      <w:r>
        <w:t xml:space="preserve">occur (estimated at up to EUR 7 trillion in 2020, combining debt and equity instruments)</w:t>
      </w:r>
      <w:r>
        <w:t xml:space="preserve"> </w:t>
      </w:r>
      <w:r>
        <w:t xml:space="preserve">in the future. Therefore, applying a mandatory buy-in regime in its current form could</w:t>
      </w:r>
      <w:r>
        <w:t xml:space="preserve"> </w:t>
      </w:r>
      <w:r>
        <w:t xml:space="preserve">potentially impact negatively the efficiency of EU capital markets, leading to wider bid-</w:t>
      </w:r>
      <w:r>
        <w:t xml:space="preserve"> </w:t>
      </w:r>
      <w:r>
        <w:t xml:space="preserve">offer spreads, reduced market efficiency and less incentives to lend securities in the</w:t>
      </w:r>
      <w:r>
        <w:t xml:space="preserve"> </w:t>
      </w:r>
      <w:r>
        <w:t xml:space="preserve">securities lending and repo markets. Such developments may ultimately favour the</w:t>
      </w:r>
      <w:r>
        <w:t xml:space="preserve"> </w:t>
      </w:r>
      <w:r>
        <w:t xml:space="preserve">settlement of less liquid securities in non-EU CSDs.</w:t>
      </w:r>
      <w:r>
        <w:t xml:space="preserve"> </w:t>
      </w:r>
      <w:r>
        <w:t xml:space="preserve">In particular both equity and debt instruments with a lower floatation, such as less liquid</w:t>
      </w:r>
      <w:r>
        <w:t xml:space="preserve"> </w:t>
      </w:r>
      <w:r>
        <w:t xml:space="preserve">bonds or shares of SMEs, could be negatively affected as investors withdraw from</w:t>
      </w:r>
    </w:p>
    <w:p>
      <w:pPr>
        <w:pStyle w:val="BodyText"/>
      </w:pPr>
      <w:r>
        <w:t xml:space="preserve">190 Clearstream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https://ec.europa.eu/info/consultations/finance-2020-csdr-review_en.</w:t>
      </w:r>
      <w:r>
        <w:br/>
      </w:r>
      <w:r>
        <w:t xml:space="preserve">191 See BlackRock response to the Commission CSDR targeted consultation, Q. 34.1 (see note 176).</w:t>
      </w:r>
      <w:r>
        <w:t xml:space="preserve"> </w:t>
      </w:r>
      <w:r>
        <w:t xml:space="preserve">192 See</w:t>
      </w:r>
      <w:r>
        <w:t xml:space="preserve"> </w:t>
      </w:r>
      <w:r>
        <w:t xml:space="preserve">EFAMA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Q.</w:t>
      </w:r>
      <w:r>
        <w:t xml:space="preserve"> </w:t>
      </w:r>
      <w:r>
        <w:t xml:space="preserve">34.1,</w:t>
      </w:r>
      <w:r>
        <w:t xml:space="preserve"> </w:t>
      </w:r>
      <w:r>
        <w:t xml:space="preserve">https://www.efama.org/sites/default/files/publications/21-4005_0.pdf.</w:t>
      </w:r>
      <w:r>
        <w:br/>
      </w:r>
      <w:r>
        <w:t xml:space="preserve">193 Ibid.</w:t>
      </w:r>
      <w:r>
        <w:br/>
      </w:r>
      <w:r>
        <w:t xml:space="preserve">194 See for instance International Capital Markets Association (ICMA), EFAMA, ECSDA, European</w:t>
      </w:r>
      <w:r>
        <w:t xml:space="preserve"> </w:t>
      </w:r>
      <w:r>
        <w:t xml:space="preserve">Association of CCP Clearing Houses (EACH) responses to the CSDR targeted consultation, (all available</w:t>
      </w:r>
      <w:r>
        <w:t xml:space="preserve"> </w:t>
      </w:r>
      <w:r>
        <w:t xml:space="preserve">at https://ec.europa.eu/info/consultations/finance-2020-csdr-review_en).</w:t>
      </w:r>
      <w:r>
        <w:br/>
      </w:r>
      <w:r>
        <w:t xml:space="preserve">195 Based on confidential information provided to DG FISMA services.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making markets/ trading in those instruments. Traders would either have to keep</w:t>
      </w:r>
      <w:r>
        <w:t xml:space="preserve"> </w:t>
      </w:r>
      <w:r>
        <w:t xml:space="preserve">securities on their books to cover any buy-ins, freezing capital, or trade only in</w:t>
      </w:r>
      <w:r>
        <w:t xml:space="preserve"> </w:t>
      </w:r>
      <w:r>
        <w:t xml:space="preserve">instruments where the supply is easily available. This could lead to an even greater</w:t>
      </w:r>
      <w:r>
        <w:t xml:space="preserve"> </w:t>
      </w:r>
      <w:r>
        <w:t xml:space="preserve">concentration of trading on a limited number of instruments, both threatening investors’</w:t>
      </w:r>
      <w:r>
        <w:t xml:space="preserve"> </w:t>
      </w:r>
      <w:r>
        <w:t xml:space="preserve">risk diversification strategies and creating systemic risk. Asset managers may not be able</w:t>
      </w:r>
      <w:r>
        <w:t xml:space="preserve"> </w:t>
      </w:r>
      <w:r>
        <w:t xml:space="preserve">to obtain the securities they want on behalf of investors, and thus may have to make sub-</w:t>
      </w:r>
      <w:r>
        <w:t xml:space="preserve"> </w:t>
      </w:r>
      <w:r>
        <w:t xml:space="preserve">optimal investment decisions or may have to pay a liquidity premium. Furthermore,</w:t>
      </w:r>
      <w:r>
        <w:t xml:space="preserve"> </w:t>
      </w:r>
      <w:r>
        <w:t xml:space="preserve">national authorities, ESMA and the Commission would need to issue numerous Q&amp;As</w:t>
      </w:r>
      <w:r>
        <w:t xml:space="preserve"> </w:t>
      </w:r>
      <w:r>
        <w:t xml:space="preserve">and guidelines to address the lack of clarity in the relevant provisions.</w:t>
      </w:r>
      <w:r>
        <w:br/>
      </w:r>
      <w:r>
        <w:t xml:space="preserve">Introducing a mandatory buy-in regime as of 1 February 2022 could also lead to a</w:t>
      </w:r>
      <w:r>
        <w:t xml:space="preserve"> </w:t>
      </w:r>
      <w:r>
        <w:t xml:space="preserve">duplicative re-papering exercise of existing contracts between market players in order to</w:t>
      </w:r>
      <w:r>
        <w:t xml:space="preserve"> </w:t>
      </w:r>
      <w:r>
        <w:t xml:space="preserve">take account of the upcoming rules change potentially introduced under the ongoing</w:t>
      </w:r>
      <w:r>
        <w:t xml:space="preserve"> </w:t>
      </w:r>
      <w:r>
        <w:t xml:space="preserve">review of CSDR; one estimate puts the number of clients’ contracts to be repapered at a</w:t>
      </w:r>
      <w:r>
        <w:t xml:space="preserve"> </w:t>
      </w:r>
      <w:r>
        <w:t xml:space="preserve">financial institution at between 30 - 40 000196 over a period of 10 months. Repapering of</w:t>
      </w:r>
      <w:r>
        <w:t xml:space="preserve"> </w:t>
      </w:r>
      <w:r>
        <w:t xml:space="preserve">client-facing documentation would have to go beyond updates to generic terms and</w:t>
      </w:r>
      <w:r>
        <w:t xml:space="preserve"> </w:t>
      </w:r>
      <w:r>
        <w:t xml:space="preserve">conditions adding complexity to interdependent sets of client documents. A law firm</w:t>
      </w:r>
      <w:r>
        <w:t xml:space="preserve"> </w:t>
      </w:r>
      <w:r>
        <w:t xml:space="preserve">concluded that clauses reflecting clients’ mandatory buy-in obligations, including the</w:t>
      </w:r>
      <w:r>
        <w:t xml:space="preserve"> </w:t>
      </w:r>
      <w:r>
        <w:t xml:space="preserve">necessity to appoint a buy-in agent, would be difficult and impracticable to understand in</w:t>
      </w:r>
      <w:r>
        <w:t xml:space="preserve"> </w:t>
      </w:r>
      <w:r>
        <w:t xml:space="preserve">particular for retail investors.197</w:t>
      </w:r>
      <w:r>
        <w:t xml:space="preserve"> </w:t>
      </w:r>
      <w:r>
        <w:t xml:space="preserve">Another related cost will be the obligation to connect to a buy-in agent. Market</w:t>
      </w:r>
      <w:r>
        <w:t xml:space="preserve"> </w:t>
      </w:r>
      <w:r>
        <w:t xml:space="preserve">participants will have to appoint a buy-in agent to carry out the mandatory buy-in in case</w:t>
      </w:r>
      <w:r>
        <w:t xml:space="preserve"> </w:t>
      </w:r>
      <w:r>
        <w:t xml:space="preserve">of delayed settlement. The costs for appointing and connecting to a buy-in agent are high.</w:t>
      </w:r>
      <w:r>
        <w:t xml:space="preserve"> </w:t>
      </w:r>
      <w:r>
        <w:t xml:space="preserve">One estimate provided in the targeted consultation shows that the estimated annual cost</w:t>
      </w:r>
      <w:r>
        <w:t xml:space="preserve"> </w:t>
      </w:r>
      <w:r>
        <w:t xml:space="preserve">of appointing buy-in agents to handle government bond fails in one CSD could amount to</w:t>
      </w:r>
      <w:r>
        <w:t xml:space="preserve"> </w:t>
      </w:r>
      <w:r>
        <w:t xml:space="preserve">between EUR 598 900 294 to EUR 1 197 800 588.198 One investment fund199 indicated</w:t>
      </w:r>
      <w:r>
        <w:t xml:space="preserve"> </w:t>
      </w:r>
      <w:r>
        <w:t xml:space="preserve">that connecting all their funds to a buy-in agent would require a one-off cost of</w:t>
      </w:r>
      <w:r>
        <w:t xml:space="preserve"> </w:t>
      </w:r>
      <w:r>
        <w:t xml:space="preserve">EUR 1 million. Operational costs of running a buy-in framework are also potentially</w:t>
      </w:r>
      <w:r>
        <w:t xml:space="preserve"> </w:t>
      </w:r>
      <w:r>
        <w:t xml:space="preserve">high, leading some market participants to consider changing their business model to</w:t>
      </w:r>
      <w:r>
        <w:t xml:space="preserve"> </w:t>
      </w:r>
      <w:r>
        <w:t xml:space="preserve">avoid the requirement to connect to a buy-in agent.200 This would outweigh the potential</w:t>
      </w:r>
      <w:r>
        <w:t xml:space="preserve"> </w:t>
      </w:r>
      <w:r>
        <w:t xml:space="preserve">postponed cost related to the setting up of a buy-in agent offering by one entity (only one</w:t>
      </w:r>
      <w:r>
        <w:t xml:space="preserve"> </w:t>
      </w:r>
      <w:r>
        <w:t xml:space="preserve">buy-in agent service provider that has emerged so far).201</w:t>
      </w:r>
      <w:r>
        <w:t xml:space="preserve"> </w:t>
      </w:r>
      <w:r>
        <w:t xml:space="preserve">A mandatory buy-in regime could also indirectly negatively affect issuers. Issuance</w:t>
      </w:r>
      <w:r>
        <w:t xml:space="preserve"> </w:t>
      </w:r>
      <w:r>
        <w:t xml:space="preserve">ability and pricing is related to the expected liquidity of the instrument. A decrease in</w:t>
      </w:r>
      <w:r>
        <w:t xml:space="preserve"> </w:t>
      </w:r>
      <w:r>
        <w:t xml:space="preserve">liquidity, from the knock-on effects of the mandatory buy-in regime, could increase</w:t>
      </w:r>
      <w:r>
        <w:t xml:space="preserve"> </w:t>
      </w:r>
      <w:r>
        <w:t xml:space="preserve">borrowing costs for issuers, with the greatest impact likely to fall on smaller and lower</w:t>
      </w:r>
      <w:r>
        <w:t xml:space="preserve"> </w:t>
      </w:r>
      <w:r>
        <w:t xml:space="preserve">credit rated companies, especially in times of stress where access to a wide range of</w:t>
      </w:r>
      <w:r>
        <w:t xml:space="preserve"> </w:t>
      </w:r>
      <w:r>
        <w:t xml:space="preserve">financing channels is needed. Higher issuance costs and limited liquidity could increase</w:t>
      </w:r>
    </w:p>
    <w:p>
      <w:pPr>
        <w:pStyle w:val="BodyText"/>
      </w:pPr>
      <w:r>
        <w:t xml:space="preserve">196 Based on confidential information provided to DG FISMA services.</w:t>
      </w:r>
      <w:r>
        <w:br/>
      </w:r>
      <w:r>
        <w:t xml:space="preserve">197 Simmons &amp; Simmons LLP response to the Commission CSDR targeted consultation Q. 34.1,</w:t>
      </w:r>
      <w:r>
        <w:t xml:space="preserve"> </w:t>
      </w:r>
      <w:r>
        <w:t xml:space="preserve">https://ec.europa.eu/info/consultations/finance-2020-csdr-review_en.</w:t>
      </w:r>
      <w:r>
        <w:t xml:space="preserve"> </w:t>
      </w:r>
      <w:r>
        <w:t xml:space="preserve">198 Data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ICMA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response</w:t>
      </w:r>
      <w:r>
        <w:t xml:space="preserve"> </w:t>
      </w:r>
      <w:r>
        <w:t xml:space="preserve">the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https://www.icmagroup.org/assets/documents/Regulatory/Secondary-markets/CSDR-Settlement-</w:t>
      </w:r>
      <w:r>
        <w:t xml:space="preserve"> </w:t>
      </w:r>
      <w:r>
        <w:t xml:space="preserve">Regulation/ICMACSDR-Review-Targeted-ConsultationFeb-21Detailed-response-020221.pdf.</w:t>
      </w:r>
      <w:r>
        <w:t xml:space="preserve"> </w:t>
      </w:r>
      <w:r>
        <w:t xml:space="preserve">Estimates</w:t>
      </w:r>
      <w:r>
        <w:t xml:space="preserve"> </w:t>
      </w:r>
      <w:r>
        <w:t xml:space="preserve">based on cost of buy-in agents varying between 25 cent and 50 cent handling a volume of fails equal to</w:t>
      </w:r>
      <w:r>
        <w:t xml:space="preserve"> </w:t>
      </w:r>
      <w:r>
        <w:t xml:space="preserve">EUR 239 569 million on Euroclear only.</w:t>
      </w:r>
      <w:r>
        <w:br/>
      </w:r>
      <w:r>
        <w:t xml:space="preserve">199 Based on confidential information provided to DG FISMA services.</w:t>
      </w:r>
      <w:r>
        <w:t xml:space="preserve"> </w:t>
      </w:r>
      <w:r>
        <w:t xml:space="preserve">200 BVI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https://www.bvi.de/fileadmin/user_upload/2021_02_02_BVI_position_CSDR_review.pdf.</w:t>
      </w:r>
      <w:r>
        <w:br/>
      </w:r>
      <w:r>
        <w:t xml:space="preserve">201 This is supported by confidential information provided to DG FISMA services.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the cost of capital for EU issuers, including innovative start-ups and SMEs, who may</w:t>
      </w:r>
      <w:r>
        <w:t xml:space="preserve"> </w:t>
      </w:r>
      <w:r>
        <w:t xml:space="preserve">continue to rely on bank loans or private placements202 for financing, inhibiting the</w:t>
      </w:r>
      <w:r>
        <w:t xml:space="preserve"> </w:t>
      </w:r>
      <w:r>
        <w:t xml:space="preserve">development of the EU capital market.</w:t>
      </w:r>
      <w:r>
        <w:t xml:space="preserve"> </w:t>
      </w:r>
      <w:r>
        <w:t xml:space="preserve">Furthermore, there is some evidence that these costs could be born to potentially address</w:t>
      </w:r>
      <w:r>
        <w:t xml:space="preserve"> </w:t>
      </w:r>
      <w:r>
        <w:t xml:space="preserve">a less significant problem, as the majority of fails seem to be resolved between one and</w:t>
      </w:r>
      <w:r>
        <w:t xml:space="preserve"> </w:t>
      </w:r>
      <w:r>
        <w:t xml:space="preserve">five days after the intended settlement date, meaning they would not enter buy-in.203 It</w:t>
      </w:r>
      <w:r>
        <w:t xml:space="preserve"> </w:t>
      </w:r>
      <w:r>
        <w:t xml:space="preserve">should also be noted that, in general, fails are most likely to appear in less liquid</w:t>
      </w:r>
      <w:r>
        <w:t xml:space="preserve"> </w:t>
      </w:r>
      <w:r>
        <w:t xml:space="preserve">instruments, increasing the probability that even the eventual buy-in may not be</w:t>
      </w:r>
      <w:r>
        <w:t xml:space="preserve"> </w:t>
      </w:r>
      <w:r>
        <w:t xml:space="preserve">successful due to the inability to source the necessary securities.204 This holds true both</w:t>
      </w:r>
      <w:r>
        <w:t xml:space="preserve"> </w:t>
      </w:r>
      <w:r>
        <w:t xml:space="preserve">for bonds and equity instruments.</w:t>
      </w:r>
      <w:r>
        <w:br/>
      </w:r>
      <w:r>
        <w:t xml:space="preserve">Since market participants will not know which transactions will enter a buy-in,</w:t>
      </w:r>
      <w:r>
        <w:t xml:space="preserve"> </w:t>
      </w:r>
      <w:r>
        <w:t xml:space="preserve">stakeholders argue that they will have to disperse the costs of a potential buy-in across a</w:t>
      </w:r>
      <w:r>
        <w:t xml:space="preserve"> </w:t>
      </w:r>
      <w:r>
        <w:t xml:space="preserve">wide spectrum of transactions. At the end of the day, if this were to happen, end-</w:t>
      </w:r>
      <w:r>
        <w:t xml:space="preserve"> </w:t>
      </w:r>
      <w:r>
        <w:t xml:space="preserve">investors would have to pay a higher price for the same security (because of its lower</w:t>
      </w:r>
      <w:r>
        <w:t xml:space="preserve"> </w:t>
      </w:r>
      <w:r>
        <w:t xml:space="preserve">liquidity) and will ask for a higher return. The consequence at the end of the chain would</w:t>
      </w:r>
      <w:r>
        <w:t xml:space="preserve"> </w:t>
      </w:r>
      <w:r>
        <w:t xml:space="preserve">be a higher funding cost for issuers. Hence, some stakeholders argue that in order to</w:t>
      </w:r>
      <w:r>
        <w:t xml:space="preserve"> </w:t>
      </w:r>
      <w:r>
        <w:t xml:space="preserve">incrementally improve a relatively low level of settlement fails, a mandatory buy-in</w:t>
      </w:r>
      <w:r>
        <w:t xml:space="preserve"> </w:t>
      </w:r>
      <w:r>
        <w:t xml:space="preserve">would impact the costs of trading more widely.205</w:t>
      </w:r>
      <w:r>
        <w:t xml:space="preserve"> </w:t>
      </w:r>
      <w:r>
        <w:t xml:space="preserve">While mandatory buy-ins are expected to negatively impact all asset classes, the impact</w:t>
      </w:r>
      <w:r>
        <w:t xml:space="preserve"> </w:t>
      </w:r>
      <w:r>
        <w:t xml:space="preserve">will be most detrimental for less actively traded/illiquid securities, e.g. instruments issued</w:t>
      </w:r>
      <w:r>
        <w:t xml:space="preserve"> </w:t>
      </w:r>
      <w:r>
        <w:t xml:space="preserve">by SMEs, high yield and emerging markets securities. The mandatory buy-in regime in</w:t>
      </w:r>
      <w:r>
        <w:t xml:space="preserve"> </w:t>
      </w:r>
      <w:r>
        <w:t xml:space="preserve">its current form could therefore be perceived to be contrary to the wider CMU objectives,</w:t>
      </w:r>
      <w:r>
        <w:t xml:space="preserve"> </w:t>
      </w:r>
      <w:r>
        <w:t xml:space="preserve">especially when aiming to provide efficient financing to smaller corporate clients and</w:t>
      </w:r>
      <w:r>
        <w:t xml:space="preserve"> </w:t>
      </w:r>
      <w:r>
        <w:t xml:space="preserve">SMEs, whose securities will have lower inherent liquidity and would be</w:t>
      </w:r>
      <w:r>
        <w:t xml:space="preserve"> </w:t>
      </w:r>
      <w:r>
        <w:t xml:space="preserve">disproportionately affected by this regime.</w:t>
      </w:r>
      <w:r>
        <w:br/>
      </w:r>
      <w:r>
        <w:t xml:space="preserve">Lastly, there is some limited evidence that the mandatory buy-in regime may also</w:t>
      </w:r>
      <w:r>
        <w:t xml:space="preserve"> </w:t>
      </w:r>
      <w:r>
        <w:t xml:space="preserve">indirectly undermine the CSDR objectives of safe and efficient settlement as companies</w:t>
      </w:r>
      <w:r>
        <w:t xml:space="preserve"> </w:t>
      </w:r>
      <w:r>
        <w:t xml:space="preserve">may migrate to internalised settlement to avoid the burden of the discipline regime.</w:t>
      </w:r>
      <w:r>
        <w:t xml:space="preserve"> </w:t>
      </w:r>
      <w:r>
        <w:t xml:space="preserve">ESMA observed increasing levels of internalised settlement in several jurisdictions</w:t>
      </w:r>
      <w:r>
        <w:t xml:space="preserve"> </w:t>
      </w:r>
      <w:r>
        <w:t xml:space="preserve">accompanied by a high degree of concentration. As such, they called for continuing</w:t>
      </w:r>
      <w:r>
        <w:t xml:space="preserve"> </w:t>
      </w:r>
      <w:r>
        <w:t xml:space="preserve">monitoring, including of this activity and the associated risks.206</w:t>
      </w:r>
      <w:r>
        <w:t xml:space="preserve"> </w:t>
      </w:r>
      <w:r>
        <w:t xml:space="preserve">5.1.5. Insufficient reporting for third-country CSDs</w:t>
      </w:r>
      <w:r>
        <w:br/>
      </w:r>
      <w:r>
        <w:t xml:space="preserve">All issues identified in Section 2.3.5 remain. In particular, there would be little</w:t>
      </w:r>
      <w:r>
        <w:t xml:space="preserve"> </w:t>
      </w:r>
      <w:r>
        <w:t xml:space="preserve">information on third-country CSDs’ activities. This would directly negatively impact the</w:t>
      </w:r>
      <w:r>
        <w:t xml:space="preserve"> </w:t>
      </w:r>
      <w:r>
        <w:t xml:space="preserve">EU’s financial stability as ESMA and national authorities will continue to have no</w:t>
      </w:r>
      <w:r>
        <w:t xml:space="preserve"> </w:t>
      </w:r>
      <w:r>
        <w:t xml:space="preserve">information on these CSDs’ activities and therefore will not be able to monitor risks. It</w:t>
      </w:r>
      <w:r>
        <w:t xml:space="preserve"> </w:t>
      </w:r>
      <w:r>
        <w:t xml:space="preserve">would also directly negatively impact EU CSDs which have to comply with CSDR as</w:t>
      </w:r>
    </w:p>
    <w:p>
      <w:pPr>
        <w:pStyle w:val="BodyText"/>
      </w:pPr>
      <w:r>
        <w:t xml:space="preserve">202 A private placement is a sale of shares or bonds to pre-selected investors and institutions rather than on the</w:t>
      </w:r>
      <w:r>
        <w:t xml:space="preserve"> </w:t>
      </w:r>
      <w:r>
        <w:t xml:space="preserve">open market.</w:t>
      </w:r>
      <w:r>
        <w:t xml:space="preserve"> </w:t>
      </w:r>
      <w:r>
        <w:t xml:space="preserve">203 “ESMA Report on trends, risks and vulnerabilities”, European Securities and Markets Authority, ESMA-</w:t>
      </w:r>
      <w:r>
        <w:t xml:space="preserve"> </w:t>
      </w:r>
      <w:r>
        <w:t xml:space="preserve">50-165-1287, No. 2, 2020</w:t>
      </w:r>
      <w:r>
        <w:br/>
      </w:r>
      <w:r>
        <w:t xml:space="preserve">204 In instances where the supply of the security is so low it cannot be easily sourced or bought-in if the</w:t>
      </w:r>
      <w:r>
        <w:t xml:space="preserve"> </w:t>
      </w:r>
      <w:r>
        <w:t xml:space="preserve">settlement fail has aged the failed-to entity will receive from the failing seller a cash compensation to</w:t>
      </w:r>
      <w:r>
        <w:t xml:space="preserve"> </w:t>
      </w:r>
      <w:r>
        <w:t xml:space="preserve">restore the economic terms of the transaction. Currently the buy-in may be automatic/mandatory or</w:t>
      </w:r>
      <w:r>
        <w:t xml:space="preserve"> </w:t>
      </w:r>
      <w:r>
        <w:t xml:space="preserve">optional, upon the request of the buyer, depending on the contractual arrangements. Under the CSDR</w:t>
      </w:r>
      <w:r>
        <w:t xml:space="preserve"> </w:t>
      </w:r>
      <w:r>
        <w:t xml:space="preserve">settlement discipline regime the cash compensation would be mandatory.</w:t>
      </w:r>
      <w:r>
        <w:br/>
      </w:r>
      <w:r>
        <w:t xml:space="preserve">205 Based on confidential information provided to DG FISMA services.</w:t>
      </w:r>
      <w:r>
        <w:t xml:space="preserve"> </w:t>
      </w:r>
      <w:r>
        <w:t xml:space="preserve">206 ESMA Report on internalised settlement (see note 86).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well as issuers considering that for third-country CSDs operating under the</w:t>
      </w:r>
      <w:r>
        <w:t xml:space="preserve"> </w:t>
      </w:r>
      <w:r>
        <w:t xml:space="preserve">grandfathering clause, their national supervisory and regulatory framework has not been</w:t>
      </w:r>
      <w:r>
        <w:t xml:space="preserve"> </w:t>
      </w:r>
      <w:r>
        <w:t xml:space="preserve">deemed as equivalent by the Commission.</w:t>
      </w:r>
      <w:r>
        <w:br/>
      </w:r>
      <w:r>
        <w:t xml:space="preserve">5.2. Description of the policy options</w:t>
      </w:r>
      <w:r>
        <w:t xml:space="preserve"> </w:t>
      </w:r>
      <w:r>
        <w:t xml:space="preserve">5.2.1. Burdensome and unclear passporting requirements</w:t>
      </w:r>
      <w:r>
        <w:br/>
      </w:r>
      <w:r>
        <w:t xml:space="preserve">The objective is to minimise barriers to cross-border settlement to enhance the cross-</w:t>
      </w:r>
      <w:r>
        <w:t xml:space="preserve"> </w:t>
      </w:r>
      <w:r>
        <w:t xml:space="preserve">border provision of services. Options 3 and 4 may be complementary.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1 – 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This is the baseline scenario (see section 5.1).</w:t>
      </w:r>
      <w:r>
        <w:t xml:space="preserve"> </w:t>
      </w:r>
      <w:r>
        <w:t xml:space="preserve">Option 2 – Reduce the</w:t>
      </w:r>
      <w:r>
        <w:t xml:space="preserve"> </w:t>
      </w:r>
      <w:r>
        <w:t xml:space="preserve">scope of the passporting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The scope of instruments subject to the passporting requirements could be reduced,</w:t>
      </w:r>
      <w:r>
        <w:t xml:space="preserve"> </w:t>
      </w:r>
      <w:r>
        <w:t xml:space="preserve">i.e. they could apply to equities instruments only. Any authorised CSD would be</w:t>
      </w:r>
      <w:r>
        <w:t xml:space="preserve"> </w:t>
      </w:r>
      <w:r>
        <w:t xml:space="preserve">able to provide services for non-equity instruments within the EEA without being</w:t>
      </w:r>
      <w:r>
        <w:t xml:space="preserve"> </w:t>
      </w:r>
      <w:r>
        <w:t xml:space="preserve">subject to the passporting requirements.</w:t>
      </w:r>
      <w:r>
        <w:t xml:space="preserve"> </w:t>
      </w:r>
      <w:r>
        <w:t xml:space="preserve">Option 3 – Clarify the role</w:t>
      </w:r>
      <w:r>
        <w:t xml:space="preserve"> </w:t>
      </w:r>
      <w:r>
        <w:t xml:space="preserve">and powers of competent</w:t>
      </w:r>
      <w:r>
        <w:t xml:space="preserve"> </w:t>
      </w:r>
      <w:r>
        <w:t xml:space="preserve">authorities and requirements</w:t>
      </w:r>
      <w:r>
        <w:t xml:space="preserve"> </w:t>
      </w:r>
      <w:r>
        <w:t xml:space="preserve">related to national laws</w:t>
      </w:r>
      <w:r>
        <w:t xml:space="preserve"> </w:t>
      </w:r>
      <w:r>
        <w:t xml:space="preserve">Certain passporting requirements would be clarified, i.e. those related to national</w:t>
      </w:r>
      <w:r>
        <w:t xml:space="preserve"> </w:t>
      </w:r>
      <w:r>
        <w:t xml:space="preserve">laws and regarding the role of the host national authority. For instance,</w:t>
      </w:r>
      <w:r>
        <w:t xml:space="preserve"> </w:t>
      </w:r>
      <w:r>
        <w:t xml:space="preserve">clarifications could include: clarifying which national laws should be considered;</w:t>
      </w:r>
      <w:r>
        <w:t xml:space="preserve"> </w:t>
      </w:r>
      <w:r>
        <w:t xml:space="preserve">deleting the words “where relevant” in Articles 23(3)(e) and 23(6)(a) of CSDR;</w:t>
      </w:r>
      <w:r>
        <w:t xml:space="preserve"> </w:t>
      </w:r>
      <w:r>
        <w:t xml:space="preserve">specifying which provisions need to be considered by non-domestic CSDs for their</w:t>
      </w:r>
      <w:r>
        <w:t xml:space="preserve"> </w:t>
      </w:r>
      <w:r>
        <w:t xml:space="preserve">assessment; specifying the information required; clarifying the role of the home and</w:t>
      </w:r>
      <w:r>
        <w:t xml:space="preserve"> </w:t>
      </w:r>
      <w:r>
        <w:t xml:space="preserve">host authorities, including whether the host authority can oppose the passport.</w:t>
      </w:r>
      <w:r>
        <w:t xml:space="preserve"> </w:t>
      </w:r>
      <w:r>
        <w:t xml:space="preserve">Option 4 – Replacing the</w:t>
      </w:r>
      <w:r>
        <w:t xml:space="preserve"> </w:t>
      </w:r>
      <w:r>
        <w:t xml:space="preserve">passporting procedure at the</w:t>
      </w:r>
      <w:r>
        <w:t xml:space="preserve"> </w:t>
      </w:r>
      <w:r>
        <w:t xml:space="preserve">host Member State level</w:t>
      </w:r>
      <w:r>
        <w:t xml:space="preserve"> </w:t>
      </w:r>
      <w:r>
        <w:t xml:space="preserve">with a notification</w:t>
      </w:r>
      <w:r>
        <w:t xml:space="preserve"> </w:t>
      </w:r>
      <w:r>
        <w:t xml:space="preserve">The current possibility for host Member State authorities to reject a passporting</w:t>
      </w:r>
      <w:r>
        <w:t xml:space="preserve"> </w:t>
      </w:r>
      <w:r>
        <w:t xml:space="preserve">request would be removed and replaced by a standardised notification from the</w:t>
      </w:r>
      <w:r>
        <w:t xml:space="preserve"> </w:t>
      </w:r>
      <w:r>
        <w:t xml:space="preserve">home Member State authorities. CSDs wishing to passport their services within the</w:t>
      </w:r>
      <w:r>
        <w:t xml:space="preserve"> </w:t>
      </w:r>
      <w:r>
        <w:t xml:space="preserve">EU would only have to obtain an approval from the home Member State competent</w:t>
      </w:r>
      <w:r>
        <w:t xml:space="preserve"> </w:t>
      </w:r>
      <w:r>
        <w:t xml:space="preserve">authorities. As long as the CSD is authorised in one Member State, the competent</w:t>
      </w:r>
      <w:r>
        <w:t xml:space="preserve"> </w:t>
      </w:r>
      <w:r>
        <w:t xml:space="preserve">authorities of the host Member State would not have to approve or reject the</w:t>
      </w:r>
      <w:r>
        <w:t xml:space="preserve"> </w:t>
      </w:r>
      <w:r>
        <w:t xml:space="preserve">passport.</w:t>
      </w:r>
      <w:r>
        <w:t xml:space="preserve"> </w:t>
      </w:r>
      <w:r>
        <w:t xml:space="preserve">Option 5 – Combination of</w:t>
      </w:r>
      <w:r>
        <w:t xml:space="preserve"> </w:t>
      </w:r>
      <w:r>
        <w:t xml:space="preserve">Option 3 and Option 4</w:t>
      </w:r>
      <w:r>
        <w:t xml:space="preserve"> </w:t>
      </w:r>
      <w:r>
        <w:t xml:space="preserve">The current requirements laid down in Article 23 of CSDR would be simplified as</w:t>
      </w:r>
      <w:r>
        <w:t xml:space="preserve"> </w:t>
      </w:r>
      <w:r>
        <w:t xml:space="preserve">per Option 4 and certain aspects of the passporting procedure would be clarified as</w:t>
      </w:r>
      <w:r>
        <w:t xml:space="preserve"> </w:t>
      </w:r>
      <w:r>
        <w:t xml:space="preserve">per Option 3.</w:t>
      </w:r>
    </w:p>
    <w:p>
      <w:pPr>
        <w:pStyle w:val="BodyText"/>
      </w:pPr>
      <w:r>
        <w:t xml:space="preserve">5.2.2. Insufficient coordination and cooperation between authorities</w:t>
      </w:r>
      <w:r>
        <w:t xml:space="preserve"> </w:t>
      </w:r>
      <w:r>
        <w:t xml:space="preserve">The objective is to minimise barriers to cross-border settlement by enhancing</w:t>
      </w:r>
      <w:r>
        <w:t xml:space="preserve"> </w:t>
      </w:r>
      <w:r>
        <w:t xml:space="preserve">coordination and cooperation between authorities involved in the supervision of CSDs.</w:t>
      </w:r>
      <w:r>
        <w:t xml:space="preserve"> </w:t>
      </w:r>
      <w:r>
        <w:t xml:space="preserve">All of the options presented are alternatives.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1: 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This is the baseline scenario (see section 5.1).</w:t>
      </w:r>
      <w:r>
        <w:t xml:space="preserve"> </w:t>
      </w:r>
      <w:r>
        <w:t xml:space="preserve">Option 2: Enhance the</w:t>
      </w:r>
      <w:r>
        <w:t xml:space="preserve"> </w:t>
      </w:r>
      <w:r>
        <w:t xml:space="preserve">existing CSDR rules for</w:t>
      </w:r>
      <w:r>
        <w:t xml:space="preserve"> </w:t>
      </w:r>
      <w:r>
        <w:t xml:space="preserve">cooperation arrangements</w:t>
      </w:r>
      <w:r>
        <w:br/>
      </w:r>
      <w:r>
        <w:t xml:space="preserve">Introduce clarifications to the existing framework for cooperation arrangements that</w:t>
      </w:r>
      <w:r>
        <w:t xml:space="preserve"> </w:t>
      </w:r>
      <w:r>
        <w:t xml:space="preserve">are established between competent authorities of home and host Member States</w:t>
      </w:r>
      <w:r>
        <w:t xml:space="preserve"> </w:t>
      </w:r>
      <w:r>
        <w:t xml:space="preserve">where a CSD is of substantial importance for the functioning of the securities</w:t>
      </w:r>
      <w:r>
        <w:t xml:space="preserve"> </w:t>
      </w:r>
      <w:r>
        <w:t xml:space="preserve">markets and the protection of the investors in that host Member State.</w:t>
      </w:r>
      <w:r>
        <w:br/>
      </w:r>
      <w:r>
        <w:t xml:space="preserve">Option 3: Introduce</w:t>
      </w:r>
      <w:r>
        <w:t xml:space="preserve"> </w:t>
      </w:r>
      <w:r>
        <w:t xml:space="preserve">mandatory supervisory</w:t>
      </w:r>
      <w:r>
        <w:t xml:space="preserve"> </w:t>
      </w:r>
      <w:r>
        <w:t xml:space="preserve">colleges</w:t>
      </w:r>
      <w:r>
        <w:t xml:space="preserve"> </w:t>
      </w:r>
      <w:r>
        <w:t xml:space="preserve">Supervisory colleges would be required to enhance the cooperation between</w:t>
      </w:r>
      <w:r>
        <w:t xml:space="preserve"> </w:t>
      </w:r>
      <w:r>
        <w:t xml:space="preserve">different authorities. Elements to be considered are: the CSDs for which the</w:t>
      </w:r>
      <w:r>
        <w:t xml:space="preserve"> </w:t>
      </w:r>
      <w:r>
        <w:t xml:space="preserve">establishment of a college would be required; the composition, e.g. home and host</w:t>
      </w:r>
      <w:r>
        <w:t xml:space="preserve"> </w:t>
      </w:r>
      <w:r>
        <w:t xml:space="preserve">authorities, other relevant authorities; the powers of the college (only information</w:t>
      </w:r>
      <w:r>
        <w:t xml:space="preserve"> </w:t>
      </w:r>
      <w:r>
        <w:t xml:space="preserve">sharing, or consultation/issuance of opinion before the adoption of certain decisions</w:t>
      </w:r>
      <w:r>
        <w:t xml:space="preserve"> </w:t>
      </w:r>
      <w:r>
        <w:t xml:space="preserve">by the home authority (see also next option)).</w:t>
      </w:r>
      <w:r>
        <w:t xml:space="preserve"> </w:t>
      </w:r>
      <w:r>
        <w:t xml:space="preserve">Option 4: More supervision</w:t>
      </w:r>
      <w:r>
        <w:t xml:space="preserve"> </w:t>
      </w:r>
      <w:r>
        <w:t xml:space="preserve">ESMA would be granted more supervisory powers in relation to EU CSDs. Several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of CSDs at EU level</w:t>
      </w:r>
      <w:r>
        <w:t xml:space="preserve"> </w:t>
      </w:r>
      <w:r>
        <w:t xml:space="preserve">aspects would have to be considered, including: scope, i.e. the CSDs over which</w:t>
      </w:r>
      <w:r>
        <w:t xml:space="preserve"> </w:t>
      </w:r>
      <w:r>
        <w:t xml:space="preserve">ESMA could have supervisory powers; the powers granted to ESMA, ranging from</w:t>
      </w:r>
      <w:r>
        <w:t xml:space="preserve"> </w:t>
      </w:r>
      <w:r>
        <w:t xml:space="preserve">participation in colleges (as above), via the need for them to approve all or some</w:t>
      </w:r>
      <w:r>
        <w:t xml:space="preserve"> </w:t>
      </w:r>
      <w:r>
        <w:t xml:space="preserve">decisions of national authorities, to direct supervisory powers.</w:t>
      </w:r>
    </w:p>
    <w:p>
      <w:pPr>
        <w:pStyle w:val="BodyText"/>
      </w:pPr>
      <w:r>
        <w:t xml:space="preserve">5.2.3. Restrictive requirements for provision of banking services related to settlement in</w:t>
      </w:r>
      <w:r>
        <w:t xml:space="preserve"> </w:t>
      </w:r>
      <w:r>
        <w:t xml:space="preserve">foreign currencies</w:t>
      </w:r>
      <w:r>
        <w:t xml:space="preserve"> </w:t>
      </w:r>
      <w:r>
        <w:t xml:space="preserve">The objective is to enhance the cross-border provision of CSD services, through</w:t>
      </w:r>
      <w:r>
        <w:t xml:space="preserve"> </w:t>
      </w:r>
      <w:r>
        <w:t xml:space="preserve">improved access to banking-type services while ensuring financial stability. Options 2</w:t>
      </w:r>
      <w:r>
        <w:t xml:space="preserve"> </w:t>
      </w:r>
      <w:r>
        <w:t xml:space="preserve">and 3 may be complementary.</w:t>
      </w:r>
      <w:r>
        <w:br/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1 - 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This is the baseline scenario (see section 5.1).</w:t>
      </w:r>
      <w:r>
        <w:t xml:space="preserve"> </w:t>
      </w:r>
      <w:r>
        <w:t xml:space="preserve">Option 2 – Introduce</w:t>
      </w:r>
      <w:r>
        <w:t xml:space="preserve"> </w:t>
      </w:r>
      <w:r>
        <w:t xml:space="preserve">targeted amendments for</w:t>
      </w:r>
      <w:r>
        <w:t xml:space="preserve"> </w:t>
      </w:r>
      <w:r>
        <w:t xml:space="preserve">banking type services</w:t>
      </w:r>
      <w:r>
        <w:t xml:space="preserve"> </w:t>
      </w:r>
      <w:r>
        <w:t xml:space="preserve">Clarifications and targeted enhancements would help CSDs to provide cross-border</w:t>
      </w:r>
      <w:r>
        <w:t xml:space="preserve"> </w:t>
      </w:r>
      <w:r>
        <w:t xml:space="preserve">settlement less costly while keeping financial stability risk limited. These could</w:t>
      </w:r>
      <w:r>
        <w:t xml:space="preserve"> </w:t>
      </w:r>
      <w:r>
        <w:t xml:space="preserve">include, (a) removing certain restrictions for designated credit institutions under</w:t>
      </w:r>
      <w:r>
        <w:t xml:space="preserve"> </w:t>
      </w:r>
      <w:r>
        <w:t xml:space="preserve">article 54(4) of CSDR and/or (b) allowing CSDs with a banking license to offer</w:t>
      </w:r>
      <w:r>
        <w:t xml:space="preserve"> </w:t>
      </w:r>
      <w:r>
        <w:t xml:space="preserve">banking services to other CSDs (inside and outside their group).</w:t>
      </w:r>
      <w:r>
        <w:t xml:space="preserve"> </w:t>
      </w:r>
      <w:r>
        <w:t xml:space="preserve">Option 3 – Amend the</w:t>
      </w:r>
      <w:r>
        <w:t xml:space="preserve"> </w:t>
      </w:r>
      <w:r>
        <w:t xml:space="preserve">threshold below which</w:t>
      </w:r>
      <w:r>
        <w:t xml:space="preserve"> </w:t>
      </w:r>
      <w:r>
        <w:t xml:space="preserve">CSDs can use a commercial</w:t>
      </w:r>
      <w:r>
        <w:t xml:space="preserve"> </w:t>
      </w:r>
      <w:r>
        <w:t xml:space="preserve">bank for banking-type</w:t>
      </w:r>
      <w:r>
        <w:t xml:space="preserve"> </w:t>
      </w:r>
      <w:r>
        <w:t xml:space="preserve">ancillary services.</w:t>
      </w:r>
      <w:r>
        <w:t xml:space="preserve"> </w:t>
      </w:r>
      <w:r>
        <w:t xml:space="preserve">More flexibility for CSDs to offer services in foreign currencies, depending on the</w:t>
      </w:r>
      <w:r>
        <w:t xml:space="preserve"> </w:t>
      </w:r>
      <w:r>
        <w:t xml:space="preserve">threshold set, while mitigating additional financial stability risks and reducing</w:t>
      </w:r>
      <w:r>
        <w:t xml:space="preserve"> </w:t>
      </w:r>
      <w:r>
        <w:t xml:space="preserve">compliance costs.</w:t>
      </w:r>
      <w:r>
        <w:br/>
      </w:r>
      <w:r>
        <w:t xml:space="preserve">Option 4 – Combination of</w:t>
      </w:r>
      <w:r>
        <w:t xml:space="preserve"> </w:t>
      </w:r>
      <w:r>
        <w:t xml:space="preserve">options 2(b) and 3</w:t>
      </w:r>
      <w:r>
        <w:t xml:space="preserve"> </w:t>
      </w:r>
      <w:r>
        <w:t xml:space="preserve">Amend threshold and broaden the potential banking-services providers by allowing</w:t>
      </w:r>
      <w:r>
        <w:t xml:space="preserve"> </w:t>
      </w:r>
      <w:r>
        <w:t xml:space="preserve">CSDs with a banking license to offer banking services to other CSDs (inside and</w:t>
      </w:r>
      <w:r>
        <w:t xml:space="preserve"> </w:t>
      </w:r>
      <w:r>
        <w:t xml:space="preserve">outside their group).</w:t>
      </w:r>
    </w:p>
    <w:p>
      <w:pPr>
        <w:pStyle w:val="BodyText"/>
      </w:pPr>
      <w:r>
        <w:t xml:space="preserve">5.2.4. Unclear and complicated requirements for settlement discipline</w:t>
      </w:r>
      <w:r>
        <w:t xml:space="preserve"> </w:t>
      </w:r>
      <w:r>
        <w:t xml:space="preserve">The objective is to minimise the burden and compliance costs of the settlement discipline</w:t>
      </w:r>
      <w:r>
        <w:t xml:space="preserve"> </w:t>
      </w:r>
      <w:r>
        <w:t xml:space="preserve">regime, avoid negative impacts on EU capital markets, while ensuring a high degree of</w:t>
      </w:r>
      <w:r>
        <w:t xml:space="preserve"> </w:t>
      </w:r>
      <w:r>
        <w:t xml:space="preserve">settlement efficiency.</w:t>
      </w:r>
    </w:p>
    <w:p>
      <w:pPr>
        <w:pStyle w:val="BodyText"/>
      </w:pPr>
      <w:r>
        <w:t xml:space="preserve">207 The buyer in a securities transaction is obliged to initiate a buy-in process against the seller should the</w:t>
      </w:r>
      <w:r>
        <w:t xml:space="preserve"> </w:t>
      </w:r>
      <w:r>
        <w:t xml:space="preserve">settlement of a transaction fail after a certain period of time. This needs a neutral third-party who acts as a</w:t>
      </w:r>
      <w:r>
        <w:t xml:space="preserve"> </w:t>
      </w:r>
      <w:r>
        <w:t xml:space="preserve">buy-in agent.</w:t>
      </w:r>
      <w:r>
        <w:t xml:space="preserve"> </w:t>
      </w:r>
      <w:r>
        <w:t xml:space="preserve">208 Sales in non-cleared markets are contingent on the settlement of an outright purchase of the same security.</w:t>
      </w:r>
      <w:r>
        <w:t xml:space="preserve"> </w:t>
      </w:r>
      <w:r>
        <w:t xml:space="preserve">In some markets, this can create chains of transactions with dependent settlements. As such, a single</w:t>
      </w:r>
      <w:r>
        <w:t xml:space="preserve"> </w:t>
      </w:r>
      <w:r>
        <w:t xml:space="preserve">settlement fail (at the start of the chain) can cause a sequence of settlement fails in the entire chain.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1 - Do nothing</w:t>
      </w:r>
      <w:r>
        <w:br/>
      </w:r>
      <w:r>
        <w:t xml:space="preserve">This is the baseline scenario (see section 5.1).</w:t>
      </w:r>
      <w:r>
        <w:t xml:space="preserve"> </w:t>
      </w:r>
      <w:r>
        <w:t xml:space="preserve">Option 2 – Introduce targeted</w:t>
      </w:r>
      <w:r>
        <w:t xml:space="preserve"> </w:t>
      </w:r>
      <w:r>
        <w:t xml:space="preserve">amendments for cash penalties</w:t>
      </w:r>
      <w:r>
        <w:t xml:space="preserve"> </w:t>
      </w:r>
      <w:r>
        <w:t xml:space="preserve">and mandatory buy-ins</w:t>
      </w:r>
      <w:r>
        <w:t xml:space="preserve"> </w:t>
      </w:r>
      <w:r>
        <w:t xml:space="preserve">Amendments could be introduced to both cash penalties and mandatory buy-ins</w:t>
      </w:r>
      <w:r>
        <w:t xml:space="preserve"> </w:t>
      </w:r>
      <w:r>
        <w:t xml:space="preserve">to clarify the rules, e.g. on scope exempting certain instruments, adjusting</w:t>
      </w:r>
      <w:r>
        <w:t xml:space="preserve"> </w:t>
      </w:r>
      <w:r>
        <w:t xml:space="preserve">provisions on the use of buy-in agents207 and pass-on mechanisms.208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The objective is to minimise the burden and compliance costs of the settlement discipline</w:t>
      </w:r>
      <w:r>
        <w:t xml:space="preserve"> </w:t>
      </w:r>
      <w:r>
        <w:t xml:space="preserve">regime, avoid negative impacts on EU capital markets, while ensuring a high degree of</w:t>
      </w:r>
      <w:r>
        <w:t xml:space="preserve"> </w:t>
      </w:r>
      <w:r>
        <w:t xml:space="preserve">settlement efficiency. Options 2, 3, and 4 are complementary, Option 3 and 4 alternative.</w:t>
      </w:r>
      <w:r>
        <w:t xml:space="preserve"> </w:t>
      </w:r>
      <w:r>
        <w:t xml:space="preserve">5.2.5. Insufficient reporting for third-country CSDs</w:t>
      </w:r>
      <w:r>
        <w:br/>
      </w:r>
      <w:r>
        <w:t xml:space="preserve">The objective is to increase information available on third-country CSDs’ activities in</w:t>
      </w:r>
      <w:r>
        <w:t xml:space="preserve"> </w:t>
      </w:r>
      <w:r>
        <w:t xml:space="preserve">relation to financial instruments constituted under the law of a Member State to allow</w:t>
      </w:r>
      <w:r>
        <w:t xml:space="preserve"> </w:t>
      </w:r>
      <w:r>
        <w:t xml:space="preserve">authorities in the EU to assess potential risks (see section 2.3.5). Options 2 and 3 may</w:t>
      </w:r>
      <w:r>
        <w:t xml:space="preserve"> </w:t>
      </w:r>
      <w:r>
        <w:t xml:space="preserve">also be complementary whereas Option 4 is an alternative.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1 - Do nothing</w:t>
      </w:r>
      <w:r>
        <w:br/>
      </w:r>
      <w:r>
        <w:t xml:space="preserve">This is the baseline scenario (see section 5.1).</w:t>
      </w:r>
      <w:r>
        <w:t xml:space="preserve"> </w:t>
      </w:r>
      <w:r>
        <w:t xml:space="preserve">Option 2 – Introduce an end-</w:t>
      </w:r>
      <w:r>
        <w:t xml:space="preserve"> </w:t>
      </w:r>
      <w:r>
        <w:t xml:space="preserve">date to the grandfathering</w:t>
      </w:r>
      <w:r>
        <w:t xml:space="preserve"> </w:t>
      </w:r>
      <w:r>
        <w:t xml:space="preserve">clause</w:t>
      </w:r>
      <w:r>
        <w:t xml:space="preserve"> </w:t>
      </w:r>
      <w:r>
        <w:t xml:space="preserve">An end-date to the grandfathering clause would be introduced209 (e.g. </w:t>
      </w:r>
      <w:r>
        <w:t xml:space="preserve"> </w:t>
      </w:r>
      <w:r>
        <w:t xml:space="preserve">requirement for CSDs to apply for recognition 3 years from entry into force,</w:t>
      </w:r>
      <w:r>
        <w:t xml:space="preserve"> </w:t>
      </w:r>
      <w:r>
        <w:t xml:space="preserve">and/or introduce a maximum period).</w:t>
      </w:r>
      <w:r>
        <w:br/>
      </w:r>
      <w:r>
        <w:t xml:space="preserve">Option 3 – Introduce a</w:t>
      </w:r>
      <w:r>
        <w:t xml:space="preserve"> </w:t>
      </w:r>
      <w:r>
        <w:t xml:space="preserve">notification requirement for</w:t>
      </w:r>
      <w:r>
        <w:t xml:space="preserve"> </w:t>
      </w:r>
      <w:r>
        <w:t xml:space="preserve">third-country CSDs</w:t>
      </w:r>
      <w:r>
        <w:t xml:space="preserve"> </w:t>
      </w:r>
      <w:r>
        <w:t xml:space="preserve">As proposed by ESMA210, third-country CSDs providing services in the EEA</w:t>
      </w:r>
      <w:r>
        <w:t xml:space="preserve"> </w:t>
      </w:r>
      <w:r>
        <w:t xml:space="preserve">under the grandfathering clause or offering settlement services (for which</w:t>
      </w:r>
      <w:r>
        <w:t xml:space="preserve"> </w:t>
      </w:r>
      <w:r>
        <w:t xml:space="preserve">recognition by ESMA is not required) could be required to notify ESMA of</w:t>
      </w:r>
      <w:r>
        <w:t xml:space="preserve"> </w:t>
      </w:r>
      <w:r>
        <w:t xml:space="preserve">their activity. ESMA could also be able to submit requests for access to</w:t>
      </w:r>
      <w:r>
        <w:t xml:space="preserve"> </w:t>
      </w:r>
      <w:r>
        <w:t xml:space="preserve">information directly to these CSDs. The main information collected by ESMA</w:t>
      </w:r>
      <w:r>
        <w:t xml:space="preserve"> </w:t>
      </w:r>
      <w:r>
        <w:t xml:space="preserve">would be made available to the public.</w:t>
      </w:r>
      <w:r>
        <w:t xml:space="preserve"> </w:t>
      </w:r>
      <w:r>
        <w:t xml:space="preserve">Option 4 – Enhance the regime</w:t>
      </w:r>
      <w:r>
        <w:t xml:space="preserve"> </w:t>
      </w:r>
      <w:r>
        <w:t xml:space="preserve">for third-country CSDs</w:t>
      </w:r>
      <w:r>
        <w:t xml:space="preserve"> </w:t>
      </w:r>
      <w:r>
        <w:t xml:space="preserve">The requirements applicable to third-country CSDs would be enhanced. For</w:t>
      </w:r>
      <w:r>
        <w:t xml:space="preserve"> </w:t>
      </w:r>
      <w:r>
        <w:t xml:space="preserve">instance, settlement services could be included within the scope of the ESMA</w:t>
      </w:r>
      <w:r>
        <w:t xml:space="preserve"> </w:t>
      </w:r>
      <w:r>
        <w:t xml:space="preserve">recognition regime and/or ESMA could become a fully-fledged supervisor for</w:t>
      </w:r>
      <w:r>
        <w:t xml:space="preserve"> </w:t>
      </w:r>
      <w:r>
        <w:t xml:space="preserve">third-country CSDs.</w:t>
      </w:r>
      <w:r>
        <w:br/>
      </w:r>
      <w:r>
        <w:t xml:space="preserve">Option 5: combination of</w:t>
      </w:r>
      <w:r>
        <w:t xml:space="preserve"> </w:t>
      </w:r>
      <w:r>
        <w:t xml:space="preserve">Options 2 and 3</w:t>
      </w:r>
      <w:r>
        <w:t xml:space="preserve"> </w:t>
      </w:r>
      <w:r>
        <w:t xml:space="preserve">Introduction of an end-date to the grandfathering clause and a notification</w:t>
      </w:r>
      <w:r>
        <w:t xml:space="preserve"> </w:t>
      </w:r>
      <w:r>
        <w:t xml:space="preserve">requirement for third-country CSDs operating under the grandfathering clause</w:t>
      </w:r>
      <w:r>
        <w:t xml:space="preserve"> </w:t>
      </w:r>
      <w:r>
        <w:t xml:space="preserve">or offering settlement services in relation to financial instruments constituted</w:t>
      </w:r>
      <w:r>
        <w:t xml:space="preserve"> </w:t>
      </w:r>
      <w:r>
        <w:t xml:space="preserve">under the law of a Member State.</w:t>
      </w:r>
    </w:p>
    <w:p>
      <w:pPr>
        <w:pStyle w:val="BodyText"/>
      </w:pPr>
      <w:r>
        <w:t xml:space="preserve">5.3. Options discarded at an early stage</w:t>
      </w:r>
      <w:r>
        <w:t xml:space="preserve"> </w:t>
      </w:r>
      <w:r>
        <w:t xml:space="preserve">Certain options have been discarded at an early stage as inconsistent with the EU legal</w:t>
      </w:r>
      <w:r>
        <w:t xml:space="preserve"> </w:t>
      </w:r>
      <w:r>
        <w:t xml:space="preserve">framework or the objectives of this initiative to ensure a resilient and efficient market for</w:t>
      </w:r>
      <w:r>
        <w:t xml:space="preserve"> </w:t>
      </w:r>
      <w:r>
        <w:t xml:space="preserve">settlement in the EU. These relate in particular to the restrictive requirements for the</w:t>
      </w:r>
      <w:r>
        <w:t xml:space="preserve"> </w:t>
      </w:r>
      <w:r>
        <w:t xml:space="preserve">provision of banking-type ancillary services and the unclear and complicated</w:t>
      </w:r>
      <w:r>
        <w:t xml:space="preserve"> </w:t>
      </w:r>
      <w:r>
        <w:t xml:space="preserve">requirements for settlement discipline.</w:t>
      </w:r>
    </w:p>
    <w:p>
      <w:pPr>
        <w:pStyle w:val="BodyText"/>
      </w:pPr>
      <w:r>
        <w:t xml:space="preserve">209 The end-date to the grandfathering clause would be introduced for both for EEA and third-country CSDs.</w:t>
      </w:r>
      <w:r>
        <w:t xml:space="preserve"> </w:t>
      </w:r>
      <w:r>
        <w:t xml:space="preserve">210 ESMA letter to the Commission (see note 133).</w:t>
      </w:r>
      <w:r>
        <w:t xml:space="preserve"> </w:t>
      </w:r>
      <w:r>
        <w:t xml:space="preserve">Option 3 – Follow a two-step</w:t>
      </w:r>
      <w:r>
        <w:t xml:space="preserve"> </w:t>
      </w:r>
      <w:r>
        <w:t xml:space="preserve">approach</w:t>
      </w:r>
      <w:r>
        <w:t xml:space="preserve"> </w:t>
      </w:r>
      <w:r>
        <w:t xml:space="preserve">Initially only cash penalties and reporting requirements would be introduced. If</w:t>
      </w:r>
      <w:r>
        <w:t xml:space="preserve"> </w:t>
      </w:r>
      <w:r>
        <w:t xml:space="preserve">no further improvement in settlement rates is observed, mandatory buy-ins</w:t>
      </w:r>
      <w:r>
        <w:t xml:space="preserve"> </w:t>
      </w:r>
      <w:r>
        <w:t xml:space="preserve">would be introduced.</w:t>
      </w:r>
      <w:r>
        <w:br/>
      </w:r>
      <w:r>
        <w:t xml:space="preserve">Option 4 – Introduce voluntary</w:t>
      </w:r>
      <w:r>
        <w:t xml:space="preserve"> </w:t>
      </w:r>
      <w:r>
        <w:t xml:space="preserve">buy-ins</w:t>
      </w:r>
      <w:r>
        <w:t xml:space="preserve"> </w:t>
      </w:r>
      <w:r>
        <w:t xml:space="preserve">Buy-ins would be made voluntary for some or all asset classes. Rules on cash</w:t>
      </w:r>
      <w:r>
        <w:t xml:space="preserve"> </w:t>
      </w:r>
      <w:r>
        <w:t xml:space="preserve">penalties and reporting requirements would remain.</w:t>
      </w:r>
      <w:r>
        <w:t xml:space="preserve"> </w:t>
      </w:r>
      <w:r>
        <w:t xml:space="preserve">Option 5 – Targeted</w:t>
      </w:r>
      <w:r>
        <w:t xml:space="preserve"> </w:t>
      </w:r>
      <w:r>
        <w:t xml:space="preserve">amendments combined with a</w:t>
      </w:r>
      <w:r>
        <w:t xml:space="preserve"> </w:t>
      </w:r>
      <w:r>
        <w:t xml:space="preserve">two-step approach</w:t>
      </w:r>
      <w:r>
        <w:t xml:space="preserve"> </w:t>
      </w:r>
      <w:r>
        <w:t xml:space="preserve">Clarifications with regards to in-scope transactions will apply immediately to</w:t>
      </w:r>
      <w:r>
        <w:t xml:space="preserve"> </w:t>
      </w:r>
      <w:r>
        <w:t xml:space="preserve">cash penalties, while amendments linked to pass-on mechanism and buy-in</w:t>
      </w:r>
      <w:r>
        <w:t xml:space="preserve"> </w:t>
      </w:r>
      <w:r>
        <w:t xml:space="preserve">agents will be deferred until the potential launch of mandatory buy-ins.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Regarding the former, the option to introduce in CSDR a requirement for central banks to</w:t>
      </w:r>
      <w:r>
        <w:t xml:space="preserve"> </w:t>
      </w:r>
      <w:r>
        <w:t xml:space="preserve">facilitate CSDs’ access to central bank money was discarded. CSDR should be without</w:t>
      </w:r>
      <w:r>
        <w:t xml:space="preserve"> </w:t>
      </w:r>
      <w:r>
        <w:t xml:space="preserve">prejudice to the independence of central banks, which is enshrined in the TFEU, as</w:t>
      </w:r>
      <w:r>
        <w:t xml:space="preserve"> </w:t>
      </w:r>
      <w:r>
        <w:t xml:space="preserve">concerns their policies on access of domestic or foreign financial market institutions to</w:t>
      </w:r>
      <w:r>
        <w:t xml:space="preserve"> </w:t>
      </w:r>
      <w:r>
        <w:t xml:space="preserve">central banks’ accounts and central banks’ facilities. Therefore, CSDR is not an</w:t>
      </w:r>
      <w:r>
        <w:t xml:space="preserve"> </w:t>
      </w:r>
      <w:r>
        <w:t xml:space="preserve">appropriate place to impose obligations on the EU central banks.211</w:t>
      </w:r>
      <w:r>
        <w:t xml:space="preserve"> </w:t>
      </w:r>
      <w:r>
        <w:t xml:space="preserve">With regards to the unclear and complicated requirements for settlement discipline the</w:t>
      </w:r>
      <w:r>
        <w:t xml:space="preserve"> </w:t>
      </w:r>
      <w:r>
        <w:t xml:space="preserve">option to suspend the framework in its entirety was discarded. Settlement fails in the EU</w:t>
      </w:r>
      <w:r>
        <w:t xml:space="preserve"> </w:t>
      </w:r>
      <w:r>
        <w:t xml:space="preserve">remain consistently higher than in other major financial markets which affects negatively</w:t>
      </w:r>
      <w:r>
        <w:t xml:space="preserve"> </w:t>
      </w:r>
      <w:r>
        <w:t xml:space="preserve">the standing of EU financial markets as a target of investment and source of financing</w:t>
      </w:r>
      <w:r>
        <w:t xml:space="preserve"> </w:t>
      </w:r>
      <w:r>
        <w:t xml:space="preserve">among EU market participants, while also undermining the international competitiveness</w:t>
      </w:r>
      <w:r>
        <w:t xml:space="preserve"> </w:t>
      </w:r>
      <w:r>
        <w:t xml:space="preserve">of EU financial markets.</w:t>
      </w:r>
      <w:r>
        <w:br/>
      </w:r>
      <w:r>
        <w:t xml:space="preserve">Similarly the option to differentiate the settlement discipline regime based on instrument</w:t>
      </w:r>
      <w:r>
        <w:t xml:space="preserve"> </w:t>
      </w:r>
      <w:r>
        <w:t xml:space="preserve">type, market or the existence of a clearing obligation was disregarded for several reasons.</w:t>
      </w:r>
      <w:r>
        <w:t xml:space="preserve"> </w:t>
      </w:r>
      <w:r>
        <w:t xml:space="preserve">First, this would create a two-tier market structure leading to arbitrage risks and investors</w:t>
      </w:r>
      <w:r>
        <w:t xml:space="preserve"> </w:t>
      </w:r>
      <w:r>
        <w:t xml:space="preserve">fleeing to the lighter regulated market. This runs clearly against the objectives of CMU.</w:t>
      </w:r>
      <w:r>
        <w:t xml:space="preserve"> </w:t>
      </w:r>
      <w:r>
        <w:t xml:space="preserve">Second, tougher settlement discipline measures only on the less performing markets will</w:t>
      </w:r>
      <w:r>
        <w:t xml:space="preserve"> </w:t>
      </w:r>
      <w:r>
        <w:t xml:space="preserve">likely drive away any liquidity and trading from these venues undermining financial</w:t>
      </w:r>
      <w:r>
        <w:t xml:space="preserve"> </w:t>
      </w:r>
      <w:r>
        <w:t xml:space="preserve">markets in these Member States while leading to concentration of market activity on a</w:t>
      </w:r>
      <w:r>
        <w:t xml:space="preserve"> </w:t>
      </w:r>
      <w:r>
        <w:t xml:space="preserve">few Union markets. Finally, it could encourage failing market participants to migrate to</w:t>
      </w:r>
      <w:r>
        <w:t xml:space="preserve"> </w:t>
      </w:r>
      <w:r>
        <w:t xml:space="preserve">venues that are not subject to the tougher settlement discipline measures. These effects</w:t>
      </w:r>
      <w:r>
        <w:t xml:space="preserve"> </w:t>
      </w:r>
      <w:r>
        <w:t xml:space="preserve">combined could lead to a two-tier capital market in the EU, with a small number of liquid</w:t>
      </w:r>
      <w:r>
        <w:t xml:space="preserve"> </w:t>
      </w:r>
      <w:r>
        <w:t xml:space="preserve">and efficient markets and a large number of smaller, less liquid and risky national capital</w:t>
      </w:r>
      <w:r>
        <w:t xml:space="preserve"> </w:t>
      </w:r>
      <w:r>
        <w:t xml:space="preserve">markets, undermining the role of financial markets as drivers of growth and economic</w:t>
      </w:r>
      <w:r>
        <w:t xml:space="preserve"> </w:t>
      </w:r>
      <w:r>
        <w:t xml:space="preserve">stability.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This section describes the impact of each policy option against the drivers. In addition,</w:t>
      </w:r>
      <w:r>
        <w:t xml:space="preserve"> </w:t>
      </w:r>
      <w:r>
        <w:t xml:space="preserve">each policy option considered (other than Option 1 (baseline)) will be assessed against</w:t>
      </w:r>
      <w:r>
        <w:t xml:space="preserve"> </w:t>
      </w:r>
      <w:r>
        <w:t xml:space="preserve">the specific objectives presented in Section 4. In essence, under Option 1 (see section</w:t>
      </w:r>
      <w:r>
        <w:t xml:space="preserve"> </w:t>
      </w:r>
      <w:r>
        <w:t xml:space="preserve">5.1), all problems identified will remain, meaning that inefficiencies and disproportionate</w:t>
      </w:r>
      <w:r>
        <w:t xml:space="preserve"> </w:t>
      </w:r>
      <w:r>
        <w:t xml:space="preserve">costs will remain, to the detriment of the competitiveness of EU financial markets.</w:t>
      </w:r>
      <w:r>
        <w:br/>
      </w:r>
      <w:r>
        <w:t xml:space="preserve">For readability and flow of the text, the sections below focus on the effectiveness of each</w:t>
      </w:r>
      <w:r>
        <w:t xml:space="preserve"> </w:t>
      </w:r>
      <w:r>
        <w:t xml:space="preserve">option in meeting the specific objectives, its coherence with the EU framework as well as</w:t>
      </w:r>
      <w:r>
        <w:t xml:space="preserve"> </w:t>
      </w:r>
      <w:r>
        <w:t xml:space="preserve">the rationale for selecting each preferred policy option. A detailed description of the costs</w:t>
      </w:r>
      <w:r>
        <w:t xml:space="preserve"> </w:t>
      </w:r>
      <w:r>
        <w:t xml:space="preserve">and benefits (efficiency) of each option can be found in Annex 7.</w:t>
      </w:r>
      <w:r>
        <w:t xml:space="preserve"> </w:t>
      </w:r>
      <w:r>
        <w:t xml:space="preserve">6.1. Impact of the policy options regarding passporting requirements</w:t>
      </w:r>
      <w:r>
        <w:br/>
      </w:r>
      <w:r>
        <w:t xml:space="preserve">6.1.1. Option 2 - Reduce the scope of the passporting requirements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Passporting requirements would not apply for non-equity securities. There would be no</w:t>
      </w:r>
      <w:r>
        <w:t xml:space="preserve"> </w:t>
      </w:r>
      <w:r>
        <w:t xml:space="preserve">need for CSDs to apply for a passport when providing services for these instruments</w:t>
      </w:r>
      <w:r>
        <w:t xml:space="preserve"> </w:t>
      </w:r>
      <w:r>
        <w:t xml:space="preserve">cross-border. This would provide legal clarity (no requirements) for CSDs and national</w:t>
      </w:r>
      <w:r>
        <w:t xml:space="preserve"> </w:t>
      </w:r>
      <w:r>
        <w:t xml:space="preserve">authorities, reducing the administrative burden and compliance costs for both.</w:t>
      </w:r>
    </w:p>
    <w:p>
      <w:pPr>
        <w:pStyle w:val="BodyText"/>
      </w:pPr>
      <w:r>
        <w:t xml:space="preserve">211 CSDR review report (see note 9).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 two specific objectives would however only be partially met, as the problems</w:t>
      </w:r>
      <w:r>
        <w:t xml:space="preserve"> </w:t>
      </w:r>
      <w:r>
        <w:t xml:space="preserve">identified would remain for equities. As such, cross-border settlement activities of CSDs</w:t>
      </w:r>
      <w:r>
        <w:t xml:space="preserve"> </w:t>
      </w:r>
      <w:r>
        <w:t xml:space="preserve">for equities may stagnate or reduce, and the administrative burden for CSDs and national</w:t>
      </w:r>
      <w:r>
        <w:t xml:space="preserve"> </w:t>
      </w:r>
      <w:r>
        <w:t xml:space="preserve">authorities would remain. In addition, as passporting requirements would not apply to</w:t>
      </w:r>
      <w:r>
        <w:t xml:space="preserve"> </w:t>
      </w:r>
      <w:r>
        <w:t xml:space="preserve">non-equity securities, national authorities would not have a clear overview of the services</w:t>
      </w:r>
      <w:r>
        <w:t xml:space="preserve"> </w:t>
      </w:r>
      <w:r>
        <w:t xml:space="preserve">provided for non-equity instruments by CSDs established outside their jurisdiction and</w:t>
      </w:r>
      <w:r>
        <w:t xml:space="preserve"> </w:t>
      </w:r>
      <w:r>
        <w:t xml:space="preserve">the risks that they may or may not entail. This could impact the specific objective to</w:t>
      </w:r>
      <w:r>
        <w:t xml:space="preserve"> </w:t>
      </w:r>
      <w:r>
        <w:t xml:space="preserve">ensure adequate powers and information to monitor risks. Finally, there is no strong</w:t>
      </w:r>
      <w:r>
        <w:t xml:space="preserve"> </w:t>
      </w:r>
      <w:r>
        <w:t xml:space="preserve">justification why two categories of securities should be treated differently.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ensures that CSDs benefit from a less burdensome passporting process, but</w:t>
      </w:r>
      <w:r>
        <w:t xml:space="preserve"> </w:t>
      </w:r>
      <w:r>
        <w:t xml:space="preserve">only for non-equity securities (and not for equity securities). This is only partly coherent</w:t>
      </w:r>
      <w:r>
        <w:t xml:space="preserve"> </w:t>
      </w:r>
      <w:r>
        <w:t xml:space="preserve">with the objective of CSDR to provide CSDs with the freedom to provide services across</w:t>
      </w:r>
      <w:r>
        <w:t xml:space="preserve"> </w:t>
      </w:r>
      <w:r>
        <w:t xml:space="preserve">the EU. In addition, it is only partially coherent with the CMU Action Plan212 which</w:t>
      </w:r>
      <w:r>
        <w:t xml:space="preserve"> </w:t>
      </w:r>
      <w:r>
        <w:t xml:space="preserve">favours amendments to the functioning of the CSD cross-border passport in general, and</w:t>
      </w:r>
      <w:r>
        <w:t xml:space="preserve"> </w:t>
      </w:r>
      <w:r>
        <w:t xml:space="preserve">not only for non-equity securities, to contribute to the development of a more integrated</w:t>
      </w:r>
      <w:r>
        <w:t xml:space="preserve"> </w:t>
      </w:r>
      <w:r>
        <w:t xml:space="preserve">post-trading landscape in the EU.</w:t>
      </w:r>
      <w:r>
        <w:br/>
      </w:r>
      <w:r>
        <w:t xml:space="preserve">6.1.2. Option 3 - Clarify the role and powers of competent authorities and requirements</w:t>
      </w:r>
      <w:r>
        <w:t xml:space="preserve"> </w:t>
      </w:r>
      <w:r>
        <w:t xml:space="preserve">related to national laws</w:t>
      </w:r>
      <w:r>
        <w:br/>
      </w:r>
      <w:r>
        <w:t xml:space="preserve">Effectiveness in meeting the specific objectives</w:t>
      </w:r>
      <w:r>
        <w:br/>
      </w:r>
      <w:r>
        <w:t xml:space="preserve">Clarifying the passporting requirements would help CSDs and national authorities to</w:t>
      </w:r>
      <w:r>
        <w:t xml:space="preserve"> </w:t>
      </w:r>
      <w:r>
        <w:t xml:space="preserve">reduce the costs of trying to understand them (e.g. legal opinion, discussions with legal</w:t>
      </w:r>
      <w:r>
        <w:t xml:space="preserve"> </w:t>
      </w:r>
      <w:r>
        <w:t xml:space="preserve">counsel). The requirements will however remain burdensome, in particular those related</w:t>
      </w:r>
      <w:r>
        <w:t xml:space="preserve"> </w:t>
      </w:r>
      <w:r>
        <w:t xml:space="preserve">to national laws. As such, while the specific objective of reducing administrative burden</w:t>
      </w:r>
      <w:r>
        <w:t xml:space="preserve"> </w:t>
      </w:r>
      <w:r>
        <w:t xml:space="preserve">and costs could be partially met through more clarity and thus legal certainty, the specific</w:t>
      </w:r>
      <w:r>
        <w:t xml:space="preserve"> </w:t>
      </w:r>
      <w:r>
        <w:t xml:space="preserve">objective to minimise barriers to cross-border settlement will not.</w:t>
      </w:r>
      <w:r>
        <w:br/>
      </w:r>
      <w:r>
        <w:t xml:space="preserve">Coherence</w:t>
      </w:r>
      <w:r>
        <w:t xml:space="preserve"> </w:t>
      </w:r>
      <w:r>
        <w:t xml:space="preserve">This option would ensure that CSDs benefit from clearer passporting requirements. This</w:t>
      </w:r>
      <w:r>
        <w:t xml:space="preserve"> </w:t>
      </w:r>
      <w:r>
        <w:t xml:space="preserve">would however only in part be coherent with the CMU Action Plan213 as the content of</w:t>
      </w:r>
      <w:r>
        <w:t xml:space="preserve"> </w:t>
      </w:r>
      <w:r>
        <w:t xml:space="preserve">requirements, in particular those related to national laws, will remain burdensome and, in</w:t>
      </w:r>
      <w:r>
        <w:t xml:space="preserve"> </w:t>
      </w:r>
      <w:r>
        <w:t xml:space="preserve">turn, not fully enhance the functioning of the CSD passport. The CMU Action Plan214</w:t>
      </w:r>
      <w:r>
        <w:t xml:space="preserve"> </w:t>
      </w:r>
      <w:r>
        <w:t xml:space="preserve">favours amendments to the functioning of the CSD cross-border passport to contribute to</w:t>
      </w:r>
      <w:r>
        <w:t xml:space="preserve"> </w:t>
      </w:r>
      <w:r>
        <w:t xml:space="preserve">the development of a more integrated post-trading landscape in the EU.</w:t>
      </w:r>
      <w:r>
        <w:t xml:space="preserve"> </w:t>
      </w:r>
      <w:r>
        <w:t xml:space="preserve">6.1.3. Option 4 - Replace the passporting procedure at the host Member State</w:t>
      </w:r>
      <w:r>
        <w:t xml:space="preserve"> </w:t>
      </w:r>
      <w:r>
        <w:t xml:space="preserve">level with a notification.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Replacing the passporting procedure at the host Member State level with a notification</w:t>
      </w:r>
      <w:r>
        <w:t xml:space="preserve"> </w:t>
      </w:r>
      <w:r>
        <w:t xml:space="preserve">procedure would remove that unclear and burdensome passporting requirement. As such,</w:t>
      </w:r>
      <w:r>
        <w:t xml:space="preserve"> </w:t>
      </w:r>
      <w:r>
        <w:t xml:space="preserve">it would meet the specific objectives of reducing administrative burden and costs as well</w:t>
      </w:r>
      <w:r>
        <w:t xml:space="preserve"> </w:t>
      </w:r>
      <w:r>
        <w:t xml:space="preserve">as minimising barriers to cross-border settlement. Option 4 does not waive the</w:t>
      </w:r>
      <w:r>
        <w:t xml:space="preserve"> </w:t>
      </w:r>
      <w:r>
        <w:t xml:space="preserve">obligations stemming from national corporate legislation since harmonisation of the</w:t>
      </w:r>
    </w:p>
    <w:p>
      <w:pPr>
        <w:pStyle w:val="BodyText"/>
      </w:pPr>
      <w:r>
        <w:t xml:space="preserve">212 Commission Communication ‘A Capital Markets Union for people and businesses – New Action Plan’ (see</w:t>
      </w:r>
      <w:r>
        <w:t xml:space="preserve"> </w:t>
      </w:r>
      <w:r>
        <w:t xml:space="preserve">note 10).</w:t>
      </w:r>
      <w:r>
        <w:t xml:space="preserve"> </w:t>
      </w:r>
      <w:r>
        <w:t xml:space="preserve">213 Ibid.</w:t>
      </w:r>
      <w:r>
        <w:t xml:space="preserve"> </w:t>
      </w:r>
      <w:r>
        <w:t xml:space="preserve">214 Ibid.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corporate laws is not the objective of CSDR and such national corporate legislation</w:t>
      </w:r>
      <w:r>
        <w:t xml:space="preserve"> </w:t>
      </w:r>
      <w:r>
        <w:t xml:space="preserve">applies to participants directly215. Furthermore, as a notification procedure will still</w:t>
      </w:r>
      <w:r>
        <w:t xml:space="preserve"> </w:t>
      </w:r>
      <w:r>
        <w:t xml:space="preserve">remain in place, it would ensure that authorities have adequate information to monitor</w:t>
      </w:r>
      <w:r>
        <w:t xml:space="preserve"> </w:t>
      </w:r>
      <w:r>
        <w:t xml:space="preserve">risks. Not only would the host national supervisor be notified of the passport by the home</w:t>
      </w:r>
      <w:r>
        <w:t xml:space="preserve"> </w:t>
      </w:r>
      <w:r>
        <w:t xml:space="preserve">national supervisor (and would have the possibility to discuss it with the home national</w:t>
      </w:r>
      <w:r>
        <w:t xml:space="preserve"> </w:t>
      </w:r>
      <w:r>
        <w:t xml:space="preserve">supervisor during and after the passporting procedure), but the former would also</w:t>
      </w:r>
      <w:r>
        <w:t xml:space="preserve"> </w:t>
      </w:r>
      <w:r>
        <w:t xml:space="preserve">potentially be able, through the establishment of colleges (see Section 6.2.2) to have a</w:t>
      </w:r>
      <w:r>
        <w:t xml:space="preserve"> </w:t>
      </w:r>
      <w:r>
        <w:t xml:space="preserve">better overview of the supervision of the CSD on an ongoing basis, better cooperate and</w:t>
      </w:r>
      <w:r>
        <w:t xml:space="preserve"> </w:t>
      </w:r>
      <w:r>
        <w:t xml:space="preserve">raise its concerns with the home national supervisor.</w:t>
      </w:r>
      <w:r>
        <w:br/>
      </w:r>
      <w:r>
        <w:t xml:space="preserve">Finally, Option 4 is aligned with the status of one of the main core services, settlement,</w:t>
      </w:r>
      <w:r>
        <w:t xml:space="preserve"> </w:t>
      </w:r>
      <w:r>
        <w:t xml:space="preserve">for which no passport process is currently required.216</w:t>
      </w:r>
      <w:r>
        <w:br/>
      </w:r>
      <w:r>
        <w:t xml:space="preserve">Coherence</w:t>
      </w:r>
      <w:r>
        <w:t xml:space="preserve"> </w:t>
      </w:r>
      <w:r>
        <w:t xml:space="preserve">This option is fully coherent with the CMU Action Plan217 which favour amendments to</w:t>
      </w:r>
      <w:r>
        <w:t xml:space="preserve"> </w:t>
      </w:r>
      <w:r>
        <w:t xml:space="preserve">the functioning of the CSD cross-border passport that could contribute to the</w:t>
      </w:r>
      <w:r>
        <w:t xml:space="preserve"> </w:t>
      </w:r>
      <w:r>
        <w:t xml:space="preserve">development of a more integrated post-trading landscape in the EU. It is also consistent</w:t>
      </w:r>
      <w:r>
        <w:t xml:space="preserve"> </w:t>
      </w:r>
      <w:r>
        <w:t xml:space="preserve">with the aim of EU regulation, i.e. harmonising laws for Member States, and removing</w:t>
      </w:r>
      <w:r>
        <w:t xml:space="preserve"> </w:t>
      </w:r>
      <w:r>
        <w:t xml:space="preserve">barriers stemming from national laws.</w:t>
      </w:r>
      <w:r>
        <w:br/>
      </w:r>
      <w:r>
        <w:t xml:space="preserve">6.1.4. Option 5 – combination of Option 3 and Option 4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Combining Option 3 and Option 4 would allow to meet both of the following specific</w:t>
      </w:r>
      <w:r>
        <w:t xml:space="preserve"> </w:t>
      </w:r>
      <w:r>
        <w:t xml:space="preserve">objectives: (i) reducing administrative burden and costs through more clarity and thus</w:t>
      </w:r>
      <w:r>
        <w:t xml:space="preserve"> </w:t>
      </w:r>
      <w:r>
        <w:t xml:space="preserve">legal certainty and (ii) minimising barriers to cross-border settlement.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ensure that CSDs benefit from clearer passporting requirements and is</w:t>
      </w:r>
      <w:r>
        <w:t xml:space="preserve"> </w:t>
      </w:r>
      <w:r>
        <w:t xml:space="preserve">fully coherent with the CMU Action Plan218 which favours amendments to the</w:t>
      </w:r>
      <w:r>
        <w:t xml:space="preserve"> </w:t>
      </w:r>
      <w:r>
        <w:t xml:space="preserve">functioning of the CSD cross-border passport to contribute to the development of a more</w:t>
      </w:r>
      <w:r>
        <w:t xml:space="preserve"> </w:t>
      </w:r>
      <w:r>
        <w:t xml:space="preserve">integrated post-trading landscape in the EU. Finally, it is consistent with the aim of EU</w:t>
      </w:r>
      <w:r>
        <w:t xml:space="preserve"> </w:t>
      </w:r>
      <w:r>
        <w:t xml:space="preserve">regulation, i.e. harmonising laws for Member States, and removing barriers stemming</w:t>
      </w:r>
      <w:r>
        <w:t xml:space="preserve"> </w:t>
      </w:r>
      <w:r>
        <w:t xml:space="preserve">from national laws.</w:t>
      </w:r>
      <w:r>
        <w:t xml:space="preserve"> </w:t>
      </w:r>
      <w:r>
        <w:t xml:space="preserve">6.1.5. Choice of preferred policy option</w:t>
      </w:r>
      <w:r>
        <w:t xml:space="preserve"> </w:t>
      </w:r>
      <w:r>
        <w:t xml:space="preserve">The tables below provide a high-level summary of how the described options compare</w:t>
      </w:r>
      <w:r>
        <w:t xml:space="preserve"> </w:t>
      </w:r>
      <w:r>
        <w:t xml:space="preserve">(for the sake of readability, the labels of the options have been shortened). For a detailed</w:t>
      </w:r>
      <w:r>
        <w:t xml:space="preserve"> </w:t>
      </w:r>
      <w:r>
        <w:t xml:space="preserve">overview of the costs and benefits (efficiency) of each option and impacts on different</w:t>
      </w:r>
      <w:r>
        <w:t xml:space="preserve"> </w:t>
      </w:r>
      <w:r>
        <w:t xml:space="preserve">stakeholders see Annex 7.</w:t>
      </w:r>
      <w:r>
        <w:t xml:space="preserve"> </w:t>
      </w:r>
      <w:r>
        <w:t xml:space="preserve">Option 2 would only partially satisfy the objectives of minimising barriers to cross-</w:t>
      </w:r>
      <w:r>
        <w:t xml:space="preserve"> </w:t>
      </w:r>
      <w:r>
        <w:t xml:space="preserve">border settlement and of reducing administrative burden and costs, as the alleviations</w:t>
      </w:r>
      <w:r>
        <w:t xml:space="preserve"> </w:t>
      </w:r>
      <w:r>
        <w:t xml:space="preserve">would apply only to non-equity securities and not to equity securities. Option 3 is also</w:t>
      </w:r>
    </w:p>
    <w:p>
      <w:pPr>
        <w:pStyle w:val="BodyText"/>
      </w:pPr>
      <w:r>
        <w:t xml:space="preserve">215 It stems from the combined reading of Articles 23 and 49(1) of CSDR that it is the responsibility of the</w:t>
      </w:r>
      <w:r>
        <w:t xml:space="preserve"> </w:t>
      </w:r>
      <w:r>
        <w:t xml:space="preserve">participants to comply with the relevant national legislation. The proposed policy options do not</w:t>
      </w:r>
      <w:r>
        <w:t xml:space="preserve"> </w:t>
      </w:r>
      <w:r>
        <w:t xml:space="preserve">contemplate any change in this respect.</w:t>
      </w:r>
      <w:r>
        <w:t xml:space="preserve"> </w:t>
      </w:r>
      <w:r>
        <w:t xml:space="preserve">216 Article 23(2) of CSDR.</w:t>
      </w:r>
      <w:r>
        <w:t xml:space="preserve"> </w:t>
      </w:r>
      <w:r>
        <w:t xml:space="preserve">217 Commission Communication ‘A Capital Markets Union for people and businesses – New Action Plan’ (see</w:t>
      </w:r>
      <w:r>
        <w:t xml:space="preserve"> </w:t>
      </w:r>
      <w:r>
        <w:t xml:space="preserve">note 10).</w:t>
      </w:r>
      <w:r>
        <w:t xml:space="preserve"> </w:t>
      </w:r>
      <w:r>
        <w:t xml:space="preserve">218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only partially meeting the objectives as it only addresses the lack of clarity and not the</w:t>
      </w:r>
      <w:r>
        <w:t xml:space="preserve"> </w:t>
      </w:r>
      <w:r>
        <w:t xml:space="preserve">burdensome nature of the requirements. Option 4 would meet these specific</w:t>
      </w:r>
      <w:r>
        <w:t xml:space="preserve"> </w:t>
      </w:r>
      <w:r>
        <w:t xml:space="preserve">objectives.This option would be consistent as it would focus on a core aim of EU</w:t>
      </w:r>
      <w:r>
        <w:t xml:space="preserve"> </w:t>
      </w:r>
      <w:r>
        <w:t xml:space="preserve">regulation, i.e. mutual recognition. Option 5, which is the preferred policy option, would</w:t>
      </w:r>
      <w:r>
        <w:t xml:space="preserve"> </w:t>
      </w:r>
      <w:r>
        <w:t xml:space="preserve">combine the benefits from Option 3 and Option 4.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 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Minimise</w:t>
      </w:r>
      <w:r>
        <w:t xml:space="preserve"> </w:t>
      </w:r>
      <w:r>
        <w:t xml:space="preserve">barriers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settlement</w:t>
      </w:r>
      <w:r>
        <w:t xml:space="preserve"> </w:t>
      </w:r>
      <w:r>
        <w:t xml:space="preserve">Ensure adequate</w:t>
      </w:r>
      <w:r>
        <w:t xml:space="preserve"> </w:t>
      </w:r>
      <w:r>
        <w:t xml:space="preserve">powers and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monitor risks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and costs</w:t>
      </w:r>
      <w:r>
        <w:t xml:space="preserve"> </w:t>
      </w:r>
      <w:r>
        <w:t xml:space="preserve">Option 1 –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 Reduce</w:t>
      </w:r>
      <w:r>
        <w:t xml:space="preserve"> </w:t>
      </w:r>
      <w:r>
        <w:t xml:space="preserve">scope of the</w:t>
      </w:r>
      <w:r>
        <w:t xml:space="preserve"> </w:t>
      </w:r>
      <w:r>
        <w:t xml:space="preserve">passporting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 – Clarify</w:t>
      </w:r>
      <w:r>
        <w:t xml:space="preserve"> </w:t>
      </w:r>
      <w:r>
        <w:t xml:space="preserve">uncertainties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4 – Replacing</w:t>
      </w:r>
      <w:r>
        <w:t xml:space="preserve"> </w:t>
      </w:r>
      <w:r>
        <w:t xml:space="preserve">passporting</w:t>
      </w:r>
      <w:r>
        <w:t xml:space="preserve"> </w:t>
      </w:r>
      <w:r>
        <w:t xml:space="preserve">procedure at the host</w:t>
      </w:r>
      <w:r>
        <w:t xml:space="preserve"> </w:t>
      </w:r>
      <w:r>
        <w:t xml:space="preserve">Member State level</w:t>
      </w:r>
      <w:r>
        <w:br/>
      </w:r>
      <w:r>
        <w:t xml:space="preserve">with a notification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5 –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Option 3 and Option</w:t>
      </w:r>
      <w:r>
        <w:t xml:space="preserve"> </w:t>
      </w:r>
      <w:r>
        <w:t xml:space="preserve">4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CSDs</w:t>
      </w:r>
      <w:r>
        <w:t xml:space="preserve"> </w:t>
      </w:r>
      <w:r>
        <w:t xml:space="preserve">Issuers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4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Option 5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 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6.2. Impact of the policy options regarding cooperation between authorities</w:t>
      </w:r>
      <w:r>
        <w:br/>
      </w:r>
      <w:r>
        <w:t xml:space="preserve">6.2.1. Option 2: Enhance the existing CSDR rules for cooperation arrangements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Clarifications to the existing framework for cooperation arrangements would be</w:t>
      </w:r>
      <w:r>
        <w:t xml:space="preserve"> </w:t>
      </w:r>
      <w:r>
        <w:t xml:space="preserve">introduced in certain cases, i.e. when a CSD is operating cross-border. These would</w:t>
      </w:r>
      <w:r>
        <w:t xml:space="preserve"> </w:t>
      </w:r>
      <w:r>
        <w:t xml:space="preserve">partly meet the objective of minimising barriers to cross-border settlement and</w:t>
      </w:r>
      <w:r>
        <w:t xml:space="preserve"> </w:t>
      </w:r>
      <w:r>
        <w:t xml:space="preserve">ensuring adequate powers for authorities to monitor risks for several reasons:</w:t>
      </w:r>
      <w:r>
        <w:t xml:space="preserve"> </w:t>
      </w:r>
      <w:r>
        <w:t xml:space="preserve"> cooperation arrangements are established bilaterally, i.e. if a CSD is of substantial</w:t>
      </w:r>
      <w:r>
        <w:t xml:space="preserve"> </w:t>
      </w:r>
      <w:r>
        <w:t xml:space="preserve">importance to more than one host Member State, then the home authority needs</w:t>
      </w:r>
      <w:r>
        <w:t xml:space="preserve"> </w:t>
      </w:r>
      <w:r>
        <w:t xml:space="preserve">multiple cooperation arrangements. This leads to duplication and an increased</w:t>
      </w:r>
      <w:r>
        <w:t xml:space="preserve"> </w:t>
      </w:r>
      <w:r>
        <w:t xml:space="preserve">administrative burden for the home national authority, who would have to negotiate</w:t>
      </w:r>
      <w:r>
        <w:t xml:space="preserve"> </w:t>
      </w:r>
      <w:r>
        <w:t xml:space="preserve">and manage multiple parallel cooperation arrangements;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 cooperation arrangements are established for a limited number of CSDs. The</w:t>
      </w:r>
      <w:r>
        <w:t xml:space="preserve"> </w:t>
      </w:r>
      <w:r>
        <w:t xml:space="preserve">problems identified in Section 2.2.1 for all other cases for CSDs and national</w:t>
      </w:r>
      <w:r>
        <w:t xml:space="preserve"> </w:t>
      </w:r>
      <w:r>
        <w:t xml:space="preserve">authorities would therefore remain;</w:t>
      </w:r>
      <w:r>
        <w:br/>
      </w:r>
      <w:r>
        <w:t xml:space="preserve"> ESMA does not participate in CSDR cooperation arrangements, which means that it</w:t>
      </w:r>
      <w:r>
        <w:t xml:space="preserve"> </w:t>
      </w:r>
      <w:r>
        <w:t xml:space="preserve">cannot be ensured that a similar approach will be adopted by all such arrangements.</w:t>
      </w:r>
      <w:r>
        <w:t xml:space="preserve"> </w:t>
      </w:r>
      <w:r>
        <w:t xml:space="preserve">Even if the framework was amended to provide that ESMA does participate, it would</w:t>
      </w:r>
      <w:r>
        <w:t xml:space="preserve"> </w:t>
      </w:r>
      <w:r>
        <w:t xml:space="preserve">not have the guarantees provided by the ESMA Regulation.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current CSDR framework, as it builds on the already</w:t>
      </w:r>
      <w:r>
        <w:t xml:space="preserve"> </w:t>
      </w:r>
      <w:r>
        <w:t xml:space="preserve">foreseen arrangements. However, it is partly coherent with the CMU Action Plan,219</w:t>
      </w:r>
      <w:r>
        <w:t xml:space="preserve"> </w:t>
      </w:r>
      <w:r>
        <w:t xml:space="preserve">which highlights the need to develop a more integrated post-trading landscape in the EU</w:t>
      </w:r>
      <w:r>
        <w:t xml:space="preserve"> </w:t>
      </w:r>
      <w:r>
        <w:t xml:space="preserve">and states that if there are indications that the supervisory set-up is inadequate, stronger</w:t>
      </w:r>
      <w:r>
        <w:t xml:space="preserve"> </w:t>
      </w:r>
      <w:r>
        <w:t xml:space="preserve">supervisory coordination or direct supervision by the ESAs should be considered.</w:t>
      </w:r>
      <w:r>
        <w:t xml:space="preserve"> </w:t>
      </w:r>
      <w:r>
        <w:t xml:space="preserve">Furthermore, this option is not coherent with the ESMA Regulation, which already</w:t>
      </w:r>
      <w:r>
        <w:t xml:space="preserve"> </w:t>
      </w:r>
      <w:r>
        <w:t xml:space="preserve">foresees a specific framework for the cooperation of supervisors in Article 21.</w:t>
      </w:r>
      <w:r>
        <w:t xml:space="preserve"> </w:t>
      </w:r>
      <w:r>
        <w:t xml:space="preserve">6.2.2. Option 3: Introduce mandatory supervisory colleges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Under Option 3, supervisory colleges would be established for some or all EU CSDs,</w:t>
      </w:r>
      <w:r>
        <w:t xml:space="preserve"> </w:t>
      </w:r>
      <w:r>
        <w:t xml:space="preserve">depending on the design of the framework. In general, the experiences with colleges in</w:t>
      </w:r>
      <w:r>
        <w:t xml:space="preserve"> </w:t>
      </w:r>
      <w:r>
        <w:t xml:space="preserve">other EU financial frameworks are positive and colleges are genuinely seen as a forum</w:t>
      </w:r>
      <w:r>
        <w:t xml:space="preserve"> </w:t>
      </w:r>
      <w:r>
        <w:t xml:space="preserve">where authorities with direct interest in the activities of a financial market infrastructure</w:t>
      </w:r>
      <w:r>
        <w:t xml:space="preserve"> </w:t>
      </w:r>
      <w:r>
        <w:t xml:space="preserve">gather and exchange views. As such, colleges are already enshrined in the ESMA</w:t>
      </w:r>
      <w:r>
        <w:t xml:space="preserve"> </w:t>
      </w:r>
      <w:r>
        <w:t xml:space="preserve">Regulation and for example put to practice in the context of EMIR for CCPs.</w:t>
      </w:r>
      <w:r>
        <w:t xml:space="preserve"> </w:t>
      </w:r>
      <w:r>
        <w:t xml:space="preserve">To meet the specific objectives of minimising barriers to cross-border settlement and</w:t>
      </w:r>
      <w:r>
        <w:t xml:space="preserve"> </w:t>
      </w:r>
      <w:r>
        <w:t xml:space="preserve">ensuring adequate powers to monitor risks, colleges could in particular be established for</w:t>
      </w:r>
      <w:r>
        <w:t xml:space="preserve"> </w:t>
      </w:r>
      <w:r>
        <w:t xml:space="preserve">CSDs offering services in relation to financial instruments constituted under the law of</w:t>
      </w:r>
      <w:r>
        <w:t xml:space="preserve"> </w:t>
      </w:r>
      <w:r>
        <w:t xml:space="preserve">another Member State as well as CSDs that are part of corporate groups that include at</w:t>
      </w:r>
      <w:r>
        <w:t xml:space="preserve"> </w:t>
      </w:r>
      <w:r>
        <w:t xml:space="preserve">least another CSD. Participation to these colleges could be reserved for authorities that</w:t>
      </w:r>
      <w:r>
        <w:t xml:space="preserve"> </w:t>
      </w:r>
      <w:r>
        <w:t xml:space="preserve">have an interest in those CSDs’ operations, e.g. the CSDs’ home and relevant authorities,</w:t>
      </w:r>
      <w:r>
        <w:t xml:space="preserve"> </w:t>
      </w:r>
      <w:r>
        <w:t xml:space="preserve">the host competent and relevant authorities in the case of CSDs that operate cross-border,</w:t>
      </w:r>
      <w:r>
        <w:t xml:space="preserve"> </w:t>
      </w:r>
      <w:r>
        <w:t xml:space="preserve">other CSDs’ competent and relevant authorities in the case of CSDs that are part of a</w:t>
      </w:r>
      <w:r>
        <w:t xml:space="preserve"> </w:t>
      </w:r>
      <w:r>
        <w:t xml:space="preserve">group of CSDs as well as the EBA, where a CSD has been authorised to provide</w:t>
      </w:r>
      <w:r>
        <w:t xml:space="preserve"> </w:t>
      </w:r>
      <w:r>
        <w:t xml:space="preserve">banking-type ancillary services.</w:t>
      </w:r>
      <w:r>
        <w:t xml:space="preserve"> </w:t>
      </w:r>
      <w:r>
        <w:t xml:space="preserve">This option would partly, but more than Option 2, meet the aforementioned specific</w:t>
      </w:r>
      <w:r>
        <w:t xml:space="preserve"> </w:t>
      </w:r>
      <w:r>
        <w:t xml:space="preserve">objectives of this initiative. The main reasons for this are twofold.</w:t>
      </w:r>
      <w:r>
        <w:br/>
      </w:r>
      <w:r>
        <w:t xml:space="preserve">First, while colleges would be set up primarily for information-sharing purposes and the</w:t>
      </w:r>
      <w:r>
        <w:t xml:space="preserve"> </w:t>
      </w:r>
      <w:r>
        <w:t xml:space="preserve">home supervisor would maintain supervisory powers, the input of other authorities</w:t>
      </w:r>
      <w:r>
        <w:t xml:space="preserve"> </w:t>
      </w:r>
      <w:r>
        <w:t xml:space="preserve">participating to colleges would be taken more into account through their participation in</w:t>
      </w:r>
      <w:r>
        <w:t xml:space="preserve"> </w:t>
      </w:r>
      <w:r>
        <w:t xml:space="preserve">colleges, compared to under cooperation arrangements (which are only applicable where</w:t>
      </w:r>
      <w:r>
        <w:t xml:space="preserve"> </w:t>
      </w:r>
      <w:r>
        <w:t xml:space="preserve">a CSD is of substantial importance to another Member State). The involvement of other</w:t>
      </w:r>
      <w:r>
        <w:t xml:space="preserve"> </w:t>
      </w:r>
      <w:r>
        <w:t xml:space="preserve">authorities through the college will strengthen the passport effect and enhance the</w:t>
      </w:r>
      <w:r>
        <w:t xml:space="preserve"> </w:t>
      </w:r>
      <w:r>
        <w:t xml:space="preserve">cooperation of supervisors and relevant authorities for groups of CSDs, as barriers related</w:t>
      </w:r>
      <w:r>
        <w:t xml:space="preserve"> </w:t>
      </w:r>
      <w:r>
        <w:t xml:space="preserve">to lack of trust and/or sharing of information are reduced.</w:t>
      </w:r>
    </w:p>
    <w:p>
      <w:pPr>
        <w:pStyle w:val="BodyText"/>
      </w:pPr>
      <w:r>
        <w:t xml:space="preserve">219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Second, ESMA’s role would be strengthened, as it would participate in all colleges and</w:t>
      </w:r>
      <w:r>
        <w:t xml:space="preserve"> </w:t>
      </w:r>
      <w:r>
        <w:t xml:space="preserve">have all the powers entrusted to it under the ESMA Regulation. This would ensure</w:t>
      </w:r>
      <w:r>
        <w:t xml:space="preserve"> </w:t>
      </w:r>
      <w:r>
        <w:t xml:space="preserve">consistency across colleges, it would allow the centralisation of supervisory information,</w:t>
      </w:r>
      <w:r>
        <w:t xml:space="preserve"> </w:t>
      </w:r>
      <w:r>
        <w:t xml:space="preserve">the earlier identification of issues linked to CSDR implementation (compared to now,</w:t>
      </w:r>
      <w:r>
        <w:t xml:space="preserve"> </w:t>
      </w:r>
      <w:r>
        <w:t xml:space="preserve">where ESMA is only aware of issues when raised by national supervisors or market</w:t>
      </w:r>
      <w:r>
        <w:t xml:space="preserve"> </w:t>
      </w:r>
      <w:r>
        <w:t xml:space="preserve">participants) and the building of a common supervisory culture across EU CSDs. By</w:t>
      </w:r>
      <w:r>
        <w:t xml:space="preserve"> </w:t>
      </w:r>
      <w:r>
        <w:t xml:space="preserve">increasing cooperation between all authorities involved in the supervision of CSDs, this</w:t>
      </w:r>
      <w:r>
        <w:t xml:space="preserve"> </w:t>
      </w:r>
      <w:r>
        <w:t xml:space="preserve">option allows for a more holistic approach which more adequately responds to the</w:t>
      </w:r>
      <w:r>
        <w:t xml:space="preserve"> </w:t>
      </w:r>
      <w:r>
        <w:t xml:space="preserve">increasingly systemic nature of these infrastructures within the EU financial system. In</w:t>
      </w:r>
      <w:r>
        <w:t xml:space="preserve"> </w:t>
      </w:r>
      <w:r>
        <w:t xml:space="preserve">addition, ESMA would be able to build up its supervisory competence in this field.</w:t>
      </w:r>
      <w:r>
        <w:t xml:space="preserve"> </w:t>
      </w:r>
      <w:r>
        <w:t xml:space="preserve">Colleges would ensure that while supervisory responsibilities are aligned, a more</w:t>
      </w:r>
      <w:r>
        <w:t xml:space="preserve"> </w:t>
      </w:r>
      <w:r>
        <w:t xml:space="preserve">coherent application of CSDR in the EU is guaranteed and the current supervisory</w:t>
      </w:r>
      <w:r>
        <w:t xml:space="preserve"> </w:t>
      </w:r>
      <w:r>
        <w:t xml:space="preserve">arrangements are more effective. Nonetheless, this option does not completely eliminate</w:t>
      </w:r>
      <w:r>
        <w:t xml:space="preserve"> </w:t>
      </w:r>
      <w:r>
        <w:t xml:space="preserve">the possibility for potential divergences in the application of CSDR in the EU.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is coherent with the CMU Action Plan,220 which highlights the need to</w:t>
      </w:r>
      <w:r>
        <w:t xml:space="preserve"> </w:t>
      </w:r>
      <w:r>
        <w:t xml:space="preserve">develop a more integrated post-trading landscape in the EU and states that if there are</w:t>
      </w:r>
      <w:r>
        <w:t xml:space="preserve"> </w:t>
      </w:r>
      <w:r>
        <w:t xml:space="preserve">indications that the supervisory set-up is inadequate for the desired level of market</w:t>
      </w:r>
      <w:r>
        <w:t xml:space="preserve"> </w:t>
      </w:r>
      <w:r>
        <w:t xml:space="preserve">integration, stronger supervisory coordination or direct supervision by the European</w:t>
      </w:r>
      <w:r>
        <w:t xml:space="preserve"> </w:t>
      </w:r>
      <w:r>
        <w:t xml:space="preserve">Supervisory Authorities should be considered. In addition, it is coherent with the ESMA</w:t>
      </w:r>
      <w:r>
        <w:t xml:space="preserve"> </w:t>
      </w:r>
      <w:r>
        <w:t xml:space="preserve">Regulation, which already foresees in Article 21 a specific framework for the cooperation</w:t>
      </w:r>
      <w:r>
        <w:t xml:space="preserve"> </w:t>
      </w:r>
      <w:r>
        <w:t xml:space="preserve">of supervisors through the establishment of colleges of supervisors.</w:t>
      </w:r>
      <w:r>
        <w:br/>
      </w:r>
      <w:r>
        <w:t xml:space="preserve">6.2.3. Option 4: More supervision of CSDs at EU level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Under this option, a single supervisor would be established for CSDs. The single</w:t>
      </w:r>
      <w:r>
        <w:t xml:space="preserve"> </w:t>
      </w:r>
      <w:r>
        <w:t xml:space="preserve">supervisor could be ESMA, the ECB, or a new entity as was the case for the Single</w:t>
      </w:r>
      <w:r>
        <w:t xml:space="preserve"> </w:t>
      </w:r>
      <w:r>
        <w:t xml:space="preserve">Supervisory Mechanism (SSM) in the field of banking. Depending on the exact design,</w:t>
      </w:r>
      <w:r>
        <w:t xml:space="preserve"> </w:t>
      </w:r>
      <w:r>
        <w:t xml:space="preserve">the single supervisor would be given full responsibility for the supervision of all or</w:t>
      </w:r>
      <w:r>
        <w:t xml:space="preserve"> </w:t>
      </w:r>
      <w:r>
        <w:t xml:space="preserve">certain CSDs in the EU, including powers to authorise CSDs and oversee compliance</w:t>
      </w:r>
      <w:r>
        <w:t xml:space="preserve"> </w:t>
      </w:r>
      <w:r>
        <w:t xml:space="preserve">with conduct of business rules. In performing these tasks, it would be required to</w:t>
      </w:r>
      <w:r>
        <w:t xml:space="preserve"> </w:t>
      </w:r>
      <w:r>
        <w:t xml:space="preserve">cooperate closely with other bodies, such as the ESCB, as well as the ESAs. However,</w:t>
      </w:r>
      <w:r>
        <w:t xml:space="preserve"> </w:t>
      </w:r>
      <w:r>
        <w:t xml:space="preserve">none of these authorities would have binding powers over the single supervisor.</w:t>
      </w:r>
      <w:r>
        <w:t xml:space="preserve"> </w:t>
      </w:r>
      <w:r>
        <w:t xml:space="preserve">This option would eliminate barriers to the cross-border provision of services (as CSDs</w:t>
      </w:r>
      <w:r>
        <w:t xml:space="preserve"> </w:t>
      </w:r>
      <w:r>
        <w:t xml:space="preserve">would be authorised and supervised at EU level) and ensure a coherent application of</w:t>
      </w:r>
      <w:r>
        <w:t xml:space="preserve"> </w:t>
      </w:r>
      <w:r>
        <w:t xml:space="preserve">CSDR within the EU, addressing effectively the need for supervisory convergence.</w:t>
      </w:r>
      <w:r>
        <w:t xml:space="preserve"> </w:t>
      </w:r>
      <w:r>
        <w:t xml:space="preserve">However, it should be noted that some CSDs in the EU are already exempt from certain</w:t>
      </w:r>
      <w:r>
        <w:t xml:space="preserve"> </w:t>
      </w:r>
      <w:r>
        <w:t xml:space="preserve">CSDR requirements,221 therefore it is not clear whether they would be able to be subject</w:t>
      </w:r>
    </w:p>
    <w:p>
      <w:pPr>
        <w:pStyle w:val="BodyText"/>
      </w:pPr>
      <w:r>
        <w:t xml:space="preserve">220 Commission Communication ‘A Capital Markets Union for people and businesses – New Action Plan’ (see</w:t>
      </w:r>
      <w:r>
        <w:t xml:space="preserve"> </w:t>
      </w:r>
      <w:r>
        <w:t xml:space="preserve">note 10).</w:t>
      </w:r>
      <w:r>
        <w:t xml:space="preserve"> </w:t>
      </w:r>
      <w:r>
        <w:t xml:space="preserve">221 Article 1(4) of CSDR stipulates that Articles 10 to 20, 22 to 24 and 27, Article 28(6), Article 30(4) and</w:t>
      </w:r>
      <w:r>
        <w:t xml:space="preserve"> </w:t>
      </w:r>
      <w:r>
        <w:t xml:space="preserve">Articles 46 and 47, the provisions of Title IV and the requirements to report to competent authorities or</w:t>
      </w:r>
      <w:r>
        <w:t xml:space="preserve"> </w:t>
      </w:r>
      <w:r>
        <w:t xml:space="preserve">relevant authorities or to comply with their orders under this CSDR, do not apply to the members of the</w:t>
      </w:r>
      <w:r>
        <w:t xml:space="preserve"> </w:t>
      </w:r>
      <w:r>
        <w:t xml:space="preserve">ESCB, other Member States’ national bodies performing similar functions, or to other public bodies</w:t>
      </w:r>
      <w:r>
        <w:t xml:space="preserve"> </w:t>
      </w:r>
      <w:r>
        <w:t xml:space="preserve">charged with or intervening in the management of public debt in the Union in relation to any CSD which</w:t>
      </w:r>
      <w:r>
        <w:t xml:space="preserve"> </w:t>
      </w:r>
      <w:r>
        <w:t xml:space="preserve">the aforementioned bodies directly manage under the responsibility of the same management body, which</w:t>
      </w:r>
      <w:r>
        <w:t xml:space="preserve"> </w:t>
      </w:r>
      <w:r>
        <w:t xml:space="preserve">has access to the funds of those bodies and which is not a separate entity.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to supervision by an EU body. In addition, no EU body has substantial supervisory</w:t>
      </w:r>
      <w:r>
        <w:t xml:space="preserve"> </w:t>
      </w:r>
      <w:r>
        <w:t xml:space="preserve">experience over CSDs now in order to be able to be immediately operational.</w:t>
      </w:r>
      <w:r>
        <w:br/>
      </w:r>
      <w:r>
        <w:t xml:space="preserve">It is worth noting that the main advantages and disadvantages of moving supervision of</w:t>
      </w:r>
      <w:r>
        <w:t xml:space="preserve"> </w:t>
      </w:r>
      <w:r>
        <w:t xml:space="preserve">EU CSDs at EU level are broadly the same regardless of whether EU supervision is</w:t>
      </w:r>
      <w:r>
        <w:t xml:space="preserve"> </w:t>
      </w:r>
      <w:r>
        <w:t xml:space="preserve">exercised over all or a subset of EU CSDs.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CMU 2020 Action Plan,222 which highlights the need to</w:t>
      </w:r>
      <w:r>
        <w:t xml:space="preserve"> </w:t>
      </w:r>
      <w:r>
        <w:t xml:space="preserve">develop a more integrated post-trading landscape in the EU and states that if there are</w:t>
      </w:r>
      <w:r>
        <w:t xml:space="preserve"> </w:t>
      </w:r>
      <w:r>
        <w:t xml:space="preserve">indications that the supervisory set-up is inadequate for the desired level of market</w:t>
      </w:r>
      <w:r>
        <w:t xml:space="preserve"> </w:t>
      </w:r>
      <w:r>
        <w:t xml:space="preserve">integration, stronger supervisory coordination or direct supervision by the European</w:t>
      </w:r>
      <w:r>
        <w:t xml:space="preserve"> </w:t>
      </w:r>
      <w:r>
        <w:t xml:space="preserve">Supervisory Authorities should be considered. In addition, it is coherent with the</w:t>
      </w:r>
      <w:r>
        <w:t xml:space="preserve"> </w:t>
      </w:r>
      <w:r>
        <w:t xml:space="preserve">approach followed in the case of other financial institutions for which ESMA has already</w:t>
      </w:r>
      <w:r>
        <w:t xml:space="preserve"> </w:t>
      </w:r>
      <w:r>
        <w:t xml:space="preserve">been granted either a role in their supervision through its participation in colleges (e.g. </w:t>
      </w:r>
      <w:r>
        <w:t xml:space="preserve"> </w:t>
      </w:r>
      <w:r>
        <w:t xml:space="preserve">for CCPs) or direct supervisory powers (for credit rating agencies and trade repositories).</w:t>
      </w:r>
      <w:r>
        <w:br/>
      </w:r>
      <w:r>
        <w:t xml:space="preserve">6.2.4. Choice of preferred policy option</w:t>
      </w:r>
      <w:r>
        <w:t xml:space="preserve"> </w:t>
      </w:r>
      <w:r>
        <w:t xml:space="preserve">The tables below provide a high-level summary of how the described options compare</w:t>
      </w:r>
      <w:r>
        <w:t xml:space="preserve"> </w:t>
      </w:r>
      <w:r>
        <w:t xml:space="preserve">(for the sake of readability, the labels of the options have been shortened). For a detailed</w:t>
      </w:r>
      <w:r>
        <w:t xml:space="preserve"> </w:t>
      </w:r>
      <w:r>
        <w:t xml:space="preserve">overview of the costs and benefits (efficiency) of each option and impacts on different</w:t>
      </w:r>
      <w:r>
        <w:t xml:space="preserve"> </w:t>
      </w:r>
      <w:r>
        <w:t xml:space="preserve">stakeholders see Annex 7.</w:t>
      </w:r>
      <w:r>
        <w:t xml:space="preserve"> </w:t>
      </w:r>
      <w:r>
        <w:t xml:space="preserve">In view of the high political priority of the review to facilitate CSDs’ access to markets</w:t>
      </w:r>
      <w:r>
        <w:t xml:space="preserve"> </w:t>
      </w:r>
      <w:r>
        <w:t xml:space="preserve">other than that of their authorisation as well as ensure financial stability by providing</w:t>
      </w:r>
      <w:r>
        <w:t xml:space="preserve"> </w:t>
      </w:r>
      <w:r>
        <w:t xml:space="preserve">supervisors with more powers to monitor risks, Option 3 is deemed more appropriate</w:t>
      </w:r>
      <w:r>
        <w:t xml:space="preserve"> </w:t>
      </w:r>
      <w:r>
        <w:t xml:space="preserve">and proportionate for the following reasons: first, it attains the right balance between</w:t>
      </w:r>
      <w:r>
        <w:t xml:space="preserve"> </w:t>
      </w:r>
      <w:r>
        <w:t xml:space="preserve">achieving the aforementioned objectives and Member States’ responsibilities; second, it</w:t>
      </w:r>
      <w:r>
        <w:t xml:space="preserve"> </w:t>
      </w:r>
      <w:r>
        <w:t xml:space="preserve">reflects the fact that ESMA does not currently have experience in the supervision of</w:t>
      </w:r>
      <w:r>
        <w:t xml:space="preserve"> </w:t>
      </w:r>
      <w:r>
        <w:t xml:space="preserve">CSDs and gives it time to build up its supervisory capacity; third, it is the most cost-</w:t>
      </w:r>
      <w:r>
        <w:t xml:space="preserve"> </w:t>
      </w:r>
      <w:r>
        <w:t xml:space="preserve">effective option at this point in time (see Annex 7 on the costs colleges and EU level</w:t>
      </w:r>
      <w:r>
        <w:t xml:space="preserve"> </w:t>
      </w:r>
      <w:r>
        <w:t xml:space="preserve">supervision would entail for all interested stakeholders).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Minimise barriers</w:t>
      </w:r>
      <w:r>
        <w:t xml:space="preserve"> </w:t>
      </w:r>
      <w:r>
        <w:t xml:space="preserve">to cross-border</w:t>
      </w:r>
      <w:r>
        <w:t xml:space="preserve"> </w:t>
      </w:r>
      <w:r>
        <w:t xml:space="preserve">settlement</w:t>
      </w:r>
      <w:r>
        <w:t xml:space="preserve"> </w:t>
      </w:r>
      <w:r>
        <w:t xml:space="preserve">Ensure adequate</w:t>
      </w:r>
      <w:r>
        <w:t xml:space="preserve"> </w:t>
      </w:r>
      <w:r>
        <w:t xml:space="preserve">powers and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monitor risks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and costs</w:t>
      </w:r>
      <w:r>
        <w:t xml:space="preserve"> </w:t>
      </w:r>
      <w:r>
        <w:t xml:space="preserve">Option 1 –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–Enhance</w:t>
      </w:r>
      <w:r>
        <w:t xml:space="preserve"> </w:t>
      </w:r>
      <w:r>
        <w:t xml:space="preserve">cooperation</w:t>
      </w:r>
      <w:r>
        <w:t xml:space="preserve"> </w:t>
      </w:r>
      <w:r>
        <w:t xml:space="preserve">arrangements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Option 3 – Establish</w:t>
      </w:r>
      <w:r>
        <w:t xml:space="preserve"> </w:t>
      </w:r>
      <w:r>
        <w:t xml:space="preserve">colleges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EU</w:t>
      </w:r>
      <w:r>
        <w:t xml:space="preserve"> </w:t>
      </w:r>
      <w:r>
        <w:t xml:space="preserve">supervision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CSDs</w:t>
      </w:r>
      <w:r>
        <w:t xml:space="preserve"> </w:t>
      </w:r>
      <w:r>
        <w:t xml:space="preserve">Issuers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222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Option 2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Option 3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4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6.3. Impact of the policy options regarding provision of banking services related to</w:t>
      </w:r>
      <w:r>
        <w:t xml:space="preserve"> </w:t>
      </w:r>
      <w:r>
        <w:t xml:space="preserve">settlement in foreign currencies</w:t>
      </w:r>
      <w:r>
        <w:t xml:space="preserve"> </w:t>
      </w:r>
      <w:r>
        <w:t xml:space="preserve">6.3.1. Option 2: Introduce targeted amendments for designated credit institutions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Targeted amendments would be made to the regime for the provision of banking-type</w:t>
      </w:r>
      <w:r>
        <w:t xml:space="preserve"> </w:t>
      </w:r>
      <w:r>
        <w:t xml:space="preserve">ancillary services. Financial stability considerations led to strict rules to limit the</w:t>
      </w:r>
      <w:r>
        <w:t xml:space="preserve"> </w:t>
      </w:r>
      <w:r>
        <w:t xml:space="preserve">liquidity and credit risks incurred by CSDs. As outlined in section 2.3.3, these</w:t>
      </w:r>
      <w:r>
        <w:t xml:space="preserve"> </w:t>
      </w:r>
      <w:r>
        <w:t xml:space="preserve">requirements mean that no designated credit institution exists and compliance costs limit</w:t>
      </w:r>
      <w:r>
        <w:t xml:space="preserve"> </w:t>
      </w:r>
      <w:r>
        <w:t xml:space="preserve">foreign currency settlement as banking CSDs are unable to offer services to non-banking</w:t>
      </w:r>
      <w:r>
        <w:t xml:space="preserve"> </w:t>
      </w:r>
      <w:r>
        <w:t xml:space="preserve">CSDs even within their group. Targeted amendments could consist of removing some</w:t>
      </w:r>
      <w:r>
        <w:t xml:space="preserve"> </w:t>
      </w:r>
      <w:r>
        <w:t xml:space="preserve">restrictions for designated credit institutions, allowing more banks to provide these</w:t>
      </w:r>
      <w:r>
        <w:t xml:space="preserve"> </w:t>
      </w:r>
      <w:r>
        <w:t xml:space="preserve">services (Option 2a), or allowing CSDs authorised to provide banking services to offer</w:t>
      </w:r>
      <w:r>
        <w:t xml:space="preserve"> </w:t>
      </w:r>
      <w:r>
        <w:t xml:space="preserve">CSD services (e.g. within their corporate group of companies) (Option 2b).</w:t>
      </w:r>
      <w:r>
        <w:t xml:space="preserve"> </w:t>
      </w:r>
      <w:r>
        <w:t xml:space="preserve">For both options, cross-border settlement would improve as options for CSDs will</w:t>
      </w:r>
      <w:r>
        <w:t xml:space="preserve"> </w:t>
      </w:r>
      <w:r>
        <w:t xml:space="preserve">increase, providing issuers and investors with more opportunities and choice. In addition,</w:t>
      </w:r>
      <w:r>
        <w:t xml:space="preserve"> </w:t>
      </w:r>
      <w:r>
        <w:t xml:space="preserve">economies of scale could be more easily reached, increasing the attractiveness for new</w:t>
      </w:r>
      <w:r>
        <w:t xml:space="preserve"> </w:t>
      </w:r>
      <w:r>
        <w:t xml:space="preserve">CSD entrants in this market, in particular those based on new technologies. This would</w:t>
      </w:r>
      <w:r>
        <w:t xml:space="preserve"> </w:t>
      </w:r>
      <w:r>
        <w:t xml:space="preserve">also be consistent with the CMU Action Plan aiming for more integrated post-trade</w:t>
      </w:r>
      <w:r>
        <w:t xml:space="preserve"> </w:t>
      </w:r>
      <w:r>
        <w:t xml:space="preserve">markets and enhanced capital markets in the EU, as well as efforts to promote new</w:t>
      </w:r>
      <w:r>
        <w:t xml:space="preserve"> </w:t>
      </w:r>
      <w:r>
        <w:t xml:space="preserve">technologies.</w:t>
      </w:r>
      <w:r>
        <w:br/>
      </w:r>
      <w:r>
        <w:t xml:space="preserve">Financial stability risks would however increase as credit and liquidity risks could rise.</w:t>
      </w:r>
      <w:r>
        <w:t xml:space="preserve"> </w:t>
      </w:r>
      <w:r>
        <w:t xml:space="preserve">This would be the case for both options 2a and 2b. For Option 2b, concentration risk</w:t>
      </w:r>
      <w:r>
        <w:t xml:space="preserve"> </w:t>
      </w:r>
      <w:r>
        <w:t xml:space="preserve">would increase as exposures would be concentrated in the, at present, five CSDs that</w:t>
      </w:r>
      <w:r>
        <w:t xml:space="preserve"> </w:t>
      </w:r>
      <w:r>
        <w:t xml:space="preserve">have been authorised to provide banking-type ancillary services including within groups</w:t>
      </w:r>
      <w:r>
        <w:t xml:space="preserve"> </w:t>
      </w:r>
      <w:r>
        <w:t xml:space="preserve">of CSDs. Nevertheless, the potential wider risks for financial stability would potentially</w:t>
      </w:r>
      <w:r>
        <w:t xml:space="preserve"> </w:t>
      </w:r>
      <w:r>
        <w:t xml:space="preserve">be greater for Option 2a as the risk of contagion to the wider banking sector would be</w:t>
      </w:r>
      <w:r>
        <w:t xml:space="preserve"> </w:t>
      </w:r>
      <w:r>
        <w:t xml:space="preserve">larger. In addition, credit institutions would not be subject to the additional capital</w:t>
      </w:r>
      <w:r>
        <w:t xml:space="preserve"> </w:t>
      </w:r>
      <w:r>
        <w:t xml:space="preserve">surcharge that CSDs are under CSDR, further amplifying the potential risks for the</w:t>
      </w:r>
      <w:r>
        <w:t xml:space="preserve"> </w:t>
      </w:r>
      <w:r>
        <w:t xml:space="preserve">banking sector. Nevertheless, for both options, it is unsure whether and if yes, to what</w:t>
      </w:r>
      <w:r>
        <w:t xml:space="preserve"> </w:t>
      </w:r>
      <w:r>
        <w:t xml:space="preserve">extent, the market will make use of the additional opportunities, which in particular, is</w:t>
      </w:r>
      <w:r>
        <w:t xml:space="preserve"> </w:t>
      </w:r>
      <w:r>
        <w:t xml:space="preserve">especially true for Option 2a where the market cannot benefit from existing established</w:t>
      </w:r>
      <w:r>
        <w:t xml:space="preserve"> </w:t>
      </w:r>
      <w:r>
        <w:t xml:space="preserve">structures, such as they could in Option 2b.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option to partially or completely remove restrictions for the designated credit</w:t>
      </w:r>
      <w:r>
        <w:t xml:space="preserve"> </w:t>
      </w:r>
      <w:r>
        <w:t xml:space="preserve">institution is not coherent with the current CSDR framework, as it will introduce possibly</w:t>
      </w:r>
      <w:r>
        <w:t xml:space="preserve"> </w:t>
      </w:r>
      <w:r>
        <w:t xml:space="preserve">unlimited risk into the financial system, whereas 2b could introduce more risks but</w:t>
      </w:r>
      <w:r>
        <w:t xml:space="preserve"> </w:t>
      </w:r>
      <w:r>
        <w:t xml:space="preserve">within the current arrangements of CSDR. At the same time, Option 2a could bring</w:t>
      </w:r>
      <w:r>
        <w:t xml:space="preserve"> </w:t>
      </w:r>
      <w:r>
        <w:t xml:space="preserve">further risks as potentially a greater level of risk could spread beyond CSDs to the wider</w:t>
      </w:r>
      <w:r>
        <w:t xml:space="preserve"> </w:t>
      </w:r>
      <w:r>
        <w:t xml:space="preserve">banking system, when compared to 2a. Both 2a and 2b are however, coherent with the</w:t>
      </w:r>
      <w:r>
        <w:t xml:space="preserve"> </w:t>
      </w:r>
      <w:r>
        <w:t xml:space="preserve">CMU 2020 Action Plan, which highlights the need to develop a more integrated post-</w:t>
      </w:r>
      <w:r>
        <w:t xml:space="preserve"> </w:t>
      </w:r>
      <w:r>
        <w:t xml:space="preserve">trading landscape in the EU and aims to improve cross border transactions within the EU.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Option 2b is relatively better than 2a in this respect. Both sub-options are coherent with</w:t>
      </w:r>
      <w:r>
        <w:t xml:space="preserve"> </w:t>
      </w:r>
      <w:r>
        <w:t xml:space="preserve">existing banking regulations as they will continue to apply on the CSDs in this option.</w:t>
      </w:r>
      <w:r>
        <w:t xml:space="preserve"> </w:t>
      </w:r>
      <w:r>
        <w:t xml:space="preserve">6.3.2. Option 3: Amend the thresholds under which CSDs can use a commercial bank</w:t>
      </w:r>
      <w:r>
        <w:t xml:space="preserve"> </w:t>
      </w:r>
      <w:r>
        <w:t xml:space="preserve">for banking-type ancillary services.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Under this option targeted amendments would be made to the threshold for CSDs</w:t>
      </w:r>
      <w:r>
        <w:t xml:space="preserve"> </w:t>
      </w:r>
      <w:r>
        <w:t xml:space="preserve">(currently maximum of 1% of total assets and EUR 2.5 billion) to provide ancillary</w:t>
      </w:r>
      <w:r>
        <w:t xml:space="preserve"> </w:t>
      </w:r>
      <w:r>
        <w:t xml:space="preserve">banking services. This would make the provision of these services less burdensome and,</w:t>
      </w:r>
      <w:r>
        <w:t xml:space="preserve"> </w:t>
      </w:r>
      <w:r>
        <w:t xml:space="preserve">due to lower compliance costs, economies of scale for the provision of settlement in</w:t>
      </w:r>
      <w:r>
        <w:t xml:space="preserve"> </w:t>
      </w:r>
      <w:r>
        <w:t xml:space="preserve">foreign currencies could be more easily achieved. Achieving these economies of scale</w:t>
      </w:r>
      <w:r>
        <w:t xml:space="preserve"> </w:t>
      </w:r>
      <w:r>
        <w:t xml:space="preserve">would also facilitate CSDs to transition to settlement of foreign currencies in central bank</w:t>
      </w:r>
      <w:r>
        <w:t xml:space="preserve"> </w:t>
      </w:r>
      <w:r>
        <w:t xml:space="preserve">money (one of CSDR’s aims) by enabling them to reach appropriate economies of scale</w:t>
      </w:r>
      <w:r>
        <w:t xml:space="preserve"> </w:t>
      </w:r>
      <w:r>
        <w:t xml:space="preserve">to justify connecting to the relevant central bank. This would help make cross-border</w:t>
      </w:r>
      <w:r>
        <w:t xml:space="preserve"> </w:t>
      </w:r>
      <w:r>
        <w:t xml:space="preserve">transactions more available to investors against a minimum of compliance costs for</w:t>
      </w:r>
      <w:r>
        <w:t xml:space="preserve"> </w:t>
      </w:r>
      <w:r>
        <w:t xml:space="preserve">CSDs. The price for this is in terms of financial stability risks, since credit and liquidity</w:t>
      </w:r>
      <w:r>
        <w:t xml:space="preserve"> </w:t>
      </w:r>
      <w:r>
        <w:t xml:space="preserve">risks of the CSD could potentially increase, could be mitigated by increased supervisory</w:t>
      </w:r>
      <w:r>
        <w:t xml:space="preserve"> </w:t>
      </w:r>
      <w:r>
        <w:t xml:space="preserve">monitoring by the relevant banking authority. Changing the thresholds would also help</w:t>
      </w:r>
      <w:r>
        <w:t xml:space="preserve"> </w:t>
      </w:r>
      <w:r>
        <w:t xml:space="preserve">improve the efficiency of settlement markets as competition in settlement in foreign</w:t>
      </w:r>
      <w:r>
        <w:t xml:space="preserve"> </w:t>
      </w:r>
      <w:r>
        <w:t xml:space="preserve">currencies will increase and current settlement arrangements can remain in place for</w:t>
      </w:r>
      <w:r>
        <w:t xml:space="preserve"> </w:t>
      </w:r>
      <w:r>
        <w:t xml:space="preserve">CSDs.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current CSDR framework, as it builds on the already</w:t>
      </w:r>
      <w:r>
        <w:t xml:space="preserve"> </w:t>
      </w:r>
      <w:r>
        <w:t xml:space="preserve">foreseen arrangements. It is also coherent with the CMU Action Plan,223 which highlights</w:t>
      </w:r>
      <w:r>
        <w:t xml:space="preserve"> </w:t>
      </w:r>
      <w:r>
        <w:t xml:space="preserve">the need to develop a more integrated post-trading landscape in the EU and aims to</w:t>
      </w:r>
      <w:r>
        <w:t xml:space="preserve"> </w:t>
      </w:r>
      <w:r>
        <w:t xml:space="preserve">improve cross-border transactions in the EU while preserving financial stability. It is also</w:t>
      </w:r>
      <w:r>
        <w:t xml:space="preserve"> </w:t>
      </w:r>
      <w:r>
        <w:t xml:space="preserve">coherent with banking regulations in taking financial stability as a starting point. Option</w:t>
      </w:r>
      <w:r>
        <w:t xml:space="preserve"> </w:t>
      </w:r>
      <w:r>
        <w:t xml:space="preserve">3 does not entail a big change to CSDR’s requirements which is positive. It will increase</w:t>
      </w:r>
      <w:r>
        <w:t xml:space="preserve"> </w:t>
      </w:r>
      <w:r>
        <w:t xml:space="preserve">cross-border provision of settlement services as compliance costs are limited to internal</w:t>
      </w:r>
      <w:r>
        <w:t xml:space="preserve"> </w:t>
      </w:r>
      <w:r>
        <w:t xml:space="preserve">operational risk processes and external compliance costs are limited. It could be</w:t>
      </w:r>
      <w:r>
        <w:t xml:space="preserve"> </w:t>
      </w:r>
      <w:r>
        <w:t xml:space="preserve">relatively simple to apply as the prudential framework already covers the additional risks.</w:t>
      </w:r>
      <w:r>
        <w:t xml:space="preserve"> </w:t>
      </w:r>
      <w:r>
        <w:t xml:space="preserve">6.3.2. Option 4: Amend the thresholds under which CSDs can use a commercial bank</w:t>
      </w:r>
      <w:r>
        <w:t xml:space="preserve"> </w:t>
      </w:r>
      <w:r>
        <w:t xml:space="preserve">for banking-type ancillary services and allow banking CSDs to provide services.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The combination of options 2(b) and 3 will help achieve the specific objectives of</w:t>
      </w:r>
      <w:r>
        <w:t xml:space="preserve"> </w:t>
      </w:r>
      <w:r>
        <w:t xml:space="preserve">increasing cross-border settlement and efficiency of the provision of banking services as</w:t>
      </w:r>
      <w:r>
        <w:t xml:space="preserve"> </w:t>
      </w:r>
      <w:r>
        <w:t xml:space="preserve">well as reducing administrative costs, as elaborated under options 2 and 3, in a more</w:t>
      </w:r>
      <w:r>
        <w:t xml:space="preserve"> </w:t>
      </w:r>
      <w:r>
        <w:t xml:space="preserve">comprehensive manner than what could be achieved by applying only one of these</w:t>
      </w:r>
      <w:r>
        <w:t xml:space="preserve"> </w:t>
      </w:r>
      <w:r>
        <w:t xml:space="preserve">options. A combination of options 2(b) and 3 would have as an additional benefit as</w:t>
      </w:r>
      <w:r>
        <w:t xml:space="preserve"> </w:t>
      </w:r>
      <w:r>
        <w:t xml:space="preserve">compared to the above. While reviewing the threshold for banking services would</w:t>
      </w:r>
      <w:r>
        <w:t xml:space="preserve"> </w:t>
      </w:r>
      <w:r>
        <w:t xml:space="preserve">potentially increase the notional amounts available for banking services (including</w:t>
      </w:r>
      <w:r>
        <w:t xml:space="preserve"> </w:t>
      </w:r>
      <w:r>
        <w:t xml:space="preserve">foreign currency settlement) in EU settlement markets, including banking CSDs into the</w:t>
      </w:r>
      <w:r>
        <w:t xml:space="preserve"> </w:t>
      </w:r>
      <w:r>
        <w:t xml:space="preserve">potential providers of these services would increase potential notional amounts available</w:t>
      </w:r>
      <w:r>
        <w:t xml:space="preserve"> </w:t>
      </w:r>
      <w:r>
        <w:t xml:space="preserve">for foreign currency even further through broadening the range of providers.</w:t>
      </w:r>
    </w:p>
    <w:p>
      <w:pPr>
        <w:pStyle w:val="BodyText"/>
      </w:pPr>
      <w:r>
        <w:t xml:space="preserve">223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Coherence</w:t>
      </w:r>
      <w:r>
        <w:t xml:space="preserve"> </w:t>
      </w:r>
      <w:r>
        <w:t xml:space="preserve">The combination of options 2(b) and 3 is coherent with EU policies, such as the objective</w:t>
      </w:r>
      <w:r>
        <w:t xml:space="preserve"> </w:t>
      </w:r>
      <w:r>
        <w:t xml:space="preserve">of CMU to create a more integrated post-trading landscape in the EU contributing to the</w:t>
      </w:r>
      <w:r>
        <w:t xml:space="preserve"> </w:t>
      </w:r>
      <w:r>
        <w:t xml:space="preserve">EU internal market as elaborated in the respective sections.</w:t>
      </w:r>
      <w:r>
        <w:t xml:space="preserve"> </w:t>
      </w:r>
      <w:r>
        <w:t xml:space="preserve">6.3.3. Choice of preferred policy option</w:t>
      </w:r>
      <w:r>
        <w:t xml:space="preserve"> </w:t>
      </w:r>
      <w:r>
        <w:t xml:space="preserve">The tables below provide a high-level summary of how the described options compare</w:t>
      </w:r>
      <w:r>
        <w:t xml:space="preserve"> </w:t>
      </w:r>
      <w:r>
        <w:t xml:space="preserve">(for the sake of readability, the labels of the options have been shortened). For a detailed</w:t>
      </w:r>
      <w:r>
        <w:t xml:space="preserve"> </w:t>
      </w:r>
      <w:r>
        <w:t xml:space="preserve">overview of the costs and benefits (efficiency) of each option and impacts on different</w:t>
      </w:r>
      <w:r>
        <w:t xml:space="preserve"> </w:t>
      </w:r>
      <w:r>
        <w:t xml:space="preserve">stakeholders see Annex 7.</w:t>
      </w:r>
      <w:r>
        <w:t xml:space="preserve"> </w:t>
      </w:r>
      <w:r>
        <w:t xml:space="preserve">In view of the political priority of CMU and to create a single European market for</w:t>
      </w:r>
      <w:r>
        <w:t xml:space="preserve"> </w:t>
      </w:r>
      <w:r>
        <w:t xml:space="preserve">capital, improving possibilities for CSD to offer settlement in foreign currencies adds to</w:t>
      </w:r>
      <w:r>
        <w:t xml:space="preserve"> </w:t>
      </w:r>
      <w:r>
        <w:t xml:space="preserve">the aim of this review to facilitate CSDs’ access to other markets other than their home</w:t>
      </w:r>
      <w:r>
        <w:t xml:space="preserve"> </w:t>
      </w:r>
      <w:r>
        <w:t xml:space="preserve">market and minimise cross-border barriers. At the same time, this should be done while</w:t>
      </w:r>
      <w:r>
        <w:t xml:space="preserve"> </w:t>
      </w:r>
      <w:r>
        <w:t xml:space="preserve">preserving financial stability and keeping settlement markets safe. Hence, and since not</w:t>
      </w:r>
      <w:r>
        <w:t xml:space="preserve"> </w:t>
      </w:r>
      <w:r>
        <w:t xml:space="preserve">mutually exclusive, a combination of options 2b and 3 are deemed more appropriate</w:t>
      </w:r>
      <w:r>
        <w:t xml:space="preserve"> </w:t>
      </w:r>
      <w:r>
        <w:t xml:space="preserve">and proportionate (Option 4) in attaining the right balance between achieving the</w:t>
      </w:r>
      <w:r>
        <w:t xml:space="preserve"> </w:t>
      </w:r>
      <w:r>
        <w:t xml:space="preserve">aforementioned objectives.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Minimise</w:t>
      </w:r>
      <w:r>
        <w:t xml:space="preserve"> </w:t>
      </w:r>
      <w:r>
        <w:t xml:space="preserve">barriers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settlement</w:t>
      </w:r>
      <w:r>
        <w:br/>
      </w:r>
      <w:r>
        <w:t xml:space="preserve">Ensure adequate</w:t>
      </w:r>
      <w:r>
        <w:t xml:space="preserve"> </w:t>
      </w:r>
      <w:r>
        <w:t xml:space="preserve">powers and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monitor risks</w:t>
      </w:r>
      <w:r>
        <w:br/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and costs</w:t>
      </w:r>
      <w:r>
        <w:t xml:space="preserve"> </w:t>
      </w:r>
      <w:r>
        <w:t xml:space="preserve">Option 1 – baseline 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2a –Targeted</w:t>
      </w:r>
      <w:r>
        <w:t xml:space="preserve"> </w:t>
      </w:r>
      <w:r>
        <w:t xml:space="preserve">Amendments- Remove</w:t>
      </w:r>
      <w:r>
        <w:t xml:space="preserve"> </w:t>
      </w:r>
      <w:r>
        <w:t xml:space="preserve">restrictions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Option 2b –Targeted</w:t>
      </w:r>
      <w:r>
        <w:t xml:space="preserve"> </w:t>
      </w:r>
      <w:r>
        <w:t xml:space="preserve">Amendments-allow banking</w:t>
      </w:r>
      <w:r>
        <w:t xml:space="preserve"> </w:t>
      </w:r>
      <w:r>
        <w:t xml:space="preserve">CSDs to offer services to</w:t>
      </w:r>
      <w:r>
        <w:t xml:space="preserve"> </w:t>
      </w:r>
      <w:r>
        <w:t xml:space="preserve">other CSDs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 – Amend threshold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4 – combination of</w:t>
      </w:r>
      <w:r>
        <w:t xml:space="preserve"> </w:t>
      </w:r>
      <w:r>
        <w:t xml:space="preserve">2(b) and 3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CSDs</w:t>
      </w:r>
      <w:r>
        <w:t xml:space="preserve"> </w:t>
      </w:r>
      <w:r>
        <w:t xml:space="preserve">Issuers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Option 2b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Option 3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Option 4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6.4. Impact of the policy options regarding settlement discipline</w:t>
      </w:r>
      <w:r>
        <w:t xml:space="preserve"> </w:t>
      </w:r>
      <w:r>
        <w:t xml:space="preserve">6.4.1. Option 2 – Introduce targeted amendments for cash penalties and mandatory</w:t>
      </w:r>
      <w:r>
        <w:t xml:space="preserve"> </w:t>
      </w:r>
      <w:r>
        <w:t xml:space="preserve">buy-ins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This option includes amendments that would simplify elements of the settlement</w:t>
      </w:r>
      <w:r>
        <w:t xml:space="preserve"> </w:t>
      </w:r>
      <w:r>
        <w:t xml:space="preserve">discipline regime, e.g. with regards to the pass-on mechanism, in-scope transactions and</w:t>
      </w:r>
      <w:r>
        <w:t xml:space="preserve"> </w:t>
      </w:r>
      <w:r>
        <w:t xml:space="preserve">buy-in agents. These changes would be limited, introduced only in areas where the</w:t>
      </w:r>
      <w:r>
        <w:t xml:space="preserve"> </w:t>
      </w:r>
      <w:r>
        <w:t xml:space="preserve">regime would benefit from minor corrections or amendments.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First, amendments to the pass-on mechanism would allow to solve all settlement fails</w:t>
      </w:r>
      <w:r>
        <w:t xml:space="preserve"> </w:t>
      </w:r>
      <w:r>
        <w:t xml:space="preserve">along the same chain by one buy-in in the original settlement fail which provoked the</w:t>
      </w:r>
      <w:r>
        <w:t xml:space="preserve"> </w:t>
      </w:r>
      <w:r>
        <w:t xml:space="preserve">other fails. This would be combined with measures to address the rigidness in timing of</w:t>
      </w:r>
      <w:r>
        <w:t xml:space="preserve"> </w:t>
      </w:r>
      <w:r>
        <w:t xml:space="preserve">when a buy-in is initiated and the asymmetry in price differentials.224 This would reduce</w:t>
      </w:r>
      <w:r>
        <w:t xml:space="preserve"> </w:t>
      </w:r>
      <w:r>
        <w:t xml:space="preserve">the complexity and the burden of managing a buy-in process.</w:t>
      </w:r>
      <w:r>
        <w:br/>
      </w:r>
      <w:r>
        <w:t xml:space="preserve">Second, certain transactions may no longer be subject to the settlement discipline regime,</w:t>
      </w:r>
      <w:r>
        <w:t xml:space="preserve"> </w:t>
      </w:r>
      <w:r>
        <w:t xml:space="preserve">e.g. corporate actions on stock (e.g. initial creation transactions and redemptions), certain</w:t>
      </w:r>
      <w:r>
        <w:t xml:space="preserve"> </w:t>
      </w:r>
      <w:r>
        <w:t xml:space="preserve">central bank transactions (e.g. monetary policy operations which are not credit</w:t>
      </w:r>
      <w:r>
        <w:t xml:space="preserve"> </w:t>
      </w:r>
      <w:r>
        <w:t xml:space="preserve">operations225), and certain other transactions (e.g. auto-generated transactions by</w:t>
      </w:r>
      <w:r>
        <w:t xml:space="preserve"> </w:t>
      </w:r>
      <w:r>
        <w:t xml:space="preserve">CSDs)226. In addition to mandatory buy-ins, certain transactions could be exempted from</w:t>
      </w:r>
      <w:r>
        <w:t xml:space="preserve"> </w:t>
      </w:r>
      <w:r>
        <w:t xml:space="preserve">the cash penalties regime. These changes would permanently reduce the compliance</w:t>
      </w:r>
      <w:r>
        <w:t xml:space="preserve"> </w:t>
      </w:r>
      <w:r>
        <w:t xml:space="preserve">burden on market participants by removing transactions that do not form part of market</w:t>
      </w:r>
      <w:r>
        <w:t xml:space="preserve"> </w:t>
      </w:r>
      <w:r>
        <w:t xml:space="preserve">turnover or lie outside their control. Compliance costs for regulators, i.e. replying to</w:t>
      </w:r>
      <w:r>
        <w:t xml:space="preserve"> </w:t>
      </w:r>
      <w:r>
        <w:t xml:space="preserve">Q&amp;As, will also be reduced permanently. Furthermore these amendments would reduce</w:t>
      </w:r>
      <w:r>
        <w:t xml:space="preserve"> </w:t>
      </w:r>
      <w:r>
        <w:t xml:space="preserve">the number of settlement fails and improve settlement efficiency.</w:t>
      </w:r>
      <w:r>
        <w:t xml:space="preserve"> </w:t>
      </w:r>
      <w:r>
        <w:t xml:space="preserve">Third, more choice could be enabled as concerns buy-in agents, i.e. appoint a broader</w:t>
      </w:r>
      <w:r>
        <w:t xml:space="preserve"> </w:t>
      </w:r>
      <w:r>
        <w:t xml:space="preserve">range of actors as buy-in agents. A major concern for many stakeholders227 is that so far</w:t>
      </w:r>
      <w:r>
        <w:t xml:space="preserve"> </w:t>
      </w:r>
      <w:r>
        <w:t xml:space="preserve">only one service provider has emerged with a buy-in solution and that the offer is not</w:t>
      </w:r>
      <w:r>
        <w:t xml:space="preserve"> </w:t>
      </w:r>
      <w:r>
        <w:t xml:space="preserve">consistent with the needs of all stakeholders228. Subject to best execution requirements</w:t>
      </w:r>
      <w:r>
        <w:t xml:space="preserve"> </w:t>
      </w:r>
      <w:r>
        <w:t xml:space="preserve">and clearly defined limitations and conflicts of interest,229 firms could be able to execute</w:t>
      </w:r>
      <w:r>
        <w:t xml:space="preserve"> </w:t>
      </w:r>
      <w:r>
        <w:t xml:space="preserve">their own buy-ins. Buy-ins already exist today without a buy-in agent, e.g. at CCPs,</w:t>
      </w:r>
      <w:r>
        <w:t xml:space="preserve"> </w:t>
      </w:r>
      <w:r>
        <w:t xml:space="preserve">many of which do not use a buy-in agent but go to auction, sourcing the liquidity from</w:t>
      </w:r>
      <w:r>
        <w:t xml:space="preserve"> </w:t>
      </w:r>
      <w:r>
        <w:t xml:space="preserve">their network on a best execution basis. Allowing parties, within limits to execute their</w:t>
      </w:r>
      <w:r>
        <w:t xml:space="preserve"> </w:t>
      </w:r>
      <w:r>
        <w:t xml:space="preserve">own buy-ins based on underlying contractual requirements, could allow flexibility to act</w:t>
      </w:r>
      <w:r>
        <w:t xml:space="preserve"> </w:t>
      </w:r>
      <w:r>
        <w:t xml:space="preserve">in the best economic interest of the non-receiving party and tailor buy-ins to the</w:t>
      </w:r>
      <w:r>
        <w:t xml:space="preserve"> </w:t>
      </w:r>
      <w:r>
        <w:t xml:space="preserve">characteristics of different types of financial instruments.</w:t>
      </w:r>
      <w:r>
        <w:br/>
      </w:r>
      <w:r>
        <w:t xml:space="preserve">Such amendments would effectively and permanently reduce administrative burden and</w:t>
      </w:r>
      <w:r>
        <w:t xml:space="preserve"> </w:t>
      </w:r>
      <w:r>
        <w:t xml:space="preserve">compliance costs. In particular clarifications with regards to in-scope transactions would</w:t>
      </w:r>
      <w:r>
        <w:t xml:space="preserve"> </w:t>
      </w:r>
      <w:r>
        <w:t xml:space="preserve">effectively reduce complexity, administrative burden and compliance costs for all market</w:t>
      </w:r>
      <w:r>
        <w:t xml:space="preserve"> </w:t>
      </w:r>
      <w:r>
        <w:t xml:space="preserve">participants. Furthermore, fewer buy-ins would improve settlement efficiency.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be coherent with the overall objectives of CMU, as well as specific</w:t>
      </w:r>
      <w:r>
        <w:t xml:space="preserve"> </w:t>
      </w:r>
      <w:r>
        <w:t xml:space="preserve">objectives of CSDR. It would also be coherent with the REFIT initiative to have</w:t>
      </w:r>
      <w:r>
        <w:t xml:space="preserve"> </w:t>
      </w:r>
      <w:r>
        <w:t xml:space="preserve">proportionate requirements in that it would permanently lessen to a certain extent the</w:t>
      </w:r>
      <w:r>
        <w:t xml:space="preserve"> </w:t>
      </w:r>
      <w:r>
        <w:t xml:space="preserve">administrative burden and compliance costs for investors, CSDs and regulators without</w:t>
      </w:r>
      <w:r>
        <w:t xml:space="preserve"> </w:t>
      </w:r>
      <w:r>
        <w:t xml:space="preserve">endangering financial stability. These benefits would be long-term.</w:t>
      </w:r>
    </w:p>
    <w:p>
      <w:pPr>
        <w:pStyle w:val="BodyText"/>
      </w:pPr>
      <w:r>
        <w:t xml:space="preserve">224 Responses to the Commission CSDR targeted consultation by ICMA (see note 198), ISLA</w:t>
      </w:r>
      <w:r>
        <w:t xml:space="preserve"> </w:t>
      </w:r>
      <w:r>
        <w:t xml:space="preserve">(https://www.islaemea.org/wp-</w:t>
      </w:r>
      <w:r>
        <w:t xml:space="preserve"> </w:t>
      </w:r>
      <w:r>
        <w:t xml:space="preserve">content/uploads/2019/03/ISLA_Response_EC_Targeted_Consultation_CSDR.pdf), AFME (see note 127).</w:t>
      </w:r>
      <w:r>
        <w:t xml:space="preserve"> </w:t>
      </w:r>
      <w:r>
        <w:t xml:space="preserve">225 Currently these would include outright operations conducted under the Eurosystem’s Asset Purchase</w:t>
      </w:r>
      <w:r>
        <w:t xml:space="preserve"> </w:t>
      </w:r>
      <w:r>
        <w:t xml:space="preserve">Programme or the Pandemic Emergency Purchase Programme, and the associated securities lending</w:t>
      </w:r>
      <w:r>
        <w:t xml:space="preserve"> </w:t>
      </w:r>
      <w:r>
        <w:t xml:space="preserve">transactions. Based on confidential information provided to DG FISMA services.</w:t>
      </w:r>
      <w:r>
        <w:t xml:space="preserve"> </w:t>
      </w:r>
      <w:r>
        <w:t xml:space="preserve">226 Responses to the CSDR targeted consultation by ECSDA (ESCDA response to the Commission CSDR</w:t>
      </w:r>
      <w:r>
        <w:t xml:space="preserve"> </w:t>
      </w:r>
      <w:r>
        <w:t xml:space="preserve">targeted consultation, https://ecsda.eu/archives/13474), Clearstream (see note 190), Euronext (see note</w:t>
      </w:r>
      <w:r>
        <w:t xml:space="preserve"> </w:t>
      </w:r>
      <w:r>
        <w:t xml:space="preserve">106), Q. 33.2.</w:t>
      </w:r>
      <w:r>
        <w:br/>
      </w:r>
      <w:r>
        <w:t xml:space="preserve">227 Summary Report of the Commission CSDR targeted consultation (see note 92).</w:t>
      </w:r>
      <w:r>
        <w:t xml:space="preserve"> </w:t>
      </w:r>
      <w:r>
        <w:t xml:space="preserve">228 It is claimed that the legal structure of the buy-in agent and its collateral requirements are more suitable for</w:t>
      </w:r>
      <w:r>
        <w:t xml:space="preserve"> </w:t>
      </w:r>
      <w:r>
        <w:t xml:space="preserve">banking customers. Based on confidential information provided to DG FISMA services.</w:t>
      </w:r>
      <w:r>
        <w:t xml:space="preserve"> </w:t>
      </w:r>
      <w:r>
        <w:t xml:space="preserve">229 Article 24 of the RTS on settlement discipline.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negative market impacts of this option would be similar to Option 1, and would be</w:t>
      </w:r>
      <w:r>
        <w:t xml:space="preserve"> </w:t>
      </w:r>
      <w:r>
        <w:t xml:space="preserve">related to the introduction on the mandatory buy-in. The clarifications contained in</w:t>
      </w:r>
      <w:r>
        <w:t xml:space="preserve"> </w:t>
      </w:r>
      <w:r>
        <w:t xml:space="preserve">Option 2 would not considerably diminish their negative market impacts.</w:t>
      </w:r>
      <w:r>
        <w:t xml:space="preserve"> </w:t>
      </w:r>
      <w:r>
        <w:t xml:space="preserve">6.4.2. Option 3 – Introduce a two-step approach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Under this option cash penalties would apply immediately, while the implementation of</w:t>
      </w:r>
      <w:r>
        <w:t xml:space="preserve"> </w:t>
      </w:r>
      <w:r>
        <w:t xml:space="preserve">mandatory buy-ins would be deferred and triggered only where necessary, if the other</w:t>
      </w:r>
      <w:r>
        <w:t xml:space="preserve"> </w:t>
      </w:r>
      <w:r>
        <w:t xml:space="preserve">settlement discipline measures (i.e. reporting and cash penalties) prove to be insufficient</w:t>
      </w:r>
      <w:r>
        <w:t xml:space="preserve"> </w:t>
      </w:r>
      <w:r>
        <w:t xml:space="preserve">to achieve an acceptable level of settlement efficiency within the Union. Any delay in the</w:t>
      </w:r>
      <w:r>
        <w:t xml:space="preserve"> </w:t>
      </w:r>
      <w:r>
        <w:t xml:space="preserve">application of mandatory buy-ins should apply equally to the full market (i.e. both the</w:t>
      </w:r>
      <w:r>
        <w:t xml:space="preserve"> </w:t>
      </w:r>
      <w:r>
        <w:t xml:space="preserve">cleared and uncleared space) to prevent an unlevel playing field. This is essential to avoid</w:t>
      </w:r>
      <w:r>
        <w:t xml:space="preserve"> </w:t>
      </w:r>
      <w:r>
        <w:t xml:space="preserve">an unintended shift of trading volumes to a non-cleared environment, notably for less</w:t>
      </w:r>
      <w:r>
        <w:t xml:space="preserve"> </w:t>
      </w:r>
      <w:r>
        <w:t xml:space="preserve">liquid securities. The monitoring and reporting obligations under CSDR and the relevant</w:t>
      </w:r>
      <w:r>
        <w:t xml:space="preserve"> </w:t>
      </w:r>
      <w:r>
        <w:t xml:space="preserve">RTS will remain unchanged.230</w:t>
      </w:r>
      <w:r>
        <w:br/>
      </w:r>
      <w:r>
        <w:t xml:space="preserve">Under the two-step approach it would therefore first need to be determined, following a</w:t>
      </w:r>
      <w:r>
        <w:t xml:space="preserve"> </w:t>
      </w:r>
      <w:r>
        <w:t xml:space="preserve">granular analysis of the fails in the EU settlement market and at international level, where</w:t>
      </w:r>
      <w:r>
        <w:t xml:space="preserve"> </w:t>
      </w:r>
      <w:r>
        <w:t xml:space="preserve">the main settlement fails occur, at which level and for which reasons. ESMA could be</w:t>
      </w:r>
      <w:r>
        <w:t xml:space="preserve"> </w:t>
      </w:r>
      <w:r>
        <w:t xml:space="preserve">required to produce on a regular basis (e.g. every two years) a report on settlement fails</w:t>
      </w:r>
      <w:r>
        <w:t xml:space="preserve"> </w:t>
      </w:r>
      <w:r>
        <w:t xml:space="preserve">in the market that would focus, amongst others, on the levels of fails and their evolution,</w:t>
      </w:r>
      <w:r>
        <w:t xml:space="preserve"> </w:t>
      </w:r>
      <w:r>
        <w:t xml:space="preserve">the underlying drivers, the main instruments affected, an international comparison of</w:t>
      </w:r>
      <w:r>
        <w:t xml:space="preserve"> </w:t>
      </w:r>
      <w:r>
        <w:t xml:space="preserve">settlement fail rates, as well as assess whether cash penalties remain a proportionate and</w:t>
      </w:r>
      <w:r>
        <w:t xml:space="preserve"> </w:t>
      </w:r>
      <w:r>
        <w:t xml:space="preserve">effective tool to address these fails. The entry into application of the mandatory buy-in</w:t>
      </w:r>
      <w:r>
        <w:t xml:space="preserve"> </w:t>
      </w:r>
      <w:r>
        <w:t xml:space="preserve">regime could be left to a Level 2 act to be adopted by the Commission, taking into</w:t>
      </w:r>
      <w:r>
        <w:t xml:space="preserve"> </w:t>
      </w:r>
      <w:r>
        <w:t xml:space="preserve">account, where available, ESMA’s report.</w:t>
      </w:r>
      <w:r>
        <w:br/>
      </w:r>
      <w:r>
        <w:t xml:space="preserve">This option will be effective in addressing one of the main reasons for settlement fails,</w:t>
      </w:r>
      <w:r>
        <w:t xml:space="preserve"> </w:t>
      </w:r>
      <w:r>
        <w:t xml:space="preserve">i.e. insufficient capacity among market participants for post-trade functions. Practical</w:t>
      </w:r>
      <w:r>
        <w:t xml:space="preserve"> </w:t>
      </w:r>
      <w:r>
        <w:t xml:space="preserve">experience from other capital markets231 suggests that cash penalties may provide</w:t>
      </w:r>
      <w:r>
        <w:t xml:space="preserve"> </w:t>
      </w:r>
      <w:r>
        <w:t xml:space="preserve">sufficient incentive for the necessary capacity improvements to address settlement fails.</w:t>
      </w:r>
      <w:r>
        <w:t xml:space="preserve"> </w:t>
      </w:r>
      <w:r>
        <w:t xml:space="preserve">Furthermore, these improvements will particularly benefit the processing of smaller</w:t>
      </w:r>
      <w:r>
        <w:t xml:space="preserve"> </w:t>
      </w:r>
      <w:r>
        <w:t xml:space="preserve">trades which are more prone to fail. While encouraging improved settlement, this option</w:t>
      </w:r>
      <w:r>
        <w:t xml:space="preserve"> </w:t>
      </w:r>
      <w:r>
        <w:t xml:space="preserve">allows to avoid the most negative impacts of mandatory buy-ins related to liquidity, bid-</w:t>
      </w:r>
      <w:r>
        <w:t xml:space="preserve"> </w:t>
      </w:r>
      <w:r>
        <w:t xml:space="preserve">ask spreads or market stability. It will also discourage strategic behaviour by</w:t>
      </w:r>
      <w:r>
        <w:t xml:space="preserve"> </w:t>
      </w:r>
      <w:r>
        <w:t xml:space="preserve">counterparties. Cash penalties, like positive interest rates, will be an incentive for the</w:t>
      </w:r>
      <w:r>
        <w:t xml:space="preserve"> </w:t>
      </w:r>
      <w:r>
        <w:t xml:space="preserve">selling party to source the securities, whether outright or in repo (particularly when the</w:t>
      </w:r>
      <w:r>
        <w:t xml:space="preserve"> </w:t>
      </w:r>
      <w:r>
        <w:t xml:space="preserve">penalty is more punitive than the repo rate for the security). Furthermore, in the absence</w:t>
      </w:r>
      <w:r>
        <w:t xml:space="preserve"> </w:t>
      </w:r>
      <w:r>
        <w:t xml:space="preserve">of mandatory buy-ins, alternatives will be available to the buyer to initiate a buy-in</w:t>
      </w:r>
    </w:p>
    <w:p>
      <w:pPr>
        <w:pStyle w:val="BodyText"/>
      </w:pPr>
      <w:r>
        <w:t xml:space="preserve">230 Articles 13 and 14 of the RTS on settlement discipline.</w:t>
      </w:r>
      <w:r>
        <w:t xml:space="preserve"> </w:t>
      </w:r>
      <w:r>
        <w:t xml:space="preserve">231 The US experience shows that the introduction of a ‘fail charge’ for US Treasury Securities reduced fails</w:t>
      </w:r>
      <w:r>
        <w:t xml:space="preserve"> </w:t>
      </w:r>
      <w:r>
        <w:t xml:space="preserve">significantly. On 12 November 2008, the Treasure Market Practices Group (TMPG) published their</w:t>
      </w:r>
      <w:r>
        <w:t xml:space="preserve"> </w:t>
      </w:r>
      <w:r>
        <w:t xml:space="preserve">recommendations to introduce a fails charge (known as the ‘TMPG fails charge’), which went live on 1</w:t>
      </w:r>
      <w:r>
        <w:t xml:space="preserve"> </w:t>
      </w:r>
      <w:r>
        <w:t xml:space="preserve">May 2009. Studies showed that the anticipation of the implementation of the rule had a significant effect</w:t>
      </w:r>
      <w:r>
        <w:t xml:space="preserve"> </w:t>
      </w:r>
      <w:r>
        <w:t xml:space="preserve">on settlement fails. A paper published in the ‘FRBNY Economic Policy Review/ October 2010’ states that</w:t>
      </w:r>
      <w:r>
        <w:t xml:space="preserve"> </w:t>
      </w:r>
      <w:r>
        <w:t xml:space="preserve">“primary dealer fails declined from a daily average of $379 billion during the week of October 16-2 to a</w:t>
      </w:r>
      <w:r>
        <w:t xml:space="preserve"> </w:t>
      </w:r>
      <w:r>
        <w:t xml:space="preserve">daily average of $70 billion during the week of November 13-19 and averaged less than $50 billion a day</w:t>
      </w:r>
      <w:r>
        <w:t xml:space="preserve"> </w:t>
      </w:r>
      <w:r>
        <w:t xml:space="preserve">in December”. The paper also shows that fails averaged just over $14.4 billion per day during the first four</w:t>
      </w:r>
      <w:r>
        <w:t xml:space="preserve"> </w:t>
      </w:r>
      <w:r>
        <w:t xml:space="preserve">months of 2009, but only $4.2 billion per day since the implementation of the fails charge. Based on: ‘The</w:t>
      </w:r>
      <w:r>
        <w:t xml:space="preserve"> </w:t>
      </w:r>
      <w:r>
        <w:t xml:space="preserve">introduction of the TMPG fails charge for U.S Treasure Securities’, Federal Reserve Bank of New York</w:t>
      </w:r>
      <w:r>
        <w:t xml:space="preserve"> </w:t>
      </w:r>
      <w:r>
        <w:t xml:space="preserve">(FRBNY), Economic Policy Review/ October 2010.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against a failing seller: cash compensation, bilateral cancellation or to extend the delivery</w:t>
      </w:r>
      <w:r>
        <w:t xml:space="preserve"> </w:t>
      </w:r>
      <w:r>
        <w:t xml:space="preserve">time to a date when the seller can make the delivery which will ensure that the buyer</w:t>
      </w:r>
      <w:r>
        <w:t xml:space="preserve"> </w:t>
      </w:r>
      <w:r>
        <w:t xml:space="preserve">receives the securities and not a cash settlement. Buy-in arrangements are usually a</w:t>
      </w:r>
      <w:r>
        <w:t xml:space="preserve"> </w:t>
      </w:r>
      <w:r>
        <w:t xml:space="preserve">standardised process and are incorporated in the terms of business between</w:t>
      </w:r>
      <w:r>
        <w:t xml:space="preserve"> </w:t>
      </w:r>
      <w:r>
        <w:t xml:space="preserve">counterparties, to cover specific markets. Lastly, this option will minimise the pro-</w:t>
      </w:r>
      <w:r>
        <w:t xml:space="preserve"> </w:t>
      </w:r>
      <w:r>
        <w:t xml:space="preserve">cyclical effects as they are related to buy-ins rather than cash penalties.232 The main costs</w:t>
      </w:r>
      <w:r>
        <w:t xml:space="preserve"> </w:t>
      </w:r>
      <w:r>
        <w:t xml:space="preserve">of this approach is setting the conditions that would justify the introduction of mandatory</w:t>
      </w:r>
      <w:r>
        <w:t xml:space="preserve"> </w:t>
      </w:r>
      <w:r>
        <w:t xml:space="preserve">buy-ins as a second step of the two-step approach.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be coherent with the objectives of CMU and CSDR as it would</w:t>
      </w:r>
      <w:r>
        <w:t xml:space="preserve"> </w:t>
      </w:r>
      <w:r>
        <w:t xml:space="preserve">provide the necessary incentives to further improve EU settlement efficiency. It would</w:t>
      </w:r>
      <w:r>
        <w:t xml:space="preserve"> </w:t>
      </w:r>
      <w:r>
        <w:t xml:space="preserve">also be coherent with the REFIT initiative as it would better comply with the principle of</w:t>
      </w:r>
      <w:r>
        <w:t xml:space="preserve"> </w:t>
      </w:r>
      <w:r>
        <w:t xml:space="preserve">proportionality in that, to the extent that cash penalties can enhance on their own</w:t>
      </w:r>
      <w:r>
        <w:t xml:space="preserve"> </w:t>
      </w:r>
      <w:r>
        <w:t xml:space="preserve">settlement efficiency, the application of additional measures (i.e. mandatory buy-ins)</w:t>
      </w:r>
      <w:r>
        <w:t xml:space="preserve"> </w:t>
      </w:r>
      <w:r>
        <w:t xml:space="preserve">would go beyond what is necessary to achieve the pursued objectives. Concerns related</w:t>
      </w:r>
      <w:r>
        <w:t xml:space="preserve"> </w:t>
      </w:r>
      <w:r>
        <w:t xml:space="preserve">to market stability or the ability of market participants to fulfil certain functions, such as</w:t>
      </w:r>
      <w:r>
        <w:t xml:space="preserve"> </w:t>
      </w:r>
      <w:r>
        <w:t xml:space="preserve">market making, would not materialise.</w:t>
      </w:r>
      <w:r>
        <w:br/>
      </w:r>
      <w:r>
        <w:t xml:space="preserve">6.4.3. Option 4 – Introduce voluntary buy-ins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Under this option cash penalties would be mandatory while buy-ins would be voluntary.</w:t>
      </w:r>
      <w:r>
        <w:t xml:space="preserve"> </w:t>
      </w:r>
      <w:r>
        <w:t xml:space="preserve">Even if buy-ins would be voluntary, all EU investment firms would need to put in place</w:t>
      </w:r>
      <w:r>
        <w:t xml:space="preserve"> </w:t>
      </w:r>
      <w:r>
        <w:t xml:space="preserve">contractual arrangements for buy-ins with their relevant counterparties. The monitoring</w:t>
      </w:r>
      <w:r>
        <w:t xml:space="preserve"> </w:t>
      </w:r>
      <w:r>
        <w:t xml:space="preserve">and reporting obligations under CSDR and the relevant RTS would remain unchanged.233</w:t>
      </w:r>
      <w:r>
        <w:br/>
      </w:r>
      <w:r>
        <w:t xml:space="preserve">The decision to initiate a buy-in would be the discretionary right of the purchasing party</w:t>
      </w:r>
      <w:r>
        <w:t xml:space="preserve"> </w:t>
      </w:r>
      <w:r>
        <w:t xml:space="preserve">giving it more flexibility in achieving its investment objectives. This will apply in</w:t>
      </w:r>
      <w:r>
        <w:t xml:space="preserve"> </w:t>
      </w:r>
      <w:r>
        <w:t xml:space="preserve">relation to both transactions with and without the involvement of a CCP in order not to</w:t>
      </w:r>
      <w:r>
        <w:t xml:space="preserve"> </w:t>
      </w:r>
      <w:r>
        <w:t xml:space="preserve">incentivise migration of trading to non-cleared markets and indirectly undermine a key</w:t>
      </w:r>
      <w:r>
        <w:t xml:space="preserve"> </w:t>
      </w:r>
      <w:r>
        <w:t xml:space="preserve">EU policy objective in financial markets. In order for voluntary buy-ins to be effective a</w:t>
      </w:r>
      <w:r>
        <w:t xml:space="preserve"> </w:t>
      </w:r>
      <w:r>
        <w:t xml:space="preserve">number of high-level principles234 could be developed in CSDR. To ensure their clients’</w:t>
      </w:r>
      <w:r>
        <w:t xml:space="preserve"> </w:t>
      </w:r>
      <w:r>
        <w:t xml:space="preserve">access to voluntary buy-ins, market participants could still need to enter into a re-</w:t>
      </w:r>
      <w:r>
        <w:t xml:space="preserve"> </w:t>
      </w:r>
      <w:r>
        <w:t xml:space="preserve">papering exercise, similar in scope and cost to the described under Option 3. There are</w:t>
      </w:r>
      <w:r>
        <w:t xml:space="preserve"> </w:t>
      </w:r>
      <w:r>
        <w:t xml:space="preserve">also doubts about the use of and effectiveness of voluntary buy-ins to reduce settlement</w:t>
      </w:r>
      <w:r>
        <w:t xml:space="preserve"> </w:t>
      </w:r>
      <w:r>
        <w:t xml:space="preserve">fails. In markets dominated by large dealers, investors may be discouraged from adopting</w:t>
      </w:r>
      <w:r>
        <w:t xml:space="preserve"> </w:t>
      </w:r>
      <w:r>
        <w:t xml:space="preserve">buy-ins for fear of retaliation235. There is evidence that buy-ins are currently rarely used</w:t>
      </w:r>
      <w:r>
        <w:t xml:space="preserve"> </w:t>
      </w:r>
      <w:r>
        <w:t xml:space="preserve">as a voluntary contractual arrangement between market participants.236 Already today,</w:t>
      </w:r>
      <w:r>
        <w:t xml:space="preserve"> </w:t>
      </w:r>
      <w:r>
        <w:t xml:space="preserve">the trading parties have the right to request buy-ins, whether through market standards</w:t>
      </w:r>
      <w:r>
        <w:t xml:space="preserve"> </w:t>
      </w:r>
      <w:r>
        <w:t xml:space="preserve">(ICMA rules), legal standards (stock exchange regulations) or contractual rights.</w:t>
      </w:r>
    </w:p>
    <w:p>
      <w:pPr>
        <w:pStyle w:val="BodyText"/>
      </w:pPr>
      <w:r>
        <w:t xml:space="preserve">232 The potential for a buy-in impacts the starting bid-offer spread and its impact will be pro-cyclical, i.e. when</w:t>
      </w:r>
      <w:r>
        <w:t xml:space="preserve"> </w:t>
      </w:r>
      <w:r>
        <w:t xml:space="preserve">liquidity reduces, the price increase due to the buy-in will be greater further reducing trading activity and</w:t>
      </w:r>
      <w:r>
        <w:t xml:space="preserve"> </w:t>
      </w:r>
      <w:r>
        <w:t xml:space="preserve">thus liquidity.</w:t>
      </w:r>
      <w:r>
        <w:t xml:space="preserve"> </w:t>
      </w:r>
      <w:r>
        <w:t xml:space="preserve">233 Articles 13 and 14 of the RTS on settlement discipline.</w:t>
      </w:r>
      <w:r>
        <w:br/>
      </w:r>
      <w:r>
        <w:t xml:space="preserve">234 For instance, the ICMA response to the Commission CSDR targeted consultation reply suggests that the</w:t>
      </w:r>
      <w:r>
        <w:t xml:space="preserve"> </w:t>
      </w:r>
      <w:r>
        <w:t xml:space="preserve">following principles should form part of a voluntary buy-in: (i) the contractual right for the failed-to party</w:t>
      </w:r>
      <w:r>
        <w:t xml:space="preserve"> </w:t>
      </w:r>
      <w:r>
        <w:t xml:space="preserve">to initiate a buy-in, (ii) ability to recover costs incurred in executing the process, (iii) ensuring that the non-</w:t>
      </w:r>
      <w:r>
        <w:t xml:space="preserve"> </w:t>
      </w:r>
      <w:r>
        <w:t xml:space="preserve">failing party is restored to the equivalent economic position and (iv) providing for a cash settlement</w:t>
      </w:r>
      <w:r>
        <w:t xml:space="preserve"> </w:t>
      </w:r>
      <w:r>
        <w:t xml:space="preserve">alternative (see note 198).</w:t>
      </w:r>
      <w:r>
        <w:br/>
      </w:r>
      <w:r>
        <w:t xml:space="preserve">235 Reply to the Commission targeted consultation by Clearstream, Q. 34.1 (see note 190).</w:t>
      </w:r>
      <w:r>
        <w:t xml:space="preserve"> </w:t>
      </w:r>
      <w:r>
        <w:t xml:space="preserve">236 Reply to the Commission targeted consultation by Clearstream, Q. 34.1 (see note 190).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However, that is hardly practiced. Hence, voluntary buy-ins do not seem efficient in</w:t>
      </w:r>
      <w:r>
        <w:t xml:space="preserve"> </w:t>
      </w:r>
      <w:r>
        <w:t xml:space="preserve">ensuring settlement efficiency.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is partly coherent with the objectives of CMU and CSDR as it will provide</w:t>
      </w:r>
      <w:r>
        <w:t xml:space="preserve"> </w:t>
      </w:r>
      <w:r>
        <w:t xml:space="preserve">incentives to further improve settlement efficiency in the form of cash penalties. It</w:t>
      </w:r>
      <w:r>
        <w:t xml:space="preserve"> </w:t>
      </w:r>
      <w:r>
        <w:t xml:space="preserve">contains major disadvantages in the form of increased compliance costs for traders who</w:t>
      </w:r>
      <w:r>
        <w:t xml:space="preserve"> </w:t>
      </w:r>
      <w:r>
        <w:t xml:space="preserve">will need to keep in place a system allowing them to carry out buy-ins if contractually</w:t>
      </w:r>
      <w:r>
        <w:t xml:space="preserve"> </w:t>
      </w:r>
      <w:r>
        <w:t xml:space="preserve">agreed. It opens the possibility for abusive market practices as firms may be discouraged</w:t>
      </w:r>
      <w:r>
        <w:t xml:space="preserve"> </w:t>
      </w:r>
      <w:r>
        <w:t xml:space="preserve">from applying buy-ins if it will hurt established trading relationships. This option is also</w:t>
      </w:r>
      <w:r>
        <w:t xml:space="preserve"> </w:t>
      </w:r>
      <w:r>
        <w:t xml:space="preserve">not proportional. Due to their voluntary nature and evidence so far buy-ins will remain</w:t>
      </w:r>
      <w:r>
        <w:t xml:space="preserve"> </w:t>
      </w:r>
      <w:r>
        <w:t xml:space="preserve">unused, although market participants would incur re-papering costs and regulators face</w:t>
      </w:r>
      <w:r>
        <w:t xml:space="preserve"> </w:t>
      </w:r>
      <w:r>
        <w:t xml:space="preserve">compliance costs related to clarifications and guidance.</w:t>
      </w:r>
      <w:r>
        <w:t xml:space="preserve"> </w:t>
      </w:r>
      <w:r>
        <w:t xml:space="preserve">6.4.4. Option 5 – Combination of targeted amendments to settlement discipline regime</w:t>
      </w:r>
      <w:r>
        <w:t xml:space="preserve"> </w:t>
      </w:r>
      <w:r>
        <w:t xml:space="preserve">with a two-step implementation of cash penalties and mandatory buy-ins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The combination of Option 2 and Option 3 will help achieve the specific objective of</w:t>
      </w:r>
      <w:r>
        <w:t xml:space="preserve"> </w:t>
      </w:r>
      <w:r>
        <w:t xml:space="preserve">reducing administrative burden and compliance costs without endangering financial</w:t>
      </w:r>
      <w:r>
        <w:t xml:space="preserve"> </w:t>
      </w:r>
      <w:r>
        <w:t xml:space="preserve">stability, as explained in sections 6.4.2 and 6.4.3, more comprehensively than each option</w:t>
      </w:r>
      <w:r>
        <w:t xml:space="preserve"> </w:t>
      </w:r>
      <w:r>
        <w:t xml:space="preserve">individually by targeting both procedural aspects of the regime (Option 2) and market</w:t>
      </w:r>
      <w:r>
        <w:t xml:space="preserve"> </w:t>
      </w:r>
      <w:r>
        <w:t xml:space="preserve">impacts (Option 3).</w:t>
      </w:r>
      <w:r>
        <w:br/>
      </w:r>
      <w:r>
        <w:t xml:space="preserve">Coherence</w:t>
      </w:r>
      <w:r>
        <w:t xml:space="preserve"> </w:t>
      </w:r>
      <w:r>
        <w:t xml:space="preserve">The combination of Option 2 and Option 3 is coherent with the objectives of CMU and</w:t>
      </w:r>
      <w:r>
        <w:t xml:space="preserve"> </w:t>
      </w:r>
      <w:r>
        <w:t xml:space="preserve">CSDR as it would provide the necessary incentives to further improve EU settlement</w:t>
      </w:r>
      <w:r>
        <w:t xml:space="preserve"> </w:t>
      </w:r>
      <w:r>
        <w:t xml:space="preserve">efficiency (Option 3). It would also be coherent with the REFIT initiative as it would</w:t>
      </w:r>
      <w:r>
        <w:t xml:space="preserve"> </w:t>
      </w:r>
      <w:r>
        <w:t xml:space="preserve">better comply with the principle of proportionality (Option 3) and reducing</w:t>
      </w:r>
      <w:r>
        <w:t xml:space="preserve"> </w:t>
      </w:r>
      <w:r>
        <w:t xml:space="preserve">administrative burden (Option 2), by introducing clarifications and simplifications to the</w:t>
      </w:r>
      <w:r>
        <w:t xml:space="preserve"> </w:t>
      </w:r>
      <w:r>
        <w:t xml:space="preserve">operation of the settlement discipline regime.</w:t>
      </w:r>
      <w:r>
        <w:br/>
      </w:r>
      <w:r>
        <w:t xml:space="preserve">6.4.5. Choice of preferred policy option</w:t>
      </w:r>
      <w:r>
        <w:t xml:space="preserve"> </w:t>
      </w:r>
      <w:r>
        <w:t xml:space="preserve">The tables below provide a high-level summary of how the described options compare</w:t>
      </w:r>
      <w:r>
        <w:t xml:space="preserve"> </w:t>
      </w:r>
      <w:r>
        <w:t xml:space="preserve">(for the sake of readability, the labels of the options have been shortened). For a detailed</w:t>
      </w:r>
      <w:r>
        <w:t xml:space="preserve"> </w:t>
      </w:r>
      <w:r>
        <w:t xml:space="preserve">overview of the costs and benefits (efficiency) of each option and impacts on different</w:t>
      </w:r>
      <w:r>
        <w:t xml:space="preserve"> </w:t>
      </w:r>
      <w:r>
        <w:t xml:space="preserve">stakeholders see Annex 7.</w:t>
      </w:r>
      <w:r>
        <w:t xml:space="preserve"> </w:t>
      </w:r>
      <w:r>
        <w:t xml:space="preserve">In view of the importance attached by CMU to safe and efficient financial markets</w:t>
      </w:r>
      <w:r>
        <w:t xml:space="preserve"> </w:t>
      </w:r>
      <w:r>
        <w:t xml:space="preserve">Option 3 offers the most effective, efficient and coherent approach. Thanks to cash</w:t>
      </w:r>
      <w:r>
        <w:t xml:space="preserve"> </w:t>
      </w:r>
      <w:r>
        <w:t xml:space="preserve">penalties it will support improvements in settlement efficiency, without however</w:t>
      </w:r>
      <w:r>
        <w:t xml:space="preserve"> </w:t>
      </w:r>
      <w:r>
        <w:t xml:space="preserve">endangering stability and liquidity across markets and financial instruments. It is more</w:t>
      </w:r>
      <w:r>
        <w:t xml:space="preserve"> </w:t>
      </w:r>
      <w:r>
        <w:t xml:space="preserve">effective in addressing this objective than Option 4, which will have greater negative</w:t>
      </w:r>
      <w:r>
        <w:t xml:space="preserve"> </w:t>
      </w:r>
      <w:r>
        <w:t xml:space="preserve">impacts on market stability, liquidity and pricing while compliance costs for market</w:t>
      </w:r>
      <w:r>
        <w:t xml:space="preserve"> </w:t>
      </w:r>
      <w:r>
        <w:t xml:space="preserve">participants and regulators will be similar to Option 3. The effects of a voluntary buy-in</w:t>
      </w:r>
      <w:r>
        <w:t xml:space="preserve"> </w:t>
      </w:r>
      <w:r>
        <w:t xml:space="preserve">will be similar to the ones described under Option 1, although they may be smaller as</w:t>
      </w:r>
      <w:r>
        <w:t xml:space="preserve"> </w:t>
      </w:r>
      <w:r>
        <w:t xml:space="preserve">buy-ins will not be applied consistently by market participants. The targeted amendments</w:t>
      </w:r>
      <w:r>
        <w:t xml:space="preserve"> </w:t>
      </w:r>
      <w:r>
        <w:t xml:space="preserve">(Option 2) will bring benefits irrespective of the chosen settlement regime in terms of</w:t>
      </w:r>
      <w:r>
        <w:t xml:space="preserve"> </w:t>
      </w:r>
      <w:r>
        <w:t xml:space="preserve">effectiveness, efficiency or lower compliance costs. Hence it can be combined with either</w:t>
      </w:r>
      <w:r>
        <w:t xml:space="preserve"> </w:t>
      </w:r>
      <w:r>
        <w:t xml:space="preserve">Option 3 or Option 4. The benefits will however be greatest when combined with Option</w:t>
      </w:r>
      <w:r>
        <w:t xml:space="preserve"> </w:t>
      </w:r>
      <w:r>
        <w:t xml:space="preserve">3. Settlement efficiency will improve thanks to cash penalties, which will themselves</w:t>
      </w:r>
      <w:r>
        <w:t xml:space="preserve"> </w:t>
      </w:r>
      <w:r>
        <w:t xml:space="preserve">benefit from clarifications, while mandatory buy-ins will be delayed and also further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refined. Hence the preferred policy option is Option 5 (combination of Options 2 and 3)</w:t>
      </w:r>
      <w:r>
        <w:t xml:space="preserve"> </w:t>
      </w:r>
      <w:r>
        <w:t xml:space="preserve">and it will ensure the proportionality and efficiency of the Settlement Discipline Regime.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Minimise</w:t>
      </w:r>
      <w:r>
        <w:t xml:space="preserve"> </w:t>
      </w:r>
      <w:r>
        <w:t xml:space="preserve">barriers to cross-</w:t>
      </w:r>
      <w:r>
        <w:t xml:space="preserve"> </w:t>
      </w:r>
      <w:r>
        <w:t xml:space="preserve">border settlement</w:t>
      </w:r>
      <w:r>
        <w:t xml:space="preserve"> </w:t>
      </w:r>
      <w:r>
        <w:t xml:space="preserve">Ensure adequate powers</w:t>
      </w:r>
      <w:r>
        <w:t xml:space="preserve"> </w:t>
      </w:r>
      <w:r>
        <w:t xml:space="preserve">and information to</w:t>
      </w:r>
      <w:r>
        <w:t xml:space="preserve"> </w:t>
      </w:r>
      <w:r>
        <w:t xml:space="preserve">monitor risks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and costs</w:t>
      </w:r>
      <w:r>
        <w:t xml:space="preserve"> </w:t>
      </w:r>
      <w:r>
        <w:t xml:space="preserve">Option 1 –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3 – Two-step</w:t>
      </w:r>
      <w:r>
        <w:t xml:space="preserve"> </w:t>
      </w:r>
      <w:r>
        <w:t xml:space="preserve">approach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 – Voluntary</w:t>
      </w:r>
      <w:r>
        <w:t xml:space="preserve"> </w:t>
      </w:r>
      <w:r>
        <w:t xml:space="preserve">buy-ins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Option 5 – Two-step</w:t>
      </w:r>
      <w:r>
        <w:t xml:space="preserve"> </w:t>
      </w:r>
      <w:r>
        <w:t xml:space="preserve">approach with 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CSDs</w:t>
      </w:r>
      <w:r>
        <w:t xml:space="preserve"> </w:t>
      </w:r>
      <w:r>
        <w:t xml:space="preserve">Issuers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Option 5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6.5. Impact of the policy options regarding third-country CSDs</w:t>
      </w:r>
      <w:r>
        <w:br/>
      </w:r>
      <w:r>
        <w:t xml:space="preserve">6.5.1. Option 2 – Introduce an end-date to the grandfathering clause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Introducing an end-date to the grandfathering clause would ensure that third-country</w:t>
      </w:r>
      <w:r>
        <w:t xml:space="preserve"> </w:t>
      </w:r>
      <w:r>
        <w:t xml:space="preserve">CSDs currently operating under the grand-fathering clause are subject to equivalent</w:t>
      </w:r>
      <w:r>
        <w:t xml:space="preserve"> </w:t>
      </w:r>
      <w:r>
        <w:t xml:space="preserve">rules.237 It would therefore help ensure a more level playing field between EU authorised</w:t>
      </w:r>
      <w:r>
        <w:t xml:space="preserve"> </w:t>
      </w:r>
      <w:r>
        <w:t xml:space="preserve">CSDs (complying with CSDR) and third-country CSDs when they both operate in the</w:t>
      </w:r>
      <w:r>
        <w:t xml:space="preserve"> </w:t>
      </w:r>
      <w:r>
        <w:t xml:space="preserve">EU. In that sense, and compared to Option 1, it would ensure adequate powers and</w:t>
      </w:r>
      <w:r>
        <w:t xml:space="preserve"> </w:t>
      </w:r>
      <w:r>
        <w:t xml:space="preserve">information to monitor risks for issuers, as third-country CSDs would be forced to apply</w:t>
      </w:r>
      <w:r>
        <w:t xml:space="preserve"> </w:t>
      </w:r>
      <w:r>
        <w:t xml:space="preserve">rules that are at least equivalent.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aim of a grandfathering clause, which is to provide time</w:t>
      </w:r>
      <w:r>
        <w:t xml:space="preserve"> </w:t>
      </w:r>
      <w:r>
        <w:t xml:space="preserve">for entities to adapt to a new situation created by the CSDR. In this case, CSDR entered</w:t>
      </w:r>
      <w:r>
        <w:t xml:space="preserve"> </w:t>
      </w:r>
      <w:r>
        <w:t xml:space="preserve">into force in 2014.238 Both EU CSDs and non-EU CSDs have had sufficient time to adapt</w:t>
      </w:r>
      <w:r>
        <w:t xml:space="preserve"> </w:t>
      </w:r>
      <w:r>
        <w:t xml:space="preserve">to CSDR. In addition, this option would contribute to a level playing field between EU</w:t>
      </w:r>
      <w:r>
        <w:t xml:space="preserve"> </w:t>
      </w:r>
      <w:r>
        <w:t xml:space="preserve">and third-country CSDs and therefore contribute to create a more integrated post-trading</w:t>
      </w:r>
      <w:r>
        <w:t xml:space="preserve"> </w:t>
      </w:r>
      <w:r>
        <w:t xml:space="preserve">landscape in the EU as aimed for by the new CMU Action Plan.239</w:t>
      </w:r>
    </w:p>
    <w:p>
      <w:pPr>
        <w:pStyle w:val="BodyText"/>
      </w:pPr>
      <w:r>
        <w:t xml:space="preserve">237 The end-date to the grandfathering clause would be introduced for both for EEA and third-country CSDs.</w:t>
      </w:r>
      <w:r>
        <w:t xml:space="preserve"> </w:t>
      </w:r>
      <w:r>
        <w:t xml:space="preserve">238 NB: CSDR was included in the EEA Agreement on 1 January 2020.</w:t>
      </w:r>
      <w:r>
        <w:br/>
      </w:r>
      <w:r>
        <w:t xml:space="preserve">239 Commission Communication ‘A Capital Markets Union for people and businesses – New Action Plan’ (see</w:t>
      </w:r>
      <w:r>
        <w:t xml:space="preserve"> </w:t>
      </w:r>
      <w:r>
        <w:t xml:space="preserve">note 10).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6.5.2. Option 3 – Introduce a notification requirement for third-country CSDs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Third-country CSDs would have to notify to ESMA when they are providing services in</w:t>
      </w:r>
      <w:r>
        <w:t xml:space="preserve"> </w:t>
      </w:r>
      <w:r>
        <w:t xml:space="preserve">the EU. It would therefore help authorities (but not only) to have more information on</w:t>
      </w:r>
      <w:r>
        <w:t xml:space="preserve"> </w:t>
      </w:r>
      <w:r>
        <w:t xml:space="preserve">their activities and to identify and monitor any potential risks. Options 2 and 3 are not</w:t>
      </w:r>
      <w:r>
        <w:t xml:space="preserve"> </w:t>
      </w:r>
      <w:r>
        <w:t xml:space="preserve">mutually exclusive: Option 3 helps achieve the specific objective of ensuring adequate</w:t>
      </w:r>
      <w:r>
        <w:t xml:space="preserve"> </w:t>
      </w:r>
      <w:r>
        <w:t xml:space="preserve">powers and information to monitor risks from an EU authorities’ point of view whereas</w:t>
      </w:r>
      <w:r>
        <w:t xml:space="preserve"> </w:t>
      </w:r>
      <w:r>
        <w:t xml:space="preserve">Option 2 helps the same specific objective also from an investors’/issuers’ perspective.</w:t>
      </w:r>
      <w:r>
        <w:t xml:space="preserve"> </w:t>
      </w:r>
      <w:r>
        <w:t xml:space="preserve">These two options could therefore be complementary.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REFIT initiative to have proportionate requirements.</w:t>
      </w:r>
      <w:r>
        <w:t xml:space="preserve"> </w:t>
      </w:r>
      <w:r>
        <w:t xml:space="preserve">While authorities have very little information on which third-country CSDs operate in the</w:t>
      </w:r>
      <w:r>
        <w:t xml:space="preserve"> </w:t>
      </w:r>
      <w:r>
        <w:t xml:space="preserve">EU, a notification process would help to get this information. It would be coherent with</w:t>
      </w:r>
      <w:r>
        <w:t xml:space="preserve"> </w:t>
      </w:r>
      <w:r>
        <w:t xml:space="preserve">the CMU objective to have a more integrated post-trading landscape in the EU as EU</w:t>
      </w:r>
      <w:r>
        <w:t xml:space="preserve"> </w:t>
      </w:r>
      <w:r>
        <w:t xml:space="preserve">authorities would have more information on which CSDs operate in the EU and therefore</w:t>
      </w:r>
      <w:r>
        <w:t xml:space="preserve"> </w:t>
      </w:r>
      <w:r>
        <w:t xml:space="preserve">more information to monitor potential risks.</w:t>
      </w:r>
      <w:r>
        <w:t xml:space="preserve"> </w:t>
      </w:r>
      <w:r>
        <w:t xml:space="preserve">6.5.3. Option 4 – Enhance the regime for third-country CSDs providing services</w:t>
      </w:r>
      <w:r>
        <w:t xml:space="preserve"> </w:t>
      </w:r>
      <w:r>
        <w:t xml:space="preserve">Effectiveness in meeting the specific objectives</w:t>
      </w:r>
      <w:r>
        <w:br/>
      </w:r>
      <w:r>
        <w:t xml:space="preserve">A more comprehensive third-country regime either requiring ESMA recognition for the</w:t>
      </w:r>
      <w:r>
        <w:t xml:space="preserve"> </w:t>
      </w:r>
      <w:r>
        <w:t xml:space="preserve">provision of all CSD services by third-country CSDs (i.e. also for settlement services)</w:t>
      </w:r>
      <w:r>
        <w:t xml:space="preserve"> </w:t>
      </w:r>
      <w:r>
        <w:t xml:space="preserve">and/or ESMA supervision over third-country CSDs similar to that exercised over third-</w:t>
      </w:r>
      <w:r>
        <w:t xml:space="preserve"> </w:t>
      </w:r>
      <w:r>
        <w:t xml:space="preserve">country CCPs under EMIR (e.g. exercise of supervisory powers over all or certain third-</w:t>
      </w:r>
      <w:r>
        <w:t xml:space="preserve"> </w:t>
      </w:r>
      <w:r>
        <w:t xml:space="preserve">country CSDs) would ensure that adequate powers and information to monitor risks are</w:t>
      </w:r>
      <w:r>
        <w:t xml:space="preserve"> </w:t>
      </w:r>
      <w:r>
        <w:t xml:space="preserve">available at EU level. However, taking into account that: (a) very little information is</w:t>
      </w:r>
      <w:r>
        <w:t xml:space="preserve"> </w:t>
      </w:r>
      <w:r>
        <w:t xml:space="preserve">available as to whether and to what extent third-country CSDs provide services in</w:t>
      </w:r>
      <w:r>
        <w:t xml:space="preserve"> </w:t>
      </w:r>
      <w:r>
        <w:t xml:space="preserve">relation to financial instruments constituted under the law of a Member State; and (b) the</w:t>
      </w:r>
      <w:r>
        <w:t xml:space="preserve"> </w:t>
      </w:r>
      <w:r>
        <w:t xml:space="preserve">increased costs these options would imply for ESMA, the introduction of an enhanced</w:t>
      </w:r>
      <w:r>
        <w:t xml:space="preserve"> </w:t>
      </w:r>
      <w:r>
        <w:t xml:space="preserve">regime for third-countries CSDs does not seem proportionate now. Only the specific</w:t>
      </w:r>
      <w:r>
        <w:t xml:space="preserve"> </w:t>
      </w:r>
      <w:r>
        <w:t xml:space="preserve">objective to ensure adequate powers and information to monitor risks seems to be</w:t>
      </w:r>
      <w:r>
        <w:t xml:space="preserve"> </w:t>
      </w:r>
      <w:r>
        <w:t xml:space="preserve">significantly met with Option 4.</w:t>
      </w:r>
      <w:r>
        <w:br/>
      </w:r>
      <w:r>
        <w:t xml:space="preserve">Coherence</w:t>
      </w:r>
      <w:r>
        <w:t xml:space="preserve"> </w:t>
      </w:r>
      <w:r>
        <w:t xml:space="preserve">This option is coherent with the Parliament Resolution on CMU240 where it calls to</w:t>
      </w:r>
      <w:r>
        <w:t xml:space="preserve"> </w:t>
      </w:r>
      <w:r>
        <w:t xml:space="preserve">consider gradually granting ESMA direct supervisory powers, including direct oversight</w:t>
      </w:r>
      <w:r>
        <w:t xml:space="preserve"> </w:t>
      </w:r>
      <w:r>
        <w:t xml:space="preserve">over certain market segments such as CSDs. This option is also coherent with the ESMA</w:t>
      </w:r>
      <w:r>
        <w:t xml:space="preserve"> </w:t>
      </w:r>
      <w:r>
        <w:t xml:space="preserve">Regulation241 that requires the conduct of a comprehensive assessment of the potential</w:t>
      </w:r>
      <w:r>
        <w:t xml:space="preserve"> </w:t>
      </w:r>
      <w:r>
        <w:t xml:space="preserve">supervision of third-country CSDs. However, having done this assessment, it seems that</w:t>
      </w:r>
      <w:r>
        <w:t xml:space="preserve"> </w:t>
      </w:r>
      <w:r>
        <w:t xml:space="preserve">it could be deemed excessive to require third-country CSDs to be subject to a new</w:t>
      </w:r>
      <w:r>
        <w:t xml:space="preserve"> </w:t>
      </w:r>
      <w:r>
        <w:t xml:space="preserve">enhanced third-country regime while authorities do not even know how many operate in</w:t>
      </w:r>
      <w:r>
        <w:t xml:space="preserve"> </w:t>
      </w:r>
      <w:r>
        <w:t xml:space="preserve">the EU and the volume of settlement it concerns. Due to this lack of proportionality, this</w:t>
      </w:r>
      <w:r>
        <w:t xml:space="preserve"> </w:t>
      </w:r>
      <w:r>
        <w:t xml:space="preserve">option would therefore not be coherent with the REFIT initiative.</w:t>
      </w:r>
    </w:p>
    <w:p>
      <w:pPr>
        <w:pStyle w:val="BodyText"/>
      </w:pPr>
      <w:r>
        <w:t xml:space="preserve">240 European Parliament resolution of 8 October 2020 on further development of the Capital Markets Union</w:t>
      </w:r>
      <w:r>
        <w:t xml:space="preserve"> </w:t>
      </w:r>
      <w:r>
        <w:t xml:space="preserve">(CMU), (2020/2036,(INI)), para. 21.</w:t>
      </w:r>
      <w:r>
        <w:t xml:space="preserve"> </w:t>
      </w:r>
      <w:r>
        <w:t xml:space="preserve">241 Article 81(2c) of the ESMA Regulation.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6.5.4. Option 5 – combination of Options 2 and 3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The combination of Options 2 and 3 will help achieve the specific objectives of ensuring</w:t>
      </w:r>
      <w:r>
        <w:t xml:space="preserve"> </w:t>
      </w:r>
      <w:r>
        <w:t xml:space="preserve">adequate information and powers to monitor risks as well as reducing administrative</w:t>
      </w:r>
      <w:r>
        <w:t xml:space="preserve"> </w:t>
      </w:r>
      <w:r>
        <w:t xml:space="preserve">costs, as elaborated under Sections 6.5.1 and 6.5.2, in a more comprehensive manner than</w:t>
      </w:r>
      <w:r>
        <w:t xml:space="preserve"> </w:t>
      </w:r>
      <w:r>
        <w:t xml:space="preserve">what could be achieved by applying only one of these options.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combination of Options 2 and 3 is coherent with a broad range of EU policies, i.e. </w:t>
      </w:r>
      <w:r>
        <w:t xml:space="preserve"> </w:t>
      </w:r>
      <w:r>
        <w:t xml:space="preserve">the REFIT nature of this initiative, the objectives of the CMU to create a more integrated</w:t>
      </w:r>
      <w:r>
        <w:t xml:space="preserve"> </w:t>
      </w:r>
      <w:r>
        <w:t xml:space="preserve">post-trading landscape in the EU as well as the rationale behind the introduction of the</w:t>
      </w:r>
      <w:r>
        <w:t xml:space="preserve"> </w:t>
      </w:r>
      <w:r>
        <w:t xml:space="preserve">grandfathering clause in CSDR, as elaborated in Sections 6.5.1 and 6.5.2.</w:t>
      </w:r>
      <w:r>
        <w:t xml:space="preserve"> </w:t>
      </w:r>
      <w:r>
        <w:t xml:space="preserve">6.5.5. Choice of preferred policy option</w:t>
      </w:r>
      <w:r>
        <w:t xml:space="preserve"> </w:t>
      </w:r>
      <w:r>
        <w:t xml:space="preserve">The tables below provide a high-level summary of how the described options compare</w:t>
      </w:r>
      <w:r>
        <w:t xml:space="preserve"> </w:t>
      </w:r>
      <w:r>
        <w:t xml:space="preserve">(for the sake of readability, the labels of the options have been shortened). For a detailed</w:t>
      </w:r>
      <w:r>
        <w:t xml:space="preserve"> </w:t>
      </w:r>
      <w:r>
        <w:t xml:space="preserve">overview of the costs and benefits (efficiency) of each option and impacts on different</w:t>
      </w:r>
      <w:r>
        <w:t xml:space="preserve"> </w:t>
      </w:r>
      <w:r>
        <w:t xml:space="preserve">stakeholders see Annex 7.</w:t>
      </w:r>
      <w:r>
        <w:t xml:space="preserve"> </w:t>
      </w:r>
      <w:r>
        <w:t xml:space="preserve">Option 5 (i.e. the combination of Options 2 and 3) is the preferred option. Option 2</w:t>
      </w:r>
      <w:r>
        <w:t xml:space="preserve"> </w:t>
      </w:r>
      <w:r>
        <w:t xml:space="preserve">would ensure adequate powers and information to monitor risks, as third-country CSDs</w:t>
      </w:r>
      <w:r>
        <w:t xml:space="preserve"> </w:t>
      </w:r>
      <w:r>
        <w:t xml:space="preserve">would be forced to apply rules at least equivalent. Option 3 would help to meet the</w:t>
      </w:r>
      <w:r>
        <w:t xml:space="preserve"> </w:t>
      </w:r>
      <w:r>
        <w:t xml:space="preserve">specific objective of ensuring adequate powers and information to monitor risks for EU</w:t>
      </w:r>
      <w:r>
        <w:t xml:space="preserve"> </w:t>
      </w:r>
      <w:r>
        <w:t xml:space="preserve">authorities. As the number of third-country CSDs is unknown and thus whether there is</w:t>
      </w:r>
      <w:r>
        <w:t xml:space="preserve"> </w:t>
      </w:r>
      <w:r>
        <w:t xml:space="preserve">an issue for financial stability or not, Option 4 is premature and disproportionate.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br/>
      </w:r>
      <w:r>
        <w:t xml:space="preserve">Coherence</w:t>
      </w:r>
    </w:p>
    <w:p>
      <w:pPr>
        <w:pStyle w:val="BodyText"/>
      </w:pPr>
      <w:r>
        <w:t xml:space="preserve">Minimise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settlement</w:t>
      </w:r>
      <w:r>
        <w:br/>
      </w:r>
      <w:r>
        <w:t xml:space="preserve">Ensure</w:t>
      </w:r>
      <w:r>
        <w:t xml:space="preserve"> </w:t>
      </w:r>
      <w:r>
        <w:t xml:space="preserve">adequate</w:t>
      </w:r>
      <w:r>
        <w:t xml:space="preserve"> </w:t>
      </w:r>
      <w:r>
        <w:t xml:space="preserve">powers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monitor risks</w:t>
      </w:r>
      <w:r>
        <w:br/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Option 1 –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 Introduction</w:t>
      </w:r>
      <w:r>
        <w:t xml:space="preserve"> </w:t>
      </w:r>
      <w:r>
        <w:t xml:space="preserve">of an end-date to the</w:t>
      </w:r>
      <w:r>
        <w:t xml:space="preserve"> </w:t>
      </w:r>
      <w:r>
        <w:t xml:space="preserve">grand-fathering clause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3 – 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notification</w:t>
      </w:r>
      <w:r>
        <w:t xml:space="preserve"> </w:t>
      </w:r>
      <w:r>
        <w:t xml:space="preserve">requirement for third-</w:t>
      </w:r>
      <w:r>
        <w:t xml:space="preserve"> </w:t>
      </w:r>
      <w:r>
        <w:t xml:space="preserve">country CSDs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4 – Enhanced</w:t>
      </w:r>
      <w:r>
        <w:t xml:space="preserve"> </w:t>
      </w:r>
      <w:r>
        <w:t xml:space="preserve">CSDR</w:t>
      </w:r>
      <w:r>
        <w:t xml:space="preserve"> </w:t>
      </w:r>
      <w:r>
        <w:t xml:space="preserve">third-country</w:t>
      </w:r>
      <w:r>
        <w:t xml:space="preserve"> </w:t>
      </w:r>
      <w:r>
        <w:t xml:space="preserve">regime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Option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Options 2 and 3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Summary of winners and losers</w:t>
      </w:r>
    </w:p>
    <w:p>
      <w:pPr>
        <w:pStyle w:val="BodyText"/>
      </w:pPr>
      <w:r>
        <w:t xml:space="preserve">EU CSDs</w:t>
      </w:r>
      <w:r>
        <w:t xml:space="preserve"> </w:t>
      </w:r>
      <w:r>
        <w:t xml:space="preserve">/Issuers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++</w:t>
      </w:r>
      <w:r>
        <w:br/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++</w:t>
      </w:r>
      <w:r>
        <w:br/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Option 5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preceding section analyses the policy options for each of the five key drivers</w:t>
      </w:r>
      <w:r>
        <w:t xml:space="preserve"> </w:t>
      </w:r>
      <w:r>
        <w:t xml:space="preserve">considered in this impact assessment and explains the choice of the preferred policy</w:t>
      </w:r>
      <w:r>
        <w:t xml:space="preserve"> </w:t>
      </w:r>
      <w:r>
        <w:t xml:space="preserve">options. A comparison of the different policy options is summarised in the table below.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Objective</w:t>
      </w:r>
      <w:r>
        <w:t xml:space="preserve"> </w:t>
      </w:r>
      <w:r>
        <w:t xml:space="preserve">1</w:t>
      </w:r>
      <w:r>
        <w:t xml:space="preserve"> </w:t>
      </w:r>
      <w:r>
        <w:t xml:space="preserve">Minimise</w:t>
      </w:r>
      <w:r>
        <w:t xml:space="preserve"> </w:t>
      </w:r>
      <w:r>
        <w:t xml:space="preserve">barriers to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settlement</w:t>
      </w:r>
      <w:r>
        <w:t xml:space="preserve"> </w:t>
      </w:r>
      <w:r>
        <w:t xml:space="preserve">Objective 2</w:t>
      </w:r>
      <w:r>
        <w:t xml:space="preserve"> </w:t>
      </w:r>
      <w:r>
        <w:t xml:space="preserve">Ensure</w:t>
      </w:r>
      <w:r>
        <w:t xml:space="preserve"> </w:t>
      </w:r>
      <w:r>
        <w:t xml:space="preserve">adequate</w:t>
      </w:r>
      <w:r>
        <w:t xml:space="preserve"> </w:t>
      </w:r>
      <w:r>
        <w:t xml:space="preserve">powers and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monitor risks</w:t>
      </w:r>
      <w:r>
        <w:t xml:space="preserve"> </w:t>
      </w:r>
      <w:r>
        <w:t xml:space="preserve">Objective 3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Passporting</w:t>
      </w:r>
      <w:r>
        <w:t xml:space="preserve"> </w:t>
      </w:r>
      <w:r>
        <w:t xml:space="preserve">require-</w:t>
      </w:r>
      <w:r>
        <w:t xml:space="preserve"> </w:t>
      </w:r>
      <w:r>
        <w:t xml:space="preserve">ments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Reduce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passporting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</w:t>
      </w:r>
      <w:r>
        <w:t xml:space="preserve"> </w:t>
      </w:r>
      <w:r>
        <w:t xml:space="preserve">Clarify</w:t>
      </w:r>
      <w:r>
        <w:t xml:space="preserve"> </w:t>
      </w:r>
      <w:r>
        <w:t xml:space="preserve">uncertainties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4</w:t>
      </w:r>
      <w:r>
        <w:t xml:space="preserve"> </w:t>
      </w:r>
      <w:r>
        <w:t xml:space="preserve">Replace</w:t>
      </w:r>
      <w:r>
        <w:t xml:space="preserve"> </w:t>
      </w:r>
      <w:r>
        <w:t xml:space="preserve">passporting</w:t>
      </w:r>
      <w:r>
        <w:t xml:space="preserve"> </w:t>
      </w:r>
      <w:r>
        <w:t xml:space="preserve">procedure at</w:t>
      </w:r>
      <w:r>
        <w:t xml:space="preserve"> </w:t>
      </w:r>
      <w:r>
        <w:t xml:space="preserve">the host</w:t>
      </w:r>
      <w:r>
        <w:t xml:space="preserve"> </w:t>
      </w:r>
      <w:r>
        <w:t xml:space="preserve">Member State</w:t>
      </w:r>
      <w:r>
        <w:t xml:space="preserve"> </w:t>
      </w:r>
      <w:r>
        <w:t xml:space="preserve">level with a</w:t>
      </w:r>
      <w:r>
        <w:t xml:space="preserve"> </w:t>
      </w:r>
      <w:r>
        <w:t xml:space="preserve">notification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5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 3</w:t>
      </w:r>
      <w:r>
        <w:t xml:space="preserve"> </w:t>
      </w:r>
      <w:r>
        <w:t xml:space="preserve">and Option 4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Cooperatio</w:t>
      </w:r>
      <w:r>
        <w:t xml:space="preserve"> </w:t>
      </w:r>
      <w:r>
        <w:t xml:space="preserve">n between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Enhance</w:t>
      </w:r>
      <w:r>
        <w:t xml:space="preserve"> </w:t>
      </w:r>
      <w:r>
        <w:t xml:space="preserve">cooperation</w:t>
      </w:r>
      <w:r>
        <w:t xml:space="preserve"> </w:t>
      </w:r>
      <w:r>
        <w:t xml:space="preserve">arrangements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3</w:t>
      </w:r>
      <w:r>
        <w:t xml:space="preserve"> </w:t>
      </w:r>
      <w:r>
        <w:t xml:space="preserve">Establish</w:t>
      </w:r>
      <w:r>
        <w:t xml:space="preserve"> </w:t>
      </w:r>
      <w:r>
        <w:t xml:space="preserve">colleges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</w:t>
      </w:r>
      <w:r>
        <w:t xml:space="preserve"> </w:t>
      </w:r>
      <w:r>
        <w:t xml:space="preserve">EU</w:t>
      </w:r>
      <w:r>
        <w:t xml:space="preserve"> </w:t>
      </w:r>
      <w:r>
        <w:t xml:space="preserve">supervision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  <w:r>
        <w:t xml:space="preserve"> </w:t>
      </w:r>
      <w:r>
        <w:t xml:space="preserve">Banking</w:t>
      </w:r>
      <w:r>
        <w:t xml:space="preserve"> </w:t>
      </w:r>
      <w:r>
        <w:t xml:space="preserve">services</w:t>
      </w:r>
      <w:r>
        <w:t xml:space="preserve"> </w:t>
      </w: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2a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(remove DCI</w:t>
      </w:r>
      <w:r>
        <w:t xml:space="preserve"> </w:t>
      </w:r>
      <w:r>
        <w:t xml:space="preserve">restrictions)</w:t>
      </w:r>
      <w:r>
        <w:t xml:space="preserve"> </w:t>
      </w:r>
      <w:r>
        <w:t xml:space="preserve">Option 2b</w:t>
      </w:r>
      <w:r>
        <w:t xml:space="preserve"> </w:t>
      </w:r>
      <w:r>
        <w:t xml:space="preserve">Banking</w:t>
      </w:r>
      <w:r>
        <w:t xml:space="preserve"> </w:t>
      </w:r>
      <w:r>
        <w:t xml:space="preserve">CSDs to</w:t>
      </w:r>
      <w:r>
        <w:t xml:space="preserve"> </w:t>
      </w:r>
      <w:r>
        <w:t xml:space="preserve">provide</w:t>
      </w:r>
      <w:r>
        <w:t xml:space="preserve"> </w:t>
      </w:r>
      <w:r>
        <w:t xml:space="preserve">services to</w:t>
      </w:r>
      <w:r>
        <w:t xml:space="preserve"> </w:t>
      </w:r>
      <w:r>
        <w:t xml:space="preserve">other CSDs</w:t>
      </w:r>
      <w:r>
        <w:t xml:space="preserve"> </w:t>
      </w:r>
      <w:r>
        <w:t xml:space="preserve">incl. </w:t>
      </w:r>
      <w:r>
        <w:t xml:space="preserve"> </w:t>
      </w:r>
      <w:r>
        <w:t xml:space="preserve">intragroup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Amend</w:t>
      </w:r>
      <w:r>
        <w:t xml:space="preserve"> </w:t>
      </w:r>
      <w:r>
        <w:t xml:space="preserve">threshold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4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</w:t>
      </w:r>
      <w:r>
        <w:t xml:space="preserve"> </w:t>
      </w:r>
      <w:r>
        <w:t xml:space="preserve">2(b) and 3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Two-step</w:t>
      </w:r>
      <w:r>
        <w:t xml:space="preserve"> </w:t>
      </w:r>
      <w:r>
        <w:t xml:space="preserve">approach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</w:t>
      </w:r>
      <w:r>
        <w:t xml:space="preserve"> </w:t>
      </w:r>
      <w:r>
        <w:t xml:space="preserve">Voluntary</w:t>
      </w:r>
      <w:r>
        <w:t xml:space="preserve"> </w:t>
      </w:r>
      <w:r>
        <w:t xml:space="preserve">buy-in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Option 5</w:t>
      </w:r>
      <w:r>
        <w:br/>
      </w:r>
      <w:r>
        <w:t xml:space="preserve">Two-step</w:t>
      </w:r>
      <w:r>
        <w:t xml:space="preserve"> </w:t>
      </w:r>
      <w:r>
        <w:t xml:space="preserve">approach with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Third-</w:t>
      </w:r>
      <w:r>
        <w:t xml:space="preserve"> </w:t>
      </w:r>
      <w:r>
        <w:t xml:space="preserve">country</w:t>
      </w:r>
      <w:r>
        <w:t xml:space="preserve"> </w:t>
      </w:r>
      <w:r>
        <w:t xml:space="preserve">CSDs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Do nothing</w:t>
      </w:r>
      <w:r>
        <w:t xml:space="preserve"> </w:t>
      </w:r>
      <w:r>
        <w:t xml:space="preserve">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 an end-date</w:t>
      </w:r>
      <w:r>
        <w:t xml:space="preserve"> </w:t>
      </w:r>
      <w:r>
        <w:t xml:space="preserve">to</w:t>
      </w:r>
      <w:r>
        <w:t xml:space="preserve"> </w:t>
      </w:r>
      <w:r>
        <w:t xml:space="preserve">grandfatherin</w:t>
      </w:r>
      <w:r>
        <w:t xml:space="preserve"> </w:t>
      </w:r>
      <w:r>
        <w:t xml:space="preserve">g clause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3</w:t>
      </w:r>
      <w:r>
        <w:t xml:space="preserve"> </w:t>
      </w:r>
      <w:r>
        <w:t xml:space="preserve">Introduction</w:t>
      </w:r>
      <w:r>
        <w:t xml:space="preserve"> </w:t>
      </w:r>
      <w:r>
        <w:t xml:space="preserve">notification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 third-</w:t>
      </w:r>
      <w:r>
        <w:t xml:space="preserve"> </w:t>
      </w:r>
      <w:r>
        <w:t xml:space="preserve">country CSDs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Enhance</w:t>
      </w:r>
      <w:r>
        <w:t xml:space="preserve"> </w:t>
      </w:r>
      <w:r>
        <w:t xml:space="preserve">CSDR third-</w:t>
      </w:r>
      <w:r>
        <w:t xml:space="preserve"> </w:t>
      </w:r>
      <w:r>
        <w:t xml:space="preserve">country</w:t>
      </w:r>
      <w:r>
        <w:t xml:space="preserve"> </w:t>
      </w:r>
      <w:r>
        <w:t xml:space="preserve">regime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Option 5 –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Options 2</w:t>
      </w:r>
      <w:r>
        <w:t xml:space="preserve"> </w:t>
      </w:r>
      <w:r>
        <w:t xml:space="preserve">and 3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Legend: 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 0 = no</w:t>
      </w:r>
      <w:r>
        <w:t xml:space="preserve"> </w:t>
      </w:r>
      <w:r>
        <w:t xml:space="preserve">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  <w:r>
        <w:t xml:space="preserve"> </w:t>
      </w:r>
      <w:r>
        <w:t xml:space="preserve">8. PREFERRED PACKAGE</w:t>
      </w:r>
      <w:r>
        <w:t xml:space="preserve"> </w:t>
      </w:r>
      <w:r>
        <w:t xml:space="preserve">8.1. Summary of preferred aggregated options</w:t>
      </w:r>
      <w:r>
        <w:t xml:space="preserve"> </w:t>
      </w:r>
      <w:r>
        <w:t xml:space="preserve">Section 7 analyses and compares the policy options for each of the drivers considered in</w:t>
      </w:r>
      <w:r>
        <w:t xml:space="preserve"> </w:t>
      </w:r>
      <w:r>
        <w:t xml:space="preserve">this impact assessment. The section below explain why each preferred policy options</w:t>
      </w:r>
      <w:r>
        <w:t xml:space="preserve"> </w:t>
      </w:r>
      <w:r>
        <w:t xml:space="preserve">represents the best overall trade-off between effectiveness and costs, hence is the most</w:t>
      </w:r>
      <w:r>
        <w:t xml:space="preserve"> </w:t>
      </w:r>
      <w:r>
        <w:t xml:space="preserve">proportionate and efficient one in the long run.</w:t>
      </w:r>
      <w:r>
        <w:t xml:space="preserve"> </w:t>
      </w:r>
      <w:r>
        <w:t xml:space="preserve">Passporting requirements: Based on the assessment and comparison of all options,</w:t>
      </w:r>
      <w:r>
        <w:t xml:space="preserve"> </w:t>
      </w:r>
      <w:r>
        <w:t xml:space="preserve">Option 5 (combination of Option 3 – clarification of uncertainties – and Option 4 –</w:t>
      </w:r>
      <w:r>
        <w:t xml:space="preserve"> </w:t>
      </w:r>
      <w:r>
        <w:t xml:space="preserve">passporting notification) is the preferred option. The analysis shows that it is better</w:t>
      </w:r>
      <w:r>
        <w:t xml:space="preserve"> </w:t>
      </w:r>
      <w:r>
        <w:t xml:space="preserve">suited to achieve the specific objectives of reducing administrative burden and</w:t>
      </w:r>
      <w:r>
        <w:t xml:space="preserve"> </w:t>
      </w:r>
      <w:r>
        <w:t xml:space="preserve">compliance costs as well as minimising barriers to cross-border settlement than all other</w:t>
      </w:r>
      <w:r>
        <w:t xml:space="preserve"> </w:t>
      </w:r>
      <w:r>
        <w:t xml:space="preserve">options. Concerns of certain national authorities that their powers may as a result be</w:t>
      </w:r>
      <w:r>
        <w:t xml:space="preserve"> </w:t>
      </w:r>
      <w:r>
        <w:t xml:space="preserve">reduced are addressed by the preferred policy option to enhance the cooperation between</w:t>
      </w:r>
      <w:r>
        <w:t xml:space="preserve"> </w:t>
      </w:r>
      <w:r>
        <w:t xml:space="preserve">authorities by requiring the establishment of colleges.</w:t>
      </w:r>
      <w:r>
        <w:t xml:space="preserve"> </w:t>
      </w:r>
      <w:r>
        <w:t xml:space="preserve">Cooperation between authorities: Based on the assessment and comparison of all</w:t>
      </w:r>
      <w:r>
        <w:t xml:space="preserve"> </w:t>
      </w:r>
      <w:r>
        <w:t xml:space="preserve">options, Option 3 (mandatory colleges of supervisors) is the preferred option. It</w:t>
      </w:r>
      <w:r>
        <w:t xml:space="preserve"> </w:t>
      </w:r>
      <w:r>
        <w:t xml:space="preserve">allows to better achieve the specific objective of minimising barriers to cross-border</w:t>
      </w:r>
      <w:r>
        <w:t xml:space="preserve"> </w:t>
      </w:r>
      <w:r>
        <w:t xml:space="preserve">settlement and ensuring adequate powers for authorities to monitor risks than all the other</w:t>
      </w:r>
      <w:r>
        <w:t xml:space="preserve"> </w:t>
      </w:r>
      <w:r>
        <w:t xml:space="preserve">options. In particular, Option 3 is more appropriate and proportionate in attaining the</w:t>
      </w:r>
      <w:r>
        <w:t xml:space="preserve"> </w:t>
      </w:r>
      <w:r>
        <w:t xml:space="preserve">right balance between achieving the aforementioned objectives while reflecting the fact</w:t>
      </w:r>
      <w:r>
        <w:t xml:space="preserve"> </w:t>
      </w:r>
      <w:r>
        <w:t xml:space="preserve">that responsibility remains with the Member States.</w:t>
      </w:r>
      <w:r>
        <w:t xml:space="preserve"> </w:t>
      </w:r>
      <w:r>
        <w:t xml:space="preserve">Banking services: Based on the assessment and comparison of all options, Option 2b</w:t>
      </w:r>
      <w:r>
        <w:t xml:space="preserve"> </w:t>
      </w:r>
      <w:r>
        <w:t xml:space="preserve">(allow banking CSDs to offer services to other CSDs) in combination with Option 3</w:t>
      </w:r>
      <w:r>
        <w:t xml:space="preserve"> </w:t>
      </w:r>
      <w:r>
        <w:t xml:space="preserve">(amend thresholds) are preferred (together referred to as Option 4). They allow for</w:t>
      </w:r>
      <w:r>
        <w:t xml:space="preserve"> </w:t>
      </w:r>
      <w:r>
        <w:t xml:space="preserve">enhanced cross-border transactions in foreign currencies and more competition, which is</w:t>
      </w:r>
      <w:r>
        <w:t xml:space="preserve"> </w:t>
      </w:r>
      <w:r>
        <w:t xml:space="preserve">in line with CMU. Increased risks to financial stability are limited and could be managed.</w:t>
      </w:r>
      <w:r>
        <w:br/>
      </w:r>
      <w:r>
        <w:t xml:space="preserve">Settlement discipline: Based on the assessment and comparison of all options, a</w:t>
      </w:r>
      <w:r>
        <w:t xml:space="preserve"> </w:t>
      </w:r>
      <w:r>
        <w:t xml:space="preserve">combination of Option 2 (Clarifications to the rules governing settlement discipline)</w:t>
      </w:r>
      <w:r>
        <w:t xml:space="preserve"> </w:t>
      </w:r>
      <w:r>
        <w:t xml:space="preserve">and Option 3 (two-step approach - deferred implementation of mandatory buy-ins)</w:t>
      </w:r>
      <w:r>
        <w:t xml:space="preserve"> </w:t>
      </w:r>
      <w:r>
        <w:t xml:space="preserve">are preferred (represented as Option 5). It allows to introduce the necessary</w:t>
      </w:r>
      <w:r>
        <w:t xml:space="preserve"> </w:t>
      </w:r>
      <w:r>
        <w:t xml:space="preserve">clarifications with regards to in-scope transactions or the use of buy-in agents. Option 2</w:t>
      </w:r>
      <w:r>
        <w:t xml:space="preserve"> </w:t>
      </w:r>
      <w:r>
        <w:t xml:space="preserve">will reduce the complexity (pass-on mechanism) and burden of the regime both for</w:t>
      </w:r>
      <w:r>
        <w:t xml:space="preserve"> </w:t>
      </w:r>
      <w:r>
        <w:t xml:space="preserve">market participants and regulators. Furthermore, Option 3 will provide the necessary</w:t>
      </w:r>
      <w:r>
        <w:t xml:space="preserve"> </w:t>
      </w:r>
      <w:r>
        <w:t xml:space="preserve">incentives, through the use of cash penalties, for necessary improvements in settlement</w:t>
      </w:r>
      <w:r>
        <w:t xml:space="preserve"> </w:t>
      </w:r>
      <w:r>
        <w:t xml:space="preserve">efficiency. At the same time Option 3, allows to avoid the most negative impacts of buy-</w:t>
      </w:r>
      <w:r>
        <w:t xml:space="preserve"> </w:t>
      </w:r>
      <w:r>
        <w:t xml:space="preserve">ins. Indeed, considering the negative impacts on liquidity, pricing and market Option 3</w:t>
      </w:r>
      <w:r>
        <w:t xml:space="preserve"> </w:t>
      </w:r>
      <w:r>
        <w:t xml:space="preserve">allows time for the regulators to revise and improve the buy-in regime and set the</w:t>
      </w:r>
      <w:r>
        <w:t xml:space="preserve"> </w:t>
      </w:r>
      <w:r>
        <w:t xml:space="preserve">appropriate terms of entry into application of mandatory buy-ins, should cash penalties</w:t>
      </w:r>
      <w:r>
        <w:t xml:space="preserve"> </w:t>
      </w:r>
      <w:r>
        <w:t xml:space="preserve">alone prove insufficient in addressing settlement fails rates in the EU.</w:t>
      </w:r>
      <w:r>
        <w:br/>
      </w:r>
      <w:r>
        <w:t xml:space="preserve">Third-country CSDs: Based on the assessment and comparison of all options, Option 5,</w:t>
      </w:r>
      <w:r>
        <w:t xml:space="preserve"> </w:t>
      </w:r>
      <w:r>
        <w:t xml:space="preserve">i.e. the combination of Options 2 (end of the grandfathering clause) and 3 (notification</w:t>
      </w:r>
      <w:r>
        <w:t xml:space="preserve"> </w:t>
      </w:r>
      <w:r>
        <w:t xml:space="preserve">for third-country CSDs), is preferred. It allows to better achieve the specific objectives</w:t>
      </w:r>
      <w:r>
        <w:t xml:space="preserve"> </w:t>
      </w:r>
      <w:r>
        <w:t xml:space="preserve">of ensuring adequate information for authorities to monitor risks, having a positive</w:t>
      </w:r>
      <w:r>
        <w:t xml:space="preserve"> </w:t>
      </w:r>
      <w:r>
        <w:t xml:space="preserve">impact CSDs, investors and supervisory authorities at national and EU level. As very</w:t>
      </w:r>
      <w:r>
        <w:t xml:space="preserve"> </w:t>
      </w:r>
      <w:r>
        <w:t xml:space="preserve">little information is currently available on third-country CSD’s activities in the EEA, any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other option would seem either inadequate or premature and disproportionate in terms of</w:t>
      </w:r>
      <w:r>
        <w:t xml:space="preserve"> </w:t>
      </w:r>
      <w:r>
        <w:t xml:space="preserve">budget required compared to the risks currently identified.</w:t>
      </w:r>
      <w:r>
        <w:br/>
      </w:r>
      <w:r>
        <w:t xml:space="preserve">8.2. Combined impacts of the package</w:t>
      </w:r>
      <w:r>
        <w:t xml:space="preserve"> </w:t>
      </w:r>
      <w:r>
        <w:t xml:space="preserve">8.2.1. Overall impact of the package on relevant stakeholders242</w:t>
      </w:r>
      <w:r>
        <w:br/>
      </w:r>
      <w:r>
        <w:t xml:space="preserve">The overall package of options will have a positive effect, enabling a more proportionate</w:t>
      </w:r>
      <w:r>
        <w:t xml:space="preserve"> </w:t>
      </w:r>
      <w:r>
        <w:t xml:space="preserve">regulation of CSDs and enhancing the competitiveness of the EU settlement market.</w:t>
      </w:r>
      <w:r>
        <w:br/>
      </w:r>
      <w:r>
        <w:t xml:space="preserve">CSDs would notably benefit from reduced costs when operating cross-border in the EU,</w:t>
      </w:r>
      <w:r>
        <w:t xml:space="preserve"> </w:t>
      </w:r>
      <w:r>
        <w:t xml:space="preserve">due to a reduction in barriers to cross-border settlement from the setting up of mandatory</w:t>
      </w:r>
      <w:r>
        <w:t xml:space="preserve"> </w:t>
      </w:r>
      <w:r>
        <w:t xml:space="preserve">colleges and the replacement of the passporting procedure at the host Member State level</w:t>
      </w:r>
      <w:r>
        <w:t xml:space="preserve"> </w:t>
      </w:r>
      <w:r>
        <w:t xml:space="preserve">by a simple notification. The introduction of mandatory colleges would also positively</w:t>
      </w:r>
      <w:r>
        <w:t xml:space="preserve"> </w:t>
      </w:r>
      <w:r>
        <w:t xml:space="preserve">impact EU CSDs due to the legal certainty arising from more supervisory convergence</w:t>
      </w:r>
      <w:r>
        <w:t xml:space="preserve"> </w:t>
      </w:r>
      <w:r>
        <w:t xml:space="preserve">and a reduction in the number of interactions by CSDs with various national authorities</w:t>
      </w:r>
      <w:r>
        <w:t xml:space="preserve"> </w:t>
      </w:r>
      <w:r>
        <w:t xml:space="preserve">in the EU. CSDs would benefit from a reinforced level playing field, both within the EU,</w:t>
      </w:r>
      <w:r>
        <w:t xml:space="preserve"> </w:t>
      </w:r>
      <w:r>
        <w:t xml:space="preserve">with the introduction of mandatory colleges that would help ensure consistency in</w:t>
      </w:r>
      <w:r>
        <w:t xml:space="preserve"> </w:t>
      </w:r>
      <w:r>
        <w:t xml:space="preserve">supervisory approaches across the EU, and outside the EU, with the introduction of an</w:t>
      </w:r>
      <w:r>
        <w:t xml:space="preserve"> </w:t>
      </w:r>
      <w:r>
        <w:t xml:space="preserve">end-date of the grandfathering clause for third-country CSDs.</w:t>
      </w:r>
      <w:r>
        <w:br/>
      </w:r>
      <w:r>
        <w:t xml:space="preserve">The preferred options regarding the provision of banking services related to settlement in</w:t>
      </w:r>
      <w:r>
        <w:t xml:space="preserve"> </w:t>
      </w:r>
      <w:r>
        <w:t xml:space="preserve">foreign currencies may also create additional opportunities for CSDs that do not hold a</w:t>
      </w:r>
      <w:r>
        <w:t xml:space="preserve"> </w:t>
      </w:r>
      <w:r>
        <w:t xml:space="preserve">banking license. In particular, increasing the threshold could enable some CSDs to</w:t>
      </w:r>
      <w:r>
        <w:t xml:space="preserve"> </w:t>
      </w:r>
      <w:r>
        <w:t xml:space="preserve">develop their services to investors both domestically and cross-border, and thus obtain</w:t>
      </w:r>
      <w:r>
        <w:t xml:space="preserve"> </w:t>
      </w:r>
      <w:r>
        <w:t xml:space="preserve">appropriate economies of scale to cover authorisation costs to provide banking services</w:t>
      </w:r>
      <w:r>
        <w:t xml:space="preserve"> </w:t>
      </w:r>
      <w:r>
        <w:t xml:space="preserve">themselves at a later date. The proposed changes to the settlement discipline regime</w:t>
      </w:r>
      <w:r>
        <w:t xml:space="preserve"> </w:t>
      </w:r>
      <w:r>
        <w:t xml:space="preserve">would ensure a more proportionate approach to the treatment of settlement fails, thus</w:t>
      </w:r>
      <w:r>
        <w:t xml:space="preserve"> </w:t>
      </w:r>
      <w:r>
        <w:t xml:space="preserve">avoiding certain unnecessary implementation costs. Finally, competition between CSDs</w:t>
      </w:r>
      <w:r>
        <w:t xml:space="preserve"> </w:t>
      </w:r>
      <w:r>
        <w:t xml:space="preserve">could also drive more innovation by CSDs and hence compounding benefits in terms of</w:t>
      </w:r>
      <w:r>
        <w:t xml:space="preserve"> </w:t>
      </w:r>
      <w:r>
        <w:t xml:space="preserve">settlement efficiency and international competitiveness.</w:t>
      </w:r>
      <w:r>
        <w:t xml:space="preserve"> </w:t>
      </w:r>
      <w:r>
        <w:t xml:space="preserve">Under the preferred options, investors and issuers would benefit from an increased</w:t>
      </w:r>
      <w:r>
        <w:t xml:space="preserve"> </w:t>
      </w:r>
      <w:r>
        <w:t xml:space="preserve">competition between CSDs due to the replacement of the passporting procedure at the</w:t>
      </w:r>
      <w:r>
        <w:t xml:space="preserve"> </w:t>
      </w:r>
      <w:r>
        <w:t xml:space="preserve">host Member State level with a simple notification and the establishment of mandatory</w:t>
      </w:r>
      <w:r>
        <w:t xml:space="preserve"> </w:t>
      </w:r>
      <w:r>
        <w:t xml:space="preserve">colleges. In the same vein, under the preferred options regarding the provision of banking</w:t>
      </w:r>
      <w:r>
        <w:t xml:space="preserve"> </w:t>
      </w:r>
      <w:r>
        <w:t xml:space="preserve">services related to settlement in foreign currencies by non-banking CSDs, issuers and</w:t>
      </w:r>
      <w:r>
        <w:t xml:space="preserve"> </w:t>
      </w:r>
      <w:r>
        <w:t xml:space="preserve">investors would have more choice in terms of financing arrangements and would benefit</w:t>
      </w:r>
      <w:r>
        <w:t xml:space="preserve"> </w:t>
      </w:r>
      <w:r>
        <w:t xml:space="preserve">from the increased competition, a greater choice in issuance, risk diversification and</w:t>
      </w:r>
      <w:r>
        <w:t xml:space="preserve"> </w:t>
      </w:r>
      <w:r>
        <w:t xml:space="preserve">currency diversification in their cross-border investments. The enhanced supervision of</w:t>
      </w:r>
      <w:r>
        <w:t xml:space="preserve"> </w:t>
      </w:r>
      <w:r>
        <w:t xml:space="preserve">EU CSDs through the establishment of colleges and of third-country CSDs through the</w:t>
      </w:r>
      <w:r>
        <w:t xml:space="preserve"> </w:t>
      </w:r>
      <w:r>
        <w:t xml:space="preserve">end-date for the grandfathering clause and the notification requirements could have a</w:t>
      </w:r>
      <w:r>
        <w:t xml:space="preserve"> </w:t>
      </w:r>
      <w:r>
        <w:t xml:space="preserve">positive impact on the protection of issuers and investors, by ensuring that ESMA is</w:t>
      </w:r>
      <w:r>
        <w:t xml:space="preserve"> </w:t>
      </w:r>
      <w:r>
        <w:t xml:space="preserve">aware of any potential risks.</w:t>
      </w:r>
      <w:r>
        <w:br/>
      </w:r>
      <w:r>
        <w:t xml:space="preserve">Finally, the proposed changes to the settlement discipline regime would ensure a more</w:t>
      </w:r>
      <w:r>
        <w:t xml:space="preserve"> </w:t>
      </w:r>
      <w:r>
        <w:t xml:space="preserve">proportionate approach to the treatment of settlement fails for investors, thus avoiding</w:t>
      </w:r>
      <w:r>
        <w:t xml:space="preserve"> </w:t>
      </w:r>
      <w:r>
        <w:t xml:space="preserve">certain unnecessary implementation costs, while ensuring that levels of settlement</w:t>
      </w:r>
      <w:r>
        <w:t xml:space="preserve"> </w:t>
      </w:r>
      <w:r>
        <w:t xml:space="preserve">efficiency continue to improve in the EU.</w:t>
      </w:r>
      <w:r>
        <w:t xml:space="preserve"> </w:t>
      </w:r>
      <w:r>
        <w:t xml:space="preserve">Under the preferred policy options, ESMA may incur limited additional costs but would</w:t>
      </w:r>
      <w:r>
        <w:t xml:space="preserve"> </w:t>
      </w:r>
      <w:r>
        <w:t xml:space="preserve">benefit from a strengthened supervisory environment due to establishment of colleges</w:t>
      </w:r>
    </w:p>
    <w:p>
      <w:pPr>
        <w:pStyle w:val="BodyText"/>
      </w:pPr>
      <w:r>
        <w:t xml:space="preserve">242 See Annex 4 for more details on the specific impacts of the preferred package on the relevant stakeholders.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and the increased information it will obtain for the activities of third-country CSDs. In</w:t>
      </w:r>
      <w:r>
        <w:t xml:space="preserve"> </w:t>
      </w:r>
      <w:r>
        <w:t xml:space="preserve">terms of costs, ESMA would mainly be impacted by the participation to mandatory</w:t>
      </w:r>
      <w:r>
        <w:t xml:space="preserve"> </w:t>
      </w:r>
      <w:r>
        <w:t xml:space="preserve">colleges and the management of the process for the notification by third-country CSDs of</w:t>
      </w:r>
      <w:r>
        <w:t xml:space="preserve"> </w:t>
      </w:r>
      <w:r>
        <w:t xml:space="preserve">their EU activities, as well as the need to develop and revise regulatory technical</w:t>
      </w:r>
      <w:r>
        <w:t xml:space="preserve"> </w:t>
      </w:r>
      <w:r>
        <w:t xml:space="preserve">standards. The latter would however be a small one-off cost that could potentially be</w:t>
      </w:r>
      <w:r>
        <w:t xml:space="preserve"> </w:t>
      </w:r>
      <w:r>
        <w:t xml:space="preserve">covered by a notification fee to be paid by each third-country CSD. The replacement of</w:t>
      </w:r>
      <w:r>
        <w:t xml:space="preserve"> </w:t>
      </w:r>
      <w:r>
        <w:t xml:space="preserve">the passporting procedure by a notification would nevertheless alleviate ESMA’s costs as</w:t>
      </w:r>
      <w:r>
        <w:t xml:space="preserve"> </w:t>
      </w:r>
      <w:r>
        <w:t xml:space="preserve">the passporting requirements would be simpler and clearer. Further, a clear determination</w:t>
      </w:r>
      <w:r>
        <w:t xml:space="preserve"> </w:t>
      </w:r>
      <w:r>
        <w:t xml:space="preserve">of in-scope transactions would also lessen the administrative burden on ESMA related to</w:t>
      </w:r>
      <w:r>
        <w:t xml:space="preserve"> </w:t>
      </w:r>
      <w:r>
        <w:t xml:space="preserve">replying to Q&amp;As. ESMA would also benefit from some of the preferred policy options</w:t>
      </w:r>
      <w:r>
        <w:t xml:space="preserve"> </w:t>
      </w:r>
      <w:r>
        <w:t xml:space="preserve">which would strengthen the supervisory environment, in particular the notification</w:t>
      </w:r>
      <w:r>
        <w:t xml:space="preserve"> </w:t>
      </w:r>
      <w:r>
        <w:t xml:space="preserve">process for third-country CSDs.</w:t>
      </w:r>
      <w:r>
        <w:t xml:space="preserve"> </w:t>
      </w:r>
      <w:r>
        <w:t xml:space="preserve">Finally, the impact of the preferred policy options on national authorities would be</w:t>
      </w:r>
      <w:r>
        <w:t xml:space="preserve"> </w:t>
      </w:r>
      <w:r>
        <w:t xml:space="preserve">limited but generally positive. In particular, they will alleviate the costs and time spent on</w:t>
      </w:r>
      <w:r>
        <w:t xml:space="preserve"> </w:t>
      </w:r>
      <w:r>
        <w:t xml:space="preserve">passporting if the possibility for the host Member State authority to refuse the</w:t>
      </w:r>
      <w:r>
        <w:t xml:space="preserve"> </w:t>
      </w:r>
      <w:r>
        <w:t xml:space="preserve">passporting request is removed.</w:t>
      </w:r>
      <w:r>
        <w:br/>
      </w:r>
      <w:r>
        <w:t xml:space="preserve">8.2.2. Impact on small and medium sized enterprises</w:t>
      </w:r>
      <w:r>
        <w:t xml:space="preserve"> </w:t>
      </w:r>
      <w:r>
        <w:t xml:space="preserve">The proposed options in the Impact Assessment are not expected to have any direct</w:t>
      </w:r>
      <w:r>
        <w:t xml:space="preserve"> </w:t>
      </w:r>
      <w:r>
        <w:t xml:space="preserve">material impact on SMEs. However, the postponement of the mandatory buy-in regime</w:t>
      </w:r>
      <w:r>
        <w:t xml:space="preserve"> </w:t>
      </w:r>
      <w:r>
        <w:t xml:space="preserve">should alleviate the most negative impacts of mandatory buy-ins related to liquidity.243</w:t>
      </w:r>
      <w:r>
        <w:t xml:space="preserve"> </w:t>
      </w:r>
      <w:r>
        <w:t xml:space="preserve">This should indirectly positively impact SMEs, whose securities are less liquid. In</w:t>
      </w:r>
      <w:r>
        <w:t xml:space="preserve"> </w:t>
      </w:r>
      <w:r>
        <w:t xml:space="preserve">addition, SMEs could benefit indirectly from improvements which could lead to a more</w:t>
      </w:r>
      <w:r>
        <w:t xml:space="preserve"> </w:t>
      </w:r>
      <w:r>
        <w:t xml:space="preserve">efficient and sound settlement system, notably through removing inefficiencies in the</w:t>
      </w:r>
      <w:r>
        <w:t xml:space="preserve"> </w:t>
      </w:r>
      <w:r>
        <w:t xml:space="preserve">system and promoting competitiveness (e.g. through measures to facilitate the cross-</w:t>
      </w:r>
      <w:r>
        <w:t xml:space="preserve"> </w:t>
      </w:r>
      <w:r>
        <w:t xml:space="preserve">border provision of services and reduce disproportionate costs). In addition, easier cross-</w:t>
      </w:r>
      <w:r>
        <w:t xml:space="preserve"> </w:t>
      </w:r>
      <w:r>
        <w:t xml:space="preserve">border settlement could lower issuance costs and cost of capital for European issuers, in</w:t>
      </w:r>
      <w:r>
        <w:t xml:space="preserve"> </w:t>
      </w:r>
      <w:r>
        <w:t xml:space="preserve">particular innovative start-ups and SMEs. Together these could help attract SMEs to</w:t>
      </w:r>
      <w:r>
        <w:t xml:space="preserve"> </w:t>
      </w:r>
      <w:r>
        <w:t xml:space="preserve">capital markets and contribute to a deepening of CMU.</w:t>
      </w:r>
      <w:r>
        <w:br/>
      </w:r>
      <w:r>
        <w:t xml:space="preserve">8.2.3. Social impact</w:t>
      </w:r>
      <w:r>
        <w:t xml:space="preserve"> </w:t>
      </w:r>
      <w:r>
        <w:t xml:space="preserve">The proposed options in the Impact Assessment are not expected to have any material</w:t>
      </w:r>
      <w:r>
        <w:t xml:space="preserve"> </w:t>
      </w:r>
      <w:r>
        <w:t xml:space="preserve">social impact.</w:t>
      </w:r>
      <w:r>
        <w:t xml:space="preserve"> </w:t>
      </w:r>
      <w:r>
        <w:t xml:space="preserve">8.2.4. Environmental impact</w:t>
      </w:r>
      <w:r>
        <w:t xml:space="preserve"> </w:t>
      </w:r>
      <w:r>
        <w:t xml:space="preserve">The initiative in question has no direct and/or identifiable impacts leading to significant</w:t>
      </w:r>
      <w:r>
        <w:t xml:space="preserve"> </w:t>
      </w:r>
      <w:r>
        <w:t xml:space="preserve">harm or affecting the consistency with the climate-neutrality objectives and the</w:t>
      </w:r>
      <w:r>
        <w:t xml:space="preserve"> </w:t>
      </w:r>
      <w:r>
        <w:t xml:space="preserve">obligations arising out of the European Climate Law.</w:t>
      </w:r>
      <w:r>
        <w:t xml:space="preserve"> </w:t>
      </w:r>
      <w:r>
        <w:t xml:space="preserve">8.2.5. Impact on financial stability</w:t>
      </w:r>
      <w:r>
        <w:br/>
      </w:r>
      <w:r>
        <w:t xml:space="preserve">The overall impact of the package of preferred options on financial stability is neutral or</w:t>
      </w:r>
      <w:r>
        <w:t xml:space="preserve"> </w:t>
      </w:r>
      <w:r>
        <w:t xml:space="preserve">positive. On the one hand, the adjusted requirements for the provision of banking-type</w:t>
      </w:r>
      <w:r>
        <w:t xml:space="preserve"> </w:t>
      </w:r>
      <w:r>
        <w:t xml:space="preserve">ancillary services to facilitate settlement in foreign currencies mean that financial</w:t>
      </w:r>
      <w:r>
        <w:t xml:space="preserve"> </w:t>
      </w:r>
      <w:r>
        <w:t xml:space="preserve">stability risks could theoretically increase as credit, liquidity but also concentration risks</w:t>
      </w:r>
      <w:r>
        <w:t xml:space="preserve"> </w:t>
      </w:r>
      <w:r>
        <w:t xml:space="preserve">rise. However this could be mitigated by: limiting the increase of the threshold;</w:t>
      </w:r>
    </w:p>
    <w:p>
      <w:pPr>
        <w:pStyle w:val="BodyText"/>
      </w:pPr>
      <w:r>
        <w:t xml:space="preserve">243 CSDR aims at limiting the impact of the buy-in regime on SMEs, by introducing a specific extension</w:t>
      </w:r>
      <w:r>
        <w:t xml:space="preserve"> </w:t>
      </w:r>
      <w:r>
        <w:t xml:space="preserve">period of 15 business days before the triggering of the buy-in (instead of 4 to 7 business days – see Annex</w:t>
      </w:r>
      <w:r>
        <w:t xml:space="preserve"> </w:t>
      </w:r>
      <w:r>
        <w:t xml:space="preserve">9 for more details on the buy-in process). Such longer extension period may however prove insufficient for</w:t>
      </w:r>
      <w:r>
        <w:t xml:space="preserve"> </w:t>
      </w:r>
      <w:r>
        <w:t xml:space="preserve">SMEs with the least liquidity and, once the delay is reached, the buy-in procedure will apply like for other</w:t>
      </w:r>
      <w:r>
        <w:t xml:space="preserve"> </w:t>
      </w:r>
      <w:r>
        <w:t xml:space="preserve">financial instruments.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increasing supervisory monitoring by the relevant authorities; and setting accompanying</w:t>
      </w:r>
      <w:r>
        <w:t xml:space="preserve"> </w:t>
      </w:r>
      <w:r>
        <w:t xml:space="preserve">risk requirements, such as minimum risk mitigation standards (e.g. creditworthiness,</w:t>
      </w:r>
      <w:r>
        <w:t xml:space="preserve"> </w:t>
      </w:r>
      <w:r>
        <w:t xml:space="preserve">concentration limits). On the other hand, other preferred options could strengthen</w:t>
      </w:r>
      <w:r>
        <w:t xml:space="preserve"> </w:t>
      </w:r>
      <w:r>
        <w:t xml:space="preserve">financial stability. This is notably the case of the establishment of mandatory colleges</w:t>
      </w:r>
      <w:r>
        <w:t xml:space="preserve"> </w:t>
      </w:r>
      <w:r>
        <w:t xml:space="preserve">(which would strengthen the supervision of CSDs across the EU), the proposed targeted</w:t>
      </w:r>
      <w:r>
        <w:t xml:space="preserve"> </w:t>
      </w:r>
      <w:r>
        <w:t xml:space="preserve">amendments to the settlement discipline regime, including the two-step approach and</w:t>
      </w:r>
      <w:r>
        <w:t xml:space="preserve"> </w:t>
      </w:r>
      <w:r>
        <w:t xml:space="preserve">targeted amendments (which, while encouraging improved settlement, could allow some</w:t>
      </w:r>
      <w:r>
        <w:t xml:space="preserve"> </w:t>
      </w:r>
      <w:r>
        <w:t xml:space="preserve">of the potentially most negative impact of mandatory buy-ins related to liquidity, bid-ask</w:t>
      </w:r>
      <w:r>
        <w:t xml:space="preserve"> </w:t>
      </w:r>
      <w:r>
        <w:t xml:space="preserve">spreads or market stability to be mitigated) and the notification procedure for third-</w:t>
      </w:r>
      <w:r>
        <w:t xml:space="preserve"> </w:t>
      </w:r>
      <w:r>
        <w:t xml:space="preserve">country CSDs (which would allow national authorities and ESMA to have a better</w:t>
      </w:r>
      <w:r>
        <w:t xml:space="preserve"> </w:t>
      </w:r>
      <w:r>
        <w:t xml:space="preserve">understanding of the activities carried out by third-country CSDs in the EU, and</w:t>
      </w:r>
      <w:r>
        <w:t xml:space="preserve"> </w:t>
      </w:r>
      <w:r>
        <w:t xml:space="preserve">consequently of the potential risk they may pose to financial stability in the EU).</w:t>
      </w:r>
      <w:r>
        <w:br/>
      </w:r>
      <w:r>
        <w:t xml:space="preserve">8.2.6. Impact on the EU budget</w:t>
      </w:r>
      <w:r>
        <w:t xml:space="preserve"> </w:t>
      </w:r>
      <w:r>
        <w:t xml:space="preserve">The above policy options should not in principle have any implications for the EU</w:t>
      </w:r>
      <w:r>
        <w:t xml:space="preserve"> </w:t>
      </w:r>
      <w:r>
        <w:t xml:space="preserve">budget. Possible additional tasks arising for ESMA, such as the development of</w:t>
      </w:r>
      <w:r>
        <w:t xml:space="preserve"> </w:t>
      </w:r>
      <w:r>
        <w:t xml:space="preserve">additional technical standards and the participation to mandatory colleges should be</w:t>
      </w:r>
      <w:r>
        <w:t xml:space="preserve"> </w:t>
      </w:r>
      <w:r>
        <w:t xml:space="preserve">manageable within their current resources, in particular given the reduced number of</w:t>
      </w:r>
      <w:r>
        <w:t xml:space="preserve"> </w:t>
      </w:r>
      <w:r>
        <w:t xml:space="preserve">Q&amp;As and/or need for clarifications that modifications, e.g. to the settlement discipline</w:t>
      </w:r>
      <w:r>
        <w:t xml:space="preserve"> </w:t>
      </w:r>
      <w:r>
        <w:t xml:space="preserve">regime, that should be needed. The management of the process for the notification by</w:t>
      </w:r>
      <w:r>
        <w:t xml:space="preserve"> </w:t>
      </w:r>
      <w:r>
        <w:t xml:space="preserve">third-country CSDs of their activities within the EU, would be a one-off cost. However,</w:t>
      </w:r>
      <w:r>
        <w:t xml:space="preserve"> </w:t>
      </w:r>
      <w:r>
        <w:t xml:space="preserve">in principle, it could potentially be covered by a notification fee to be paid by each third-</w:t>
      </w:r>
      <w:r>
        <w:t xml:space="preserve"> </w:t>
      </w:r>
      <w:r>
        <w:t xml:space="preserve">country CSD.</w:t>
      </w:r>
      <w:r>
        <w:t xml:space="preserve"> </w:t>
      </w:r>
      <w:r>
        <w:t xml:space="preserve">8.3. REFIT (simplification and improved efficiency)</w:t>
      </w:r>
      <w:r>
        <w:br/>
      </w:r>
      <w:r>
        <w:t xml:space="preserve">The need to eliminate disproportionate costs and burdens to small companies, and to</w:t>
      </w:r>
      <w:r>
        <w:t xml:space="preserve"> </w:t>
      </w:r>
      <w:r>
        <w:t xml:space="preserve">simplify rules without putting financial stability at risk is the reason the CSDR review</w:t>
      </w:r>
      <w:r>
        <w:t xml:space="preserve"> </w:t>
      </w:r>
      <w:r>
        <w:t xml:space="preserve">was included in the 2021 Commission’s Regulatory Fitness and Performance programme</w:t>
      </w:r>
      <w:r>
        <w:t xml:space="preserve"> </w:t>
      </w:r>
      <w:r>
        <w:t xml:space="preserve">(REFIT). As part of REFIT, the Commission assessed the extent to which policy</w:t>
      </w:r>
      <w:r>
        <w:t xml:space="preserve"> </w:t>
      </w:r>
      <w:r>
        <w:t xml:space="preserve">requirements in CSDR have met their objectives in an efficient and effective way, while</w:t>
      </w:r>
      <w:r>
        <w:t xml:space="preserve"> </w:t>
      </w:r>
      <w:r>
        <w:t xml:space="preserve">at the same time being coherent, relevant and providing EU added-value.</w:t>
      </w:r>
      <w:r>
        <w:t xml:space="preserve"> </w:t>
      </w:r>
      <w:r>
        <w:t xml:space="preserve">The evaluation indicates that, even though the impact on settlement efficiency and</w:t>
      </w:r>
      <w:r>
        <w:t xml:space="preserve"> </w:t>
      </w:r>
      <w:r>
        <w:t xml:space="preserve">financial stability is not yet fully measurable, CSDR may impose in some targeted areas</w:t>
      </w:r>
      <w:r>
        <w:t xml:space="preserve"> </w:t>
      </w:r>
      <w:r>
        <w:t xml:space="preserve">disproportionate costs and burdens and that certain requirements may be simplified to</w:t>
      </w:r>
      <w:r>
        <w:t xml:space="preserve"> </w:t>
      </w:r>
      <w:r>
        <w:t xml:space="preserve">achieve the objective of financial stability more efficiently. These areas include: (1)</w:t>
      </w:r>
      <w:r>
        <w:t xml:space="preserve"> </w:t>
      </w:r>
      <w:r>
        <w:t xml:space="preserve">cross-border provision of services in the EU; (2) provision of banking-type ancillary</w:t>
      </w:r>
      <w:r>
        <w:t xml:space="preserve"> </w:t>
      </w:r>
      <w:r>
        <w:t xml:space="preserve">services; and (3) settlement discipline. This impact assessment therefore considers the</w:t>
      </w:r>
      <w:r>
        <w:t xml:space="preserve"> </w:t>
      </w:r>
      <w:r>
        <w:t xml:space="preserve">costs and benefits of areas where targeted action could ensure fulfilment of the CSDR’s</w:t>
      </w:r>
      <w:r>
        <w:t xml:space="preserve"> </w:t>
      </w:r>
      <w:r>
        <w:t xml:space="preserve">objectives in a more proportionate, efficient and effective manner. This impact</w:t>
      </w:r>
      <w:r>
        <w:t xml:space="preserve"> </w:t>
      </w:r>
      <w:r>
        <w:t xml:space="preserve">assessment provides evidence that a reduction of costs and burdens can be achieved</w:t>
      </w:r>
      <w:r>
        <w:t xml:space="preserve"> </w:t>
      </w:r>
      <w:r>
        <w:t xml:space="preserve">hand-in-hand with a simplification of CSDR, without compromising financial stability.</w:t>
      </w:r>
      <w:r>
        <w:t xml:space="preserve"> </w:t>
      </w:r>
      <w:r>
        <w:t xml:space="preserve">Such evidence includes input received from market participants and various authorities.</w:t>
      </w:r>
    </w:p>
    <w:p>
      <w:pPr>
        <w:pStyle w:val="BodyText"/>
      </w:pPr>
      <w:r>
        <w:t xml:space="preserve">Table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Replacing the</w:t>
      </w:r>
      <w:r>
        <w:t xml:space="preserve"> </w:t>
      </w:r>
      <w:r>
        <w:t xml:space="preserve">passporting</w:t>
      </w:r>
      <w:r>
        <w:t xml:space="preserve"> </w:t>
      </w:r>
      <w:r>
        <w:t xml:space="preserve">procedure at</w:t>
      </w:r>
      <w:r>
        <w:t xml:space="preserve"> </w:t>
      </w:r>
      <w:r>
        <w:t xml:space="preserve">the host</w:t>
      </w:r>
      <w:r>
        <w:t xml:space="preserve"> </w:t>
      </w:r>
      <w:r>
        <w:t xml:space="preserve">Member State</w:t>
      </w:r>
      <w:r>
        <w:t xml:space="preserve"> </w:t>
      </w:r>
      <w:r>
        <w:t xml:space="preserve">level with a</w:t>
      </w:r>
      <w:r>
        <w:t xml:space="preserve"> </w:t>
      </w:r>
      <w:r>
        <w:t xml:space="preserve">Potential savings of ca.</w:t>
      </w:r>
      <w:r>
        <w:t xml:space="preserve"> </w:t>
      </w:r>
      <w:r>
        <w:t xml:space="preserve">EUR 10 million in the first</w:t>
      </w:r>
      <w:r>
        <w:t xml:space="preserve"> </w:t>
      </w:r>
      <w:r>
        <w:t xml:space="preserve">year; thereafter ca.</w:t>
      </w:r>
      <w:r>
        <w:t xml:space="preserve"> </w:t>
      </w:r>
      <w:r>
        <w:t xml:space="preserve">EUR 4 million per year.</w:t>
      </w:r>
      <w:r>
        <w:t xml:space="preserve"> </w:t>
      </w:r>
      <w:r>
        <w:t xml:space="preserve">Estimate is based on Commission calculations on the basis of</w:t>
      </w:r>
      <w:r>
        <w:t xml:space="preserve"> </w:t>
      </w:r>
      <w:r>
        <w:t xml:space="preserve">confidential data. It is assumed that the notification process would</w:t>
      </w:r>
      <w:r>
        <w:t xml:space="preserve"> </w:t>
      </w:r>
      <w:r>
        <w:t xml:space="preserve">enable 10 other CSDs to passport in 26 Member States. This could</w:t>
      </w:r>
      <w:r>
        <w:t xml:space="preserve"> </w:t>
      </w:r>
      <w:r>
        <w:t xml:space="preserve">help to save ca. EUR 5 850 000 for CSDs (one-off benefit) as well as</w:t>
      </w:r>
      <w:r>
        <w:t xml:space="preserve"> </w:t>
      </w:r>
      <w:r>
        <w:t xml:space="preserve">ca. EUR 390 000 for CSDs per year (recurring cost saving). It could</w:t>
      </w:r>
      <w:r>
        <w:t xml:space="preserve"> </w:t>
      </w:r>
      <w:r>
        <w:t xml:space="preserve">also help to save ca. EUR 590 000 for 27 national authorities (one-off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notification</w:t>
      </w:r>
      <w:r>
        <w:t xml:space="preserve"> </w:t>
      </w:r>
      <w:r>
        <w:t xml:space="preserve">benefit).</w:t>
      </w:r>
      <w:r>
        <w:br/>
      </w:r>
      <w:r>
        <w:t xml:space="preserve">Establishment</w:t>
      </w:r>
      <w:r>
        <w:t xml:space="preserve"> </w:t>
      </w:r>
      <w:r>
        <w:t xml:space="preserve">of mandatory</w:t>
      </w:r>
      <w:r>
        <w:t xml:space="preserve"> </w:t>
      </w:r>
      <w:r>
        <w:t xml:space="preserve">supervisory</w:t>
      </w:r>
      <w:r>
        <w:t xml:space="preserve"> </w:t>
      </w:r>
      <w:r>
        <w:t xml:space="preserve">colleges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streamlined</w:t>
      </w:r>
      <w:r>
        <w:t xml:space="preserve"> </w:t>
      </w:r>
      <w:r>
        <w:t xml:space="preserve">procedures, not quantifiable.</w:t>
      </w:r>
      <w:r>
        <w:t xml:space="preserve"> </w:t>
      </w:r>
      <w:r>
        <w:t xml:space="preserve">ESMA will incur some</w:t>
      </w:r>
      <w:r>
        <w:t xml:space="preserve"> </w:t>
      </w:r>
      <w:r>
        <w:t xml:space="preserve">costs. These are likely to be</w:t>
      </w:r>
      <w:r>
        <w:t xml:space="preserve"> </w:t>
      </w:r>
      <w:r>
        <w:t xml:space="preserve">offset</w:t>
      </w:r>
      <w:r>
        <w:t xml:space="preserve"> </w:t>
      </w:r>
      <w:r>
        <w:t xml:space="preserve">by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greater legal clarity.</w:t>
      </w:r>
      <w:r>
        <w:t xml:space="preserve"> </w:t>
      </w:r>
      <w:r>
        <w:t xml:space="preserve">Overall, net benefits are</w:t>
      </w:r>
      <w:r>
        <w:t xml:space="preserve"> </w:t>
      </w:r>
      <w:r>
        <w:t xml:space="preserve">expected.</w:t>
      </w:r>
      <w:r>
        <w:t xml:space="preserve"> </w:t>
      </w:r>
      <w:r>
        <w:t xml:space="preserve">Colleges will: ensure supervisory convergence, provide greater legal</w:t>
      </w:r>
      <w:r>
        <w:t xml:space="preserve"> </w:t>
      </w:r>
      <w:r>
        <w:t xml:space="preserve">certainty for CSDs and will help reduce the level of interactions of</w:t>
      </w:r>
      <w:r>
        <w:t xml:space="preserve"> </w:t>
      </w:r>
      <w:r>
        <w:t xml:space="preserve">CSDs with various national authorities across the EU. While these cost</w:t>
      </w:r>
      <w:r>
        <w:t xml:space="preserve"> </w:t>
      </w:r>
      <w:r>
        <w:t xml:space="preserve">savings cannot be quantified, they are expected to be significant.</w:t>
      </w:r>
      <w:r>
        <w:br/>
      </w:r>
      <w:r>
        <w:t xml:space="preserve">Amendment</w:t>
      </w:r>
      <w:r>
        <w:t xml:space="preserve"> </w:t>
      </w:r>
      <w:r>
        <w:t xml:space="preserve">of rules for</w:t>
      </w:r>
      <w:r>
        <w:t xml:space="preserve"> </w:t>
      </w:r>
      <w:r>
        <w:t xml:space="preserve">banking-type</w:t>
      </w:r>
      <w:r>
        <w:t xml:space="preserve"> </w:t>
      </w:r>
      <w:r>
        <w:t xml:space="preserve">ancillary</w:t>
      </w:r>
      <w:r>
        <w:t xml:space="preserve"> </w:t>
      </w:r>
      <w:r>
        <w:t xml:space="preserve">services</w:t>
      </w:r>
      <w:r>
        <w:t xml:space="preserve"> </w:t>
      </w:r>
      <w:r>
        <w:t xml:space="preserve">Small to moderate net</w:t>
      </w:r>
      <w:r>
        <w:t xml:space="preserve"> </w:t>
      </w:r>
      <w:r>
        <w:t xml:space="preserve">benefits.</w:t>
      </w:r>
      <w:r>
        <w:t xml:space="preserve"> </w:t>
      </w:r>
      <w:r>
        <w:t xml:space="preserve">CSDs as well as issuers and investors benefit from better opportunities</w:t>
      </w:r>
      <w:r>
        <w:t xml:space="preserve"> </w:t>
      </w:r>
      <w:r>
        <w:t xml:space="preserve">to offer foreign currency settlement. This is a recurrent opportunity</w:t>
      </w:r>
      <w:r>
        <w:t xml:space="preserve"> </w:t>
      </w:r>
      <w:r>
        <w:t xml:space="preserve">cost saving estimated by the Commission based on qualitative input.</w:t>
      </w:r>
      <w:r>
        <w:t xml:space="preserve"> </w:t>
      </w:r>
      <w:r>
        <w:t xml:space="preserve">Potential benefits of up to EUR 80 billion in increased settlement</w:t>
      </w:r>
      <w:r>
        <w:t xml:space="preserve"> </w:t>
      </w:r>
      <w:r>
        <w:t xml:space="preserve">activity, in particular in CSDs not currently providing these services.</w:t>
      </w:r>
      <w:r>
        <w:t xml:space="preserve"> </w:t>
      </w:r>
      <w:r>
        <w:t xml:space="preserve">A large amount may also however be offset as CSDs currently</w:t>
      </w:r>
      <w:r>
        <w:t xml:space="preserve"> </w:t>
      </w:r>
      <w:r>
        <w:t xml:space="preserve">providing banking services may lose business to new entrants.</w:t>
      </w:r>
      <w:r>
        <w:t xml:space="preserve"> </w:t>
      </w:r>
      <w:r>
        <w:t xml:space="preserve">Phased-in</w:t>
      </w:r>
      <w:r>
        <w:t xml:space="preserve"> </w:t>
      </w:r>
      <w:r>
        <w:t xml:space="preserve">approach to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 and</w:t>
      </w:r>
      <w:r>
        <w:t xml:space="preserve"> </w:t>
      </w:r>
      <w:r>
        <w:t xml:space="preserve">clarification of</w:t>
      </w:r>
      <w:r>
        <w:t xml:space="preserve"> </w:t>
      </w:r>
      <w:r>
        <w:t xml:space="preserve">rules</w:t>
      </w:r>
      <w:r>
        <w:t xml:space="preserve"> </w:t>
      </w:r>
      <w:r>
        <w:t xml:space="preserve">Up to 375 million annually</w:t>
      </w:r>
      <w:r>
        <w:t xml:space="preserve"> </w:t>
      </w:r>
      <w:r>
        <w:t xml:space="preserve">of saved connection costs.</w:t>
      </w:r>
      <w:r>
        <w:t xml:space="preserve"> </w:t>
      </w:r>
      <w:r>
        <w:t xml:space="preserve">Deferred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mandatory</w:t>
      </w:r>
      <w:r>
        <w:t xml:space="preserve"> </w:t>
      </w:r>
      <w:r>
        <w:t xml:space="preserve">buy-in</w:t>
      </w:r>
      <w:r>
        <w:t xml:space="preserve"> </w:t>
      </w:r>
      <w:r>
        <w:t xml:space="preserve">will</w:t>
      </w:r>
      <w:r>
        <w:t xml:space="preserve"> </w:t>
      </w:r>
      <w:r>
        <w:t xml:space="preserve">prevent</w:t>
      </w:r>
      <w:r>
        <w:t xml:space="preserve"> </w:t>
      </w:r>
      <w:r>
        <w:t xml:space="preserve">some</w:t>
      </w:r>
      <w:r>
        <w:t xml:space="preserve"> </w:t>
      </w:r>
      <w:r>
        <w:t xml:space="preserve">trading</w:t>
      </w:r>
      <w:r>
        <w:t xml:space="preserve"> </w:t>
      </w:r>
      <w:r>
        <w:t xml:space="preserve">volumes</w:t>
      </w:r>
      <w:r>
        <w:t xml:space="preserve"> </w:t>
      </w:r>
      <w:r>
        <w:t xml:space="preserve">disappearing</w:t>
      </w:r>
      <w:r>
        <w:t xml:space="preserve"> </w:t>
      </w:r>
      <w:r>
        <w:t xml:space="preserve">or</w:t>
      </w:r>
      <w:r>
        <w:t xml:space="preserve"> </w:t>
      </w:r>
      <w:r>
        <w:t xml:space="preserve">migrating outside the EU</w:t>
      </w:r>
      <w:r>
        <w:t xml:space="preserve"> </w:t>
      </w:r>
      <w:r>
        <w:t xml:space="preserve">(Estimated at up to 4% - 5%</w:t>
      </w:r>
      <w:r>
        <w:t xml:space="preserve"> </w:t>
      </w:r>
      <w:r>
        <w:t xml:space="preserve">of trade volume, equal to</w:t>
      </w:r>
      <w:r>
        <w:t xml:space="preserve"> </w:t>
      </w:r>
      <w:r>
        <w:t xml:space="preserve">EUR 7 trillion annually).</w:t>
      </w:r>
      <w:r>
        <w:t xml:space="preserve"> </w:t>
      </w:r>
      <w:r>
        <w:t xml:space="preserve">The proposed two-step approach would result in deferred cost related</w:t>
      </w:r>
      <w:r>
        <w:t xml:space="preserve"> </w:t>
      </w:r>
      <w:r>
        <w:t xml:space="preserve">to the setting up of a buy-in agent offering by one entity. However,</w:t>
      </w:r>
      <w:r>
        <w:t xml:space="preserve"> </w:t>
      </w:r>
      <w:r>
        <w:t xml:space="preserve">this is offset by the fact that the average cost per market participant to</w:t>
      </w:r>
      <w:r>
        <w:t xml:space="preserve"> </w:t>
      </w:r>
      <w:r>
        <w:t xml:space="preserve">set up a connection to a buy-in agent would be around EUR 1 million,</w:t>
      </w:r>
      <w:r>
        <w:t xml:space="preserve"> </w:t>
      </w:r>
      <w:r>
        <w:t xml:space="preserve">amounting to EUR 1.5 billion for all in-scope market participants in</w:t>
      </w:r>
      <w:r>
        <w:t xml:space="preserve"> </w:t>
      </w:r>
      <w:r>
        <w:t xml:space="preserve">the EU for four years (375 million annually). Depending on the</w:t>
      </w:r>
      <w:r>
        <w:t xml:space="preserve"> </w:t>
      </w:r>
      <w:r>
        <w:t xml:space="preserve">potential targeted changes to be made to the buy-in regime, such costs</w:t>
      </w:r>
      <w:r>
        <w:t xml:space="preserve"> </w:t>
      </w:r>
      <w:r>
        <w:t xml:space="preserve">savings could either be temporary (i.e. until the buy-in regime enters</w:t>
      </w:r>
      <w:r>
        <w:t xml:space="preserve"> </w:t>
      </w:r>
      <w:r>
        <w:t xml:space="preserve">into force) or permanent (e.g. if the changes allow for a simplified</w:t>
      </w:r>
      <w:r>
        <w:t xml:space="preserve"> </w:t>
      </w:r>
      <w:r>
        <w:t xml:space="preserve">approach regarding the requirements related to buy-in agents).</w:t>
      </w:r>
      <w:r>
        <w:t xml:space="preserve"> </w:t>
      </w:r>
      <w:r>
        <w:t xml:space="preserve">Although not quantifiable, cost savings are also expected for both</w:t>
      </w:r>
      <w:r>
        <w:t xml:space="preserve"> </w:t>
      </w:r>
      <w:r>
        <w:t xml:space="preserve">market participants and CSDs from the proposed clarifications of the</w:t>
      </w:r>
      <w:r>
        <w:t xml:space="preserve"> </w:t>
      </w:r>
      <w:r>
        <w:t xml:space="preserve">buy-in and cash penalties rules.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 and</w:t>
      </w:r>
      <w:r>
        <w:t xml:space="preserve"> </w:t>
      </w:r>
      <w:r>
        <w:t xml:space="preserve">introducing an</w:t>
      </w:r>
      <w:r>
        <w:t xml:space="preserve"> </w:t>
      </w:r>
      <w:r>
        <w:t xml:space="preserve">end-date to the</w:t>
      </w:r>
      <w:r>
        <w:t xml:space="preserve"> </w:t>
      </w:r>
      <w:r>
        <w:t xml:space="preserve">grandfathering</w:t>
      </w:r>
      <w:r>
        <w:t xml:space="preserve"> </w:t>
      </w:r>
      <w:r>
        <w:t xml:space="preserve">clause</w:t>
      </w:r>
      <w:r>
        <w:t xml:space="preserve"> </w:t>
      </w:r>
      <w:r>
        <w:t xml:space="preserve">0</w:t>
      </w:r>
      <w:r>
        <w:t xml:space="preserve"> </w:t>
      </w:r>
      <w:r>
        <w:t xml:space="preserve">Based on Commission estimates following the submission of</w:t>
      </w:r>
      <w:r>
        <w:t xml:space="preserve"> </w:t>
      </w:r>
      <w:r>
        <w:t xml:space="preserve">confidential data, assuming that 5 third-country CSDs would notified,</w:t>
      </w:r>
      <w:r>
        <w:t xml:space="preserve"> </w:t>
      </w:r>
      <w:r>
        <w:t xml:space="preserve">the costs would be estimated around ca. EUR 13 000 for ESMA. This</w:t>
      </w:r>
      <w:r>
        <w:t xml:space="preserve"> </w:t>
      </w:r>
      <w:r>
        <w:t xml:space="preserve">would be one-off cost that could potentially be covered by a</w:t>
      </w:r>
      <w:r>
        <w:t xml:space="preserve"> </w:t>
      </w:r>
      <w:r>
        <w:t xml:space="preserve">notification fee to be paid by each third-country CSD.</w:t>
      </w:r>
      <w:r>
        <w:br/>
      </w:r>
      <w:r>
        <w:t xml:space="preserve">We currently do not know how many third-country CSDs are using the</w:t>
      </w:r>
      <w:r>
        <w:t xml:space="preserve"> </w:t>
      </w:r>
      <w:r>
        <w:t xml:space="preserve">grandfathering clause and would apply for recognition to ESMA. It</w:t>
      </w:r>
      <w:r>
        <w:t xml:space="preserve"> </w:t>
      </w:r>
      <w:r>
        <w:t xml:space="preserve">has been assumed that ESMA can carry out its other permanent tasks,</w:t>
      </w:r>
      <w:r>
        <w:t xml:space="preserve"> </w:t>
      </w:r>
      <w:r>
        <w:t xml:space="preserve">such as in relation to non-EU CSD recognition with its existing staff.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</w:t>
      </w:r>
      <w:r>
        <w:br/>
      </w:r>
      <w:r>
        <w:t xml:space="preserve">The envisaged options aim at rendering the application of CSDR more effective and</w:t>
      </w:r>
      <w:r>
        <w:t xml:space="preserve"> </w:t>
      </w:r>
      <w:r>
        <w:t xml:space="preserve">efficient. To this end, a number of targeted adjustments to CSDR are considered. The</w:t>
      </w:r>
      <w:r>
        <w:t xml:space="preserve"> </w:t>
      </w:r>
      <w:r>
        <w:t xml:space="preserve">proposed legislative amendment to CSDR should include a provision stating that an</w:t>
      </w:r>
      <w:r>
        <w:t xml:space="preserve"> </w:t>
      </w:r>
      <w:r>
        <w:t xml:space="preserve">evaluation of CSDR in its entirety should be carried out, with a particular focus on its</w:t>
      </w:r>
      <w:r>
        <w:t xml:space="preserve"> </w:t>
      </w:r>
      <w:r>
        <w:t xml:space="preserve">effectiveness and efficiency in meeting its original objectives (i.e. improve the efficiency</w:t>
      </w:r>
      <w:r>
        <w:t xml:space="preserve"> </w:t>
      </w:r>
      <w:r>
        <w:t xml:space="preserve">and safety of EU settlement markets). The evaluation should thus consider all aspects of</w:t>
      </w:r>
      <w:r>
        <w:t xml:space="preserve"> </w:t>
      </w:r>
      <w:r>
        <w:t xml:space="preserve">CSDR, but in particular the elements shown in the table below to monitor and evaluate</w:t>
      </w:r>
      <w:r>
        <w:t xml:space="preserve"> </w:t>
      </w:r>
      <w:r>
        <w:t xml:space="preserve">progress towards meeting the specific objectives.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to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When will</w:t>
      </w:r>
      <w:r>
        <w:t xml:space="preserve"> </w:t>
      </w:r>
      <w:r>
        <w:t xml:space="preserve">monitoring</w:t>
      </w:r>
      <w:r>
        <w:t xml:space="preserve"> </w:t>
      </w:r>
      <w:r>
        <w:t xml:space="preserve">By</w:t>
      </w:r>
      <w:r>
        <w:t xml:space="preserve"> </w:t>
      </w:r>
      <w:r>
        <w:t xml:space="preserve">whom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</w:t>
      </w:r>
    </w:p>
    <w:p>
      <w:pPr>
        <w:pStyle w:val="FirstParagraph"/>
      </w:pPr>
      <w:r>
        <w:t xml:space="preserve">74</w:t>
      </w:r>
      <w:r>
        <w:t xml:space="preserve"> </w:t>
      </w:r>
      <w:r>
        <w:t xml:space="preserve">measure</w:t>
      </w:r>
      <w:r>
        <w:t xml:space="preserve"> </w:t>
      </w:r>
      <w:r>
        <w:t xml:space="preserve">start</w:t>
      </w:r>
      <w:r>
        <w:t xml:space="preserve"> </w:t>
      </w:r>
      <w:r>
        <w:t xml:space="preserve">on</w:t>
      </w:r>
      <w:r>
        <w:t xml:space="preserve"> </w:t>
      </w:r>
      <w:r>
        <w:t xml:space="preserve">Ensure</w:t>
      </w:r>
      <w:r>
        <w:t xml:space="preserve"> </w:t>
      </w:r>
      <w:r>
        <w:t xml:space="preserve">adequate</w:t>
      </w:r>
      <w:r>
        <w:t xml:space="preserve"> </w:t>
      </w:r>
      <w:r>
        <w:t xml:space="preserve">powers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 monitor</w:t>
      </w:r>
      <w:r>
        <w:t xml:space="preserve"> </w:t>
      </w:r>
      <w:r>
        <w:t xml:space="preserve">risks</w:t>
      </w:r>
      <w:r>
        <w:t xml:space="preserve"> </w:t>
      </w:r>
      <w:r>
        <w:t xml:space="preserve">Number of 3rd country CSDs that have applied for</w:t>
      </w:r>
      <w:r>
        <w:t xml:space="preserve"> </w:t>
      </w:r>
      <w:r>
        <w:t xml:space="preserve">recognition.</w:t>
      </w:r>
      <w:r>
        <w:t xml:space="preserve"> </w:t>
      </w:r>
      <w:r>
        <w:t xml:space="preserve">Number of colleges established by EU CSDs.</w:t>
      </w:r>
      <w:r>
        <w:t xml:space="preserve"> </w:t>
      </w:r>
      <w:r>
        <w:t xml:space="preserve">From date of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the proposed</w:t>
      </w:r>
      <w:r>
        <w:t xml:space="preserve"> </w:t>
      </w:r>
      <w:r>
        <w:t xml:space="preserve">amendments</w:t>
      </w:r>
      <w:r>
        <w:t xml:space="preserve"> </w:t>
      </w:r>
      <w:r>
        <w:t xml:space="preserve">to CSDR.</w:t>
      </w:r>
      <w:r>
        <w:t xml:space="preserve"> </w:t>
      </w:r>
      <w:r>
        <w:t xml:space="preserve">ESMA</w:t>
      </w:r>
      <w:r>
        <w:t xml:space="preserve"> </w:t>
      </w:r>
      <w:r>
        <w:t xml:space="preserve">ESMA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EU settlement efficiency rates.</w:t>
      </w:r>
      <w:r>
        <w:t xml:space="preserve"> </w:t>
      </w:r>
      <w:r>
        <w:t xml:space="preserve">Average (no. of days) duration of settlement fails.</w:t>
      </w:r>
      <w:r>
        <w:br/>
      </w:r>
      <w:r>
        <w:t xml:space="preserve">Number of CSDs providing cross-border services.</w:t>
      </w:r>
      <w:r>
        <w:t xml:space="preserve"> </w:t>
      </w:r>
      <w:r>
        <w:t xml:space="preserve">Number of countries in which CSDs provide cross-border</w:t>
      </w:r>
      <w:r>
        <w:t xml:space="preserve"> </w:t>
      </w:r>
      <w:r>
        <w:t xml:space="preserve">services.</w:t>
      </w:r>
      <w:r>
        <w:t xml:space="preserve"> </w:t>
      </w:r>
      <w:r>
        <w:t xml:space="preserve">Number of CSDs able to access banking services.</w:t>
      </w:r>
      <w:r>
        <w:t xml:space="preserve"> </w:t>
      </w:r>
      <w:r>
        <w:t xml:space="preserve">Number of CSDs providing foreign currency settlement.</w:t>
      </w:r>
      <w:r>
        <w:t xml:space="preserve"> </w:t>
      </w:r>
      <w:r>
        <w:t xml:space="preserve">Number of CSDs able to use the exception under the</w:t>
      </w:r>
      <w:r>
        <w:t xml:space="preserve"> </w:t>
      </w:r>
      <w:r>
        <w:t xml:space="preserve">threshold.</w:t>
      </w:r>
      <w:r>
        <w:t xml:space="preserve"> </w:t>
      </w:r>
      <w:r>
        <w:t xml:space="preserve">1 year after</w:t>
      </w:r>
      <w:r>
        <w:t xml:space="preserve"> </w:t>
      </w:r>
      <w:r>
        <w:t xml:space="preserve">date of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the proposed</w:t>
      </w:r>
      <w:r>
        <w:t xml:space="preserve"> </w:t>
      </w:r>
      <w:r>
        <w:t xml:space="preserve">amendments</w:t>
      </w:r>
      <w:r>
        <w:t xml:space="preserve"> </w:t>
      </w:r>
      <w:r>
        <w:t xml:space="preserve">to CSDR.</w:t>
      </w:r>
      <w:r>
        <w:t xml:space="preserve"> </w:t>
      </w:r>
      <w:r>
        <w:t xml:space="preserve">ESMA,</w:t>
      </w:r>
      <w:r>
        <w:t xml:space="preserve"> </w:t>
      </w:r>
      <w:r>
        <w:t xml:space="preserve">ESCB,</w:t>
      </w:r>
      <w:r>
        <w:t xml:space="preserve"> </w:t>
      </w:r>
      <w:r>
        <w:t xml:space="preserve">CSDs</w:t>
      </w:r>
      <w:r>
        <w:t xml:space="preserve"> </w:t>
      </w:r>
      <w:r>
        <w:t xml:space="preserve">ESMA</w:t>
      </w:r>
      <w:r>
        <w:t xml:space="preserve"> </w:t>
      </w:r>
      <w:r>
        <w:t xml:space="preserve">Minimise</w:t>
      </w:r>
      <w:r>
        <w:t xml:space="preserve"> </w:t>
      </w:r>
      <w:r>
        <w:t xml:space="preserve">barriers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settlement</w:t>
      </w:r>
      <w:r>
        <w:t xml:space="preserve"> </w:t>
      </w:r>
      <w:r>
        <w:t xml:space="preserve">Number of CSDs providing cross-border services.</w:t>
      </w:r>
      <w:r>
        <w:t xml:space="preserve"> </w:t>
      </w:r>
      <w:r>
        <w:t xml:space="preserve">Number of countries in which CSDs provide cross-border</w:t>
      </w:r>
      <w:r>
        <w:t xml:space="preserve"> </w:t>
      </w:r>
      <w:r>
        <w:t xml:space="preserve">services.</w:t>
      </w:r>
      <w:r>
        <w:t xml:space="preserve"> </w:t>
      </w:r>
      <w:r>
        <w:t xml:space="preserve">Number of CSDs able to access banking services.</w:t>
      </w:r>
      <w:r>
        <w:t xml:space="preserve"> </w:t>
      </w:r>
      <w:r>
        <w:t xml:space="preserve">Growth of foreign currency settlement.</w:t>
      </w:r>
      <w:r>
        <w:br/>
      </w:r>
      <w:r>
        <w:t xml:space="preserve">Number of CSDs providing foreign currency settlement.</w:t>
      </w:r>
      <w:r>
        <w:t xml:space="preserve"> </w:t>
      </w:r>
      <w:r>
        <w:t xml:space="preserve">Number of CSDs able to use the exception under the</w:t>
      </w:r>
      <w:r>
        <w:t xml:space="preserve"> </w:t>
      </w:r>
      <w:r>
        <w:t xml:space="preserve">threshold.</w:t>
      </w:r>
      <w:r>
        <w:t xml:space="preserve"> </w:t>
      </w:r>
      <w:r>
        <w:t xml:space="preserve">1 year after</w:t>
      </w:r>
      <w:r>
        <w:t xml:space="preserve"> </w:t>
      </w:r>
      <w:r>
        <w:t xml:space="preserve">date of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the proposed</w:t>
      </w:r>
      <w:r>
        <w:t xml:space="preserve"> </w:t>
      </w:r>
      <w:r>
        <w:t xml:space="preserve">amendments</w:t>
      </w:r>
      <w:r>
        <w:t xml:space="preserve"> </w:t>
      </w:r>
      <w:r>
        <w:t xml:space="preserve">to CSDR.</w:t>
      </w:r>
      <w:r>
        <w:t xml:space="preserve"> </w:t>
      </w:r>
      <w:r>
        <w:t xml:space="preserve">ESMA,</w:t>
      </w:r>
      <w:r>
        <w:t xml:space="preserve"> </w:t>
      </w:r>
      <w:r>
        <w:t xml:space="preserve">ESCB,</w:t>
      </w:r>
      <w:r>
        <w:t xml:space="preserve"> </w:t>
      </w:r>
      <w:r>
        <w:t xml:space="preserve">CSDs</w:t>
      </w:r>
      <w:r>
        <w:t xml:space="preserve"> </w:t>
      </w:r>
      <w:r>
        <w:t xml:space="preserve">ESMA</w:t>
      </w:r>
      <w:r>
        <w:t xml:space="preserve"> </w:t>
      </w:r>
      <w:r>
        <w:t xml:space="preserve">In principle, this evaluation should take place at least 5 years after the application of</w:t>
      </w:r>
      <w:r>
        <w:t xml:space="preserve"> </w:t>
      </w:r>
      <w:r>
        <w:t xml:space="preserve">these amendments. The evaluation should seek to collect input from all relevant</w:t>
      </w:r>
      <w:r>
        <w:t xml:space="preserve"> </w:t>
      </w:r>
      <w:r>
        <w:t xml:space="preserve">stakeholders, but in particular CSDs, banks and custodians, investment funds, investors</w:t>
      </w:r>
      <w:r>
        <w:t xml:space="preserve"> </w:t>
      </w:r>
      <w:r>
        <w:t xml:space="preserve">and issuers. Input would also be required from ESMA as well as national authorities and</w:t>
      </w:r>
      <w:r>
        <w:t xml:space="preserve"> </w:t>
      </w:r>
      <w:r>
        <w:t xml:space="preserve">central banks. Statistical data for the analysis should be sought primarily from ESMA.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 Lead Directorate-General: Directorate-General for Financial Stability, Financial</w:t>
      </w:r>
      <w:r>
        <w:t xml:space="preserve"> </w:t>
      </w:r>
      <w:r>
        <w:t xml:space="preserve">Services and Capital Markets Union.</w:t>
      </w:r>
      <w:r>
        <w:t xml:space="preserve"> </w:t>
      </w:r>
      <w:r>
        <w:t xml:space="preserve"> Decide Planning Reference: PLAN/2020/8721</w:t>
      </w:r>
      <w:r>
        <w:br/>
      </w:r>
      <w:r>
        <w:t xml:space="preserve"> CWP references: The initiative is included in the Commission Work Programme</w:t>
      </w:r>
      <w:r>
        <w:t xml:space="preserve"> </w:t>
      </w:r>
      <w:r>
        <w:t xml:space="preserve">2020244 as a REFIT item.245</w:t>
      </w:r>
      <w:r>
        <w:br/>
      </w:r>
      <w:r>
        <w:t xml:space="preserve">Organisation and timing</w:t>
      </w:r>
      <w:r>
        <w:t xml:space="preserve"> </w:t>
      </w:r>
      <w:r>
        <w:t xml:space="preserve"> Organisation and timing of Inter Service Steering Group’s meetings: the Inter Service</w:t>
      </w:r>
      <w:r>
        <w:t xml:space="preserve"> </w:t>
      </w:r>
      <w:r>
        <w:t xml:space="preserve">Steering Group included representatives of the Directorates General Climate Action</w:t>
      </w:r>
      <w:r>
        <w:t xml:space="preserve"> </w:t>
      </w:r>
      <w:r>
        <w:t xml:space="preserve">(CLIMA), Competition (COMP), Economic and Financial Affairs (ECFIN), Internal</w:t>
      </w:r>
      <w:r>
        <w:t xml:space="preserve"> </w:t>
      </w:r>
      <w:r>
        <w:t xml:space="preserve">Market, Industry, Entrepreneurship and SMEs (GROW), Justice and Consumers</w:t>
      </w:r>
      <w:r>
        <w:t xml:space="preserve"> </w:t>
      </w:r>
      <w:r>
        <w:t xml:space="preserve">(JUST), Taxation and Customs Union (TAXUD), Trade (TRADE), the Legal Service</w:t>
      </w:r>
      <w:r>
        <w:t xml:space="preserve"> </w:t>
      </w:r>
      <w:r>
        <w:t xml:space="preserve">(LS) and the Secretariat General (SG).</w:t>
      </w:r>
      <w:r>
        <w:t xml:space="preserve"> </w:t>
      </w:r>
      <w:r>
        <w:t xml:space="preserve">o 1st Meeting on 19 February 2021;</w:t>
      </w:r>
      <w:r>
        <w:t xml:space="preserve"> </w:t>
      </w:r>
      <w:r>
        <w:t xml:space="preserve">o 2nd meeting on 25 June 2021;</w:t>
      </w:r>
      <w:r>
        <w:t xml:space="preserve"> </w:t>
      </w:r>
      <w:r>
        <w:t xml:space="preserve">o 3rd meeting on 9 September 2021;</w:t>
      </w:r>
      <w:r>
        <w:t xml:space="preserve"> </w:t>
      </w:r>
      <w:r>
        <w:t xml:space="preserve">o Written consultation (17- 23 September 2021).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 The draft Impact Assessment was submitted to the Regulatory Scrutiny Board on 29</w:t>
      </w:r>
      <w:r>
        <w:t xml:space="preserve"> </w:t>
      </w:r>
      <w:r>
        <w:t xml:space="preserve">September 2021, for consideration at a meeting on 27 October 2021. The Regulatory</w:t>
      </w:r>
      <w:r>
        <w:t xml:space="preserve"> </w:t>
      </w:r>
      <w:r>
        <w:t xml:space="preserve">Scrutiny Board issued a positive opinion on 29 October 2021 (ARES(2021) 6677103</w:t>
      </w:r>
      <w:r>
        <w:t xml:space="preserve"> </w:t>
      </w:r>
      <w:r>
        <w:t xml:space="preserve">- 29/10/2021)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Evidence used in the impact assessment came from a variety of sources, including:</w:t>
      </w:r>
      <w:r>
        <w:t xml:space="preserve"> </w:t>
      </w:r>
      <w:r>
        <w:t xml:space="preserve"></w:t>
      </w:r>
      <w:r>
        <w:t xml:space="preserve"> </w:t>
      </w:r>
      <w:r>
        <w:t xml:space="preserve">Replies by stakeholders to a targeted consultation which ran from 8 December 2020</w:t>
      </w:r>
      <w:r>
        <w:t xml:space="preserve"> </w:t>
      </w:r>
      <w:r>
        <w:t xml:space="preserve">and 2 February 2021 to obtain feedback on the implementation of CSDR246:</w:t>
      </w:r>
      <w:r>
        <w:br/>
      </w:r>
      <w:r>
        <w:t xml:space="preserve"></w:t>
      </w:r>
      <w:r>
        <w:t xml:space="preserve"> </w:t>
      </w:r>
      <w:r>
        <w:t xml:space="preserve">Reports from the European Securities and Markets Authority including:</w:t>
      </w:r>
      <w:r>
        <w:br/>
      </w:r>
      <w:r>
        <w:t xml:space="preserve">o Report on internalised settlement247;</w:t>
      </w:r>
      <w:r>
        <w:t xml:space="preserve"> </w:t>
      </w:r>
      <w:r>
        <w:t xml:space="preserve">o Report on the cross-border provision of services by CSDs248;</w:t>
      </w:r>
      <w:r>
        <w:t xml:space="preserve"> </w:t>
      </w:r>
      <w:r>
        <w:t xml:space="preserve">o Report on the provision of banking-type ancillary services under</w:t>
      </w:r>
      <w:r>
        <w:t xml:space="preserve"> </w:t>
      </w:r>
      <w:r>
        <w:t xml:space="preserve">CSDR249;</w:t>
      </w:r>
      <w:r>
        <w:t xml:space="preserve"> </w:t>
      </w:r>
      <w:r>
        <w:t xml:space="preserve">o Report on the use of FinTech by CSDs250.</w:t>
      </w:r>
    </w:p>
    <w:p>
      <w:pPr>
        <w:pStyle w:val="BodyText"/>
      </w:pPr>
      <w:r>
        <w:t xml:space="preserve">244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Commission Work Programme 2021 ‘A Union</w:t>
      </w:r>
      <w:r>
        <w:t xml:space="preserve"> </w:t>
      </w:r>
      <w:r>
        <w:t xml:space="preserve">of vitality in a world of fragility’, Annex I, COM(2020) 690 final.</w:t>
      </w:r>
      <w:r>
        <w:t xml:space="preserve"> </w:t>
      </w:r>
      <w:r>
        <w:t xml:space="preserve">245 REFIT is the Commission’s Regulatory Fitness and Performance programme.</w:t>
      </w:r>
      <w:r>
        <w:br/>
      </w:r>
      <w:r>
        <w:t xml:space="preserve">246 Summary Report of the Commission CSDR targeted consultation (see note 92).</w:t>
      </w:r>
      <w:r>
        <w:t xml:space="preserve"> </w:t>
      </w:r>
      <w:r>
        <w:t xml:space="preserve">247 ESMA Report on internalised settlement (see note 86).</w:t>
      </w:r>
      <w:r>
        <w:br/>
      </w:r>
      <w:r>
        <w:t xml:space="preserve">248 ESMA Report on cross-border services (see note 50).</w:t>
      </w:r>
      <w:r>
        <w:br/>
      </w:r>
      <w:r>
        <w:t xml:space="preserve">249 ESMA Report ‘Provision of banking-type ancillary services under CSDR’ (see note 88).</w:t>
      </w:r>
      <w:r>
        <w:t xml:space="preserve"> </w:t>
      </w:r>
      <w:r>
        <w:t xml:space="preserve">250 ESMA Report ‘Use of Fintech by CSDs’ (see note 89).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 Report from the Commission to the European Parliament and Council under</w:t>
      </w:r>
      <w:r>
        <w:t xml:space="preserve"> </w:t>
      </w:r>
      <w:r>
        <w:t xml:space="preserve">Article 75 of Regulation (EU) No 909/2014 of the European Parliament and of</w:t>
      </w:r>
      <w:r>
        <w:t xml:space="preserve"> </w:t>
      </w:r>
      <w:r>
        <w:t xml:space="preserve">the Council of 23 July 2014 on improving securities settlement in the European</w:t>
      </w:r>
      <w:r>
        <w:t xml:space="preserve"> </w:t>
      </w:r>
      <w:r>
        <w:t xml:space="preserve">Union and on central securities depositories and amending Directives 98/26/EC</w:t>
      </w:r>
      <w:r>
        <w:t xml:space="preserve"> </w:t>
      </w:r>
      <w:r>
        <w:t xml:space="preserve">and 2014/65/EU and Regulation (EU) No 236/2012 (COM(2021) 348 final).251</w:t>
      </w:r>
      <w:r>
        <w:br/>
      </w:r>
      <w:r>
        <w:t xml:space="preserve"> Discussions with experts from Member States’ authorities: Meetings held on 22</w:t>
      </w:r>
      <w:r>
        <w:t xml:space="preserve"> </w:t>
      </w:r>
      <w:r>
        <w:t xml:space="preserve">September 2020, 15 July 2021.252</w:t>
      </w:r>
      <w:r>
        <w:br/>
      </w:r>
      <w:r>
        <w:t xml:space="preserve"> Discussions with MEPs from the Economic and Monetary Affairs Committee: 6</w:t>
      </w:r>
      <w:r>
        <w:t xml:space="preserve"> </w:t>
      </w:r>
      <w:r>
        <w:t xml:space="preserve">September 2021.</w:t>
      </w:r>
      <w:r>
        <w:t xml:space="preserve"> </w:t>
      </w:r>
      <w:r>
        <w:t xml:space="preserve"> Statistics and reports published by the European Central Bank and the Bank of</w:t>
      </w:r>
      <w:r>
        <w:t xml:space="preserve"> </w:t>
      </w:r>
      <w:r>
        <w:t xml:space="preserve">International Settlements (BIS). In the case of the European Central Bank the</w:t>
      </w:r>
      <w:r>
        <w:t xml:space="preserve"> </w:t>
      </w:r>
      <w:r>
        <w:t xml:space="preserve">Statistical Data Warehouse253 was used and in particular the data compiled in the</w:t>
      </w:r>
      <w:r>
        <w:t xml:space="preserve"> </w:t>
      </w:r>
      <w:r>
        <w:t xml:space="preserve">“Securities Trading, Clearing and Settlement Statistics”254. For international</w:t>
      </w:r>
      <w:r>
        <w:t xml:space="preserve"> </w:t>
      </w:r>
      <w:r>
        <w:t xml:space="preserve">comparison the data provided by the Bank for International Settlement,</w:t>
      </w:r>
      <w:r>
        <w:t xml:space="preserve"> </w:t>
      </w:r>
      <w:r>
        <w:t xml:space="preserve">Committee on Payments and Market Infrastructures255 was used. The Committee</w:t>
      </w:r>
      <w:r>
        <w:t xml:space="preserve"> </w:t>
      </w:r>
      <w:r>
        <w:t xml:space="preserve">periodically publishes reference works on payment, clearing and settlement</w:t>
      </w:r>
      <w:r>
        <w:t xml:space="preserve"> </w:t>
      </w:r>
      <w:r>
        <w:t xml:space="preserve">systems in the member countries.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This annex outlines the feedback received from stakeholders via the targeted consultation</w:t>
      </w:r>
      <w:r>
        <w:t xml:space="preserve"> </w:t>
      </w:r>
      <w:r>
        <w:t xml:space="preserve">on the CSDR review (section 1), and in the context of building a Capital Markets Union</w:t>
      </w:r>
      <w:r>
        <w:t xml:space="preserve"> </w:t>
      </w:r>
      <w:r>
        <w:t xml:space="preserve">(section 2). It provides information on the reports provided by ESMA (section 3) as well</w:t>
      </w:r>
      <w:r>
        <w:t xml:space="preserve"> </w:t>
      </w:r>
      <w:r>
        <w:t xml:space="preserve">as an overview of an exchange of views on the CSDR review with representatives of</w:t>
      </w:r>
      <w:r>
        <w:t xml:space="preserve"> </w:t>
      </w:r>
      <w:r>
        <w:t xml:space="preserve">Member States, of EU bodies and authorities, during the meeting of the Derivatives and</w:t>
      </w:r>
      <w:r>
        <w:t xml:space="preserve"> </w:t>
      </w:r>
      <w:r>
        <w:t xml:space="preserve">Market Infrastructures Member States Working Group, which took place in Brussels on</w:t>
      </w:r>
      <w:r>
        <w:t xml:space="preserve"> </w:t>
      </w:r>
      <w:r>
        <w:t xml:space="preserve">22 September 2020 and 15 July 2021 (section 4).</w:t>
      </w:r>
      <w:r>
        <w:t xml:space="preserve"> </w:t>
      </w:r>
      <w:r>
        <w:t xml:space="preserve">1. TARGETED CONSULTATION</w:t>
      </w:r>
      <w:r>
        <w:t xml:space="preserve"> </w:t>
      </w:r>
      <w:r>
        <w:t xml:space="preserve">First, a targeted public consultation256 on the CSDR review was conducted between</w:t>
      </w:r>
      <w:r>
        <w:t xml:space="preserve"> </w:t>
      </w:r>
      <w:r>
        <w:t xml:space="preserve">8 December 2020 and 2 February 2021. The Commission sought feedback in areas where</w:t>
      </w:r>
      <w:r>
        <w:t xml:space="preserve"> </w:t>
      </w:r>
      <w:r>
        <w:t xml:space="preserve">targeted action may be necessary to ensure the fulfilment of the objectives of the CSDR</w:t>
      </w:r>
      <w:r>
        <w:t xml:space="preserve"> </w:t>
      </w:r>
      <w:r>
        <w:t xml:space="preserve">in a more proportionate, efficient and effective manner, notably:</w:t>
      </w:r>
      <w:r>
        <w:br/>
      </w:r>
      <w:r>
        <w:t xml:space="preserve"> CSD authorisation &amp; review and evaluation processes;</w:t>
      </w:r>
      <w:r>
        <w:t xml:space="preserve"> </w:t>
      </w:r>
      <w:r>
        <w:t xml:space="preserve"> cross-border provision of services in the EU;</w:t>
      </w:r>
    </w:p>
    <w:p>
      <w:pPr>
        <w:pStyle w:val="BodyText"/>
      </w:pPr>
      <w:r>
        <w:t xml:space="preserve">251 CSDR Review report (see note 9).</w:t>
      </w:r>
      <w:r>
        <w:t xml:space="preserve"> </w:t>
      </w:r>
      <w:r>
        <w:t xml:space="preserve">252 Summaries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register/screen/meetings/consult?lang=en&amp;meetingId=22398&amp;fromExpertGroups=false</w:t>
      </w:r>
      <w:r>
        <w:t xml:space="preserve"> </w:t>
      </w:r>
      <w:r>
        <w:t xml:space="preserve">;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register/screen/meetings/consult?lang=en&amp;meetingId=28987&amp;fromExpertGroups=false.</w:t>
      </w:r>
      <w:r>
        <w:t xml:space="preserve"> </w:t>
      </w:r>
      <w:r>
        <w:t xml:space="preserve">253 European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Statistical</w:t>
      </w:r>
      <w:r>
        <w:t xml:space="preserve"> </w:t>
      </w:r>
      <w:r>
        <w:t xml:space="preserve">Data</w:t>
      </w:r>
      <w:r>
        <w:t xml:space="preserve"> </w:t>
      </w:r>
      <w:r>
        <w:t xml:space="preserve">Warehouse,</w:t>
      </w:r>
      <w:r>
        <w:t xml:space="preserve"> </w:t>
      </w:r>
      <w:r>
        <w:t xml:space="preserve">Payment</w:t>
      </w:r>
      <w:r>
        <w:t xml:space="preserve"> </w:t>
      </w:r>
      <w:r>
        <w:t xml:space="preserve">Statistics:</w:t>
      </w:r>
      <w:r>
        <w:t xml:space="preserve"> </w:t>
      </w:r>
      <w:r>
        <w:t xml:space="preserve">https://sdw.ecb.europa.eu/browse.do?node=9691104.</w:t>
      </w:r>
      <w:r>
        <w:br/>
      </w:r>
      <w:r>
        <w:t xml:space="preserve">254 See the latest edition “Securities trading, clearing and settlement statistics – June 21”, European Central</w:t>
      </w:r>
      <w:r>
        <w:t xml:space="preserve"> </w:t>
      </w:r>
      <w:r>
        <w:t xml:space="preserve">Bank, available at: https://sdw.ecb.europa.eu/reports.do?node=1000004055.</w:t>
      </w:r>
      <w:r>
        <w:br/>
      </w:r>
      <w:r>
        <w:t xml:space="preserve">255 For a compilation of data and publication on settlement see Bank for International Settlement, Committee</w:t>
      </w:r>
      <w:r>
        <w:t xml:space="preserve"> </w:t>
      </w:r>
      <w:r>
        <w:t xml:space="preserve">on Payments and Market Infrastructures: https://www.bis.org/cpmi/paysysinfo.htm.</w:t>
      </w:r>
      <w:r>
        <w:br/>
      </w:r>
      <w:r>
        <w:t xml:space="preserve">256 The targeted consultation questionnaire is available at: https://ec.europa.eu/info/consultations/finance-</w:t>
      </w:r>
      <w:r>
        <w:t xml:space="preserve"> </w:t>
      </w:r>
      <w:r>
        <w:t xml:space="preserve">2020-csdr-review_en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 internalised settlement;</w:t>
      </w:r>
      <w:r>
        <w:t xml:space="preserve"> </w:t>
      </w:r>
      <w:r>
        <w:t xml:space="preserve"> CSDR and technological innovation;</w:t>
      </w:r>
      <w:r>
        <w:t xml:space="preserve"> </w:t>
      </w:r>
      <w:r>
        <w:t xml:space="preserve"> authorisation to provide banking-type ancillary services;</w:t>
      </w:r>
      <w:r>
        <w:t xml:space="preserve"> </w:t>
      </w:r>
      <w:r>
        <w:t xml:space="preserve"> scope of requirements applying to the settlement of financial instruments;</w:t>
      </w:r>
      <w:r>
        <w:t xml:space="preserve"> </w:t>
      </w:r>
      <w:r>
        <w:t xml:space="preserve"> settlement discipline.</w:t>
      </w:r>
      <w:r>
        <w:br/>
      </w:r>
      <w:r>
        <w:t xml:space="preserve">The Commission received 91 responses to the targeted consultation. The feedback</w:t>
      </w:r>
      <w:r>
        <w:t xml:space="preserve"> </w:t>
      </w:r>
      <w:r>
        <w:t xml:space="preserve">statement summarising the responses received was published on the Commission</w:t>
      </w:r>
      <w:r>
        <w:t xml:space="preserve"> </w:t>
      </w:r>
      <w:r>
        <w:t xml:space="preserve">website257. The majority of responses came from firms and industry associations, i.e. 43</w:t>
      </w:r>
      <w:r>
        <w:t xml:space="preserve"> </w:t>
      </w:r>
      <w:r>
        <w:t xml:space="preserve">companies/business organisations and 33 business associations. In addition, responses</w:t>
      </w:r>
      <w:r>
        <w:t xml:space="preserve"> </w:t>
      </w:r>
      <w:r>
        <w:t xml:space="preserve">were received from 10 public authorities, one NGO and four entities categorised as</w:t>
      </w:r>
      <w:r>
        <w:t xml:space="preserve"> </w:t>
      </w:r>
      <w:r>
        <w:t xml:space="preserve">“Other”. Among the companies and business associations responding, most indicated the</w:t>
      </w:r>
      <w:r>
        <w:t xml:space="preserve"> </w:t>
      </w:r>
      <w:r>
        <w:t xml:space="preserve">following as their main field of activity: banking (30 respondents), operation of financial</w:t>
      </w:r>
      <w:r>
        <w:t xml:space="preserve"> </w:t>
      </w:r>
      <w:r>
        <w:t xml:space="preserve">market infrastructure (23 respondents) or investment management (13 respondents). No</w:t>
      </w:r>
      <w:r>
        <w:t xml:space="preserve"> </w:t>
      </w:r>
      <w:r>
        <w:t xml:space="preserve">private individuals responded to this targeted consultation. Responses were received from</w:t>
      </w:r>
      <w:r>
        <w:t xml:space="preserve"> </w:t>
      </w:r>
      <w:r>
        <w:t xml:space="preserve">18 Member States, with the largest number coming from Germany (12), Belgium (8),</w:t>
      </w:r>
      <w:r>
        <w:t xml:space="preserve"> </w:t>
      </w:r>
      <w:r>
        <w:t xml:space="preserve">France (8) and the Netherlands (7). In addition, a number of responses came from outside</w:t>
      </w:r>
      <w:r>
        <w:t xml:space="preserve"> </w:t>
      </w:r>
      <w:r>
        <w:t xml:space="preserve">the EU, mainly the United Kingdom (17) and the United States (8).</w:t>
      </w:r>
      <w:r>
        <w:t xml:space="preserve"> </w:t>
      </w:r>
      <w:r>
        <w:t xml:space="preserve">The key messages from the consultation were the following:</w:t>
      </w:r>
      <w:r>
        <w:br/>
      </w:r>
      <w:r>
        <w:t xml:space="preserve"> According to a vast majority of respondents, the rules on the cross-border</w:t>
      </w:r>
      <w:r>
        <w:t xml:space="preserve"> </w:t>
      </w:r>
      <w:r>
        <w:t xml:space="preserve">provision of services in the EU need to be revised, in particular to clarify and</w:t>
      </w:r>
      <w:r>
        <w:t xml:space="preserve"> </w:t>
      </w:r>
      <w:r>
        <w:t xml:space="preserve">simplify the passporting rules as well as to enhance the cooperation between</w:t>
      </w:r>
      <w:r>
        <w:t xml:space="preserve"> </w:t>
      </w:r>
      <w:r>
        <w:t xml:space="preserve">national competent authorities (NCAs).</w:t>
      </w:r>
      <w:r>
        <w:br/>
      </w:r>
      <w:r>
        <w:t xml:space="preserve"> CSDs argued that the rules on the authorisation to provide banking-type ancillary</w:t>
      </w:r>
      <w:r>
        <w:t xml:space="preserve"> </w:t>
      </w:r>
      <w:r>
        <w:t xml:space="preserve">services hinder settlement in foreign currencies and restrict access to liquidity for</w:t>
      </w:r>
      <w:r>
        <w:t xml:space="preserve"> </w:t>
      </w:r>
      <w:r>
        <w:t xml:space="preserve">CSDs not authorised to provide banking-type ancillary services.</w:t>
      </w:r>
      <w:r>
        <w:br/>
      </w:r>
      <w:r>
        <w:t xml:space="preserve"> The settlement discipline regime was the topic for which the Commission</w:t>
      </w:r>
      <w:r>
        <w:t xml:space="preserve"> </w:t>
      </w:r>
      <w:r>
        <w:t xml:space="preserve">received the most contributions. All stakeholders agreed that clarity on the way</w:t>
      </w:r>
      <w:r>
        <w:t xml:space="preserve"> </w:t>
      </w:r>
      <w:r>
        <w:t xml:space="preserve">forward is needed as soon as possible.</w:t>
      </w:r>
      <w:r>
        <w:br/>
      </w:r>
      <w:r>
        <w:t xml:space="preserve"> The framework for third-country CSDs raised questions amongst all categories of</w:t>
      </w:r>
      <w:r>
        <w:t xml:space="preserve"> </w:t>
      </w:r>
      <w:r>
        <w:t xml:space="preserve">stakeholders, in particular on the need to have more information on third-country</w:t>
      </w:r>
      <w:r>
        <w:t xml:space="preserve"> </w:t>
      </w:r>
      <w:r>
        <w:t xml:space="preserve">CSDs providing services in relation to financial instruments constituted under the</w:t>
      </w:r>
      <w:r>
        <w:t xml:space="preserve"> </w:t>
      </w:r>
      <w:r>
        <w:t xml:space="preserve">law of a Member State.</w:t>
      </w:r>
      <w:r>
        <w:br/>
      </w:r>
      <w:r>
        <w:t xml:space="preserve"> Respondents supported the simplification of certain requirements regarding</w:t>
      </w:r>
      <w:r>
        <w:t xml:space="preserve"> </w:t>
      </w:r>
      <w:r>
        <w:t xml:space="preserve">CSDs’ authorisation, annual review and evaluation, as well as review of the</w:t>
      </w:r>
      <w:r>
        <w:t xml:space="preserve"> </w:t>
      </w:r>
      <w:r>
        <w:t xml:space="preserve">grandfathering clauses.</w:t>
      </w:r>
      <w:r>
        <w:br/>
      </w:r>
      <w:r>
        <w:t xml:space="preserve"> A majority of respondents stated that immediate action is not required on two</w:t>
      </w:r>
      <w:r>
        <w:t xml:space="preserve"> </w:t>
      </w:r>
      <w:r>
        <w:t xml:space="preserve">topics: (a) technological innovation, because any changes to CSDR to realise the</w:t>
      </w:r>
      <w:r>
        <w:t xml:space="preserve"> </w:t>
      </w:r>
      <w:r>
        <w:t xml:space="preserve">full potential of fintech should be postponed until the Pilot Regime Regulation is</w:t>
      </w:r>
      <w:r>
        <w:t xml:space="preserve"> </w:t>
      </w:r>
      <w:r>
        <w:t xml:space="preserve">agreed upon by the colegislators and implemented; and (b) internalised</w:t>
      </w:r>
      <w:r>
        <w:t xml:space="preserve"> </w:t>
      </w:r>
      <w:r>
        <w:t xml:space="preserve">settlement, as the obligation has only been in force for a limited period.</w:t>
      </w:r>
      <w:r>
        <w:t xml:space="preserve"> </w:t>
      </w:r>
      <w:r>
        <w:t xml:space="preserve">In addition to the public consultation, DG FISMA also received confidential</w:t>
      </w:r>
      <w:r>
        <w:t xml:space="preserve"> </w:t>
      </w:r>
      <w:r>
        <w:t xml:space="preserve">information from a number of firms.</w:t>
      </w:r>
    </w:p>
    <w:p>
      <w:pPr>
        <w:pStyle w:val="BodyText"/>
      </w:pPr>
      <w:r>
        <w:t xml:space="preserve">257 Summary Report of the Commission CSDR targeted consultation (see note 92).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2. CAPITAL MARKETS UNION</w:t>
      </w:r>
      <w:r>
        <w:t xml:space="preserve"> </w:t>
      </w:r>
      <w:r>
        <w:t xml:space="preserve">Building on its goal to finalise the creation of capital markets union (CMU), the</w:t>
      </w:r>
      <w:r>
        <w:t xml:space="preserve"> </w:t>
      </w:r>
      <w:r>
        <w:t xml:space="preserve">Commission launched a call for expression of interest to join a High-Level Forum</w:t>
      </w:r>
      <w:r>
        <w:t xml:space="preserve"> </w:t>
      </w:r>
      <w:r>
        <w:t xml:space="preserve">(HLF) on capital markets union on 10 October 2019.</w:t>
      </w:r>
      <w:r>
        <w:t xml:space="preserve"> </w:t>
      </w:r>
      <w:r>
        <w:t xml:space="preserve">On 10 June 2020 the HLF published its final report258 and recommended, amongst</w:t>
      </w:r>
      <w:r>
        <w:t xml:space="preserve"> </w:t>
      </w:r>
      <w:r>
        <w:t xml:space="preserve">others, that the Commission conducts a targeted review of CSDR to strengthen the CSD</w:t>
      </w:r>
      <w:r>
        <w:t xml:space="preserve"> </w:t>
      </w:r>
      <w:r>
        <w:t xml:space="preserve">passport and improve supervisory convergence among national competent authorities. It</w:t>
      </w:r>
      <w:r>
        <w:t xml:space="preserve"> </w:t>
      </w:r>
      <w:r>
        <w:t xml:space="preserve">also invited national central banks to facilitate the servicing of domestic issuance in non-</w:t>
      </w:r>
      <w:r>
        <w:t xml:space="preserve"> </w:t>
      </w:r>
      <w:r>
        <w:t xml:space="preserve">domestic central bank money. A call for feedback on this final report has provided the</w:t>
      </w:r>
      <w:r>
        <w:t xml:space="preserve"> </w:t>
      </w:r>
      <w:r>
        <w:t xml:space="preserve">Commission with views from a wider range of stakeholders.</w:t>
      </w:r>
      <w:r>
        <w:t xml:space="preserve"> </w:t>
      </w:r>
      <w:r>
        <w:t xml:space="preserve">The 2020 CMU Action Plan259 announced the Commission’s intention to come forward</w:t>
      </w:r>
      <w:r>
        <w:t xml:space="preserve"> </w:t>
      </w:r>
      <w:r>
        <w:t xml:space="preserve">with a legislative proposal to amend CSDR to improve its efficiency and effectiveness</w:t>
      </w:r>
      <w:r>
        <w:t xml:space="preserve"> </w:t>
      </w:r>
      <w:r>
        <w:t xml:space="preserve">(CSDR REFIT) and contribute to the development of a more efficient post-trading</w:t>
      </w:r>
      <w:r>
        <w:t xml:space="preserve"> </w:t>
      </w:r>
      <w:r>
        <w:t xml:space="preserve">landscape in the EU. In particular, Action 13 (developing cross-border services) states</w:t>
      </w:r>
      <w:r>
        <w:t xml:space="preserve"> </w:t>
      </w:r>
      <w:r>
        <w:t xml:space="preserve">that “to improve the cross-border provision of settlement services in the EU without</w:t>
      </w:r>
      <w:r>
        <w:t xml:space="preserve"> </w:t>
      </w:r>
      <w:r>
        <w:t xml:space="preserve">negatively impacting financial stability, the Commission will review the rules covering a</w:t>
      </w:r>
      <w:r>
        <w:t xml:space="preserve"> </w:t>
      </w:r>
      <w:r>
        <w:t xml:space="preserve">wide range of topics, including: (i) the cross-border provision of services by CSDs on the</w:t>
      </w:r>
      <w:r>
        <w:t xml:space="preserve"> </w:t>
      </w:r>
      <w:r>
        <w:t xml:space="preserve">basis of a CSD passport and (ii) the procedures and conditions under which CSDs have</w:t>
      </w:r>
      <w:r>
        <w:t xml:space="preserve"> </w:t>
      </w:r>
      <w:r>
        <w:t xml:space="preserve">been authorised to designate credit institutions or themselves to provide banking-type</w:t>
      </w:r>
      <w:r>
        <w:t xml:space="preserve"> </w:t>
      </w:r>
      <w:r>
        <w:t xml:space="preserve">ancillary services”.</w:t>
      </w:r>
      <w:r>
        <w:t xml:space="preserve"> </w:t>
      </w:r>
      <w:r>
        <w:t xml:space="preserve">3. ESMA</w:t>
      </w:r>
      <w:r>
        <w:t xml:space="preserve"> </w:t>
      </w:r>
      <w:r>
        <w:t xml:space="preserve">Under Article 74 of CSDR, ESMA is required to submit a number of reports to the</w:t>
      </w:r>
      <w:r>
        <w:t xml:space="preserve"> </w:t>
      </w:r>
      <w:r>
        <w:t xml:space="preserve">Commission on the implementation of the Regulation annually. Four reports published</w:t>
      </w:r>
      <w:r>
        <w:t xml:space="preserve"> </w:t>
      </w:r>
      <w:r>
        <w:t xml:space="preserve">in 2020 and 2021 were submitted to the Commission in the context of the CSDR</w:t>
      </w:r>
      <w:r>
        <w:t xml:space="preserve"> </w:t>
      </w:r>
      <w:r>
        <w:t xml:space="preserve">review. In November 2020, ESMA submitted two reports on internalised settlement260</w:t>
      </w:r>
      <w:r>
        <w:t xml:space="preserve"> </w:t>
      </w:r>
      <w:r>
        <w:t xml:space="preserve">and the cross-border provision of services by CSDs and the handling of applications to</w:t>
      </w:r>
      <w:r>
        <w:t xml:space="preserve"> </w:t>
      </w:r>
      <w:r>
        <w:t xml:space="preserve">provide notary and central maintenance services cross-border261. In July and August</w:t>
      </w:r>
      <w:r>
        <w:t xml:space="preserve"> </w:t>
      </w:r>
      <w:r>
        <w:t xml:space="preserve">2021, ESMA submitted two additional reports on the provision of banking-type ancillary</w:t>
      </w:r>
      <w:r>
        <w:t xml:space="preserve"> </w:t>
      </w:r>
      <w:r>
        <w:t xml:space="preserve">services under CSDR262 and the use of fintech by CSDs263.</w:t>
      </w:r>
      <w:r>
        <w:br/>
      </w:r>
      <w:r>
        <w:t xml:space="preserve">On 20 May 2021, ESMA also sent a letter to the Commission264 suggesting changes in</w:t>
      </w:r>
      <w:r>
        <w:t xml:space="preserve"> </w:t>
      </w:r>
      <w:r>
        <w:t xml:space="preserve">three areas: in relation to T2S, the third-country recognition regime, and the frequency of</w:t>
      </w:r>
      <w:r>
        <w:t xml:space="preserve"> </w:t>
      </w:r>
      <w:r>
        <w:t xml:space="preserve">ESMA reports to the European Commission on CSDR implementation. ESMA sent</w:t>
      </w:r>
    </w:p>
    <w:p>
      <w:pPr>
        <w:pStyle w:val="BodyText"/>
      </w:pPr>
      <w:r>
        <w:t xml:space="preserve">258 Final report of the High Level Forum on the Capital Markets Union (see note 70).(europa.eu).:</w:t>
      </w:r>
      <w:r>
        <w:br/>
      </w:r>
      <w:r>
        <w:t xml:space="preserve">259 Commission Communication ‘A Capital Markets Union for people and businesses – New Action Plan’ (see</w:t>
      </w:r>
      <w:r>
        <w:t xml:space="preserve"> </w:t>
      </w:r>
      <w:r>
        <w:t xml:space="preserve">note 10), Action 13.</w:t>
      </w:r>
      <w:r>
        <w:t xml:space="preserve"> </w:t>
      </w:r>
      <w:r>
        <w:t xml:space="preserve">260 https://www.esma.europa.eu/sites/default/files/library/esma70-156-3729_csdr_report_to_ec_-</w:t>
      </w:r>
      <w:r>
        <w:t xml:space="preserve"> </w:t>
      </w:r>
      <w:r>
        <w:rPr>
          <w:i/>
          <w:iCs/>
        </w:rPr>
        <w:t xml:space="preserve">internalised_settlement.pdf</w:t>
      </w:r>
      <w:r>
        <w:rPr>
          <w:i/>
          <w:iCs/>
        </w:rPr>
        <w:t xml:space="preserve"> </w:t>
      </w:r>
      <w:r>
        <w:rPr>
          <w:i/>
          <w:iCs/>
        </w:rPr>
        <w:t xml:space="preserve">261 https://www.esma.europa.eu/sites/default/files/library/esma70-156-3569_csdr_report_to_ec</w:t>
      </w:r>
      <w:r>
        <w:t xml:space="preserve">-</w:t>
      </w:r>
      <w:r>
        <w:rPr>
          <w:i/>
          <w:iCs/>
        </w:rPr>
        <w:t xml:space="preserve">csd_cross-</w:t>
      </w:r>
      <w:r>
        <w:rPr>
          <w:i/>
          <w:iCs/>
        </w:rPr>
        <w:t xml:space="preserve"> </w:t>
      </w:r>
      <w:r>
        <w:rPr>
          <w:i/>
          <w:iCs/>
        </w:rPr>
        <w:t xml:space="preserve">border_services.pdf</w:t>
      </w:r>
      <w:r>
        <w:rPr>
          <w:i/>
          <w:iCs/>
        </w:rPr>
        <w:t xml:space="preserve"> </w:t>
      </w:r>
      <w:r>
        <w:rPr>
          <w:i/>
          <w:iCs/>
        </w:rPr>
        <w:t xml:space="preserve">262 esma70-156-4582_report_to_the_ec</w:t>
      </w:r>
      <w:r>
        <w:t xml:space="preserve">-</w:t>
      </w:r>
      <w:r>
        <w:rPr>
          <w:i/>
          <w:iCs/>
        </w:rPr>
        <w:t xml:space="preserve">csdr_banking_services.pdf (europa.eu)</w:t>
      </w:r>
      <w:r>
        <w:rPr>
          <w:i/>
          <w:iCs/>
        </w:rPr>
        <w:t xml:space="preserve"> </w:t>
      </w:r>
      <w:r>
        <w:rPr>
          <w:i/>
          <w:iCs/>
        </w:rPr>
        <w:t xml:space="preserve">263 Report to the European Commission: use of Fintech by CSDs, ESMA, 2 August 2021: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https://www.esma.europa.eu/sites/default/files/library/esma70-156-3569_csdr_report_to_ec</w:t>
      </w:r>
      <w:r>
        <w:t xml:space="preserve">-</w:t>
      </w:r>
      <w:r>
        <w:rPr>
          <w:i/>
          <w:iCs/>
        </w:rPr>
        <w:t xml:space="preserve">csd_cross-</w:t>
      </w:r>
      <w:r>
        <w:rPr>
          <w:i/>
          <w:iCs/>
        </w:rPr>
        <w:t xml:space="preserve"> </w:t>
      </w:r>
      <w:r>
        <w:rPr>
          <w:i/>
          <w:iCs/>
        </w:rPr>
        <w:t xml:space="preserve">border_services.pdf</w:t>
      </w:r>
      <w:r>
        <w:rPr>
          <w:i/>
          <w:iCs/>
        </w:rPr>
        <w:t xml:space="preserve"> </w:t>
      </w:r>
      <w:r>
        <w:rPr>
          <w:i/>
          <w:iCs/>
        </w:rPr>
        <w:t xml:space="preserve">264 https://www.esma.europa.eu/sites/default/files/library/esma70-156-4519_letter_to_ec</w:t>
      </w:r>
      <w:r>
        <w:t xml:space="preserve">-_csdr_review.pdf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another letter on 23 September 2021, supporting a delay in the application of the buy-in</w:t>
      </w:r>
      <w:r>
        <w:t xml:space="preserve"> </w:t>
      </w:r>
      <w:r>
        <w:t xml:space="preserve">regime.265</w:t>
      </w:r>
      <w:r>
        <w:t xml:space="preserve"> </w:t>
      </w:r>
      <w:r>
        <w:t xml:space="preserve">4. MEETING OF THE DERIVATIVES AND MARKET INFRASTRUCTURES MEMBER</w:t>
      </w:r>
      <w:r>
        <w:t xml:space="preserve"> </w:t>
      </w:r>
      <w:r>
        <w:t xml:space="preserve">STATES WORKING GROUP</w:t>
      </w:r>
      <w:r>
        <w:t xml:space="preserve"> </w:t>
      </w:r>
      <w:r>
        <w:t xml:space="preserve">The Commission conducted several meetings with Member States, stakeholders,</w:t>
      </w:r>
      <w:r>
        <w:t xml:space="preserve"> </w:t>
      </w:r>
      <w:r>
        <w:t xml:space="preserve">and MEPs. In particular, in September 2020, the Commission held a Member States’</w:t>
      </w:r>
      <w:r>
        <w:t xml:space="preserve"> </w:t>
      </w:r>
      <w:r>
        <w:t xml:space="preserve">Expert Group meeting. The European Parliament Economic and Monetary Affairs</w:t>
      </w:r>
      <w:r>
        <w:t xml:space="preserve"> </w:t>
      </w:r>
      <w:r>
        <w:t xml:space="preserve">Committee secretariat, the ECB and ESMA were also invited. A subsequent meeting was</w:t>
      </w:r>
      <w:r>
        <w:t xml:space="preserve"> </w:t>
      </w:r>
      <w:r>
        <w:t xml:space="preserve">held in July 2021 to consider a wide range of policy options and their potential impacts.</w:t>
      </w:r>
      <w:r>
        <w:t xml:space="preserve"> </w:t>
      </w:r>
      <w:r>
        <w:t xml:space="preserve">A summary of the discussions is available online for both meetings266. In addition, a</w:t>
      </w:r>
      <w:r>
        <w:t xml:space="preserve"> </w:t>
      </w:r>
      <w:r>
        <w:t xml:space="preserve">meeting was held on 6 September 2021 with MEPs to present the CSDR report267 and the</w:t>
      </w:r>
      <w:r>
        <w:t xml:space="preserve"> </w:t>
      </w:r>
      <w:r>
        <w:t xml:space="preserve">next steps.</w:t>
      </w:r>
    </w:p>
    <w:p>
      <w:pPr>
        <w:pStyle w:val="BodyText"/>
      </w:pPr>
      <w:r>
        <w:t xml:space="preserve">265 ESMA letter to the European Commission, ‘ESMA’s views on the way forward on settlement discipline 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CSDR</w:t>
      </w:r>
      <w:r>
        <w:t xml:space="preserve"> </w:t>
      </w:r>
      <w:r>
        <w:t xml:space="preserve">review’,</w:t>
      </w:r>
      <w:r>
        <w:t xml:space="preserve"> </w:t>
      </w:r>
      <w:r>
        <w:t xml:space="preserve">23</w:t>
      </w:r>
      <w:r>
        <w:t xml:space="preserve"> </w:t>
      </w:r>
      <w:r>
        <w:t xml:space="preserve">September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https://www.esma.europa.eu/file/120971/download?token=IjhiamXS.</w:t>
      </w:r>
      <w:r>
        <w:t xml:space="preserve"> </w:t>
      </w:r>
      <w:r>
        <w:t xml:space="preserve">266 Link to the minutes of the meetings to be added once they are published.</w:t>
      </w:r>
      <w:r>
        <w:t xml:space="preserve"> </w:t>
      </w:r>
      <w:r>
        <w:t xml:space="preserve">267 Report from the Commission to the European Parliament and the Council under Article 75 of Regulation</w:t>
      </w:r>
      <w:r>
        <w:t xml:space="preserve"> </w:t>
      </w:r>
      <w:r>
        <w:t xml:space="preserve">(EU) No 909/2014 of the European Parliament and of the Council of 23 July 2014 on improving securities</w:t>
      </w:r>
      <w:r>
        <w:t xml:space="preserve"> </w:t>
      </w:r>
      <w:r>
        <w:t xml:space="preserve">settlement in the European Union and on central securities depositories and amending Directives 98/26/EC</w:t>
      </w:r>
      <w:r>
        <w:t xml:space="preserve"> </w:t>
      </w:r>
      <w:r>
        <w:t xml:space="preserve">and 2014/65/EU and Regulation (EU) No 236/2012, COM(2021) 348 final, 1 July 2021:</w:t>
      </w:r>
      <w:r>
        <w:t xml:space="preserve"> </w:t>
      </w:r>
      <w:r>
        <w:t xml:space="preserve">https://ec.europa.eu/finance/docs/policy/210701-csdr-report_en.pdf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ANNEX 3: WHO IS AFFECTED AND HOW?</w:t>
      </w:r>
    </w:p>
    <w:p>
      <w:pPr>
        <w:pStyle w:val="BodyText"/>
      </w:pPr>
      <w:r>
        <w:t xml:space="preserve">Practical implications of the initiative</w:t>
      </w:r>
      <w:r>
        <w:t xml:space="preserve"> </w:t>
      </w:r>
      <w:r>
        <w:t xml:space="preserve">1. IMPLICATIONS FOR CSDS</w:t>
      </w:r>
      <w:r>
        <w:t xml:space="preserve"> </w:t>
      </w:r>
      <w:r>
        <w:t xml:space="preserve">Most options retained have a positive effect ensuring more proportionate regulation of</w:t>
      </w:r>
      <w:r>
        <w:t xml:space="preserve"> </w:t>
      </w:r>
      <w:r>
        <w:t xml:space="preserve">CSDs and enhancing the competitiveness of the EU settlement market.</w:t>
      </w:r>
      <w:r>
        <w:br/>
      </w:r>
      <w:r>
        <w:t xml:space="preserve">First, CSDs would benefit from reduced costs when operating in the EU, notably due to a</w:t>
      </w:r>
      <w:r>
        <w:t xml:space="preserve"> </w:t>
      </w:r>
      <w:r>
        <w:t xml:space="preserve">reduction of barriers to cross-border settlement stemming from the setting up of</w:t>
      </w:r>
      <w:r>
        <w:t xml:space="preserve"> </w:t>
      </w:r>
      <w:r>
        <w:t xml:space="preserve">mandatory colleges and the replacement of the current passporting procedure at the</w:t>
      </w:r>
      <w:r>
        <w:t xml:space="preserve"> </w:t>
      </w:r>
      <w:r>
        <w:t xml:space="preserve">Member State level by a simple notification.</w:t>
      </w:r>
      <w:r>
        <w:br/>
      </w:r>
      <w:r>
        <w:t xml:space="preserve">In particular, the passporting requirements related to national laws and the role of</w:t>
      </w:r>
      <w:r>
        <w:t xml:space="preserve"> </w:t>
      </w:r>
      <w:r>
        <w:t xml:space="preserve">national authorities are the ones that raised most issues. Removing such requirements</w:t>
      </w:r>
      <w:r>
        <w:t xml:space="preserve"> </w:t>
      </w:r>
      <w:r>
        <w:t xml:space="preserve">would alleviate, clarify and accelerate the passporting process. This benefit would be</w:t>
      </w:r>
      <w:r>
        <w:t xml:space="preserve"> </w:t>
      </w:r>
      <w:r>
        <w:t xml:space="preserve">ongoing. Should a CSD wish to passport in 26 Member States to be able to provide</w:t>
      </w:r>
      <w:r>
        <w:t xml:space="preserve"> </w:t>
      </w:r>
      <w:r>
        <w:t xml:space="preserve">services throughout the EU, it is estimated that it would cost on average at least</w:t>
      </w:r>
      <w:r>
        <w:t xml:space="preserve"> </w:t>
      </w:r>
      <w:r>
        <w:t xml:space="preserve">EUR 780 000 (see section 2.3.1). Should the simplified passporting process reduce by</w:t>
      </w:r>
      <w:r>
        <w:t xml:space="preserve"> </w:t>
      </w:r>
      <w:r>
        <w:t xml:space="preserve">75% the costs of passporting, this CSD would incur a one-off saving, on average,</w:t>
      </w:r>
      <w:r>
        <w:t xml:space="preserve"> </w:t>
      </w:r>
      <w:r>
        <w:t xml:space="preserve">EUR 585 000. Currently 15 CSDs are providing services cross border in at least one</w:t>
      </w:r>
      <w:r>
        <w:t xml:space="preserve"> </w:t>
      </w:r>
      <w:r>
        <w:t xml:space="preserve">Member State. If the simplified passporting process allows at least 10 other CSDs to</w:t>
      </w:r>
      <w:r>
        <w:t xml:space="preserve"> </w:t>
      </w:r>
      <w:r>
        <w:t xml:space="preserve">passport in 26 Member States this would help to save on average EUR 5 850 000 for</w:t>
      </w:r>
      <w:r>
        <w:t xml:space="preserve"> </w:t>
      </w:r>
      <w:r>
        <w:t xml:space="preserve">CSDs. This would be a one-off benefit for CSDs.268 Ongoing costs of monitoring</w:t>
      </w:r>
      <w:r>
        <w:t xml:space="preserve"> </w:t>
      </w:r>
      <w:r>
        <w:t xml:space="preserve">compliance with the passport would also be significantly reduced. Should a CSD</w:t>
      </w:r>
      <w:r>
        <w:t xml:space="preserve"> </w:t>
      </w:r>
      <w:r>
        <w:t xml:space="preserve">passport in 26 Member States to provide services throughout the EU, it is estimated that</w:t>
      </w:r>
      <w:r>
        <w:t xml:space="preserve"> </w:t>
      </w:r>
      <w:r>
        <w:t xml:space="preserve">it would cost on average at least EUR 52 000 per year (see section 2.3.1). Should the</w:t>
      </w:r>
      <w:r>
        <w:t xml:space="preserve"> </w:t>
      </w:r>
      <w:r>
        <w:t xml:space="preserve">simplified passporting process reduce by 75% the costs of passporting, this CSD would</w:t>
      </w:r>
      <w:r>
        <w:t xml:space="preserve"> </w:t>
      </w:r>
      <w:r>
        <w:t xml:space="preserve">be saving, on average, EUR 39 000 per year. Currently 15 CSDs are providing services</w:t>
      </w:r>
      <w:r>
        <w:t xml:space="preserve"> </w:t>
      </w:r>
      <w:r>
        <w:t xml:space="preserve">cross border in at least one Member State. If the simplified passporting process entails at</w:t>
      </w:r>
      <w:r>
        <w:t xml:space="preserve"> </w:t>
      </w:r>
      <w:r>
        <w:t xml:space="preserve">least 10 other CSDs to passport in 26 Member States this would help to save ca.</w:t>
      </w:r>
      <w:r>
        <w:t xml:space="preserve"> </w:t>
      </w:r>
      <w:r>
        <w:t xml:space="preserve">EUR 390 000 for CSDs per year. This would be ongoing benefit for CSDs.</w:t>
      </w:r>
      <w:r>
        <w:br/>
      </w:r>
      <w:r>
        <w:t xml:space="preserve">The introduction of mandatory colleges would also benefit to EU CSDs due to the legal</w:t>
      </w:r>
      <w:r>
        <w:t xml:space="preserve"> </w:t>
      </w:r>
      <w:r>
        <w:t xml:space="preserve">certainty related to the enhancement of supervisory convergence and reduction of the</w:t>
      </w:r>
      <w:r>
        <w:t xml:space="preserve"> </w:t>
      </w:r>
      <w:r>
        <w:t xml:space="preserve">level of interactions of CSDs with various national competent authorities across the EU.</w:t>
      </w:r>
      <w:r>
        <w:t xml:space="preserve"> </w:t>
      </w:r>
      <w:r>
        <w:t xml:space="preserve">Second, CSDs would benefit from a reinforced level playing field, both within the EU,</w:t>
      </w:r>
      <w:r>
        <w:t xml:space="preserve"> </w:t>
      </w:r>
      <w:r>
        <w:t xml:space="preserve">with the introduction of mandatory colleges that would help ensuring consistency of the</w:t>
      </w:r>
      <w:r>
        <w:t xml:space="preserve"> </w:t>
      </w:r>
      <w:r>
        <w:t xml:space="preserve">supervisory approaches across Member States, and outside the EU, with the end date of</w:t>
      </w:r>
      <w:r>
        <w:t xml:space="preserve"> </w:t>
      </w:r>
      <w:r>
        <w:t xml:space="preserve">the grandfathering clause for third-country CSDs. The implementation of a notification</w:t>
      </w:r>
      <w:r>
        <w:t xml:space="preserve"> </w:t>
      </w:r>
      <w:r>
        <w:t xml:space="preserve">requirement by third-country CSDs regarding the activities they carry out within the EU</w:t>
      </w:r>
      <w:r>
        <w:t xml:space="preserve"> </w:t>
      </w:r>
      <w:r>
        <w:t xml:space="preserve">and/or with EU participants would also indirectly benefit to EU CSDs, as it would help</w:t>
      </w:r>
      <w:r>
        <w:t xml:space="preserve"> </w:t>
      </w:r>
      <w:r>
        <w:t xml:space="preserve">identify which third-country CSDs provide services and in which volumes, thus</w:t>
      </w:r>
      <w:r>
        <w:t xml:space="preserve"> </w:t>
      </w:r>
      <w:r>
        <w:t xml:space="preserve">increasing transparency in the market for EU CSDs.</w:t>
      </w:r>
      <w:r>
        <w:br/>
      </w:r>
      <w:r>
        <w:t xml:space="preserve">Third, the preferred options regarding the provision of banking services related to</w:t>
      </w:r>
      <w:r>
        <w:t xml:space="preserve"> </w:t>
      </w:r>
      <w:r>
        <w:t xml:space="preserve">settlement in foreign currencies may create additional opportunities for CSDs that do not</w:t>
      </w:r>
    </w:p>
    <w:p>
      <w:pPr>
        <w:pStyle w:val="BodyText"/>
      </w:pPr>
      <w:r>
        <w:t xml:space="preserve">268 Commission calculations based on confidential information provided to DG FISMA services.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hold a banking license and thus increase competition in this domain. The option</w:t>
      </w:r>
      <w:r>
        <w:t xml:space="preserve"> </w:t>
      </w:r>
      <w:r>
        <w:t xml:space="preserve">consisting in allowing CSDs already authorised to provide banking services (or “banking</w:t>
      </w:r>
      <w:r>
        <w:t xml:space="preserve"> </w:t>
      </w:r>
      <w:r>
        <w:t xml:space="preserve">CSDs”) to offer such services to CSDs that do not have such authorisation (“non-banking</w:t>
      </w:r>
      <w:r>
        <w:t xml:space="preserve"> </w:t>
      </w:r>
      <w:r>
        <w:t xml:space="preserve">CSDs”) could immediately start since it would not require any further authorisation and</w:t>
      </w:r>
      <w:r>
        <w:t xml:space="preserve"> </w:t>
      </w:r>
      <w:r>
        <w:t xml:space="preserve">the risk management arrangement are already in place at the level of the banking CSDs.</w:t>
      </w:r>
      <w:r>
        <w:t xml:space="preserve"> </w:t>
      </w:r>
      <w:r>
        <w:t xml:space="preserve">On the downside, it could favour groups that already include a banking CSDs and, from a</w:t>
      </w:r>
      <w:r>
        <w:t xml:space="preserve"> </w:t>
      </w:r>
      <w:r>
        <w:t xml:space="preserve">risk perspective, concentrate the risks within such groups.</w:t>
      </w:r>
      <w:r>
        <w:br/>
      </w:r>
      <w:r>
        <w:t xml:space="preserve">Increasing the threshold could enable some CSDs to develop their services to investors</w:t>
      </w:r>
      <w:r>
        <w:t xml:space="preserve"> </w:t>
      </w:r>
      <w:r>
        <w:t xml:space="preserve">both domestically and cross-border and thus obtain appropriate economies of scale to</w:t>
      </w:r>
      <w:r>
        <w:t xml:space="preserve"> </w:t>
      </w:r>
      <w:r>
        <w:t xml:space="preserve">cover authorisation costs to provide banking services themselves. The combination of</w:t>
      </w:r>
      <w:r>
        <w:t xml:space="preserve"> </w:t>
      </w:r>
      <w:r>
        <w:t xml:space="preserve">these would further amplify the possible benefits.</w:t>
      </w:r>
      <w:r>
        <w:t xml:space="preserve"> </w:t>
      </w:r>
      <w:r>
        <w:t xml:space="preserve">It is estimated that269 EUR 16 billion additional settlement in foreign currencies could be</w:t>
      </w:r>
      <w:r>
        <w:t xml:space="preserve"> </w:t>
      </w:r>
      <w:r>
        <w:t xml:space="preserve">expected on an annual basis270. If extrapolated to the total number of EEA non-banking</w:t>
      </w:r>
      <w:r>
        <w:t xml:space="preserve"> </w:t>
      </w:r>
      <w:r>
        <w:t xml:space="preserve">CSDs, this could mean an additional annual possible offering of at least EUR 80 billion</w:t>
      </w:r>
      <w:r>
        <w:t xml:space="preserve"> </w:t>
      </w:r>
      <w:r>
        <w:t xml:space="preserve">of settlement in foreign currencies. This does not take into account whether if this</w:t>
      </w:r>
      <w:r>
        <w:t xml:space="preserve"> </w:t>
      </w:r>
      <w:r>
        <w:t xml:space="preserve">additional settlement would affect existing settlement in foreign currencies undertaken by</w:t>
      </w:r>
      <w:r>
        <w:t xml:space="preserve"> </w:t>
      </w:r>
      <w:r>
        <w:t xml:space="preserve">CSDs already authorised to provide ancillary banking services. The additional offering of</w:t>
      </w:r>
      <w:r>
        <w:t xml:space="preserve"> </w:t>
      </w:r>
      <w:r>
        <w:t xml:space="preserve">settlement in foreign currencies would tap in the identified demand, mostly in the area of</w:t>
      </w:r>
      <w:r>
        <w:t xml:space="preserve"> </w:t>
      </w:r>
      <w:r>
        <w:t xml:space="preserve">bonds where a lack of offering holds back multi-currency bond issuance. Increased</w:t>
      </w:r>
      <w:r>
        <w:t xml:space="preserve"> </w:t>
      </w:r>
      <w:r>
        <w:t xml:space="preserve">competition between CSDs could also drive more innovation by CSDs and hence</w:t>
      </w:r>
      <w:r>
        <w:t xml:space="preserve"> </w:t>
      </w:r>
      <w:r>
        <w:t xml:space="preserve">settlement efficiencies.</w:t>
      </w:r>
      <w:r>
        <w:t xml:space="preserve"> </w:t>
      </w:r>
      <w:r>
        <w:t xml:space="preserve">An unlikely negative effect could be the possible increased probability of contagion</w:t>
      </w:r>
      <w:r>
        <w:t xml:space="preserve"> </w:t>
      </w:r>
      <w:r>
        <w:t xml:space="preserve">effects on settlements through defaults of settlement agents in foreign currencies</w:t>
      </w:r>
      <w:r>
        <w:t xml:space="preserve"> </w:t>
      </w:r>
      <w:r>
        <w:t xml:space="preserve">(proportionate to the increased thresholds).271 This could however be offset by increased</w:t>
      </w:r>
      <w:r>
        <w:t xml:space="preserve"> </w:t>
      </w:r>
      <w:r>
        <w:t xml:space="preserve">supervision regarding the relevant credit institutions providing the services to CSDs.</w:t>
      </w:r>
      <w:r>
        <w:t xml:space="preserve"> </w:t>
      </w:r>
      <w:r>
        <w:t xml:space="preserve">One-off costs (authorisations or setting up the operational capacity) could be covered by</w:t>
      </w:r>
      <w:r>
        <w:t xml:space="preserve"> </w:t>
      </w:r>
      <w:r>
        <w:t xml:space="preserve">longer term providing of the service.</w:t>
      </w:r>
      <w:r>
        <w:br/>
      </w:r>
      <w:r>
        <w:t xml:space="preserve">Finally, the proposed changes to the settlement discipline regime would ensure a more</w:t>
      </w:r>
      <w:r>
        <w:t xml:space="preserve"> </w:t>
      </w:r>
      <w:r>
        <w:t xml:space="preserve">proportionate approach to the treatment of settlement fails. The target amendments</w:t>
      </w:r>
      <w:r>
        <w:t xml:space="preserve"> </w:t>
      </w:r>
      <w:r>
        <w:t xml:space="preserve">contemplated for cash penalties and mandatory buy-in would bring the needed clarity to</w:t>
      </w:r>
      <w:r>
        <w:t xml:space="preserve"> </w:t>
      </w:r>
      <w:r>
        <w:t xml:space="preserve">CSDs in order to implement these requirements in the most efficient manner. CSDs</w:t>
      </w:r>
      <w:r>
        <w:t xml:space="preserve"> </w:t>
      </w:r>
      <w:r>
        <w:t xml:space="preserve">would be affected directly by the suspension of the buy-in framework, and there would</w:t>
      </w:r>
      <w:r>
        <w:t xml:space="preserve"> </w:t>
      </w:r>
      <w:r>
        <w:t xml:space="preserve">be sunk (or at least delayed) costs to a greater or lesser degree depending on the CSD in</w:t>
      </w:r>
      <w:r>
        <w:t xml:space="preserve"> </w:t>
      </w:r>
      <w:r>
        <w:t xml:space="preserve">question.272</w:t>
      </w:r>
      <w:r>
        <w:t xml:space="preserve"> </w:t>
      </w:r>
      <w:r>
        <w:t xml:space="preserve">2. IMPLICATIONS FOR ISSUERS</w:t>
      </w:r>
      <w:r>
        <w:br/>
      </w:r>
      <w:r>
        <w:t xml:space="preserve">Under the preferred options, issuers would benefit from increased competition between</w:t>
      </w:r>
      <w:r>
        <w:t xml:space="preserve"> </w:t>
      </w:r>
      <w:r>
        <w:t xml:space="preserve">CSDs. The replacement of the passporting procedure at the level of the host Member</w:t>
      </w:r>
      <w:r>
        <w:t xml:space="preserve"> </w:t>
      </w:r>
      <w:r>
        <w:t xml:space="preserve">State with a simple notification would increase cross-border activities. In addition, an</w:t>
      </w:r>
      <w:r>
        <w:t xml:space="preserve"> </w:t>
      </w:r>
      <w:r>
        <w:t xml:space="preserve">improved framework for the cross-border provision of services through the establishment</w:t>
      </w:r>
    </w:p>
    <w:p>
      <w:pPr>
        <w:pStyle w:val="BodyText"/>
      </w:pPr>
      <w:r>
        <w:t xml:space="preserve">269 European Commission consultation, ECB consultation (confidential) and ESMA Report ‘Provision of</w:t>
      </w:r>
      <w:r>
        <w:t xml:space="preserve"> </w:t>
      </w:r>
      <w:r>
        <w:t xml:space="preserve">banking-type ancillary services under CSDR’ (see note 88).</w:t>
      </w:r>
      <w:r>
        <w:br/>
      </w:r>
      <w:r>
        <w:t xml:space="preserve">270 Current total absolute value of settlement of the CSDs and applied the growth percentages mentioned by</w:t>
      </w:r>
      <w:r>
        <w:t xml:space="preserve"> </w:t>
      </w:r>
      <w:r>
        <w:t xml:space="preserve">the CSDs themselves. This gives an anticipated total of settlement in foreign currencies (settlement +</w:t>
      </w:r>
      <w:r>
        <w:t xml:space="preserve"> </w:t>
      </w:r>
      <w:r>
        <w:t xml:space="preserve">corporate actions). We then subtracted from these figures the current absolute values in foreign currencies,</w:t>
      </w:r>
      <w:r>
        <w:t xml:space="preserve"> </w:t>
      </w:r>
      <w:r>
        <w:t xml:space="preserve">which gives the anticipated total net gain from the proposed CSDR changes.</w:t>
      </w:r>
      <w:r>
        <w:t xml:space="preserve"> </w:t>
      </w:r>
      <w:r>
        <w:t xml:space="preserve">271 Confidential information provided to DG FISMA services.</w:t>
      </w:r>
      <w:r>
        <w:t xml:space="preserve"> </w:t>
      </w:r>
      <w:r>
        <w:t xml:space="preserve">272272 Supported by confidential information provided to DG FISMA services.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of mandatory colleges could lead to an increased supervisory convergence, thus</w:t>
      </w:r>
      <w:r>
        <w:t xml:space="preserve"> </w:t>
      </w:r>
      <w:r>
        <w:t xml:space="preserve">removing some barriers to the competition between CSDs. Together, the proposed</w:t>
      </w:r>
      <w:r>
        <w:t xml:space="preserve"> </w:t>
      </w:r>
      <w:r>
        <w:t xml:space="preserve">changes to CSDR could lead to more competition between CSDs and a wider choice for</w:t>
      </w:r>
      <w:r>
        <w:t xml:space="preserve"> </w:t>
      </w:r>
      <w:r>
        <w:t xml:space="preserve">issuers of listing venues and access to a deeper capital market.</w:t>
      </w:r>
      <w:r>
        <w:br/>
      </w:r>
      <w:r>
        <w:t xml:space="preserve">In the same vein, under the preferred options regarding the provision of banking services</w:t>
      </w:r>
      <w:r>
        <w:t xml:space="preserve"> </w:t>
      </w:r>
      <w:r>
        <w:t xml:space="preserve">related to settlement in foreign currencies by non-banking CSDs, issuers would have</w:t>
      </w:r>
      <w:r>
        <w:t xml:space="preserve"> </w:t>
      </w:r>
      <w:r>
        <w:t xml:space="preserve">more choice in terms of financing arrangements and would benefit from increased</w:t>
      </w:r>
      <w:r>
        <w:t xml:space="preserve"> </w:t>
      </w:r>
      <w:r>
        <w:t xml:space="preserve">competition and a greater choice in issuance.</w:t>
      </w:r>
      <w:r>
        <w:br/>
      </w:r>
      <w:r>
        <w:t xml:space="preserve">The enhanced supervision of EU CSDs through the establishment of colleges and of</w:t>
      </w:r>
      <w:r>
        <w:t xml:space="preserve"> </w:t>
      </w:r>
      <w:r>
        <w:t xml:space="preserve">third-country CSDs through the end-date for the grandfathering clause and the</w:t>
      </w:r>
      <w:r>
        <w:t xml:space="preserve"> </w:t>
      </w:r>
      <w:r>
        <w:t xml:space="preserve">notification requirements could have a positive impact on the protection of issuers and</w:t>
      </w:r>
      <w:r>
        <w:t xml:space="preserve"> </w:t>
      </w:r>
      <w:r>
        <w:t xml:space="preserve">investors. In particular, the end of the grandfathering clause for third-country CSDs could</w:t>
      </w:r>
      <w:r>
        <w:t xml:space="preserve"> </w:t>
      </w:r>
      <w:r>
        <w:t xml:space="preserve">positively affect issuers on an ongoing basis as third-country CSDs would have to</w:t>
      </w:r>
      <w:r>
        <w:t xml:space="preserve"> </w:t>
      </w:r>
      <w:r>
        <w:t xml:space="preserve">operate under a regime equivalent to CSDR, and therefore according to the same</w:t>
      </w:r>
      <w:r>
        <w:t xml:space="preserve"> </w:t>
      </w:r>
      <w:r>
        <w:t xml:space="preserve">standards in terms of protection of issuers. The notification requirement for third-country</w:t>
      </w:r>
      <w:r>
        <w:t xml:space="preserve"> </w:t>
      </w:r>
      <w:r>
        <w:t xml:space="preserve">CSDs would also have a positive impact on issuers as it would increase transparency in</w:t>
      </w:r>
      <w:r>
        <w:t xml:space="preserve"> </w:t>
      </w:r>
      <w:r>
        <w:t xml:space="preserve">the market, which would help identifying any potential risks, in particular on financial</w:t>
      </w:r>
      <w:r>
        <w:t xml:space="preserve"> </w:t>
      </w:r>
      <w:r>
        <w:t xml:space="preserve">stability.</w:t>
      </w:r>
      <w:r>
        <w:br/>
      </w:r>
      <w:r>
        <w:t xml:space="preserve">With regard to the end of the grandfathering clause for third-country CSDs it should</w:t>
      </w:r>
      <w:r>
        <w:t xml:space="preserve"> </w:t>
      </w:r>
      <w:r>
        <w:t xml:space="preserve">however be noted that, as very little information is available on how many third-country</w:t>
      </w:r>
      <w:r>
        <w:t xml:space="preserve"> </w:t>
      </w:r>
      <w:r>
        <w:t xml:space="preserve">CSDs operate in the EU, this option, when it enters into place, may reduce the number of</w:t>
      </w:r>
      <w:r>
        <w:t xml:space="preserve"> </w:t>
      </w:r>
      <w:r>
        <w:t xml:space="preserve">services offered by third-country CSDs in the EU.</w:t>
      </w:r>
      <w:r>
        <w:t xml:space="preserve"> </w:t>
      </w:r>
      <w:r>
        <w:t xml:space="preserve">Lastly, issuers would benefit from specific clarifications with regards to transactions that</w:t>
      </w:r>
      <w:r>
        <w:t xml:space="preserve"> </w:t>
      </w:r>
      <w:r>
        <w:t xml:space="preserve">are in-scope of the settlement discipline regime. For example, according to some</w:t>
      </w:r>
      <w:r>
        <w:t xml:space="preserve"> </w:t>
      </w:r>
      <w:r>
        <w:t xml:space="preserve">stakeholders, exempting ETP (exchange-traded products) primary market transactions</w:t>
      </w:r>
      <w:r>
        <w:t xml:space="preserve"> </w:t>
      </w:r>
      <w:r>
        <w:t xml:space="preserve">from mandatory buy-in could potentially help avoid a circular scenario whereby the ETP</w:t>
      </w:r>
      <w:r>
        <w:t xml:space="preserve"> </w:t>
      </w:r>
      <w:r>
        <w:t xml:space="preserve">provider creates ETP units just to receive these same units back through the buy-in</w:t>
      </w:r>
      <w:r>
        <w:t xml:space="preserve"> </w:t>
      </w:r>
      <w:r>
        <w:t xml:space="preserve">process to subsequently cancelling them273.</w:t>
      </w:r>
      <w:r>
        <w:t xml:space="preserve"> </w:t>
      </w:r>
      <w:r>
        <w:t xml:space="preserve">3. IMPLICATIONS FOR INVESTORS</w:t>
      </w:r>
      <w:r>
        <w:t xml:space="preserve"> </w:t>
      </w:r>
      <w:r>
        <w:t xml:space="preserve">The main benefits of the chosen options for investors would stem from increased</w:t>
      </w:r>
      <w:r>
        <w:t xml:space="preserve"> </w:t>
      </w:r>
      <w:r>
        <w:t xml:space="preserve">competition between CSDs as well as the introduction of a two-step approach and</w:t>
      </w:r>
      <w:r>
        <w:t xml:space="preserve"> </w:t>
      </w:r>
      <w:r>
        <w:t xml:space="preserve">clarifications to the settlement discipline regime. Competition between CSDs would be</w:t>
      </w:r>
      <w:r>
        <w:t xml:space="preserve"> </w:t>
      </w:r>
      <w:r>
        <w:t xml:space="preserve">enhanced by the replacement of the passporting procedure at the level of the host</w:t>
      </w:r>
      <w:r>
        <w:t xml:space="preserve"> </w:t>
      </w:r>
      <w:r>
        <w:t xml:space="preserve">Member State with a simple notification or through greater supervisory convergence</w:t>
      </w:r>
      <w:r>
        <w:t xml:space="preserve"> </w:t>
      </w:r>
      <w:r>
        <w:t xml:space="preserve">thanks to the establishment of mandatory colleges which would lead to increased CSD</w:t>
      </w:r>
      <w:r>
        <w:t xml:space="preserve"> </w:t>
      </w:r>
      <w:r>
        <w:t xml:space="preserve">cross-border activities. Together, such changes could lead to more integrated capital</w:t>
      </w:r>
      <w:r>
        <w:t xml:space="preserve"> </w:t>
      </w:r>
      <w:r>
        <w:t xml:space="preserve">markets, more efficient settlement, including cross-border settlement, benefitting</w:t>
      </w:r>
      <w:r>
        <w:t xml:space="preserve"> </w:t>
      </w:r>
      <w:r>
        <w:t xml:space="preserve">investors.</w:t>
      </w:r>
      <w:r>
        <w:br/>
      </w:r>
      <w:r>
        <w:t xml:space="preserve">Similarly greater access to settlement in foreign currencies by non-banking CSDs would</w:t>
      </w:r>
      <w:r>
        <w:t xml:space="preserve"> </w:t>
      </w:r>
      <w:r>
        <w:t xml:space="preserve">give investors more choice in terms of instruments and hence greater risk and currency</w:t>
      </w:r>
      <w:r>
        <w:t xml:space="preserve"> </w:t>
      </w:r>
      <w:r>
        <w:t xml:space="preserve">diversification in their cross-border investments.</w:t>
      </w:r>
      <w:r>
        <w:br/>
      </w:r>
      <w:r>
        <w:t xml:space="preserve">The enhanced supervision of EU CSDs through the establishment of colleges and of</w:t>
      </w:r>
      <w:r>
        <w:t xml:space="preserve"> </w:t>
      </w:r>
      <w:r>
        <w:t xml:space="preserve">third-country CSDs through the end-date for the grandfathering clause and the</w:t>
      </w:r>
    </w:p>
    <w:p>
      <w:pPr>
        <w:pStyle w:val="BodyText"/>
      </w:pPr>
      <w:r>
        <w:t xml:space="preserve">273 See EFAMA public consultation reply, Q.31.2 &amp; Q.34.1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notification requirements could have a positive impact on the protection of investors, by</w:t>
      </w:r>
      <w:r>
        <w:t xml:space="preserve"> </w:t>
      </w:r>
      <w:r>
        <w:t xml:space="preserve">giving providing the market with greater transparency, predictability and regulatory</w:t>
      </w:r>
      <w:r>
        <w:t xml:space="preserve"> </w:t>
      </w:r>
      <w:r>
        <w:t xml:space="preserve">stability.</w:t>
      </w:r>
      <w:r>
        <w:br/>
      </w:r>
      <w:r>
        <w:t xml:space="preserve">With regard to the end of the grandfathering clause for third-country CSDs it should</w:t>
      </w:r>
      <w:r>
        <w:t xml:space="preserve"> </w:t>
      </w:r>
      <w:r>
        <w:t xml:space="preserve">however be noted that, as very little information is available on how many third-country</w:t>
      </w:r>
      <w:r>
        <w:t xml:space="preserve"> </w:t>
      </w:r>
      <w:r>
        <w:t xml:space="preserve">CSDs operate in the EU, this option, when it enters into place, may reduce the number of</w:t>
      </w:r>
      <w:r>
        <w:t xml:space="preserve"> </w:t>
      </w:r>
      <w:r>
        <w:t xml:space="preserve">services offered by third-country CSDs in the EU.</w:t>
      </w:r>
      <w:r>
        <w:t xml:space="preserve"> </w:t>
      </w:r>
      <w:r>
        <w:t xml:space="preserve">Finally, the proposed changes to the settlement discipline regime would ensure a more</w:t>
      </w:r>
      <w:r>
        <w:t xml:space="preserve"> </w:t>
      </w:r>
      <w:r>
        <w:t xml:space="preserve">proportionate approach to the treatment of settlement fails, while ensuring that levels of</w:t>
      </w:r>
      <w:r>
        <w:t xml:space="preserve"> </w:t>
      </w:r>
      <w:r>
        <w:t xml:space="preserve">settlement efficiency continue to improve in the EU, benefitting investors.</w:t>
      </w:r>
      <w:r>
        <w:t xml:space="preserve"> </w:t>
      </w:r>
      <w:r>
        <w:t xml:space="preserve">The targeted amendments contemplated for cash penalties and mandatory buy-in would</w:t>
      </w:r>
      <w:r>
        <w:t xml:space="preserve"> </w:t>
      </w:r>
      <w:r>
        <w:t xml:space="preserve">bring necessary clarifications to investors in order to implement these requirements in the</w:t>
      </w:r>
      <w:r>
        <w:t xml:space="preserve"> </w:t>
      </w:r>
      <w:r>
        <w:t xml:space="preserve">most efficient manner. In particular, amendments to the pass-on mechanism would allow</w:t>
      </w:r>
      <w:r>
        <w:t xml:space="preserve"> </w:t>
      </w:r>
      <w:r>
        <w:t xml:space="preserve">solving all settlement fails along the same chain by one buy-in in the original settlement</w:t>
      </w:r>
      <w:r>
        <w:t xml:space="preserve"> </w:t>
      </w:r>
      <w:r>
        <w:t xml:space="preserve">fail which provoked the other fails. According to one estimate the introduction of a pass-</w:t>
      </w:r>
      <w:r>
        <w:t xml:space="preserve"> </w:t>
      </w:r>
      <w:r>
        <w:t xml:space="preserve">on mechanism would reduce costs by 37.5%274. This would be combined with measures</w:t>
      </w:r>
      <w:r>
        <w:t xml:space="preserve"> </w:t>
      </w:r>
      <w:r>
        <w:t xml:space="preserve">to address the rigidness in timing of when a buy-in is initiated and the asymmetry in price</w:t>
      </w:r>
      <w:r>
        <w:t xml:space="preserve"> </w:t>
      </w:r>
      <w:r>
        <w:t xml:space="preserve">differentials275. These technical clarifications would reduce the complexity and the</w:t>
      </w:r>
      <w:r>
        <w:t xml:space="preserve"> </w:t>
      </w:r>
      <w:r>
        <w:t xml:space="preserve">burden of managing a buy-in process, hence costs for investors. In addition, certain</w:t>
      </w:r>
      <w:r>
        <w:t xml:space="preserve"> </w:t>
      </w:r>
      <w:r>
        <w:t xml:space="preserve">transactions would no longer be subject to the settlement discipline regime further to the</w:t>
      </w:r>
      <w:r>
        <w:t xml:space="preserve"> </w:t>
      </w:r>
      <w:r>
        <w:t xml:space="preserve">proposed change of scope, which would permanently reduce the compliance burden on</w:t>
      </w:r>
      <w:r>
        <w:t xml:space="preserve"> </w:t>
      </w:r>
      <w:r>
        <w:t xml:space="preserve">market participants by removing certain transactions.</w:t>
      </w:r>
      <w:r>
        <w:t xml:space="preserve"> </w:t>
      </w:r>
      <w:r>
        <w:t xml:space="preserve">Regarding the two-step approach for mandatory buy-in, the major negative impacts in</w:t>
      </w:r>
      <w:r>
        <w:t xml:space="preserve"> </w:t>
      </w:r>
      <w:r>
        <w:t xml:space="preserve">terms of liquidity and market stability caused by mandatory buy-ins would be, at least</w:t>
      </w:r>
      <w:r>
        <w:t xml:space="preserve"> </w:t>
      </w:r>
      <w:r>
        <w:t xml:space="preserve">temporarily, avoided. Such approach would also avoid a duplicative repapering work for</w:t>
      </w:r>
      <w:r>
        <w:t xml:space="preserve"> </w:t>
      </w:r>
      <w:r>
        <w:t xml:space="preserve">participants that could arise due to changes to the regime under the targeted amendments</w:t>
      </w:r>
      <w:r>
        <w:t xml:space="preserve"> </w:t>
      </w:r>
      <w:r>
        <w:t xml:space="preserve">previously proposed (which would have otherwise been implemented after the entry into</w:t>
      </w:r>
      <w:r>
        <w:t xml:space="preserve"> </w:t>
      </w:r>
      <w:r>
        <w:t xml:space="preserve">force of the buy-in regime, thus triggering the need for participants to do some</w:t>
      </w:r>
      <w:r>
        <w:t xml:space="preserve"> </w:t>
      </w:r>
      <w:r>
        <w:t xml:space="preserve">repapering in order to take into account such changes).</w:t>
      </w:r>
      <w:r>
        <w:br/>
      </w:r>
      <w:r>
        <w:t xml:space="preserve">It should be noted that the proposed two-step approach would result in sunk cost related</w:t>
      </w:r>
      <w:r>
        <w:t xml:space="preserve"> </w:t>
      </w:r>
      <w:r>
        <w:t xml:space="preserve">to the setting up of a buy-in agent offering by one entity (the only one buy-in agent</w:t>
      </w:r>
      <w:r>
        <w:t xml:space="preserve"> </w:t>
      </w:r>
      <w:r>
        <w:t xml:space="preserve">service provider that has emerged so far).276 However, this is offset by the fact that to</w:t>
      </w:r>
      <w:r>
        <w:t xml:space="preserve"> </w:t>
      </w:r>
      <w:r>
        <w:t xml:space="preserve">comply with the buy-in requirements, with IT, HR and consulting costs, it is estimated</w:t>
      </w:r>
      <w:r>
        <w:t xml:space="preserve"> </w:t>
      </w:r>
      <w:r>
        <w:t xml:space="preserve">that the average cost per market participant to set up a connection to a buy-in agent</w:t>
      </w:r>
      <w:r>
        <w:t xml:space="preserve"> </w:t>
      </w:r>
      <w:r>
        <w:t xml:space="preserve">would be around EUR 1 million, amounting to EUR 1.5 billion for all in-scope EU</w:t>
      </w:r>
      <w:r>
        <w:t xml:space="preserve"> </w:t>
      </w:r>
      <w:r>
        <w:t xml:space="preserve">market participants277. Depending on the potential targeted changes to be made to the</w:t>
      </w:r>
      <w:r>
        <w:t xml:space="preserve"> </w:t>
      </w:r>
      <w:r>
        <w:t xml:space="preserve">buy-in regime, such costs savings could either be temporary (i.e. until the buy-in regime</w:t>
      </w:r>
      <w:r>
        <w:t xml:space="preserve"> </w:t>
      </w:r>
      <w:r>
        <w:t xml:space="preserve">enters into force) or permanent (e.g. if the changes allow for a simplified approach</w:t>
      </w:r>
      <w:r>
        <w:t xml:space="preserve"> </w:t>
      </w:r>
      <w:r>
        <w:t xml:space="preserve">regarding the requirements related to buy-in agents).</w:t>
      </w:r>
      <w:r>
        <w:t xml:space="preserve"> </w:t>
      </w:r>
      <w:r>
        <w:t xml:space="preserve">4. IMPLICATIONS FOR ESMA</w:t>
      </w:r>
      <w:r>
        <w:br/>
      </w:r>
      <w:r>
        <w:t xml:space="preserve">Under the preferred policy options, ESMA may incur limited additional costs but would</w:t>
      </w:r>
      <w:r>
        <w:t xml:space="preserve"> </w:t>
      </w:r>
      <w:r>
        <w:t xml:space="preserve">benefit from a strengthened supervisory environment.</w:t>
      </w:r>
    </w:p>
    <w:p>
      <w:pPr>
        <w:pStyle w:val="BodyText"/>
      </w:pPr>
      <w:r>
        <w:t xml:space="preserve">274 For explanation and calculation of costs savings see J.P. Morgan public consultation reply, Q. 34.1</w:t>
      </w:r>
      <w:r>
        <w:t xml:space="preserve"> </w:t>
      </w:r>
      <w:r>
        <w:t xml:space="preserve">275 ICMA, ISLA, AFME public consultation reply.</w:t>
      </w:r>
      <w:r>
        <w:t xml:space="preserve"> </w:t>
      </w:r>
      <w:r>
        <w:t xml:space="preserve">276 This is supported by confidential information provided to DG FISMA services.</w:t>
      </w:r>
      <w:r>
        <w:t xml:space="preserve"> </w:t>
      </w:r>
      <w:r>
        <w:t xml:space="preserve">277 This is supported by confidential information provided to DG FISMA services.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In terms of costs, ESMA would mainly be impacted by the establishment of mandatory</w:t>
      </w:r>
      <w:r>
        <w:t xml:space="preserve"> </w:t>
      </w:r>
      <w:r>
        <w:t xml:space="preserve">colleges. Indeed, it is estimated that such additional costs may range from about</w:t>
      </w:r>
      <w:r>
        <w:t xml:space="preserve"> </w:t>
      </w:r>
      <w:r>
        <w:t xml:space="preserve">EUR 130 000 to EUR 260 000 per annum depending on the number of CSDs for which</w:t>
      </w:r>
      <w:r>
        <w:t xml:space="preserve"> </w:t>
      </w:r>
      <w:r>
        <w:t xml:space="preserve">colleges could be established and their powers.278 However, ESMA would be able to</w:t>
      </w:r>
      <w:r>
        <w:t xml:space="preserve"> </w:t>
      </w:r>
      <w:r>
        <w:t xml:space="preserve">benefit from the experience it has already acquired in the field of colleges under EMIR,</w:t>
      </w:r>
      <w:r>
        <w:t xml:space="preserve"> </w:t>
      </w:r>
      <w:r>
        <w:t xml:space="preserve">and therefore very limited, if any, one-off operational costs are envisaged.</w:t>
      </w:r>
      <w:r>
        <w:br/>
      </w:r>
      <w:r>
        <w:t xml:space="preserve">Other costs may also arise from the management by ESMA of the process for the</w:t>
      </w:r>
      <w:r>
        <w:t xml:space="preserve"> </w:t>
      </w:r>
      <w:r>
        <w:t xml:space="preserve">notification by third-country CSDs of their activities within the EU. Based on</w:t>
      </w:r>
      <w:r>
        <w:t xml:space="preserve"> </w:t>
      </w:r>
      <w:r>
        <w:t xml:space="preserve">Commission estimates following the submission of confidential data279, ESMA estimated</w:t>
      </w:r>
      <w:r>
        <w:t xml:space="preserve"> </w:t>
      </w:r>
      <w:r>
        <w:t xml:space="preserve">costs for one third-country CSD notification would amount to ca. EUR 2 600 per</w:t>
      </w:r>
      <w:r>
        <w:t xml:space="preserve"> </w:t>
      </w:r>
      <w:r>
        <w:t xml:space="preserve">notification. Assuming that 5 third-country CSDs would notified, the costs would be</w:t>
      </w:r>
      <w:r>
        <w:t xml:space="preserve"> </w:t>
      </w:r>
      <w:r>
        <w:t xml:space="preserve">estimated around ca. EUR 13 000 for ESMA. This would be one-off cost that could</w:t>
      </w:r>
      <w:r>
        <w:t xml:space="preserve"> </w:t>
      </w:r>
      <w:r>
        <w:t xml:space="preserve">potentially be covered by a notification fee to be paid by each third-country CSD.</w:t>
      </w:r>
      <w:r>
        <w:br/>
      </w:r>
      <w:r>
        <w:t xml:space="preserve">In addition, as ESMA grants recognition for third-country CSDs, it might potentially also</w:t>
      </w:r>
      <w:r>
        <w:t xml:space="preserve"> </w:t>
      </w:r>
      <w:r>
        <w:t xml:space="preserve">increase ESMA costs if third-country CSDs which are currently using the grandfathering</w:t>
      </w:r>
      <w:r>
        <w:t xml:space="preserve"> </w:t>
      </w:r>
      <w:r>
        <w:t xml:space="preserve">clause would decide to apply for recognition in order to continue their activities in the</w:t>
      </w:r>
      <w:r>
        <w:t xml:space="preserve"> </w:t>
      </w:r>
      <w:r>
        <w:t xml:space="preserve">EEA. It is not currently known how many third-country CSDs are using the</w:t>
      </w:r>
      <w:r>
        <w:t xml:space="preserve"> </w:t>
      </w:r>
      <w:r>
        <w:t xml:space="preserve">grandfathering clause and would apply for recognition. However, it can be assumed that</w:t>
      </w:r>
      <w:r>
        <w:t xml:space="preserve"> </w:t>
      </w:r>
      <w:r>
        <w:t xml:space="preserve">these costs have been anticipated since CSDR entered into application in 2014.</w:t>
      </w:r>
      <w:r>
        <w:t xml:space="preserve"> </w:t>
      </w:r>
      <w:r>
        <w:t xml:space="preserve">Finally, ESMA may incur costs in the context of the development of new RTS and ITS in</w:t>
      </w:r>
      <w:r>
        <w:t xml:space="preserve"> </w:t>
      </w:r>
      <w:r>
        <w:t xml:space="preserve">the context of the implementation of the proposed options regarding the provisions of</w:t>
      </w:r>
      <w:r>
        <w:t xml:space="preserve"> </w:t>
      </w:r>
      <w:r>
        <w:t xml:space="preserve">ancillary banking services and the settlement discipline regime.</w:t>
      </w:r>
      <w:r>
        <w:br/>
      </w:r>
      <w:r>
        <w:t xml:space="preserve">On the other hand, the simplification of the passporting procedure would alleviate their</w:t>
      </w:r>
      <w:r>
        <w:t xml:space="preserve"> </w:t>
      </w:r>
      <w:r>
        <w:t xml:space="preserve">costs as the passporting requirements would be simpler and clearer. Further, a clear</w:t>
      </w:r>
      <w:r>
        <w:t xml:space="preserve"> </w:t>
      </w:r>
      <w:r>
        <w:t xml:space="preserve">determination of in-scope transactions would also lessen the administrative burden on</w:t>
      </w:r>
      <w:r>
        <w:t xml:space="preserve"> </w:t>
      </w:r>
      <w:r>
        <w:t xml:space="preserve">ESMA related to replying to Q&amp;A’s.</w:t>
      </w:r>
      <w:r>
        <w:t xml:space="preserve"> </w:t>
      </w:r>
      <w:r>
        <w:t xml:space="preserve">Beyond the potential limited costs, ESMA would benefit from some of the preferred</w:t>
      </w:r>
      <w:r>
        <w:t xml:space="preserve"> </w:t>
      </w:r>
      <w:r>
        <w:t xml:space="preserve">policy options which would strengthen the supervisory environment. In particular, the</w:t>
      </w:r>
      <w:r>
        <w:t xml:space="preserve"> </w:t>
      </w:r>
      <w:r>
        <w:t xml:space="preserve">notification process for third-country CSDs would directly positively affect ESMA as it</w:t>
      </w:r>
      <w:r>
        <w:t xml:space="preserve"> </w:t>
      </w:r>
      <w:r>
        <w:t xml:space="preserve">would give the European authority more information and help it to identify and monitor</w:t>
      </w:r>
      <w:r>
        <w:t xml:space="preserve"> </w:t>
      </w:r>
      <w:r>
        <w:t xml:space="preserve">risks. Further, amendments to the pass-on mechanism would be beneficial to ESMA as</w:t>
      </w:r>
      <w:r>
        <w:t xml:space="preserve"> </w:t>
      </w:r>
      <w:r>
        <w:t xml:space="preserve">fewer buy-ins would contribute to market stability. Finally, a clear determination of in-</w:t>
      </w:r>
      <w:r>
        <w:t xml:space="preserve"> </w:t>
      </w:r>
      <w:r>
        <w:t xml:space="preserve">scope transactions would also lessen the administrative burden on ESMA related to</w:t>
      </w:r>
      <w:r>
        <w:t xml:space="preserve"> </w:t>
      </w:r>
      <w:r>
        <w:t xml:space="preserve">replying to Q&amp;A’s.</w:t>
      </w:r>
      <w:r>
        <w:br/>
      </w:r>
      <w:r>
        <w:t xml:space="preserve">5. IMPLICATIONS FOR NCAS</w:t>
      </w:r>
      <w:r>
        <w:t xml:space="preserve"> </w:t>
      </w:r>
      <w:r>
        <w:t xml:space="preserve">The impact of the preferred policy options on NCAs would be limited but generally</w:t>
      </w:r>
      <w:r>
        <w:t xml:space="preserve"> </w:t>
      </w:r>
      <w:r>
        <w:t xml:space="preserve">positive.</w:t>
      </w:r>
      <w:r>
        <w:br/>
      </w:r>
      <w:r>
        <w:t xml:space="preserve">Additional costs may be incurred by NCAs due to the need to monitor more closely the</w:t>
      </w:r>
      <w:r>
        <w:t xml:space="preserve"> </w:t>
      </w:r>
      <w:r>
        <w:t xml:space="preserve">ancillary banking activities carried out under the new proposed framework (i.e. higher</w:t>
      </w:r>
      <w:r>
        <w:t xml:space="preserve"> </w:t>
      </w:r>
      <w:r>
        <w:t xml:space="preserve">thresholds and possibility for banking CSDs to provide banking services to non-banking</w:t>
      </w:r>
      <w:r>
        <w:t xml:space="preserve"> </w:t>
      </w:r>
      <w:r>
        <w:t xml:space="preserve">CSDs), and their participations to mandatory colleges (or their organisation, as the case</w:t>
      </w:r>
      <w:r>
        <w:t xml:space="preserve"> </w:t>
      </w:r>
      <w:r>
        <w:t xml:space="preserve">may be).</w:t>
      </w:r>
    </w:p>
    <w:p>
      <w:pPr>
        <w:pStyle w:val="BodyText"/>
      </w:pPr>
      <w:r>
        <w:t xml:space="preserve">278 Commission estimates based on confidential data provided to DG FISMA services.</w:t>
      </w:r>
      <w:r>
        <w:t xml:space="preserve"> </w:t>
      </w:r>
      <w:r>
        <w:t xml:space="preserve">279 Based on confidential information provided to DG FISMA services.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Nonetheless, at the same time, their ongoing costs will be reduced due to the streamlined</w:t>
      </w:r>
      <w:r>
        <w:t xml:space="preserve"> </w:t>
      </w:r>
      <w:r>
        <w:t xml:space="preserve">cooperation of authorities and their increased access to information and powers to</w:t>
      </w:r>
      <w:r>
        <w:t xml:space="preserve"> </w:t>
      </w:r>
      <w:r>
        <w:t xml:space="preserve">monitor risks compared to today.</w:t>
      </w:r>
      <w:r>
        <w:t xml:space="preserve"> </w:t>
      </w:r>
      <w:r>
        <w:t xml:space="preserve">Further, NCAs will alleviate the costs and time spent on passporting if the passporting</w:t>
      </w:r>
      <w:r>
        <w:t xml:space="preserve"> </w:t>
      </w:r>
      <w:r>
        <w:t xml:space="preserve">procedure is simplified. Should a CSD wish to passport in 26 Member States to be able</w:t>
      </w:r>
      <w:r>
        <w:t xml:space="preserve"> </w:t>
      </w:r>
      <w:r>
        <w:t xml:space="preserve">to provide services throughout the EU, it is estimated that it would cost to national</w:t>
      </w:r>
      <w:r>
        <w:t xml:space="preserve"> </w:t>
      </w:r>
      <w:r>
        <w:t xml:space="preserve">authorities altogether at least EUR 79 000 (see section 2.3.5). Should the simplified</w:t>
      </w:r>
      <w:r>
        <w:t xml:space="preserve"> </w:t>
      </w:r>
      <w:r>
        <w:t xml:space="preserve">passporting process reduce by 75% the costs of passporting, the 26 national authorities</w:t>
      </w:r>
      <w:r>
        <w:t xml:space="preserve"> </w:t>
      </w:r>
      <w:r>
        <w:t xml:space="preserve">would be saving all together, on average, ca. EUR 59 000. Currently, 15 CSDs are</w:t>
      </w:r>
      <w:r>
        <w:t xml:space="preserve"> </w:t>
      </w:r>
      <w:r>
        <w:t xml:space="preserve">providing services cross border in at least one Member State. If the simplified</w:t>
      </w:r>
      <w:r>
        <w:t xml:space="preserve"> </w:t>
      </w:r>
      <w:r>
        <w:t xml:space="preserve">passporting process enables at least 10 other CSDs to passport in 26 Member States this</w:t>
      </w:r>
      <w:r>
        <w:t xml:space="preserve"> </w:t>
      </w:r>
      <w:r>
        <w:t xml:space="preserve">would help to save on average EUR 590 000 for 27 national authorities.</w:t>
      </w:r>
      <w:r>
        <w:br/>
      </w:r>
      <w:r>
        <w:t xml:space="preserve">Finally, the notification requirement for third-country CSDs would indirectly impact</w:t>
      </w:r>
      <w:r>
        <w:t xml:space="preserve"> </w:t>
      </w:r>
      <w:r>
        <w:t xml:space="preserve">NCAs as they would get information on third-country CSDs activities through ESMA,</w:t>
      </w:r>
      <w:r>
        <w:t xml:space="preserve"> </w:t>
      </w:r>
      <w:r>
        <w:t xml:space="preserve">helping them to identify and monitor risks.</w:t>
      </w:r>
      <w:r>
        <w:br/>
      </w:r>
      <w:r>
        <w:t xml:space="preserve">6. IMPACT ON THIRD COUNTRIES</w:t>
      </w:r>
      <w:r>
        <w:br/>
      </w:r>
      <w:r>
        <w:t xml:space="preserve">The main impact on third countries would come from the new requirement for third-</w:t>
      </w:r>
      <w:r>
        <w:t xml:space="preserve"> </w:t>
      </w:r>
      <w:r>
        <w:t xml:space="preserve">country CSDs to notify the activities they carry out in the EU and the end of the</w:t>
      </w:r>
      <w:r>
        <w:t xml:space="preserve"> </w:t>
      </w:r>
      <w:r>
        <w:t xml:space="preserve">grandfathering clause for third-country CSDs. In practice however, such impact should</w:t>
      </w:r>
      <w:r>
        <w:t xml:space="preserve"> </w:t>
      </w:r>
      <w:r>
        <w:t xml:space="preserve">be limited, first because the triggering of the recognition requirement further to the end of</w:t>
      </w:r>
      <w:r>
        <w:t xml:space="preserve"> </w:t>
      </w:r>
      <w:r>
        <w:t xml:space="preserve">the grandfathering clause should have been anticipated by the relevant third-country</w:t>
      </w:r>
      <w:r>
        <w:t xml:space="preserve"> </w:t>
      </w:r>
      <w:r>
        <w:t xml:space="preserve">CSDs (the purpose of the grandfathering clause never was to allow third-country CSDs</w:t>
      </w:r>
      <w:r>
        <w:t xml:space="preserve"> </w:t>
      </w:r>
      <w:r>
        <w:t xml:space="preserve">to keep providing services for an indefinite period of time without complying with CSDR</w:t>
      </w:r>
      <w:r>
        <w:t xml:space="preserve"> </w:t>
      </w:r>
      <w:r>
        <w:t xml:space="preserve">provisions), second because the new notification requirement would be a one-off</w:t>
      </w:r>
      <w:r>
        <w:t xml:space="preserve"> </w:t>
      </w:r>
      <w:r>
        <w:t xml:space="preserve">exercise.</w:t>
      </w:r>
      <w:r>
        <w:t xml:space="preserve"> </w:t>
      </w:r>
      <w:r>
        <w:t xml:space="preserve">The proposed options do not create any new kind of interactions between EU or Member</w:t>
      </w:r>
      <w:r>
        <w:t xml:space="preserve"> </w:t>
      </w:r>
      <w:r>
        <w:t xml:space="preserve">State authorities with third-country authorities.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Summary of costs and benefits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Simplified passporting</w:t>
      </w:r>
      <w:r>
        <w:t xml:space="preserve"> </w:t>
      </w:r>
      <w:r>
        <w:t xml:space="preserve">process and easier provision</w:t>
      </w:r>
      <w:r>
        <w:t xml:space="preserve"> </w:t>
      </w:r>
      <w:r>
        <w:t xml:space="preserve">of cross-border services by</w:t>
      </w:r>
      <w:r>
        <w:t xml:space="preserve"> </w:t>
      </w:r>
      <w:r>
        <w:t xml:space="preserve">CSDs.</w:t>
      </w:r>
    </w:p>
    <w:p>
      <w:pPr>
        <w:pStyle w:val="BodyText"/>
      </w:pPr>
      <w:r>
        <w:t xml:space="preserve">One-off reduction of administrative costs for</w:t>
      </w:r>
      <w:r>
        <w:t xml:space="preserve"> </w:t>
      </w:r>
      <w:r>
        <w:t xml:space="preserve">CSDs: estimated at ca. EUR 5 850 000 for CSDs.</w:t>
      </w:r>
    </w:p>
    <w:p>
      <w:pPr>
        <w:pStyle w:val="BodyText"/>
      </w:pPr>
      <w:r>
        <w:t xml:space="preserve">Ongoing reduction of compliance costs for</w:t>
      </w:r>
      <w:r>
        <w:t xml:space="preserve"> </w:t>
      </w:r>
      <w:r>
        <w:t xml:space="preserve">CSDs: estimated at ca. EUR 390 000 per year for</w:t>
      </w:r>
      <w:r>
        <w:t xml:space="preserve"> </w:t>
      </w:r>
      <w:r>
        <w:t xml:space="preserve">CSDs.</w:t>
      </w:r>
    </w:p>
    <w:p>
      <w:pPr>
        <w:pStyle w:val="BodyText"/>
      </w:pPr>
      <w:r>
        <w:t xml:space="preserve">One-off reduction of administrative costs for</w:t>
      </w:r>
      <w:r>
        <w:t xml:space="preserve"> </w:t>
      </w:r>
      <w:r>
        <w:t xml:space="preserve">NCAs: estimated at ca. EUR 590 000 for all</w:t>
      </w:r>
      <w:r>
        <w:t xml:space="preserve"> </w:t>
      </w:r>
      <w:r>
        <w:t xml:space="preserve">NCAs.</w:t>
      </w:r>
      <w:r>
        <w:t xml:space="preserve"> </w:t>
      </w:r>
      <w:r>
        <w:t xml:space="preserve">Clarified and simplified passporting process,</w:t>
      </w:r>
      <w:r>
        <w:t xml:space="preserve"> </w:t>
      </w:r>
      <w:r>
        <w:t xml:space="preserve">lowering administrative costs for both CSDs</w:t>
      </w:r>
      <w:r>
        <w:t xml:space="preserve"> </w:t>
      </w:r>
      <w:r>
        <w:t xml:space="preserve">and NCAs.</w:t>
      </w:r>
      <w:r>
        <w:t xml:space="preserve"> </w:t>
      </w:r>
      <w:r>
        <w:t xml:space="preserve">It is estimated that this can bring about one-</w:t>
      </w:r>
      <w:r>
        <w:t xml:space="preserve"> </w:t>
      </w:r>
      <w:r>
        <w:t xml:space="preserve">off savings of, on average, EUR 585 000 per</w:t>
      </w:r>
      <w:r>
        <w:t xml:space="preserve"> </w:t>
      </w:r>
      <w:r>
        <w:t xml:space="preserve">CSD. The total figure assumes that at least</w:t>
      </w:r>
      <w:r>
        <w:t xml:space="preserve"> </w:t>
      </w:r>
      <w:r>
        <w:t xml:space="preserve">10 other CSDs passport in 26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Savings of, on average, EUR 39 000 per</w:t>
      </w:r>
      <w:r>
        <w:t xml:space="preserve"> </w:t>
      </w:r>
      <w:r>
        <w:t xml:space="preserve">year per CSD. It is estimated that the</w:t>
      </w:r>
      <w:r>
        <w:t xml:space="preserve"> </w:t>
      </w:r>
      <w:r>
        <w:t xml:space="preserve">simplified passporting process would reduce</w:t>
      </w:r>
      <w:r>
        <w:t xml:space="preserve"> </w:t>
      </w:r>
      <w:r>
        <w:t xml:space="preserve">by 75% the costs of passporting. The total</w:t>
      </w:r>
      <w:r>
        <w:t xml:space="preserve"> </w:t>
      </w:r>
      <w:r>
        <w:t xml:space="preserve">figure assumes that 10 CSDs would benefit</w:t>
      </w:r>
      <w:r>
        <w:t xml:space="preserve"> </w:t>
      </w:r>
      <w:r>
        <w:t xml:space="preserve">from the new regime for passporting in 26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Total saving of, on average, ca. EUR 59 000</w:t>
      </w:r>
      <w:r>
        <w:t xml:space="preserve"> </w:t>
      </w:r>
      <w:r>
        <w:t xml:space="preserve">per NCA. Assumptions: the simplified</w:t>
      </w:r>
      <w:r>
        <w:t xml:space="preserve"> </w:t>
      </w:r>
      <w:r>
        <w:t xml:space="preserve">passporting process would reduce by 75%</w:t>
      </w:r>
      <w:r>
        <w:t xml:space="preserve"> </w:t>
      </w:r>
      <w:r>
        <w:t xml:space="preserve">the costs of passporting The total figure also</w:t>
      </w:r>
      <w:r>
        <w:t xml:space="preserve"> </w:t>
      </w:r>
      <w:r>
        <w:t xml:space="preserve">assumes that 26 NCAs benefit from these</w:t>
      </w:r>
      <w:r>
        <w:t xml:space="preserve"> </w:t>
      </w:r>
      <w:r>
        <w:t xml:space="preserve">savings for 10 CSDs passporting into their</w:t>
      </w:r>
      <w:r>
        <w:t xml:space="preserve"> </w:t>
      </w:r>
      <w:r>
        <w:t xml:space="preserve">respective Member States.</w:t>
      </w:r>
      <w:r>
        <w:t xml:space="preserve"> </w:t>
      </w:r>
      <w:r>
        <w:t xml:space="preserve">Direct increase of cross-</w:t>
      </w:r>
      <w:r>
        <w:t xml:space="preserve"> </w:t>
      </w:r>
      <w:r>
        <w:t xml:space="preserve">border competition between</w:t>
      </w:r>
      <w:r>
        <w:t xml:space="preserve"> </w:t>
      </w:r>
      <w:r>
        <w:t xml:space="preserve">CSDs, benefiting to</w:t>
      </w:r>
      <w:r>
        <w:t xml:space="preserve"> </w:t>
      </w:r>
      <w:r>
        <w:t xml:space="preserve">investors and issuers.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The replacement of the passporting</w:t>
      </w:r>
      <w:r>
        <w:t xml:space="preserve"> </w:t>
      </w:r>
      <w:r>
        <w:t xml:space="preserve">procedure at the host Member State level</w:t>
      </w:r>
      <w:r>
        <w:t xml:space="preserve"> </w:t>
      </w:r>
      <w:r>
        <w:t xml:space="preserve">with a notification reduces the costs of</w:t>
      </w:r>
      <w:r>
        <w:t xml:space="preserve"> </w:t>
      </w:r>
      <w:r>
        <w:t xml:space="preserve">cross-border entry and thereby facilitates</w:t>
      </w:r>
      <w:r>
        <w:t xml:space="preserve"> </w:t>
      </w:r>
      <w:r>
        <w:t xml:space="preserve">competition. In addition, an improved</w:t>
      </w:r>
      <w:r>
        <w:t xml:space="preserve"> </w:t>
      </w:r>
      <w:r>
        <w:t xml:space="preserve">framework for the cross-border provision of</w:t>
      </w:r>
      <w:r>
        <w:t xml:space="preserve"> </w:t>
      </w:r>
      <w:r>
        <w:t xml:space="preserve">services through the establishment of</w:t>
      </w:r>
      <w:r>
        <w:t xml:space="preserve"> </w:t>
      </w:r>
      <w:r>
        <w:t xml:space="preserve">mandatory colleges could lead to increased</w:t>
      </w:r>
      <w:r>
        <w:t xml:space="preserve"> </w:t>
      </w:r>
      <w:r>
        <w:t xml:space="preserve">supervisory convergence, thus removing</w:t>
      </w:r>
      <w:r>
        <w:t xml:space="preserve"> </w:t>
      </w:r>
      <w:r>
        <w:t xml:space="preserve">additional barriers to cross-border</w:t>
      </w:r>
      <w:r>
        <w:t xml:space="preserve"> </w:t>
      </w:r>
      <w:r>
        <w:t xml:space="preserve">competition. This will benefit both investors</w:t>
      </w:r>
      <w:r>
        <w:t xml:space="preserve"> </w:t>
      </w:r>
      <w:r>
        <w:t xml:space="preserve">and issuers and will increase market</w:t>
      </w:r>
      <w:r>
        <w:t xml:space="preserve"> </w:t>
      </w:r>
      <w:r>
        <w:t xml:space="preserve">efficiency.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Enhanced supervisory</w:t>
      </w:r>
      <w:r>
        <w:t xml:space="preserve"> </w:t>
      </w:r>
      <w:r>
        <w:t xml:space="preserve">convergence.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The introduction of mandatory colleges</w:t>
      </w:r>
      <w:r>
        <w:t xml:space="preserve"> </w:t>
      </w:r>
      <w:r>
        <w:t xml:space="preserve">would benefit EU CSDs operating cross-</w:t>
      </w:r>
      <w:r>
        <w:t xml:space="preserve"> </w:t>
      </w:r>
      <w:r>
        <w:t xml:space="preserve">border due to the legal certainty related to</w:t>
      </w:r>
      <w:r>
        <w:t xml:space="preserve"> </w:t>
      </w:r>
      <w:r>
        <w:t xml:space="preserve">the enhancement of supervisory</w:t>
      </w:r>
      <w:r>
        <w:t xml:space="preserve"> </w:t>
      </w:r>
      <w:r>
        <w:t xml:space="preserve">convergence and reduction of the level of</w:t>
      </w:r>
      <w:r>
        <w:t xml:space="preserve"> </w:t>
      </w:r>
      <w:r>
        <w:t xml:space="preserve">interactions of CSDs with various national</w:t>
      </w:r>
      <w:r>
        <w:t xml:space="preserve"> </w:t>
      </w:r>
      <w:r>
        <w:t xml:space="preserve">competent authorities across the EU. This</w:t>
      </w:r>
      <w:r>
        <w:t xml:space="preserve"> </w:t>
      </w:r>
      <w:r>
        <w:t xml:space="preserve">would also enhance supervision of CSDs</w:t>
      </w:r>
      <w:r>
        <w:t xml:space="preserve"> </w:t>
      </w:r>
      <w:r>
        <w:t xml:space="preserve">operating cross-border preventing spill-over</w:t>
      </w:r>
      <w:r>
        <w:t xml:space="preserve"> </w:t>
      </w:r>
      <w:r>
        <w:t xml:space="preserve">effects and allow for better management of</w:t>
      </w:r>
      <w:r>
        <w:t xml:space="preserve"> </w:t>
      </w:r>
      <w:r>
        <w:t xml:space="preserve">systemic risk.</w:t>
      </w:r>
      <w:r>
        <w:t xml:space="preserve"> </w:t>
      </w:r>
      <w:r>
        <w:t xml:space="preserve">Reinforced level playing</w:t>
      </w:r>
      <w:r>
        <w:t xml:space="preserve"> </w:t>
      </w:r>
      <w:r>
        <w:t xml:space="preserve">field for CSDs, both within</w:t>
      </w:r>
      <w:r>
        <w:t xml:space="preserve"> </w:t>
      </w:r>
      <w:r>
        <w:t xml:space="preserve">the EU and outside the EU.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Within the EU: mandatory colleges would</w:t>
      </w:r>
      <w:r>
        <w:t xml:space="preserve"> </w:t>
      </w:r>
      <w:r>
        <w:t xml:space="preserve">help ensuring consistency of supervision</w:t>
      </w:r>
      <w:r>
        <w:t xml:space="preserve"> </w:t>
      </w:r>
      <w:r>
        <w:t xml:space="preserve">across Member States, thus ensuring level</w:t>
      </w:r>
      <w:r>
        <w:t xml:space="preserve"> </w:t>
      </w:r>
      <w:r>
        <w:t xml:space="preserve">playing field and benefiting EU CSDs.</w:t>
      </w:r>
      <w:r>
        <w:t xml:space="preserve"> </w:t>
      </w:r>
      <w:r>
        <w:t xml:space="preserve">Outside the EU: end date of the</w:t>
      </w:r>
      <w:r>
        <w:t xml:space="preserve"> </w:t>
      </w:r>
      <w:r>
        <w:t xml:space="preserve">grandfathering clause for third-country</w:t>
      </w:r>
      <w:r>
        <w:t xml:space="preserve"> </w:t>
      </w:r>
      <w:r>
        <w:t xml:space="preserve">CSDs would ensure level playing field with</w:t>
      </w:r>
      <w:r>
        <w:t xml:space="preserve"> </w:t>
      </w:r>
      <w:r>
        <w:t xml:space="preserve">third-country CSDs, benefiting EU CSDs.</w:t>
      </w:r>
      <w:r>
        <w:t xml:space="preserve"> </w:t>
      </w:r>
      <w:r>
        <w:t xml:space="preserve">Additional opportunities for</w:t>
      </w:r>
      <w:r>
        <w:t xml:space="preserve"> </w:t>
      </w:r>
      <w:r>
        <w:t xml:space="preserve">CSDs that do not hold a</w:t>
      </w:r>
      <w:r>
        <w:t xml:space="preserve"> </w:t>
      </w:r>
      <w:r>
        <w:t xml:space="preserve">banking license.</w:t>
      </w:r>
      <w:r>
        <w:t xml:space="preserve"> </w:t>
      </w:r>
      <w:r>
        <w:t xml:space="preserve">It is estimated that additional EUR 16 billion</w:t>
      </w:r>
      <w:r>
        <w:t xml:space="preserve"> </w:t>
      </w:r>
      <w:r>
        <w:t xml:space="preserve">settlement in foreign currencies could be</w:t>
      </w:r>
      <w:r>
        <w:t xml:space="preserve"> </w:t>
      </w:r>
      <w:r>
        <w:t xml:space="preserve">expected annually280. If extrapolated to the total</w:t>
      </w:r>
      <w:r>
        <w:t xml:space="preserve"> </w:t>
      </w:r>
      <w:r>
        <w:t xml:space="preserve">number of EEA non-banking CSDs, this could</w:t>
      </w:r>
      <w:r>
        <w:t xml:space="preserve"> </w:t>
      </w:r>
      <w:r>
        <w:t xml:space="preserve">mean an additional annual possible offering of</w:t>
      </w:r>
      <w:r>
        <w:t xml:space="preserve"> </w:t>
      </w:r>
      <w:r>
        <w:t xml:space="preserve">at least EUR 80 billion281 of settlement in</w:t>
      </w:r>
      <w:r>
        <w:t xml:space="preserve"> </w:t>
      </w:r>
      <w:r>
        <w:t xml:space="preserve">foreign currencies.</w:t>
      </w:r>
      <w:r>
        <w:br/>
      </w:r>
      <w:r>
        <w:t xml:space="preserve">Increasing the threshold could enable some</w:t>
      </w:r>
      <w:r>
        <w:t xml:space="preserve"> </w:t>
      </w:r>
      <w:r>
        <w:t xml:space="preserve">CSDs to develop their services to investors</w:t>
      </w:r>
      <w:r>
        <w:t xml:space="preserve"> </w:t>
      </w:r>
      <w:r>
        <w:t xml:space="preserve">both domestically and cross-border,</w:t>
      </w:r>
      <w:r>
        <w:t xml:space="preserve"> </w:t>
      </w:r>
      <w:r>
        <w:t xml:space="preserve">benefitting investors and issuers through a</w:t>
      </w:r>
      <w:r>
        <w:t xml:space="preserve"> </w:t>
      </w:r>
      <w:r>
        <w:t xml:space="preserve">more competitive offering.</w:t>
      </w:r>
      <w:r>
        <w:t xml:space="preserve"> </w:t>
      </w:r>
      <w:r>
        <w:t xml:space="preserve">More proportionate</w:t>
      </w:r>
      <w:r>
        <w:t xml:space="preserve"> </w:t>
      </w:r>
      <w:r>
        <w:t xml:space="preserve">approach to the treatment of</w:t>
      </w:r>
      <w:r>
        <w:t xml:space="preserve"> </w:t>
      </w:r>
      <w:r>
        <w:t xml:space="preserve">settlement fails.</w:t>
      </w:r>
      <w:r>
        <w:t xml:space="preserve"> </w:t>
      </w:r>
      <w:r>
        <w:t xml:space="preserve">Delayed implementation costs for investors</w:t>
      </w:r>
      <w:r>
        <w:t xml:space="preserve"> </w:t>
      </w:r>
      <w:r>
        <w:t xml:space="preserve">and issuers with a postponement in the</w:t>
      </w:r>
      <w:r>
        <w:t xml:space="preserve"> </w:t>
      </w:r>
      <w:r>
        <w:t xml:space="preserve">introduction of the mandatory buy-in: estimated</w:t>
      </w:r>
      <w:r>
        <w:t xml:space="preserve"> </w:t>
      </w:r>
      <w:r>
        <w:t xml:space="preserve">at ca. EUR 1.5 billion.282</w:t>
      </w:r>
      <w:r>
        <w:t xml:space="preserve"> </w:t>
      </w:r>
      <w:r>
        <w:t xml:space="preserve">Reduction of annual operational/ subscription</w:t>
      </w:r>
      <w:r>
        <w:t xml:space="preserve"> </w:t>
      </w:r>
      <w:r>
        <w:t xml:space="preserve">fees for connecting to a buy-in agent to handle</w:t>
      </w:r>
      <w:r>
        <w:t xml:space="preserve"> </w:t>
      </w:r>
      <w:r>
        <w:t xml:space="preserve">government bond fails in one CSD, estimated</w:t>
      </w:r>
      <w:r>
        <w:t xml:space="preserve"> </w:t>
      </w:r>
      <w:r>
        <w:t xml:space="preserve">between EUR 598 900 294 and EUR 1 197 800</w:t>
      </w:r>
      <w:r>
        <w:t xml:space="preserve"> </w:t>
      </w:r>
      <w:r>
        <w:t xml:space="preserve">588, according to one estimate.283</w:t>
      </w:r>
      <w:r>
        <w:t xml:space="preserve"> </w:t>
      </w:r>
      <w:r>
        <w:t xml:space="preserve">Average cost per market participant to set up</w:t>
      </w:r>
      <w:r>
        <w:t xml:space="preserve"> </w:t>
      </w:r>
      <w:r>
        <w:t xml:space="preserve">a connection to a buy-in agent is estimated,</w:t>
      </w:r>
      <w:r>
        <w:t xml:space="preserve"> </w:t>
      </w:r>
      <w:r>
        <w:t xml:space="preserve">on average to be EUR 1 million, based on</w:t>
      </w:r>
      <w:r>
        <w:t xml:space="preserve"> </w:t>
      </w:r>
      <w:r>
        <w:t xml:space="preserve">stakeholder input. This results in a total</w:t>
      </w:r>
      <w:r>
        <w:t xml:space="preserve"> </w:t>
      </w:r>
      <w:r>
        <w:t xml:space="preserve">figure of EUR 1.5 billion for all in-scope EU</w:t>
      </w:r>
      <w:r>
        <w:t xml:space="preserve"> </w:t>
      </w:r>
      <w:r>
        <w:t xml:space="preserve">market participants286. Such costs savings</w:t>
      </w:r>
      <w:r>
        <w:t xml:space="preserve"> </w:t>
      </w:r>
      <w:r>
        <w:t xml:space="preserve">could be temporary (i.e. until the buy-in</w:t>
      </w:r>
      <w:r>
        <w:t xml:space="preserve"> </w:t>
      </w:r>
      <w:r>
        <w:t xml:space="preserve">regime enters into force) or permanent (e.g. </w:t>
      </w:r>
      <w:r>
        <w:t xml:space="preserve"> </w:t>
      </w:r>
      <w:r>
        <w:t xml:space="preserve">if conditions for the entry into force of the</w:t>
      </w:r>
    </w:p>
    <w:p>
      <w:pPr>
        <w:pStyle w:val="BodyText"/>
      </w:pPr>
      <w:r>
        <w:t xml:space="preserve">280 Based on anonymised confidential information provided to DG FISMA services. This figure is based on the</w:t>
      </w:r>
      <w:r>
        <w:t xml:space="preserve"> </w:t>
      </w:r>
      <w:r>
        <w:t xml:space="preserve">current total absolute value of settlement of CSDs and applied to potential growth in settlement of CSDs.</w:t>
      </w:r>
      <w:r>
        <w:t xml:space="preserve"> </w:t>
      </w:r>
      <w:r>
        <w:t xml:space="preserve">This gives an anticipated total of settlement in foreign currencies. The current absolute values in foreign</w:t>
      </w:r>
      <w:r>
        <w:t xml:space="preserve"> </w:t>
      </w:r>
      <w:r>
        <w:t xml:space="preserve">currencies are then subtracted, which gives the anticipated total net gain from the proposed CSDR changes.</w:t>
      </w:r>
      <w:r>
        <w:t xml:space="preserve"> </w:t>
      </w:r>
      <w:r>
        <w:t xml:space="preserve">281 This estimate of benefits does not take into account whether it would affect existing settlement in foreign</w:t>
      </w:r>
      <w:r>
        <w:t xml:space="preserve"> </w:t>
      </w:r>
      <w:r>
        <w:t xml:space="preserve">currencies undertaken by CSDs already authorised to provide ancillary banking services.</w:t>
      </w:r>
      <w:r>
        <w:t xml:space="preserve"> </w:t>
      </w:r>
      <w:r>
        <w:t xml:space="preserve">282 This is supported by confidential information provided to DG FISMA services.</w:t>
      </w:r>
      <w:r>
        <w:t xml:space="preserve"> </w:t>
      </w:r>
      <w:r>
        <w:t xml:space="preserve">283 Data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ICMA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response</w:t>
      </w:r>
      <w:r>
        <w:t xml:space="preserve"> </w:t>
      </w:r>
      <w:r>
        <w:t xml:space="preserve">the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https://www.icmagroup.org/assets/documents/Regulatory/Secondary-markets/CSDR-Settlement-</w:t>
      </w:r>
      <w:r>
        <w:t xml:space="preserve"> </w:t>
      </w:r>
      <w:r>
        <w:t xml:space="preserve">Regulation/ICMACSDR-Review-Targeted-ConsultationFeb-21Detailed-response-020221.pdf..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Introduction of a pass-on mechanism could</w:t>
      </w:r>
      <w:r>
        <w:t xml:space="preserve"> </w:t>
      </w:r>
      <w:r>
        <w:t xml:space="preserve">reduce costs by 37.5%, according to one</w:t>
      </w:r>
      <w:r>
        <w:t xml:space="preserve"> </w:t>
      </w:r>
      <w:r>
        <w:t xml:space="preserve">estimate284.</w:t>
      </w:r>
      <w:r>
        <w:br/>
      </w:r>
      <w:r>
        <w:t xml:space="preserve">Deferred introduction of mandatory buy-in will</w:t>
      </w:r>
      <w:r>
        <w:t xml:space="preserve"> </w:t>
      </w:r>
      <w:r>
        <w:t xml:space="preserve">prevent some trading volumes disappearing or</w:t>
      </w:r>
      <w:r>
        <w:t xml:space="preserve"> </w:t>
      </w:r>
      <w:r>
        <w:t xml:space="preserve">migrating outside the EU (Estimated at up to 4%</w:t>
      </w:r>
      <w:r>
        <w:t xml:space="preserve"> </w:t>
      </w:r>
      <w:r>
        <w:t xml:space="preserve">- 5% of trade volume, equal to EUR 7 trillion</w:t>
      </w:r>
      <w:r>
        <w:t xml:space="preserve"> </w:t>
      </w:r>
      <w:r>
        <w:t xml:space="preserve">annually285).</w:t>
      </w:r>
      <w:r>
        <w:t xml:space="preserve"> </w:t>
      </w:r>
      <w:r>
        <w:t xml:space="preserve">buy-in regime are never met).</w:t>
      </w:r>
      <w:r>
        <w:br/>
      </w:r>
      <w:r>
        <w:t xml:space="preserve">The targeted amendments contemplated for</w:t>
      </w:r>
      <w:r>
        <w:t xml:space="preserve"> </w:t>
      </w:r>
      <w:r>
        <w:t xml:space="preserve">cash penalties and mandatory buy-in would</w:t>
      </w:r>
      <w:r>
        <w:t xml:space="preserve"> </w:t>
      </w:r>
      <w:r>
        <w:t xml:space="preserve">also bring necessary clarifications and</w:t>
      </w:r>
      <w:r>
        <w:t xml:space="preserve"> </w:t>
      </w:r>
      <w:r>
        <w:t xml:space="preserve">reduce the complexity and the burden of</w:t>
      </w:r>
      <w:r>
        <w:t xml:space="preserve"> </w:t>
      </w:r>
      <w:r>
        <w:t xml:space="preserve">managing a buy-in process, hence reducing</w:t>
      </w:r>
      <w:r>
        <w:t xml:space="preserve"> </w:t>
      </w:r>
      <w:r>
        <w:t xml:space="preserve">costs for investors, market infrastructure</w:t>
      </w:r>
      <w:r>
        <w:t xml:space="preserve"> </w:t>
      </w:r>
      <w:r>
        <w:t xml:space="preserve">providers and authorities alike.</w:t>
      </w:r>
      <w:r>
        <w:t xml:space="preserve"> </w:t>
      </w:r>
      <w:r>
        <w:t xml:space="preserve">Improved supervisory</w:t>
      </w:r>
      <w:r>
        <w:t xml:space="preserve"> </w:t>
      </w:r>
      <w:r>
        <w:t xml:space="preserve">capabilities for ESMA and</w:t>
      </w:r>
      <w:r>
        <w:t xml:space="preserve"> </w:t>
      </w:r>
      <w:r>
        <w:t xml:space="preserve">NCAs.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ESMA and NCAs would have more</w:t>
      </w:r>
      <w:r>
        <w:t xml:space="preserve"> </w:t>
      </w:r>
      <w:r>
        <w:t xml:space="preserve">information and would be able to better</w:t>
      </w:r>
      <w:r>
        <w:t xml:space="preserve"> </w:t>
      </w:r>
      <w:r>
        <w:t xml:space="preserve">identify and monitor risks.</w:t>
      </w:r>
      <w:r>
        <w:br/>
      </w:r>
      <w:r>
        <w:t xml:space="preserve">Amendments to the pass-on mechanism</w:t>
      </w:r>
      <w:r>
        <w:t xml:space="preserve"> </w:t>
      </w:r>
      <w:r>
        <w:t xml:space="preserve">would mean fewer buy-ins and would</w:t>
      </w:r>
      <w:r>
        <w:t xml:space="preserve"> </w:t>
      </w:r>
      <w:r>
        <w:t xml:space="preserve">contribute to market stability.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protection of</w:t>
      </w:r>
      <w:r>
        <w:t xml:space="preserve"> </w:t>
      </w:r>
      <w:r>
        <w:t xml:space="preserve">issuers and investors.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Enhanced supervision of EU CSDs through</w:t>
      </w:r>
      <w:r>
        <w:t xml:space="preserve"> </w:t>
      </w:r>
      <w:r>
        <w:t xml:space="preserve">the establishment of colleges and of third-</w:t>
      </w:r>
      <w:r>
        <w:t xml:space="preserve"> </w:t>
      </w:r>
      <w:r>
        <w:t xml:space="preserve">country CSDs through the end-date for the</w:t>
      </w:r>
      <w:r>
        <w:t xml:space="preserve"> </w:t>
      </w:r>
      <w:r>
        <w:t xml:space="preserve">grandfathering clause and the introduction</w:t>
      </w:r>
      <w:r>
        <w:t xml:space="preserve"> </w:t>
      </w:r>
      <w:r>
        <w:t xml:space="preserve">of the notification requirements would lead</w:t>
      </w:r>
      <w:r>
        <w:t xml:space="preserve"> </w:t>
      </w:r>
      <w:r>
        <w:t xml:space="preserve">to improved supervision of CSDs and thus a</w:t>
      </w:r>
      <w:r>
        <w:t xml:space="preserve"> </w:t>
      </w:r>
      <w:r>
        <w:t xml:space="preserve">better protection of issuers and investors.</w:t>
      </w:r>
    </w:p>
    <w:p>
      <w:pPr>
        <w:pStyle w:val="BodyText"/>
      </w:pPr>
      <w:r>
        <w:t xml:space="preserve">Increased transparency in</w:t>
      </w:r>
      <w:r>
        <w:t xml:space="preserve"> </w:t>
      </w:r>
      <w:r>
        <w:t xml:space="preserve">the market.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The implementation of a notification</w:t>
      </w:r>
      <w:r>
        <w:t xml:space="preserve"> </w:t>
      </w:r>
      <w:r>
        <w:t xml:space="preserve">requirement by third-country CSDs</w:t>
      </w:r>
      <w:r>
        <w:t xml:space="preserve"> </w:t>
      </w:r>
      <w:r>
        <w:t xml:space="preserve">regarding the activities they carry out within</w:t>
      </w:r>
      <w:r>
        <w:t xml:space="preserve"> </w:t>
      </w:r>
      <w:r>
        <w:t xml:space="preserve">the EU and/or with EU participants would</w:t>
      </w:r>
      <w:r>
        <w:t xml:space="preserve"> </w:t>
      </w:r>
      <w:r>
        <w:t xml:space="preserve">also indirectly benefit market stability, as it</w:t>
      </w:r>
      <w:r>
        <w:t xml:space="preserve"> </w:t>
      </w:r>
      <w:r>
        <w:t xml:space="preserve">would help identify which third-country</w:t>
      </w:r>
      <w:r>
        <w:t xml:space="preserve"> </w:t>
      </w:r>
      <w:r>
        <w:t xml:space="preserve">CSDs provide services and in which</w:t>
      </w:r>
      <w:r>
        <w:t xml:space="preserve"> </w:t>
      </w:r>
      <w:r>
        <w:t xml:space="preserve">volumes, thus increasing transparency in the</w:t>
      </w:r>
      <w:r>
        <w:t xml:space="preserve"> </w:t>
      </w:r>
      <w:r>
        <w:t xml:space="preserve">market and help identify potential systemic</w:t>
      </w:r>
      <w:r>
        <w:t xml:space="preserve"> </w:t>
      </w:r>
      <w:r>
        <w:t xml:space="preserve">risk.</w:t>
      </w:r>
      <w:r>
        <w:t xml:space="preserve"> </w:t>
      </w:r>
      <w:r>
        <w:t xml:space="preserve">Increased competition</w:t>
      </w:r>
      <w:r>
        <w:t xml:space="preserve"> </w:t>
      </w:r>
      <w:r>
        <w:t xml:space="preserve">between CSDs regarding the</w:t>
      </w:r>
      <w:r>
        <w:t xml:space="preserve"> </w:t>
      </w:r>
      <w:r>
        <w:t xml:space="preserve">provision of settlement</w:t>
      </w:r>
      <w:r>
        <w:t xml:space="preserve"> </w:t>
      </w:r>
      <w:r>
        <w:t xml:space="preserve">services is foreign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Issuers and investors would have more</w:t>
      </w:r>
      <w:r>
        <w:t xml:space="preserve"> </w:t>
      </w:r>
      <w:r>
        <w:t xml:space="preserve">choice in terms of financing arrangements,</w:t>
      </w:r>
      <w:r>
        <w:t xml:space="preserve"> </w:t>
      </w:r>
      <w:r>
        <w:t xml:space="preserve">issuance and risk diversification in their</w:t>
      </w:r>
    </w:p>
    <w:p>
      <w:pPr>
        <w:pStyle w:val="BodyText"/>
      </w:pPr>
      <w:r>
        <w:t xml:space="preserve">286 Confidential information provided to DG FISMA.</w:t>
      </w:r>
      <w:r>
        <w:br/>
      </w:r>
      <w:r>
        <w:t xml:space="preserve">284 For explanation and calculation of costs savings see J.P. Morgan public consultation reply, Q. 34.1.</w:t>
      </w:r>
      <w:r>
        <w:t xml:space="preserve"> </w:t>
      </w:r>
      <w:r>
        <w:t xml:space="preserve">285 Based on confidential data provided to DG FISMA services indicated that 4%-5% of trade volume could</w:t>
      </w:r>
      <w:r>
        <w:t xml:space="preserve"> </w:t>
      </w:r>
      <w:r>
        <w:t xml:space="preserve">cease to occur. Annual equity and equity-like instrument trading volumes and bond trading volumes were</w:t>
      </w:r>
      <w:r>
        <w:t xml:space="preserve"> </w:t>
      </w:r>
      <w:r>
        <w:t xml:space="preserve">equal to EUR 128 trillion end-2019 (See chapter “1.3.2 Size of the market” of the Impact Assessment),</w:t>
      </w:r>
      <w:r>
        <w:t xml:space="preserve"> </w:t>
      </w:r>
      <w:r>
        <w:t xml:space="preserve">giving a figure of up to EUR 7 trillion.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currencies, benefitting</w:t>
      </w:r>
      <w:r>
        <w:t xml:space="preserve"> </w:t>
      </w:r>
      <w:r>
        <w:t xml:space="preserve">investors and issuers.</w:t>
      </w:r>
      <w:r>
        <w:br/>
      </w:r>
      <w:r>
        <w:t xml:space="preserve">cross-border investments.</w:t>
      </w:r>
      <w:r>
        <w:t xml:space="preserve"> </w:t>
      </w:r>
      <w:r>
        <w:t xml:space="preserve">Reduction of administrative</w:t>
      </w:r>
      <w:r>
        <w:t xml:space="preserve"> </w:t>
      </w:r>
      <w:r>
        <w:t xml:space="preserve">burden related to the</w:t>
      </w:r>
      <w:r>
        <w:t xml:space="preserve"> </w:t>
      </w:r>
      <w:r>
        <w:t xml:space="preserve">development of Q&amp;As.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Clarifications regarding the settlement</w:t>
      </w:r>
      <w:r>
        <w:t xml:space="preserve"> </w:t>
      </w:r>
      <w:r>
        <w:t xml:space="preserve">discipline regime (penalties and buy-in)</w:t>
      </w:r>
      <w:r>
        <w:t xml:space="preserve"> </w:t>
      </w:r>
      <w:r>
        <w:t xml:space="preserve">would lessen the administrative burden on</w:t>
      </w:r>
      <w:r>
        <w:t xml:space="preserve"> </w:t>
      </w:r>
      <w:r>
        <w:t xml:space="preserve">ESMA related to replying to Q&amp;A’s.</w:t>
      </w:r>
      <w:r>
        <w:t xml:space="preserve"> </w:t>
      </w:r>
      <w:r>
        <w:t xml:space="preserve">Streamlined cooperation of</w:t>
      </w:r>
      <w:r>
        <w:t xml:space="preserve"> </w:t>
      </w:r>
      <w:r>
        <w:t xml:space="preserve">authorities.</w:t>
      </w:r>
      <w:r>
        <w:t xml:space="preserve"> </w:t>
      </w:r>
      <w:r>
        <w:t xml:space="preserve">No estimate available.</w:t>
      </w:r>
      <w:r>
        <w:t xml:space="preserve"> </w:t>
      </w:r>
      <w:r>
        <w:t xml:space="preserve">Ongoing costs will be reduced for NCAs</w:t>
      </w:r>
      <w:r>
        <w:t xml:space="preserve"> </w:t>
      </w:r>
      <w:r>
        <w:t xml:space="preserve">due to the streamlined cooperation of</w:t>
      </w:r>
      <w:r>
        <w:t xml:space="preserve"> </w:t>
      </w:r>
      <w:r>
        <w:t xml:space="preserve">authorities through the creation of colleges.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[Investors/ Issuers]</w:t>
      </w:r>
      <w:r>
        <w:t xml:space="preserve"> </w:t>
      </w:r>
      <w:r>
        <w:t xml:space="preserve">Businesses [Market</w:t>
      </w:r>
      <w:r>
        <w:t xml:space="preserve"> </w:t>
      </w:r>
      <w:r>
        <w:t xml:space="preserve">Infrastructure providers,</w:t>
      </w:r>
      <w:r>
        <w:t xml:space="preserve"> </w:t>
      </w:r>
      <w:r>
        <w:t xml:space="preserve">CSDs]</w:t>
      </w:r>
      <w:r>
        <w:br/>
      </w:r>
      <w:r>
        <w:t xml:space="preserve">Administrations</w:t>
      </w:r>
      <w:r>
        <w:t xml:space="preserve"> </w:t>
      </w:r>
      <w:r>
        <w:t xml:space="preserve">[NCAs, ESMA]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Replacing of</w:t>
      </w:r>
      <w:r>
        <w:t xml:space="preserve"> </w:t>
      </w:r>
      <w:r>
        <w:t xml:space="preserve">passporting</w:t>
      </w:r>
      <w:r>
        <w:t xml:space="preserve"> </w:t>
      </w:r>
      <w:r>
        <w:t xml:space="preserve">at the host</w:t>
      </w:r>
      <w:r>
        <w:t xml:space="preserve"> </w:t>
      </w:r>
      <w:r>
        <w:t xml:space="preserve">Member</w:t>
      </w:r>
      <w:r>
        <w:t xml:space="preserve"> </w:t>
      </w:r>
      <w:r>
        <w:t xml:space="preserve">State level</w:t>
      </w:r>
      <w:r>
        <w:t xml:space="preserve"> </w:t>
      </w:r>
      <w:r>
        <w:t xml:space="preserve">with a</w:t>
      </w:r>
      <w:r>
        <w:t xml:space="preserve"> </w:t>
      </w:r>
      <w:r>
        <w:t xml:space="preserve">notification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br/>
      </w:r>
      <w:r>
        <w:t xml:space="preserve">No cost</w:t>
      </w:r>
      <w:r>
        <w:t xml:space="preserve"> </w:t>
      </w:r>
      <w:r>
        <w:t xml:space="preserve">impact</w:t>
      </w:r>
      <w:r>
        <w:br/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 apart</w:t>
      </w:r>
      <w:r>
        <w:t xml:space="preserve"> </w:t>
      </w:r>
      <w:r>
        <w:t xml:space="preserve">from</w:t>
      </w:r>
      <w:r>
        <w:t xml:space="preserve"> </w:t>
      </w:r>
      <w:r>
        <w:t xml:space="preserve">(neglible)</w:t>
      </w:r>
      <w:r>
        <w:t xml:space="preserve"> </w:t>
      </w:r>
      <w:r>
        <w:t xml:space="preserve">costs</w:t>
      </w:r>
      <w:r>
        <w:t xml:space="preserve"> </w:t>
      </w:r>
      <w:r>
        <w:t xml:space="preserve">changing</w:t>
      </w:r>
      <w:r>
        <w:t xml:space="preserve"> </w:t>
      </w:r>
      <w:r>
        <w:t xml:space="preserve">current</w:t>
      </w:r>
      <w:r>
        <w:t xml:space="preserve"> </w:t>
      </w:r>
      <w:r>
        <w:t xml:space="preserve">procedures.</w:t>
      </w:r>
      <w:r>
        <w:br/>
      </w:r>
      <w:r>
        <w:t xml:space="preserve">Marginal</w:t>
      </w:r>
      <w:r>
        <w:t xml:space="preserve"> </w:t>
      </w:r>
      <w:r>
        <w:t xml:space="preserve">costs to</w:t>
      </w:r>
      <w:r>
        <w:t xml:space="preserve"> </w:t>
      </w:r>
      <w:r>
        <w:t xml:space="preserve">assess</w:t>
      </w:r>
      <w:r>
        <w:t xml:space="preserve"> </w:t>
      </w:r>
      <w:r>
        <w:t xml:space="preserve">notificatio</w:t>
      </w:r>
      <w:r>
        <w:t xml:space="preserve"> </w:t>
      </w:r>
      <w:r>
        <w:t xml:space="preserve">ns.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br/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Establish</w:t>
      </w:r>
      <w:r>
        <w:t xml:space="preserve"> </w:t>
      </w:r>
      <w:r>
        <w:t xml:space="preserve">colleges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Establish</w:t>
      </w:r>
      <w:r>
        <w:t xml:space="preserve"> </w:t>
      </w:r>
      <w:r>
        <w:t xml:space="preserve">ment of</w:t>
      </w:r>
      <w:r>
        <w:t xml:space="preserve"> </w:t>
      </w:r>
      <w:r>
        <w:t xml:space="preserve">colleges</w:t>
      </w:r>
      <w:r>
        <w:t xml:space="preserve"> </w:t>
      </w:r>
      <w:r>
        <w:t xml:space="preserve">EUR</w:t>
      </w:r>
      <w:r>
        <w:t xml:space="preserve"> </w:t>
      </w:r>
      <w:r>
        <w:t xml:space="preserve">260000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</w:t>
      </w:r>
      <w:r>
        <w:t xml:space="preserve"> </w:t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No cost</w:t>
      </w:r>
      <w:r>
        <w:t xml:space="preserve"> </w:t>
      </w:r>
      <w:r>
        <w:t xml:space="preserve">No cost</w:t>
      </w:r>
      <w:r>
        <w:t xml:space="preserve"> </w:t>
      </w:r>
      <w:r>
        <w:t xml:space="preserve">No cost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 as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 as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to allow</w:t>
      </w:r>
      <w:r>
        <w:t xml:space="preserve"> </w:t>
      </w:r>
      <w:r>
        <w:t xml:space="preserve">banking</w:t>
      </w:r>
      <w:r>
        <w:t xml:space="preserve"> </w:t>
      </w:r>
      <w:r>
        <w:t xml:space="preserve">CSDs to</w:t>
      </w:r>
      <w:r>
        <w:t xml:space="preserve"> </w:t>
      </w:r>
      <w:r>
        <w:t xml:space="preserve">offer</w:t>
      </w:r>
      <w:r>
        <w:t xml:space="preserve"> </w:t>
      </w:r>
      <w:r>
        <w:t xml:space="preserve">services to</w:t>
      </w:r>
      <w:r>
        <w:t xml:space="preserve"> </w:t>
      </w:r>
      <w:r>
        <w:t xml:space="preserve">other CSDs</w:t>
      </w:r>
      <w:r>
        <w:br/>
      </w:r>
      <w:r>
        <w:t xml:space="preserve">impact</w:t>
      </w:r>
      <w:r>
        <w:t xml:space="preserve"> </w:t>
      </w:r>
      <w:r>
        <w:t xml:space="preserve">impact</w:t>
      </w:r>
      <w:r>
        <w:t xml:space="preserve"> </w:t>
      </w:r>
      <w:r>
        <w:t xml:space="preserve">impact</w:t>
      </w:r>
      <w:r>
        <w:t xml:space="preserve"> </w:t>
      </w:r>
      <w:r>
        <w:t xml:space="preserve">impact</w:t>
      </w:r>
      <w:r>
        <w:t xml:space="preserve"> </w:t>
      </w:r>
      <w:r>
        <w:t xml:space="preserve">within</w:t>
      </w:r>
      <w:r>
        <w:t xml:space="preserve"> </w:t>
      </w:r>
      <w:r>
        <w:t xml:space="preserve">current</w:t>
      </w:r>
      <w:r>
        <w:t xml:space="preserve"> </w:t>
      </w:r>
      <w:r>
        <w:t xml:space="preserve">supervisory</w:t>
      </w:r>
      <w:r>
        <w:t xml:space="preserve"> </w:t>
      </w:r>
      <w:r>
        <w:t xml:space="preserve">arrangement</w:t>
      </w:r>
      <w:r>
        <w:t xml:space="preserve"> </w:t>
      </w:r>
      <w:r>
        <w:t xml:space="preserve">s</w:t>
      </w:r>
      <w:r>
        <w:br/>
      </w:r>
      <w:r>
        <w:t xml:space="preserve">within</w:t>
      </w:r>
      <w:r>
        <w:t xml:space="preserve"> </w:t>
      </w:r>
      <w:r>
        <w:t xml:space="preserve">current</w:t>
      </w:r>
      <w:r>
        <w:t xml:space="preserve"> </w:t>
      </w:r>
      <w:r>
        <w:t xml:space="preserve">supervisor</w:t>
      </w:r>
      <w:r>
        <w:t xml:space="preserve"> </w:t>
      </w:r>
      <w:r>
        <w:t xml:space="preserve">y</w:t>
      </w:r>
      <w:r>
        <w:t xml:space="preserve"> </w:t>
      </w:r>
      <w:r>
        <w:t xml:space="preserve">arrangem</w:t>
      </w:r>
      <w:r>
        <w:t xml:space="preserve"> </w:t>
      </w:r>
      <w:r>
        <w:t xml:space="preserve">ents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Amend</w:t>
      </w:r>
      <w:r>
        <w:t xml:space="preserve"> </w:t>
      </w:r>
      <w:r>
        <w:t xml:space="preserve">threshold</w:t>
      </w:r>
      <w:r>
        <w:t xml:space="preserve"> </w:t>
      </w:r>
      <w:r>
        <w:t xml:space="preserve">for banking</w:t>
      </w:r>
      <w:r>
        <w:t xml:space="preserve"> </w:t>
      </w:r>
      <w:r>
        <w:t xml:space="preserve">services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 as</w:t>
      </w:r>
      <w:r>
        <w:t xml:space="preserve"> </w:t>
      </w:r>
      <w:r>
        <w:t xml:space="preserve">within</w:t>
      </w:r>
      <w:r>
        <w:t xml:space="preserve"> </w:t>
      </w:r>
      <w:r>
        <w:t xml:space="preserve">current</w:t>
      </w:r>
      <w:r>
        <w:t xml:space="preserve"> </w:t>
      </w:r>
      <w:r>
        <w:t xml:space="preserve">supervisory</w:t>
      </w:r>
      <w:r>
        <w:t xml:space="preserve"> </w:t>
      </w:r>
      <w:r>
        <w:t xml:space="preserve">arrangement</w:t>
      </w:r>
      <w:r>
        <w:t xml:space="preserve"> </w:t>
      </w:r>
      <w:r>
        <w:t xml:space="preserve">s</w:t>
      </w:r>
      <w:r>
        <w:br/>
      </w:r>
      <w:r>
        <w:t xml:space="preserve">No cost</w:t>
      </w:r>
      <w:r>
        <w:t xml:space="preserve"> </w:t>
      </w:r>
      <w:r>
        <w:t xml:space="preserve">impact as</w:t>
      </w:r>
      <w:r>
        <w:t xml:space="preserve"> </w:t>
      </w:r>
      <w:r>
        <w:t xml:space="preserve">within</w:t>
      </w:r>
      <w:r>
        <w:t xml:space="preserve"> </w:t>
      </w:r>
      <w:r>
        <w:t xml:space="preserve">current</w:t>
      </w:r>
      <w:r>
        <w:t xml:space="preserve"> </w:t>
      </w:r>
      <w:r>
        <w:t xml:space="preserve">supervisor</w:t>
      </w:r>
      <w:r>
        <w:t xml:space="preserve"> </w:t>
      </w:r>
      <w:r>
        <w:t xml:space="preserve">y</w:t>
      </w:r>
      <w:r>
        <w:t xml:space="preserve"> </w:t>
      </w:r>
      <w:r>
        <w:t xml:space="preserve">arrangem</w:t>
      </w:r>
      <w:r>
        <w:t xml:space="preserve"> </w:t>
      </w:r>
      <w:r>
        <w:t xml:space="preserve">ents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</w:t>
      </w:r>
      <w:r>
        <w:t xml:space="preserve"> </w:t>
      </w:r>
      <w:r>
        <w:t xml:space="preserve">regime</w:t>
      </w:r>
      <w:r>
        <w:t xml:space="preserve"> </w:t>
      </w:r>
      <w:r>
        <w:t xml:space="preserve">Direct costs</w:t>
      </w:r>
      <w:r>
        <w:t xml:space="preserve"> </w:t>
      </w:r>
      <w:r>
        <w:t xml:space="preserve">Marginal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to the</w:t>
      </w:r>
      <w:r>
        <w:t xml:space="preserve"> </w:t>
      </w:r>
      <w:r>
        <w:t xml:space="preserve">clarified</w:t>
      </w:r>
      <w:r>
        <w:t xml:space="preserve"> </w:t>
      </w:r>
      <w:r>
        <w:t xml:space="preserve">rules, i.e. </w:t>
      </w:r>
      <w:r>
        <w:t xml:space="preserve"> </w:t>
      </w:r>
      <w:r>
        <w:t xml:space="preserve">removing</w:t>
      </w:r>
      <w:r>
        <w:t xml:space="preserve"> </w:t>
      </w:r>
      <w:r>
        <w:t xml:space="preserve">out-of-</w:t>
      </w:r>
      <w:r>
        <w:t xml:space="preserve"> </w:t>
      </w:r>
      <w:r>
        <w:t xml:space="preserve">scope</w:t>
      </w:r>
      <w:r>
        <w:t xml:space="preserve"> </w:t>
      </w:r>
      <w:r>
        <w:t xml:space="preserve">transactions</w:t>
      </w:r>
      <w:r>
        <w:t xml:space="preserve"> </w:t>
      </w:r>
      <w:r>
        <w:t xml:space="preserve">and setting</w:t>
      </w:r>
      <w:r>
        <w:t xml:space="preserve"> </w:t>
      </w:r>
      <w:r>
        <w:t xml:space="preserve">up a pass-</w:t>
      </w:r>
      <w:r>
        <w:t xml:space="preserve"> </w:t>
      </w:r>
      <w:r>
        <w:t xml:space="preserve">on</w:t>
      </w:r>
      <w:r>
        <w:t xml:space="preserve"> </w:t>
      </w:r>
      <w:r>
        <w:t xml:space="preserve">mechanism.</w:t>
      </w:r>
      <w:r>
        <w:br/>
      </w:r>
      <w:r>
        <w:t xml:space="preserve">No cost impact. Marginal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to the</w:t>
      </w:r>
      <w:r>
        <w:t xml:space="preserve"> </w:t>
      </w:r>
      <w:r>
        <w:t xml:space="preserve">clarified rules.</w:t>
      </w:r>
      <w:r>
        <w:t xml:space="preserve"> </w:t>
      </w:r>
      <w:r>
        <w:t xml:space="preserve">In case of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to</w:t>
      </w:r>
      <w:r>
        <w:t xml:space="preserve"> </w:t>
      </w:r>
      <w:r>
        <w:t xml:space="preserve">amended buy-</w:t>
      </w:r>
      <w:r>
        <w:t xml:space="preserve"> </w:t>
      </w:r>
      <w:r>
        <w:t xml:space="preserve">in rules, these</w:t>
      </w:r>
      <w:r>
        <w:t xml:space="preserve"> </w:t>
      </w:r>
      <w:r>
        <w:t xml:space="preserve">can become</w:t>
      </w:r>
      <w:r>
        <w:t xml:space="preserve"> </w:t>
      </w:r>
      <w:r>
        <w:t xml:space="preserve">sunk cost (if</w:t>
      </w:r>
      <w:r>
        <w:t xml:space="preserve"> </w:t>
      </w:r>
      <w:r>
        <w:t xml:space="preserve">mandatory buy-</w:t>
      </w:r>
      <w:r>
        <w:t xml:space="preserve"> </w:t>
      </w:r>
      <w:r>
        <w:t xml:space="preserve">in will be</w:t>
      </w:r>
      <w:r>
        <w:t xml:space="preserve"> </w:t>
      </w:r>
      <w:r>
        <w:t xml:space="preserve">abandoned).</w:t>
      </w:r>
      <w:r>
        <w:br/>
      </w:r>
      <w:r>
        <w:t xml:space="preserve">No cost impact. No cost</w:t>
      </w:r>
      <w:r>
        <w:t xml:space="preserve"> </w:t>
      </w:r>
      <w:r>
        <w:t xml:space="preserve">impact.</w:t>
      </w:r>
      <w:r>
        <w:br/>
      </w:r>
      <w:r>
        <w:t xml:space="preserve">Reduction</w:t>
      </w:r>
      <w:r>
        <w:t xml:space="preserve"> </w:t>
      </w:r>
      <w:r>
        <w:t xml:space="preserve">of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settlement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, guidance</w:t>
      </w:r>
      <w:r>
        <w:t xml:space="preserve"> </w:t>
      </w:r>
      <w:r>
        <w:t xml:space="preserve">provided to</w:t>
      </w:r>
      <w:r>
        <w:t xml:space="preserve"> </w:t>
      </w:r>
      <w:r>
        <w:t xml:space="preserve">market</w:t>
      </w:r>
      <w:r>
        <w:t xml:space="preserve"> </w:t>
      </w:r>
      <w:r>
        <w:t xml:space="preserve">participant</w:t>
      </w:r>
      <w:r>
        <w:t xml:space="preserve"> </w:t>
      </w:r>
      <w:r>
        <w:t xml:space="preserve">s.</w:t>
      </w:r>
      <w:r>
        <w:br/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No cost impact No cost impact No cost impact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Deferred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mandatory</w:t>
      </w:r>
      <w:r>
        <w:t xml:space="preserve"> </w:t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Costs related to</w:t>
      </w:r>
      <w:r>
        <w:t xml:space="preserve"> </w:t>
      </w:r>
      <w:r>
        <w:t xml:space="preserve">the setting up</w:t>
      </w:r>
      <w:r>
        <w:t xml:space="preserve"> </w:t>
      </w:r>
      <w:r>
        <w:t xml:space="preserve">of a mandatory</w:t>
      </w:r>
      <w:r>
        <w:t xml:space="preserve"> </w:t>
      </w:r>
      <w:r>
        <w:t xml:space="preserve">buy-in (i.e. </w:t>
      </w:r>
      <w:r>
        <w:t xml:space="preserve"> </w:t>
      </w:r>
      <w:r>
        <w:t xml:space="preserve">setting up or</w:t>
      </w:r>
      <w:r>
        <w:t xml:space="preserve"> </w:t>
      </w:r>
      <w:r>
        <w:t xml:space="preserve">connecting to a</w:t>
      </w:r>
      <w:r>
        <w:t xml:space="preserve"> </w:t>
      </w:r>
      <w:r>
        <w:t xml:space="preserve">Some reporting</w:t>
      </w:r>
      <w:r>
        <w:t xml:space="preserve"> </w:t>
      </w:r>
      <w:r>
        <w:t xml:space="preserve">costs as CSDs</w:t>
      </w:r>
      <w:r>
        <w:t xml:space="preserve"> </w:t>
      </w:r>
      <w:r>
        <w:t xml:space="preserve">will need to</w:t>
      </w:r>
      <w:r>
        <w:t xml:space="preserve"> </w:t>
      </w:r>
      <w:r>
        <w:t xml:space="preserve">provide more</w:t>
      </w:r>
      <w:r>
        <w:t xml:space="preserve"> </w:t>
      </w:r>
      <w:r>
        <w:t xml:space="preserve">accurate and</w:t>
      </w:r>
      <w:r>
        <w:t xml:space="preserve"> </w:t>
      </w:r>
      <w:r>
        <w:t xml:space="preserve">timely data as</w:t>
      </w:r>
      <w:r>
        <w:t xml:space="preserve"> </w:t>
      </w:r>
      <w:r>
        <w:t xml:space="preserve">No cost impact Some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settlement</w:t>
      </w:r>
      <w:r>
        <w:t xml:space="preserve"> </w:t>
      </w:r>
      <w:r>
        <w:t xml:space="preserve">fail</w:t>
      </w:r>
      <w:r>
        <w:t xml:space="preserve"> </w:t>
      </w:r>
      <w:r>
        <w:t xml:space="preserve">monitoring,</w:t>
      </w:r>
      <w:r>
        <w:t xml:space="preserve"> </w:t>
      </w:r>
      <w:r>
        <w:t xml:space="preserve">occassional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buy-in</w:t>
      </w:r>
      <w:r>
        <w:br/>
      </w:r>
      <w:r>
        <w:t xml:space="preserve">buy-in agent)</w:t>
      </w:r>
      <w:r>
        <w:t xml:space="preserve"> </w:t>
      </w:r>
      <w:r>
        <w:t xml:space="preserve">may prove to</w:t>
      </w:r>
      <w:r>
        <w:t xml:space="preserve"> </w:t>
      </w:r>
      <w:r>
        <w:t xml:space="preserve">be sunk costs if</w:t>
      </w:r>
      <w:r>
        <w:t xml:space="preserve"> </w:t>
      </w:r>
      <w:r>
        <w:t xml:space="preserve">mandatory buy-</w:t>
      </w:r>
      <w:r>
        <w:t xml:space="preserve"> </w:t>
      </w:r>
      <w:r>
        <w:t xml:space="preserve">in is</w:t>
      </w:r>
      <w:r>
        <w:t xml:space="preserve"> </w:t>
      </w:r>
      <w:r>
        <w:t xml:space="preserve">abandoned.</w:t>
      </w:r>
      <w:r>
        <w:br/>
      </w:r>
      <w:r>
        <w:t xml:space="preserve">to the</w:t>
      </w:r>
      <w:r>
        <w:t xml:space="preserve"> </w:t>
      </w:r>
      <w:r>
        <w:t xml:space="preserve">evolution of</w:t>
      </w:r>
      <w:r>
        <w:t xml:space="preserve"> </w:t>
      </w:r>
      <w:r>
        <w:t xml:space="preserve">settlement</w:t>
      </w:r>
      <w:r>
        <w:t xml:space="preserve"> </w:t>
      </w:r>
      <w:r>
        <w:t xml:space="preserve">efficiency to</w:t>
      </w:r>
      <w:r>
        <w:t xml:space="preserve"> </w:t>
      </w:r>
      <w:r>
        <w:t xml:space="preserve">support</w:t>
      </w:r>
      <w:r>
        <w:t xml:space="preserve"> </w:t>
      </w:r>
      <w:r>
        <w:t xml:space="preserve">decision on the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 mandatory</w:t>
      </w:r>
      <w:r>
        <w:t xml:space="preserve"> </w:t>
      </w:r>
      <w:r>
        <w:t xml:space="preserve">buy-in.</w:t>
      </w:r>
      <w:r>
        <w:t xml:space="preserve"> </w:t>
      </w:r>
      <w:r>
        <w:t xml:space="preserve">ly going</w:t>
      </w:r>
      <w:r>
        <w:t xml:space="preserve"> </w:t>
      </w:r>
      <w:r>
        <w:t xml:space="preserve">beyond</w:t>
      </w:r>
      <w:r>
        <w:t xml:space="preserve"> </w:t>
      </w:r>
      <w:r>
        <w:t xml:space="preserve">current</w:t>
      </w:r>
      <w:r>
        <w:t xml:space="preserve"> </w:t>
      </w:r>
      <w:r>
        <w:t xml:space="preserve">requireme</w:t>
      </w:r>
      <w:r>
        <w:t xml:space="preserve"> </w:t>
      </w:r>
      <w:r>
        <w:t xml:space="preserve">nts, and</w:t>
      </w:r>
      <w:r>
        <w:t xml:space="preserve"> </w:t>
      </w:r>
      <w:r>
        <w:t xml:space="preserve">assessment</w:t>
      </w:r>
      <w:r>
        <w:t xml:space="preserve"> </w:t>
      </w:r>
      <w:r>
        <w:t xml:space="preserve">of the</w:t>
      </w:r>
      <w:r>
        <w:t xml:space="preserve"> </w:t>
      </w:r>
      <w:r>
        <w:t xml:space="preserve">evolution</w:t>
      </w:r>
      <w:r>
        <w:t xml:space="preserve"> </w:t>
      </w:r>
      <w:r>
        <w:t xml:space="preserve">of fail rate</w:t>
      </w:r>
      <w:r>
        <w:t xml:space="preserve"> </w:t>
      </w:r>
      <w:r>
        <w:t xml:space="preserve">to support</w:t>
      </w:r>
      <w:r>
        <w:t xml:space="preserve"> </w:t>
      </w:r>
      <w:r>
        <w:t xml:space="preserve">decision 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</w:t>
      </w:r>
      <w:r>
        <w:t xml:space="preserve"> </w:t>
      </w:r>
      <w:r>
        <w:t xml:space="preserve">ation of</w:t>
      </w:r>
      <w:r>
        <w:t xml:space="preserve"> </w:t>
      </w:r>
      <w:r>
        <w:t xml:space="preserve">mandatory</w:t>
      </w:r>
      <w:r>
        <w:t xml:space="preserve"> </w:t>
      </w:r>
      <w:r>
        <w:t xml:space="preserve">buy-in.</w:t>
      </w:r>
      <w:r>
        <w:t xml:space="preserve"> </w:t>
      </w:r>
      <w:r>
        <w:t xml:space="preserve">Indirect costs Setting up</w:t>
      </w:r>
      <w:r>
        <w:t xml:space="preserve"> </w:t>
      </w:r>
      <w:r>
        <w:t xml:space="preserve">cost for</w:t>
      </w:r>
      <w:r>
        <w:t xml:space="preserve"> </w:t>
      </w:r>
      <w:r>
        <w:t xml:space="preserve">collecting</w:t>
      </w:r>
      <w:r>
        <w:t xml:space="preserve"> </w:t>
      </w:r>
      <w:r>
        <w:t xml:space="preserve">cash</w:t>
      </w:r>
      <w:r>
        <w:t xml:space="preserve"> </w:t>
      </w:r>
      <w:r>
        <w:t xml:space="preserve">penalties,</w:t>
      </w:r>
      <w:r>
        <w:t xml:space="preserve"> </w:t>
      </w:r>
      <w:r>
        <w:t xml:space="preserve">but this is</w:t>
      </w:r>
      <w:r>
        <w:t xml:space="preserve"> </w:t>
      </w:r>
      <w:r>
        <w:t xml:space="preserve">largely</w:t>
      </w:r>
      <w:r>
        <w:t xml:space="preserve"> </w:t>
      </w:r>
      <w:r>
        <w:t xml:space="preserve">already</w:t>
      </w:r>
      <w:r>
        <w:t xml:space="preserve"> </w:t>
      </w:r>
      <w:r>
        <w:t xml:space="preserve">prepared by</w:t>
      </w:r>
      <w:r>
        <w:t xml:space="preserve"> </w:t>
      </w:r>
      <w:r>
        <w:t xml:space="preserve">the market</w:t>
      </w:r>
      <w:r>
        <w:t xml:space="preserve"> </w:t>
      </w:r>
      <w:r>
        <w:t xml:space="preserve">participants.</w:t>
      </w:r>
      <w:r>
        <w:t xml:space="preserve"> </w:t>
      </w:r>
      <w:r>
        <w:t xml:space="preserve">Higher cost of</w:t>
      </w:r>
      <w:r>
        <w:t xml:space="preserve"> </w:t>
      </w:r>
      <w:r>
        <w:t xml:space="preserve">financial</w:t>
      </w:r>
      <w:r>
        <w:t xml:space="preserve"> </w:t>
      </w:r>
      <w:r>
        <w:t xml:space="preserve">transactions</w:t>
      </w:r>
      <w:r>
        <w:t xml:space="preserve"> </w:t>
      </w:r>
      <w:r>
        <w:t xml:space="preserve">that enter</w:t>
      </w:r>
      <w:r>
        <w:t xml:space="preserve"> </w:t>
      </w:r>
      <w:r>
        <w:t xml:space="preserve">delayed</w:t>
      </w:r>
      <w:r>
        <w:t xml:space="preserve"> </w:t>
      </w:r>
      <w:r>
        <w:t xml:space="preserve">settlement</w:t>
      </w:r>
      <w:r>
        <w:t xml:space="preserve"> </w:t>
      </w:r>
      <w:r>
        <w:t xml:space="preserve">(Cash penalties</w:t>
      </w:r>
      <w:r>
        <w:t xml:space="preserve"> </w:t>
      </w:r>
      <w:r>
        <w:t xml:space="preserve">added to a</w:t>
      </w:r>
      <w:r>
        <w:t xml:space="preserve"> </w:t>
      </w:r>
      <w:r>
        <w:t xml:space="preserve">transaction</w:t>
      </w:r>
      <w:r>
        <w:t xml:space="preserve"> </w:t>
      </w:r>
      <w:r>
        <w:t xml:space="preserve">cost)287. These</w:t>
      </w:r>
      <w:r>
        <w:t xml:space="preserve"> </w:t>
      </w:r>
      <w:r>
        <w:t xml:space="preserve">cost are</w:t>
      </w:r>
      <w:r>
        <w:t xml:space="preserve"> </w:t>
      </w:r>
      <w:r>
        <w:t xml:space="preserve">manageable for</w:t>
      </w:r>
      <w:r>
        <w:t xml:space="preserve"> </w:t>
      </w:r>
      <w:r>
        <w:t xml:space="preserve">the market.</w:t>
      </w:r>
      <w:r>
        <w:t xml:space="preserve"> </w:t>
      </w:r>
      <w:r>
        <w:t xml:space="preserve">Cost related 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 cash</w:t>
      </w:r>
      <w:r>
        <w:t xml:space="preserve"> </w:t>
      </w:r>
      <w:r>
        <w:t xml:space="preserve">penalties.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marginal and</w:t>
      </w:r>
      <w:r>
        <w:t xml:space="preserve"> </w:t>
      </w:r>
      <w:r>
        <w:t xml:space="preserve">largely</w:t>
      </w:r>
      <w:r>
        <w:t xml:space="preserve"> </w:t>
      </w:r>
      <w:r>
        <w:t xml:space="preserve">implemented.</w:t>
      </w:r>
      <w:r>
        <w:t xml:space="preserve"> </w:t>
      </w:r>
      <w:r>
        <w:t xml:space="preserve">No cost impact No cost impact 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determinin</w:t>
      </w:r>
      <w:r>
        <w:t xml:space="preserve"> </w:t>
      </w:r>
      <w:r>
        <w:t xml:space="preserve">g the need</w:t>
      </w:r>
      <w:r>
        <w:t xml:space="preserve"> </w:t>
      </w:r>
      <w:r>
        <w:t xml:space="preserve">and terms</w:t>
      </w:r>
      <w:r>
        <w:t xml:space="preserve"> </w:t>
      </w:r>
      <w:r>
        <w:t xml:space="preserve">of</w:t>
      </w:r>
      <w:r>
        <w:t xml:space="preserve"> </w:t>
      </w:r>
      <w:r>
        <w:t xml:space="preserve">introductio</w:t>
      </w:r>
      <w:r>
        <w:t xml:space="preserve"> </w:t>
      </w:r>
      <w:r>
        <w:t xml:space="preserve">n of</w:t>
      </w:r>
      <w:r>
        <w:t xml:space="preserve"> </w:t>
      </w:r>
      <w:r>
        <w:t xml:space="preserve">mandatory</w:t>
      </w:r>
      <w:r>
        <w:t xml:space="preserve"> </w:t>
      </w:r>
      <w:r>
        <w:t xml:space="preserve">buy-in.</w:t>
      </w:r>
      <w:r>
        <w:t xml:space="preserve"> </w:t>
      </w:r>
      <w:r>
        <w:t xml:space="preserve">Ending the</w:t>
      </w:r>
      <w:r>
        <w:t xml:space="preserve"> </w:t>
      </w:r>
      <w:r>
        <w:t xml:space="preserve">grand-</w:t>
      </w:r>
      <w:r>
        <w:t xml:space="preserve"> </w:t>
      </w:r>
      <w:r>
        <w:t xml:space="preserve">fathering</w:t>
      </w:r>
      <w:r>
        <w:t xml:space="preserve"> </w:t>
      </w:r>
      <w:r>
        <w:t xml:space="preserve">clause</w:t>
      </w:r>
      <w:r>
        <w:br/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 would</w:t>
      </w:r>
      <w:r>
        <w:t xml:space="preserve"> </w:t>
      </w:r>
      <w:r>
        <w:t xml:space="preserve">incur costs</w:t>
      </w:r>
      <w:r>
        <w:t xml:space="preserve"> </w:t>
      </w:r>
      <w:r>
        <w:t xml:space="preserve">attributed to</w:t>
      </w:r>
      <w:r>
        <w:t xml:space="preserve"> </w:t>
      </w:r>
      <w:r>
        <w:t xml:space="preserve">seeking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from ESMA.</w:t>
      </w:r>
    </w:p>
    <w:p>
      <w:pPr>
        <w:pStyle w:val="BodyText"/>
      </w:pPr>
      <w:r>
        <w:t xml:space="preserve">Third-country</w:t>
      </w:r>
      <w:r>
        <w:t xml:space="preserve"> </w:t>
      </w:r>
      <w:r>
        <w:t xml:space="preserve">CSDs would</w:t>
      </w:r>
      <w:r>
        <w:t xml:space="preserve"> </w:t>
      </w:r>
      <w:r>
        <w:t xml:space="preserve">incur recurrent</w:t>
      </w:r>
      <w:r>
        <w:t xml:space="preserve"> </w:t>
      </w:r>
      <w:r>
        <w:t xml:space="preserve">additional 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relevant</w:t>
      </w:r>
      <w:r>
        <w:t xml:space="preserve"> </w:t>
      </w:r>
      <w:r>
        <w:t xml:space="preserve">EU rules (in</w:t>
      </w:r>
      <w:r>
        <w:t xml:space="preserve"> </w:t>
      </w:r>
      <w:r>
        <w:t xml:space="preserve">case third</w:t>
      </w:r>
      <w:r>
        <w:t xml:space="preserve"> </w:t>
      </w:r>
      <w:r>
        <w:t xml:space="preserve">country rules</w:t>
      </w:r>
      <w:r>
        <w:t xml:space="preserve"> </w:t>
      </w:r>
      <w:r>
        <w:t xml:space="preserve">are deemed not</w:t>
      </w:r>
      <w:r>
        <w:t xml:space="preserve"> </w:t>
      </w:r>
      <w:r>
        <w:t xml:space="preserve">equivalent with</w:t>
      </w:r>
      <w:r>
        <w:t xml:space="preserve"> </w:t>
      </w:r>
      <w:r>
        <w:t xml:space="preserve">EU rules) and</w:t>
      </w:r>
      <w:r>
        <w:t xml:space="preserve"> </w:t>
      </w:r>
      <w:r>
        <w:t xml:space="preserve">Marginal costs</w:t>
      </w:r>
      <w:r>
        <w:t xml:space="preserve"> </w:t>
      </w:r>
      <w:r>
        <w:t xml:space="preserve">for ESMA</w:t>
      </w:r>
      <w:r>
        <w:t xml:space="preserve"> </w:t>
      </w:r>
      <w:r>
        <w:t xml:space="preserve">related to</w:t>
      </w:r>
      <w:r>
        <w:t xml:space="preserve"> </w:t>
      </w:r>
      <w:r>
        <w:t xml:space="preserve">setting up</w:t>
      </w:r>
      <w:r>
        <w:t xml:space="preserve"> </w:t>
      </w:r>
      <w:r>
        <w:t xml:space="preserve">procedure for</w:t>
      </w:r>
      <w:r>
        <w:t xml:space="preserve"> </w:t>
      </w:r>
      <w:r>
        <w:t xml:space="preserve">handling</w:t>
      </w:r>
      <w:r>
        <w:t xml:space="preserve"> </w:t>
      </w:r>
      <w:r>
        <w:t xml:space="preserve">equivalence</w:t>
      </w:r>
      <w:r>
        <w:t xml:space="preserve"> </w:t>
      </w:r>
      <w:r>
        <w:t xml:space="preserve">decisions from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CSDs.</w:t>
      </w:r>
      <w:r>
        <w:t xml:space="preserve"> </w:t>
      </w:r>
      <w:r>
        <w:t xml:space="preserve">Marginally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 for</w:t>
      </w:r>
      <w:r>
        <w:t xml:space="preserve"> </w:t>
      </w:r>
      <w:r>
        <w:t xml:space="preserve">ESMA for</w:t>
      </w:r>
      <w:r>
        <w:t xml:space="preserve"> </w:t>
      </w:r>
      <w:r>
        <w:t xml:space="preserve">handling</w:t>
      </w:r>
      <w:r>
        <w:t xml:space="preserve"> </w:t>
      </w:r>
      <w:r>
        <w:t xml:space="preserve">authorizati</w:t>
      </w:r>
      <w:r>
        <w:t xml:space="preserve"> </w:t>
      </w:r>
      <w:r>
        <w:t xml:space="preserve">on</w:t>
      </w:r>
      <w:r>
        <w:t xml:space="preserve"> </w:t>
      </w:r>
      <w:r>
        <w:t xml:space="preserve">requests</w:t>
      </w:r>
      <w:r>
        <w:t xml:space="preserve"> </w:t>
      </w:r>
      <w:r>
        <w:t xml:space="preserve">from third-</w:t>
      </w:r>
      <w:r>
        <w:t xml:space="preserve"> </w:t>
      </w:r>
      <w:r>
        <w:t xml:space="preserve">country</w:t>
      </w:r>
      <w:r>
        <w:t xml:space="preserve"> </w:t>
      </w:r>
      <w:r>
        <w:t xml:space="preserve">CSDs.</w:t>
      </w:r>
    </w:p>
    <w:p>
      <w:pPr>
        <w:pStyle w:val="BodyText"/>
      </w:pPr>
      <w:r>
        <w:t xml:space="preserve">287 The initiative supported by this Impact Assessment does not introduce cash penalties, so its costs cannot be</w:t>
      </w:r>
      <w:r>
        <w:t xml:space="preserve"> </w:t>
      </w:r>
      <w:r>
        <w:t xml:space="preserve">directly attributed to it. However, the costs of cash penalties in terms of impact on market pricing have not</w:t>
      </w:r>
      <w:r>
        <w:t xml:space="preserve"> </w:t>
      </w:r>
      <w:r>
        <w:t xml:space="preserve">been incurred as cash penalties have not yet entered into force.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potentially</w:t>
      </w:r>
      <w:r>
        <w:t xml:space="preserve"> </w:t>
      </w:r>
      <w:r>
        <w:t xml:space="preserve">operating two</w:t>
      </w:r>
      <w:r>
        <w:t xml:space="preserve"> </w:t>
      </w:r>
      <w:r>
        <w:t xml:space="preserve">settlement</w:t>
      </w:r>
      <w:r>
        <w:t xml:space="preserve"> </w:t>
      </w:r>
      <w:r>
        <w:t xml:space="preserve">regimes (a EU</w:t>
      </w:r>
      <w:r>
        <w:t xml:space="preserve"> </w:t>
      </w:r>
      <w:r>
        <w:t xml:space="preserve">one and a third</w:t>
      </w:r>
      <w:r>
        <w:t xml:space="preserve"> </w:t>
      </w:r>
      <w:r>
        <w:t xml:space="preserve">country one).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No cost impact No cost impact No cost impact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Notification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 third-</w:t>
      </w:r>
      <w:r>
        <w:t xml:space="preserve"> </w:t>
      </w:r>
      <w:r>
        <w:t xml:space="preserve">country</w:t>
      </w:r>
      <w:r>
        <w:t xml:space="preserve"> </w:t>
      </w:r>
      <w:r>
        <w:t xml:space="preserve">CSDs</w:t>
      </w:r>
      <w:r>
        <w:br/>
      </w:r>
      <w:r>
        <w:t xml:space="preserve">Direct costs</w:t>
      </w:r>
      <w:r>
        <w:t xml:space="preserve"> </w:t>
      </w:r>
      <w:r>
        <w:t xml:space="preserve">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CSDs would</w:t>
      </w:r>
      <w:r>
        <w:t xml:space="preserve"> </w:t>
      </w:r>
      <w:r>
        <w:t xml:space="preserve">incur costs</w:t>
      </w:r>
      <w:r>
        <w:t xml:space="preserve"> </w:t>
      </w:r>
      <w:r>
        <w:t xml:space="preserve">attributed to</w:t>
      </w:r>
      <w:r>
        <w:t xml:space="preserve"> </w:t>
      </w:r>
      <w:r>
        <w:t xml:space="preserve">the notification</w:t>
      </w:r>
      <w:r>
        <w:t xml:space="preserve"> </w:t>
      </w:r>
      <w:r>
        <w:t xml:space="preserve">process with</w:t>
      </w:r>
      <w:r>
        <w:t xml:space="preserve"> </w:t>
      </w:r>
      <w:r>
        <w:t xml:space="preserve">ESMA.</w:t>
      </w:r>
    </w:p>
    <w:p>
      <w:pPr>
        <w:pStyle w:val="BodyText"/>
      </w:pPr>
      <w:r>
        <w:t xml:space="preserve">No cost impact Marginal</w:t>
      </w:r>
      <w:r>
        <w:t xml:space="preserve"> </w:t>
      </w:r>
      <w:r>
        <w:t xml:space="preserve">costs for</w:t>
      </w:r>
      <w:r>
        <w:t xml:space="preserve"> </w:t>
      </w:r>
      <w:r>
        <w:t xml:space="preserve">ESMA related</w:t>
      </w:r>
      <w:r>
        <w:t xml:space="preserve"> </w:t>
      </w:r>
      <w:r>
        <w:t xml:space="preserve">to setting up</w:t>
      </w:r>
      <w:r>
        <w:t xml:space="preserve"> </w:t>
      </w:r>
      <w:r>
        <w:t xml:space="preserve">procedure</w:t>
      </w:r>
      <w:r>
        <w:t xml:space="preserve"> </w:t>
      </w:r>
      <w:r>
        <w:t xml:space="preserve">for handling</w:t>
      </w:r>
      <w:r>
        <w:t xml:space="preserve"> </w:t>
      </w:r>
      <w:r>
        <w:t xml:space="preserve">third-country</w:t>
      </w:r>
      <w:r>
        <w:t xml:space="preserve"> </w:t>
      </w:r>
      <w:r>
        <w:t xml:space="preserve">CSD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Marginally</w:t>
      </w:r>
      <w:r>
        <w:t xml:space="preserve"> </w:t>
      </w:r>
      <w:r>
        <w:t xml:space="preserve">increased</w:t>
      </w:r>
      <w:r>
        <w:t xml:space="preserve"> </w:t>
      </w:r>
      <w:r>
        <w:t xml:space="preserve">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handling</w:t>
      </w:r>
      <w:r>
        <w:t xml:space="preserve"> </w:t>
      </w:r>
      <w:r>
        <w:t xml:space="preserve">new</w:t>
      </w:r>
      <w:r>
        <w:t xml:space="preserve"> </w:t>
      </w:r>
      <w:r>
        <w:t xml:space="preserve">notificatio</w:t>
      </w:r>
      <w:r>
        <w:t xml:space="preserve"> </w:t>
      </w:r>
      <w:r>
        <w:t xml:space="preserve">ns. ESMA</w:t>
      </w:r>
      <w:r>
        <w:t xml:space="preserve"> </w:t>
      </w:r>
      <w:r>
        <w:t xml:space="preserve">estimated</w:t>
      </w:r>
      <w:r>
        <w:t xml:space="preserve"> </w:t>
      </w:r>
      <w:r>
        <w:t xml:space="preserve">costs for</w:t>
      </w:r>
      <w:r>
        <w:t xml:space="preserve"> </w:t>
      </w:r>
      <w:r>
        <w:t xml:space="preserve">one third-</w:t>
      </w:r>
      <w:r>
        <w:t xml:space="preserve"> </w:t>
      </w:r>
      <w:r>
        <w:t xml:space="preserve">country</w:t>
      </w:r>
      <w:r>
        <w:t xml:space="preserve"> </w:t>
      </w:r>
      <w:r>
        <w:t xml:space="preserve">CSD</w:t>
      </w:r>
      <w:r>
        <w:t xml:space="preserve"> </w:t>
      </w:r>
      <w:r>
        <w:t xml:space="preserve">notificatio</w:t>
      </w:r>
      <w:r>
        <w:t xml:space="preserve"> </w:t>
      </w:r>
      <w:r>
        <w:t xml:space="preserve">n would</w:t>
      </w:r>
      <w:r>
        <w:t xml:space="preserve"> </w:t>
      </w:r>
      <w:r>
        <w:t xml:space="preserve">amount to</w:t>
      </w:r>
      <w:r>
        <w:t xml:space="preserve"> </w:t>
      </w:r>
      <w:r>
        <w:t xml:space="preserve">ca. EUR 2</w:t>
      </w:r>
      <w:r>
        <w:t xml:space="preserve"> </w:t>
      </w:r>
      <w:r>
        <w:t xml:space="preserve">600 per</w:t>
      </w:r>
      <w:r>
        <w:t xml:space="preserve"> </w:t>
      </w:r>
      <w:r>
        <w:t xml:space="preserve">notificatio</w:t>
      </w:r>
      <w:r>
        <w:t xml:space="preserve"> </w:t>
      </w:r>
      <w:r>
        <w:t xml:space="preserve">n. </w:t>
      </w:r>
      <w:r>
        <w:t xml:space="preserve"> </w:t>
      </w:r>
      <w:r>
        <w:t xml:space="preserve">Indirect costs No cost</w:t>
      </w:r>
      <w:r>
        <w:t xml:space="preserve"> </w:t>
      </w:r>
      <w:r>
        <w:t xml:space="preserve">impact</w:t>
      </w:r>
      <w:r>
        <w:t xml:space="preserve"> </w:t>
      </w:r>
      <w:r>
        <w:t xml:space="preserve">No cost impact</w:t>
      </w:r>
      <w:r>
        <w:t xml:space="preserve"> </w:t>
      </w:r>
      <w:r>
        <w:t xml:space="preserve">No cost impact No cost impact No cost impact No cost</w:t>
      </w:r>
      <w:r>
        <w:t xml:space="preserve"> </w:t>
      </w:r>
      <w:r>
        <w:t xml:space="preserve">impact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analysis carried out as part of the impact assessment is based on three</w:t>
      </w:r>
      <w:r>
        <w:t xml:space="preserve"> </w:t>
      </w:r>
      <w:r>
        <w:t xml:space="preserve">methodological approaches:</w:t>
      </w:r>
      <w:r>
        <w:t xml:space="preserve"> </w:t>
      </w:r>
      <w:r>
        <w:t xml:space="preserve">1.</w:t>
      </w:r>
      <w:r>
        <w:t xml:space="preserve"> </w:t>
      </w:r>
      <w:r>
        <w:t xml:space="preserve">desk research;</w:t>
      </w:r>
      <w:r>
        <w:br/>
      </w:r>
      <w:r>
        <w:t xml:space="preserve">2.</w:t>
      </w:r>
      <w:r>
        <w:t xml:space="preserve"> </w:t>
      </w:r>
      <w:r>
        <w:t xml:space="preserve">qualitative analysis and;</w:t>
      </w:r>
      <w:r>
        <w:br/>
      </w:r>
      <w:r>
        <w:t xml:space="preserve">3.</w:t>
      </w:r>
      <w:r>
        <w:t xml:space="preserve"> </w:t>
      </w:r>
      <w:r>
        <w:t xml:space="preserve">quantitative analysis.</w:t>
      </w:r>
      <w:r>
        <w:t xml:space="preserve"> </w:t>
      </w:r>
      <w:r>
        <w:t xml:space="preserve">The data used to calculate the expected benefits and costs stem from a variety of different</w:t>
      </w:r>
      <w:r>
        <w:t xml:space="preserve"> </w:t>
      </w:r>
      <w:r>
        <w:t xml:space="preserve">data sources. Sources include in particular the targeted consultation that ran from</w:t>
      </w:r>
      <w:r>
        <w:t xml:space="preserve"> </w:t>
      </w:r>
      <w:r>
        <w:t xml:space="preserve">December 2020 to February 2021, stakeholder meetings (such as with the European</w:t>
      </w:r>
      <w:r>
        <w:t xml:space="preserve"> </w:t>
      </w:r>
      <w:r>
        <w:t xml:space="preserve">Central Securities Depositories Association (ECSDA) and other direct contributions</w:t>
      </w:r>
      <w:r>
        <w:t xml:space="preserve"> </w:t>
      </w:r>
      <w:r>
        <w:t xml:space="preserve">(including confidential ones) received. Additional data was collected from publicly</w:t>
      </w:r>
      <w:r>
        <w:t xml:space="preserve"> </w:t>
      </w:r>
      <w:r>
        <w:t xml:space="preserve">available sources (e.g. websites and annual statements of CSDs) and from the European</w:t>
      </w:r>
      <w:r>
        <w:t xml:space="preserve"> </w:t>
      </w:r>
      <w:r>
        <w:t xml:space="preserve">Securities Markets Authority (ESMA).</w:t>
      </w:r>
      <w:r>
        <w:t xml:space="preserve"> </w:t>
      </w:r>
      <w:r>
        <w:t xml:space="preserve">The analysis is strongly based on cost estimates provided by both supervisors, market</w:t>
      </w:r>
      <w:r>
        <w:t xml:space="preserve"> </w:t>
      </w:r>
      <w:r>
        <w:t xml:space="preserve">participants and CSDs. In some cases, the data analysed cannot be publicly distributed</w:t>
      </w:r>
      <w:r>
        <w:t xml:space="preserve"> </w:t>
      </w:r>
      <w:r>
        <w:t xml:space="preserve">given an extremely limited number of datapoints on specific market actors. Making such</w:t>
      </w:r>
      <w:r>
        <w:t xml:space="preserve"> </w:t>
      </w:r>
      <w:r>
        <w:t xml:space="preserve">information public may allow identification of the contributor. Publication of this data</w:t>
      </w:r>
      <w:r>
        <w:t xml:space="preserve"> </w:t>
      </w:r>
      <w:r>
        <w:t xml:space="preserve">could provide information to active or potential competitors which may allow them to</w:t>
      </w:r>
      <w:r>
        <w:t xml:space="preserve"> </w:t>
      </w:r>
      <w:r>
        <w:t xml:space="preserve">gain insights as to cost functions and other sensitive corporate information, thus leading</w:t>
      </w:r>
      <w:r>
        <w:t xml:space="preserve"> </w:t>
      </w:r>
      <w:r>
        <w:t xml:space="preserve">to unfair competitive advantages. This data has been considered by the Commission in its</w:t>
      </w:r>
      <w:r>
        <w:t xml:space="preserve"> </w:t>
      </w:r>
      <w:r>
        <w:t xml:space="preserve">analysis and the results are reflected qualitatively in this impact assessment. To that end,</w:t>
      </w:r>
      <w:r>
        <w:t xml:space="preserve"> </w:t>
      </w:r>
      <w:r>
        <w:t xml:space="preserve">respective figures have been presented in the Impact Assessment to the Regulatory</w:t>
      </w:r>
      <w:r>
        <w:t xml:space="preserve"> </w:t>
      </w:r>
      <w:r>
        <w:t xml:space="preserve">Scrutiny Board as part of the impact assessment scrutiny process as coming from</w:t>
      </w:r>
      <w:r>
        <w:t xml:space="preserve"> </w:t>
      </w:r>
      <w:r>
        <w:t xml:space="preserve">confidential contributions. Some data has been removed afterwards as the publication</w:t>
      </w:r>
      <w:r>
        <w:t xml:space="preserve"> </w:t>
      </w:r>
      <w:r>
        <w:t xml:space="preserve">would lead to identification of the contributor.</w:t>
      </w:r>
      <w:r>
        <w:t xml:space="preserve"> </w:t>
      </w:r>
      <w:r>
        <w:t xml:space="preserve">The presented analysis faces several methodological limitations. In particular, no</w:t>
      </w:r>
      <w:r>
        <w:t xml:space="preserve"> </w:t>
      </w:r>
      <w:r>
        <w:t xml:space="preserve">meaningful estimates can be provided as to the increase in competition between CSDs</w:t>
      </w:r>
      <w:r>
        <w:t xml:space="preserve"> </w:t>
      </w:r>
      <w:r>
        <w:t xml:space="preserve">and resulting lower costs that would occur under the preferred policy options. Estimates</w:t>
      </w:r>
      <w:r>
        <w:t xml:space="preserve"> </w:t>
      </w:r>
      <w:r>
        <w:t xml:space="preserve">are provided only in terms of cost savings for cross-border entry of CSDs under a new</w:t>
      </w:r>
      <w:r>
        <w:t xml:space="preserve"> </w:t>
      </w:r>
      <w:r>
        <w:t xml:space="preserve">passporting regime. While the Commission expects a clear increase in competition, the</w:t>
      </w:r>
      <w:r>
        <w:t xml:space="preserve"> </w:t>
      </w:r>
      <w:r>
        <w:t xml:space="preserve">market impact will ultimately depend on respective corporate decisions of CSDs to</w:t>
      </w:r>
      <w:r>
        <w:t xml:space="preserve"> </w:t>
      </w:r>
      <w:r>
        <w:t xml:space="preserve">engage in cross-border market entry.</w:t>
      </w:r>
      <w:r>
        <w:t xml:space="preserve"> </w:t>
      </w:r>
      <w:r>
        <w:t xml:space="preserve">Likewise, in the area of banking services, the number of banking CSD is at present very</w:t>
      </w:r>
      <w:r>
        <w:t xml:space="preserve"> </w:t>
      </w:r>
      <w:r>
        <w:t xml:space="preserve">limited (5), as, but to a lesser extent, the non-banking CSDs. This, in combination with a</w:t>
      </w:r>
      <w:r>
        <w:t xml:space="preserve"> </w:t>
      </w:r>
      <w:r>
        <w:t xml:space="preserve">lack of data, makes the meaningful estimation on the effects of the presented options</w:t>
      </w:r>
      <w:r>
        <w:t xml:space="preserve"> </w:t>
      </w:r>
      <w:r>
        <w:t xml:space="preserve">difficult to provide and qualitative information was used and presented to make the case</w:t>
      </w:r>
      <w:r>
        <w:t xml:space="preserve"> </w:t>
      </w:r>
      <w:r>
        <w:t xml:space="preserve">for the presented preferred options. While the Commission does expect these benefits to</w:t>
      </w:r>
      <w:r>
        <w:t xml:space="preserve"> </w:t>
      </w:r>
      <w:r>
        <w:t xml:space="preserve">materialize, these will also depend on future business decisions taken by the respective</w:t>
      </w:r>
      <w:r>
        <w:t xml:space="preserve"> </w:t>
      </w:r>
      <w:r>
        <w:t xml:space="preserve">CSDs.</w:t>
      </w:r>
      <w:r>
        <w:t xml:space="preserve"> </w:t>
      </w:r>
      <w:r>
        <w:t xml:space="preserve">Likewise, the possible impact of the mandatory buy-in regime, if and when implemented,</w:t>
      </w:r>
      <w:r>
        <w:t xml:space="preserve"> </w:t>
      </w:r>
      <w:r>
        <w:t xml:space="preserve">cannot be clearly specified. The presented analysis is based on input received from both</w:t>
      </w:r>
      <w:r>
        <w:t xml:space="preserve"> </w:t>
      </w:r>
      <w:r>
        <w:t xml:space="preserve">market participants and supervisors. Limitations exists in particular as concerns the</w:t>
      </w:r>
      <w:r>
        <w:t xml:space="preserve"> </w:t>
      </w:r>
      <w:r>
        <w:t xml:space="preserve">possible impact on market liquidity and volatility. Since the regime is not presently in</w:t>
      </w:r>
      <w:r>
        <w:t xml:space="preserve"> </w:t>
      </w:r>
      <w:r>
        <w:t xml:space="preserve">application, all data collected in relation to these market impacts is based on modelling.</w:t>
      </w:r>
      <w:r>
        <w:t xml:space="preserve"> </w:t>
      </w:r>
      <w:r>
        <w:t xml:space="preserve">This data nonetheless provides a good indication of the expected effects. Other data on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costs (e.g. connection to buy-in agents) provides further support for the preferred policy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ANNEX 5: EVALUATION</w:t>
      </w:r>
      <w:r>
        <w:t xml:space="preserve"> </w:t>
      </w:r>
      <w:r>
        <w:t xml:space="preserve">Section 1 Executive Summary</w:t>
      </w:r>
      <w:r>
        <w:t xml:space="preserve"> </w:t>
      </w:r>
      <w:r>
        <w:t xml:space="preserve">The Central Securities Depositories Regulation (CSDR – Regulation 909/2014) is an</w:t>
      </w:r>
      <w:r>
        <w:t xml:space="preserve"> </w:t>
      </w:r>
      <w:r>
        <w:t xml:space="preserve">essential element of safe, stable and efficient EU capital markets. It offers a framework</w:t>
      </w:r>
      <w:r>
        <w:t xml:space="preserve"> </w:t>
      </w:r>
      <w:r>
        <w:t xml:space="preserve">for the settlement of securities transactions ensuring that buyers receive securities and</w:t>
      </w:r>
      <w:r>
        <w:t xml:space="preserve"> </w:t>
      </w:r>
      <w:r>
        <w:t xml:space="preserve">sellers receive payment after a securities transaction is agreed upon. Other services</w:t>
      </w:r>
      <w:r>
        <w:t xml:space="preserve"> </w:t>
      </w:r>
      <w:r>
        <w:t xml:space="preserve">performed post-trade typically include clearing (guaranteeing performance by ensuring</w:t>
      </w:r>
      <w:r>
        <w:t xml:space="preserve"> </w:t>
      </w:r>
      <w:r>
        <w:t xml:space="preserve">there is a buyer to every seller and a seller to every buyer) and post-trade reporting</w:t>
      </w:r>
      <w:r>
        <w:t xml:space="preserve"> </w:t>
      </w:r>
      <w:r>
        <w:t xml:space="preserve">(where individual transactions and/ or positions of participants are kept track of).</w:t>
      </w:r>
      <w:r>
        <w:br/>
      </w:r>
      <w:r>
        <w:t xml:space="preserve">Post-trade services are an integral part of the value chain, as they ensure that a</w:t>
      </w:r>
      <w:r>
        <w:t xml:space="preserve"> </w:t>
      </w:r>
      <w:r>
        <w:t xml:space="preserve">transaction is completed, i.e. transfering ownership of a security from one party to</w:t>
      </w:r>
      <w:r>
        <w:t xml:space="preserve"> </w:t>
      </w:r>
      <w:r>
        <w:t xml:space="preserve">another, and transfering cash as payment. Post-trade services are provided by financial</w:t>
      </w:r>
      <w:r>
        <w:t xml:space="preserve"> </w:t>
      </w:r>
      <w:r>
        <w:t xml:space="preserve">market infrastructures, i.e. Central Counterparties (CCPs), trade repositories,</w:t>
      </w:r>
      <w:r>
        <w:t xml:space="preserve"> </w:t>
      </w:r>
      <w:r>
        <w:t xml:space="preserve">sometimesby banks (including custodians) and Central Securities Depositories (CSDs).</w:t>
      </w:r>
      <w:r>
        <w:t xml:space="preserve"> </w:t>
      </w:r>
      <w:r>
        <w:t xml:space="preserve">CSDs, together with central counterparties (CCPs), help safeguard financial markets and</w:t>
      </w:r>
      <w:r>
        <w:t xml:space="preserve"> </w:t>
      </w:r>
      <w:r>
        <w:t xml:space="preserve">give market participants confidence that securities transactions are executed properly and</w:t>
      </w:r>
      <w:r>
        <w:t xml:space="preserve"> </w:t>
      </w:r>
      <w:r>
        <w:t xml:space="preserve">in a timely manner, including during periods of extreme stress. Due to their key position</w:t>
      </w:r>
      <w:r>
        <w:t xml:space="preserve"> </w:t>
      </w:r>
      <w:r>
        <w:t xml:space="preserve">in the settlement process, the securities settlement systems operated by CSDs are of</w:t>
      </w:r>
      <w:r>
        <w:t xml:space="preserve"> </w:t>
      </w:r>
      <w:r>
        <w:t xml:space="preserve">systemic importance for the functioning of securities markets. Playing an important role</w:t>
      </w:r>
      <w:r>
        <w:t xml:space="preserve"> </w:t>
      </w:r>
      <w:r>
        <w:t xml:space="preserve">in the securities holding systems through which their participants report the securities</w:t>
      </w:r>
      <w:r>
        <w:t xml:space="preserve"> </w:t>
      </w:r>
      <w:r>
        <w:t xml:space="preserve">holdings of investors, the securities settlement systems operated by CSDs also serve as</w:t>
      </w:r>
      <w:r>
        <w:t xml:space="preserve"> </w:t>
      </w:r>
      <w:r>
        <w:t xml:space="preserve">an essential tool to control the integrity of an issue, hindering the undue creation or</w:t>
      </w:r>
      <w:r>
        <w:t xml:space="preserve"> </w:t>
      </w:r>
      <w:r>
        <w:t xml:space="preserve">reduction of issued securities, and thus playing an important role in maintaining investor</w:t>
      </w:r>
      <w:r>
        <w:t xml:space="preserve"> </w:t>
      </w:r>
      <w:r>
        <w:t xml:space="preserve">confidence. Moreover, securities settlement systems operated by CSDs are closely</w:t>
      </w:r>
      <w:r>
        <w:t xml:space="preserve"> </w:t>
      </w:r>
      <w:r>
        <w:t xml:space="preserve">involved in securing collateral for monetary policy operations as well as in securing</w:t>
      </w:r>
      <w:r>
        <w:t xml:space="preserve"> </w:t>
      </w:r>
      <w:r>
        <w:t xml:space="preserve">collateral between credit institutions and are, therefore, important actors in the</w:t>
      </w:r>
      <w:r>
        <w:t xml:space="preserve"> </w:t>
      </w:r>
      <w:r>
        <w:t xml:space="preserve">collateralisation process.</w:t>
      </w:r>
      <w:r>
        <w:t xml:space="preserve"> </w:t>
      </w:r>
      <w:r>
        <w:t xml:space="preserve">CSDR was the EU’s response to the call of the Financial Stability Board, on 20 October</w:t>
      </w:r>
      <w:r>
        <w:t xml:space="preserve"> </w:t>
      </w:r>
      <w:r>
        <w:t xml:space="preserve">2010, for the revision and enhancement of the existing standards to ensure more robust</w:t>
      </w:r>
      <w:r>
        <w:t xml:space="preserve"> </w:t>
      </w:r>
      <w:r>
        <w:t xml:space="preserve">financial market infrastructures.288 It took into account the global standards for financial</w:t>
      </w:r>
      <w:r>
        <w:t xml:space="preserve"> </w:t>
      </w:r>
      <w:r>
        <w:t xml:space="preserve">market infrastructures set by the Committee on Payments and Settlement Systems</w:t>
      </w:r>
      <w:r>
        <w:t xml:space="preserve"> </w:t>
      </w:r>
      <w:r>
        <w:t xml:space="preserve">(CPSS) of the Bank of International Settlements (BIS) and the International Organisation</w:t>
      </w:r>
      <w:r>
        <w:t xml:space="preserve"> </w:t>
      </w:r>
      <w:r>
        <w:t xml:space="preserve">of Securities Commissions (IOSCO) in April 2012.289 CSDR entered into force on 17</w:t>
      </w:r>
      <w:r>
        <w:t xml:space="preserve"> </w:t>
      </w:r>
      <w:r>
        <w:t xml:space="preserve">September 2014 with some parts, notably the part on settlement discipline, entering into</w:t>
      </w:r>
      <w:r>
        <w:t xml:space="preserve"> </w:t>
      </w:r>
      <w:r>
        <w:t xml:space="preserve">force with a delayed application, on 1 February 2022.</w:t>
      </w:r>
      <w:r>
        <w:t xml:space="preserve"> </w:t>
      </w:r>
      <w:r>
        <w:t xml:space="preserve">CSDR has been included in the 2021 Commission’s Regulatory Fitness and Performance</w:t>
      </w:r>
      <w:r>
        <w:t xml:space="preserve"> </w:t>
      </w:r>
      <w:r>
        <w:t xml:space="preserve">programme (REFIT). Inclusion in the REFIT programme was justified by the need to</w:t>
      </w:r>
      <w:r>
        <w:t xml:space="preserve"> </w:t>
      </w:r>
      <w:r>
        <w:t xml:space="preserve">simplify targeted areas of CSDR and make them more proportionate, as evidenced by the</w:t>
      </w:r>
      <w:r>
        <w:t xml:space="preserve"> </w:t>
      </w:r>
      <w:r>
        <w:t xml:space="preserve">contributions to the public consultation on CSDR290, as well as by the Commission’s</w:t>
      </w:r>
      <w:r>
        <w:t xml:space="preserve"> </w:t>
      </w:r>
      <w:r>
        <w:t xml:space="preserve">review of the application of CSDR, carried out in accordance with Article 75 of</w:t>
      </w:r>
      <w:r>
        <w:t xml:space="preserve"> </w:t>
      </w:r>
      <w:r>
        <w:t xml:space="preserve">CSDR.291</w:t>
      </w:r>
    </w:p>
    <w:p>
      <w:pPr>
        <w:pStyle w:val="BodyText"/>
      </w:pPr>
      <w:r>
        <w:t xml:space="preserve">288 https://www.fsb.org/wp-content/uploads/pr_101020.pdf</w:t>
      </w:r>
      <w:r>
        <w:br/>
      </w:r>
      <w:r>
        <w:t xml:space="preserve">289 https://www.bis.org/cpmi/publ/d101.htm</w:t>
      </w:r>
      <w:r>
        <w:br/>
      </w:r>
      <w:r>
        <w:t xml:space="preserve">290 https://ec.europa.eu/info/consultations/finance-2020-csdr-review_en</w:t>
      </w:r>
      <w:r>
        <w:br/>
      </w:r>
      <w:r>
        <w:t xml:space="preserve">291 https://ec.europa.eu/info/publications/210701-csdr-report_en</w:t>
      </w:r>
    </w:p>
    <w:p>
      <w:pPr>
        <w:pStyle w:val="BodyText"/>
      </w:pPr>
      <w:r>
        <w:t xml:space="preserve">In this context, the purpose of this evaluation is to assess to what extent specific policy</w:t>
      </w:r>
      <w:r>
        <w:t xml:space="preserve"> </w:t>
      </w:r>
      <w:r>
        <w:t xml:space="preserve">requirements in CSDR have met their objectives and in particular whether these</w:t>
      </w:r>
      <w:r>
        <w:t xml:space="preserve"> </w:t>
      </w:r>
      <w:r>
        <w:t xml:space="preserve">requirements have done so in an efficient and effective way, while at the same time</w:t>
      </w:r>
      <w:r>
        <w:t xml:space="preserve"> </w:t>
      </w:r>
      <w:r>
        <w:t xml:space="preserve">ensuring that CSDR is coherent, relevant and providing EU added-value.</w:t>
      </w:r>
      <w:r>
        <w:t xml:space="preserve"> </w:t>
      </w:r>
      <w:r>
        <w:t xml:space="preserve">Given that some of the core requirements of CSDR have only recently become applicable</w:t>
      </w:r>
      <w:r>
        <w:t xml:space="preserve"> </w:t>
      </w:r>
      <w:r>
        <w:t xml:space="preserve">or are not applicable yet, this assessment does not constitute a full evaluation of CSDR,</w:t>
      </w:r>
      <w:r>
        <w:t xml:space="preserve"> </w:t>
      </w:r>
      <w:r>
        <w:t xml:space="preserve">due to the lack of adequate evidence and as it is too early to draw a firm conclusion on</w:t>
      </w:r>
      <w:r>
        <w:t xml:space="preserve"> </w:t>
      </w:r>
      <w:r>
        <w:t xml:space="preserve">long-term impacts. Instead, the evaluation assesses the core requirements of CSDR:</w:t>
      </w:r>
      <w:r>
        <w:t xml:space="preserve"> </w:t>
      </w:r>
      <w:r>
        <w:t xml:space="preserve"> shorten settlement periods and set cash penalties and other deterrents for</w:t>
      </w:r>
      <w:r>
        <w:t xml:space="preserve"> </w:t>
      </w:r>
      <w:r>
        <w:t xml:space="preserve">settlement fails;</w:t>
      </w:r>
      <w:r>
        <w:t xml:space="preserve"> </w:t>
      </w:r>
      <w:r>
        <w:t xml:space="preserve"> ensure stability of CSDs by setting strict organisational, conduct of business and</w:t>
      </w:r>
      <w:r>
        <w:t xml:space="preserve"> </w:t>
      </w:r>
      <w:r>
        <w:t xml:space="preserve">prudential requirements for CSDs;</w:t>
      </w:r>
      <w:r>
        <w:t xml:space="preserve"> </w:t>
      </w:r>
      <w:r>
        <w:t xml:space="preserve"> allow authorised CSDs to provide their services across the EU;</w:t>
      </w:r>
      <w:r>
        <w:t xml:space="preserve"> </w:t>
      </w:r>
      <w:r>
        <w:t xml:space="preserve"> increase prudential and supervisory requirements for CSDs and other institutions</w:t>
      </w:r>
      <w:r>
        <w:t xml:space="preserve"> </w:t>
      </w:r>
      <w:r>
        <w:t xml:space="preserve">providing banking services that support securities settlement.</w:t>
      </w:r>
      <w:r>
        <w:t xml:space="preserve"> </w:t>
      </w:r>
      <w:r>
        <w:t xml:space="preserve">Given that the evaluation has been conducted in parallel with the CSDR review, it has</w:t>
      </w:r>
      <w:r>
        <w:t xml:space="preserve"> </w:t>
      </w:r>
      <w:r>
        <w:t xml:space="preserve">fed into the problem definition of the impact assessment (IA) accompanying the CSDR</w:t>
      </w:r>
      <w:r>
        <w:t xml:space="preserve"> </w:t>
      </w:r>
      <w:r>
        <w:t xml:space="preserve">REFIT initiative, and is presented as an Annex to the IA on the CSDR Review.</w:t>
      </w:r>
      <w:r>
        <w:br/>
      </w:r>
      <w:r>
        <w:t xml:space="preserve">This evaluation is based primarily on the results of consultations with stakeholders,</w:t>
      </w:r>
      <w:r>
        <w:t xml:space="preserve"> </w:t>
      </w:r>
      <w:r>
        <w:t xml:space="preserve">regular exchanges with Members of the European Parliament and experts from the</w:t>
      </w:r>
      <w:r>
        <w:t xml:space="preserve"> </w:t>
      </w:r>
      <w:r>
        <w:t xml:space="preserve">Member States, reports from and discussions with the European Securities and Markets</w:t>
      </w:r>
      <w:r>
        <w:t xml:space="preserve"> </w:t>
      </w:r>
      <w:r>
        <w:t xml:space="preserve">Authority (ESMA), the European Systemic Risk Board (ESRB), and the European</w:t>
      </w:r>
      <w:r>
        <w:t xml:space="preserve"> </w:t>
      </w:r>
      <w:r>
        <w:t xml:space="preserve">System of Central Banks (ESCB), and additional desk research of the Commission</w:t>
      </w:r>
      <w:r>
        <w:t xml:space="preserve"> </w:t>
      </w:r>
      <w:r>
        <w:t xml:space="preserve">services. More specific sources included:</w:t>
      </w:r>
      <w:r>
        <w:br/>
      </w:r>
      <w:r>
        <w:t xml:space="preserve"> the CSDR review report of 1 July 2021292;</w:t>
      </w:r>
      <w:r>
        <w:t xml:space="preserve"> </w:t>
      </w:r>
      <w:r>
        <w:t xml:space="preserve"> the targeted public consultation of 8 December 2020293;</w:t>
      </w:r>
      <w:r>
        <w:t xml:space="preserve"> </w:t>
      </w:r>
      <w:r>
        <w:t xml:space="preserve"> the feedback statement related to the targeted consulation294;</w:t>
      </w:r>
      <w:r>
        <w:t xml:space="preserve"> </w:t>
      </w:r>
      <w:r>
        <w:t xml:space="preserve"> reports from ESMA on the implementation of CSDR295, as required by Article 74</w:t>
      </w:r>
      <w:r>
        <w:t xml:space="preserve"> </w:t>
      </w:r>
      <w:r>
        <w:t xml:space="preserve">of CSDR and various input received from a wide array of stakeholders;</w:t>
      </w:r>
      <w:r>
        <w:t xml:space="preserve"> </w:t>
      </w:r>
      <w:r>
        <w:t xml:space="preserve">On the basis of the above-mentioned evidence, this evaluation has considered the</w:t>
      </w:r>
      <w:r>
        <w:t xml:space="preserve"> </w:t>
      </w:r>
      <w:r>
        <w:t xml:space="preserve">following five criteria to assess the core requirements of CSDR, in accordance with the</w:t>
      </w:r>
      <w:r>
        <w:t xml:space="preserve"> </w:t>
      </w:r>
      <w:r>
        <w:t xml:space="preserve">Better Regulation guidelines:</w:t>
      </w:r>
      <w:r>
        <w:t xml:space="preserve"> </w:t>
      </w:r>
      <w:r>
        <w:t xml:space="preserve"> Efficiency;</w:t>
      </w:r>
      <w:r>
        <w:t xml:space="preserve"> </w:t>
      </w:r>
      <w:r>
        <w:t xml:space="preserve"> Effectiveness;</w:t>
      </w:r>
    </w:p>
    <w:p>
      <w:pPr>
        <w:pStyle w:val="BodyText"/>
      </w:pPr>
      <w:r>
        <w:t xml:space="preserve">292 CSDR review report (see note 9).</w:t>
      </w:r>
      <w:r>
        <w:br/>
      </w:r>
      <w:r>
        <w:t xml:space="preserve">293 https://ec.europa.eu/info/consultations/finance-2020-csdr-review_en</w:t>
      </w:r>
      <w:r>
        <w:t xml:space="preserve"> </w:t>
      </w:r>
      <w:r>
        <w:t xml:space="preserve">294 https://ec.europa.eu/info/sites/default/files/business_economy_euro/banking_and_finance/documents/2020-</w:t>
      </w:r>
      <w:r>
        <w:t xml:space="preserve"> </w:t>
      </w:r>
      <w:r>
        <w:t xml:space="preserve">csdr-review-summary-of-responses_en.pdf</w:t>
      </w:r>
      <w:r>
        <w:br/>
      </w:r>
      <w:r>
        <w:t xml:space="preserve">295 reports on the CSDR Review. See: On 5 November 2020, it published a report on internalised settlement:</w:t>
      </w:r>
      <w:r>
        <w:t xml:space="preserve"> </w:t>
      </w:r>
      <w:r>
        <w:t xml:space="preserve">https://www.esma.europa.eu/sites/default/files/library/esma70-156-3729_csdr_report_to_ec_-</w:t>
      </w:r>
      <w:r>
        <w:t xml:space="preserve"> </w:t>
      </w:r>
      <w:r>
        <w:rPr>
          <w:i/>
          <w:iCs/>
        </w:rPr>
        <w:t xml:space="preserve">internalised_settlement.pdf. Also on 5 November 2020, it published its report on the provision of CSD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</w:t>
      </w:r>
      <w:r>
        <w:rPr>
          <w:i/>
          <w:iCs/>
        </w:rPr>
        <w:t xml:space="preserve"> </w:t>
      </w:r>
      <w:r>
        <w:rPr>
          <w:i/>
          <w:iCs/>
        </w:rPr>
        <w:t xml:space="preserve">services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handling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related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https://www.esma.europa.eu/sites/default/files/library/esma70-156-3569_csdr_report_to_ec</w:t>
      </w:r>
      <w:r>
        <w:t xml:space="preserve">-_csd_cross-</w:t>
      </w:r>
      <w:r>
        <w:t xml:space="preserve"> </w:t>
      </w:r>
      <w:r>
        <w:t xml:space="preserve">border_services.pdf. On 8 July 2021 it published its report on the provision of banking-type ancillary</w:t>
      </w:r>
      <w:r>
        <w:t xml:space="preserve"> </w:t>
      </w:r>
      <w:r>
        <w:t xml:space="preserve">services:</w:t>
      </w:r>
    </w:p>
    <w:p>
      <w:pPr>
        <w:pStyle w:val="BodyText"/>
      </w:pPr>
      <w:r>
        <w:t xml:space="preserve">https://www.esma.europa.eu/sites/default/files/library/esma70-156-4582_report_to_the_ec_-</w:t>
      </w:r>
      <w:r>
        <w:t xml:space="preserve"> </w:t>
      </w:r>
      <w:r>
        <w:rPr>
          <w:i/>
          <w:iCs/>
        </w:rPr>
        <w:t xml:space="preserve">csdr_banking_services.pdf and ; Report to the European Commission: use of Fintech by CSDs, ESMA, 2</w:t>
      </w:r>
      <w:r>
        <w:rPr>
          <w:i/>
          <w:iCs/>
        </w:rPr>
        <w:t xml:space="preserve"> </w:t>
      </w:r>
      <w:r>
        <w:rPr>
          <w:i/>
          <w:iCs/>
        </w:rPr>
        <w:t xml:space="preserve">August</w:t>
      </w:r>
      <w:r>
        <w:rPr>
          <w:i/>
          <w:iCs/>
        </w:rPr>
        <w:t xml:space="preserve"> </w:t>
      </w:r>
      <w:r>
        <w:rPr>
          <w:i/>
          <w:iCs/>
        </w:rPr>
        <w:t xml:space="preserve">2021: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https://www.esma.europa.eu/sites/default/files/library/esma70-156-</w:t>
      </w:r>
      <w:r>
        <w:rPr>
          <w:i/>
          <w:iCs/>
        </w:rPr>
        <w:t xml:space="preserve"> </w:t>
      </w:r>
      <w:r>
        <w:rPr>
          <w:i/>
          <w:iCs/>
        </w:rPr>
        <w:t xml:space="preserve">3569_csdr_report_to_ec</w:t>
      </w:r>
      <w:r>
        <w:t xml:space="preserve">-_csd_cross-border_services.pdf.</w:t>
      </w:r>
    </w:p>
    <w:p>
      <w:pPr>
        <w:pStyle w:val="BodyText"/>
      </w:pPr>
      <w:r>
        <w:t xml:space="preserve"> Relevance;</w:t>
      </w:r>
      <w:r>
        <w:t xml:space="preserve"> </w:t>
      </w:r>
      <w:r>
        <w:t xml:space="preserve"> Coherence;</w:t>
      </w:r>
      <w:r>
        <w:t xml:space="preserve"> </w:t>
      </w:r>
      <w:r>
        <w:t xml:space="preserve"> Added-value of EU action.</w:t>
      </w:r>
      <w:r>
        <w:t xml:space="preserve"> </w:t>
      </w:r>
      <w:r>
        <w:t xml:space="preserve">This evaluation conludes the following:</w:t>
      </w:r>
      <w:r>
        <w:t xml:space="preserve"> </w:t>
      </w:r>
      <w:r>
        <w:t xml:space="preserve"> On the effectiveness and efficiency of the core requirements of CSDR, it indicates</w:t>
      </w:r>
      <w:r>
        <w:t xml:space="preserve"> </w:t>
      </w:r>
      <w:r>
        <w:t xml:space="preserve">that while the volume of settled trades increased since the entry into force of CSDR,</w:t>
      </w:r>
      <w:r>
        <w:t xml:space="preserve"> </w:t>
      </w:r>
      <w:r>
        <w:t xml:space="preserve">cross-border transactions remained stable and feedback from stakeholders indicate</w:t>
      </w:r>
      <w:r>
        <w:t xml:space="preserve"> </w:t>
      </w:r>
      <w:r>
        <w:t xml:space="preserve">that in several areas, e.g. passporting, licensing, and supervisory assessments,</w:t>
      </w:r>
      <w:r>
        <w:t xml:space="preserve"> </w:t>
      </w:r>
      <w:r>
        <w:t xml:space="preserve">significant barriers exist and preliminary findings suggest that actions (i) to reduce</w:t>
      </w:r>
      <w:r>
        <w:t xml:space="preserve"> </w:t>
      </w:r>
      <w:r>
        <w:t xml:space="preserve">disproportionate compliance burdens, (ii) to improve cross-border activity could</w:t>
      </w:r>
      <w:r>
        <w:t xml:space="preserve"> </w:t>
      </w:r>
      <w:r>
        <w:t xml:space="preserve">be undertaken. Improvements could also be sought in the area of banking services,</w:t>
      </w:r>
      <w:r>
        <w:t xml:space="preserve"> </w:t>
      </w:r>
      <w:r>
        <w:t xml:space="preserve">where the access to banking-type ancillary services is limited which in turn inhibits</w:t>
      </w:r>
      <w:r>
        <w:t xml:space="preserve"> </w:t>
      </w:r>
      <w:r>
        <w:t xml:space="preserve">settlement in foreign currencies and in improvement of supervision, both impacting</w:t>
      </w:r>
      <w:r>
        <w:t xml:space="preserve"> </w:t>
      </w:r>
      <w:r>
        <w:t xml:space="preserve">the possibilities or opportunities for firms to offer services cross-border.</w:t>
      </w:r>
      <w:r>
        <w:t xml:space="preserve"> </w:t>
      </w:r>
      <w:r>
        <w:t xml:space="preserve"> The objectives of CSDR to increase the safety and efficiency of EU settlement</w:t>
      </w:r>
      <w:r>
        <w:t xml:space="preserve"> </w:t>
      </w:r>
      <w:r>
        <w:t xml:space="preserve">market and ensuring a level playing field for CSD services remain relevant, and</w:t>
      </w:r>
      <w:r>
        <w:t xml:space="preserve"> </w:t>
      </w:r>
      <w:r>
        <w:t xml:space="preserve">associated risks with EU settlement markets persist.</w:t>
      </w:r>
      <w:r>
        <w:t xml:space="preserve"> </w:t>
      </w:r>
      <w:r>
        <w:t xml:space="preserve"> In terms of coherence, CSDR is aligned with international efforts ensure stability and</w:t>
      </w:r>
      <w:r>
        <w:t xml:space="preserve"> </w:t>
      </w:r>
      <w:r>
        <w:t xml:space="preserve">safety of post-trade infrastructures. In addition, CSDR is coherent with other pieces</w:t>
      </w:r>
      <w:r>
        <w:t xml:space="preserve"> </w:t>
      </w:r>
      <w:r>
        <w:t xml:space="preserve">of EU legislation, such as the Commission’s Capital Market Union Action Plan, EU</w:t>
      </w:r>
      <w:r>
        <w:t xml:space="preserve"> </w:t>
      </w:r>
      <w:r>
        <w:t xml:space="preserve">securities and banking regulations, as well as the Commission’s proposal to introduce</w:t>
      </w:r>
      <w:r>
        <w:t xml:space="preserve"> </w:t>
      </w:r>
      <w:r>
        <w:t xml:space="preserve">a pilot regime for technological innovations of CSDs and DORA.</w:t>
      </w:r>
      <w:r>
        <w:t xml:space="preserve"> </w:t>
      </w:r>
      <w:r>
        <w:t xml:space="preserve"> In terms of the EU added value, CSDR covered a gap that existed in legislation by</w:t>
      </w:r>
      <w:r>
        <w:t xml:space="preserve"> </w:t>
      </w:r>
      <w:r>
        <w:t xml:space="preserve">introducing a new framework aiming to address, in a uniform process at EU level, the</w:t>
      </w:r>
      <w:r>
        <w:t xml:space="preserve"> </w:t>
      </w:r>
      <w:r>
        <w:t xml:space="preserve">lack of a harmonised approach towards the EU’s settlement markets and in</w:t>
      </w:r>
      <w:r>
        <w:t xml:space="preserve"> </w:t>
      </w:r>
      <w:r>
        <w:t xml:space="preserve">addressing the related systemic risks.</w:t>
      </w:r>
    </w:p>
    <w:p>
      <w:pPr>
        <w:pStyle w:val="BodyText"/>
      </w:pPr>
      <w:r>
        <w:t xml:space="preserve">Section 2 Introduction</w:t>
      </w:r>
    </w:p>
    <w:p>
      <w:pPr>
        <w:pStyle w:val="BodyText"/>
      </w:pPr>
      <w:r>
        <w:t xml:space="preserve">CSDR entered into force on 17 September 2014. It aims to maintain safe and trustworthy</w:t>
      </w:r>
      <w:r>
        <w:t xml:space="preserve"> </w:t>
      </w:r>
      <w:r>
        <w:t xml:space="preserve">post-trade infrastructures that safeguard financial markets and provide market</w:t>
      </w:r>
      <w:r>
        <w:t xml:space="preserve"> </w:t>
      </w:r>
      <w:r>
        <w:t xml:space="preserve">participants confidence that securities transactions are executed properly and in a timely</w:t>
      </w:r>
      <w:r>
        <w:t xml:space="preserve"> </w:t>
      </w:r>
      <w:r>
        <w:t xml:space="preserve">manner, including during periods of extreme stress.</w:t>
      </w:r>
      <w:r>
        <w:t xml:space="preserve"> </w:t>
      </w:r>
      <w:r>
        <w:t xml:space="preserve">CSDR lays down the core requirements for the EU’s settlement markets. These include</w:t>
      </w:r>
      <w:r>
        <w:t xml:space="preserve"> </w:t>
      </w:r>
      <w:r>
        <w:t xml:space="preserve">common requirements for CSDs across the EU and provide inter alia rules on:</w:t>
      </w:r>
      <w:r>
        <w:t xml:space="preserve"> </w:t>
      </w:r>
      <w:r>
        <w:t xml:space="preserve"> shorter settlement periods and cash penalties and other deterrents for settlement</w:t>
      </w:r>
      <w:r>
        <w:t xml:space="preserve"> </w:t>
      </w:r>
      <w:r>
        <w:t xml:space="preserve">fails (‘settlement discipline-rules’);</w:t>
      </w:r>
      <w:r>
        <w:t xml:space="preserve"> </w:t>
      </w:r>
      <w:r>
        <w:t xml:space="preserve"> strict organisational, conduct of business and prudential requirements for CSDs;</w:t>
      </w:r>
      <w:r>
        <w:t xml:space="preserve"> </w:t>
      </w:r>
      <w:r>
        <w:t xml:space="preserve"> a passport system allowing authorised CSDs to provide their services across the</w:t>
      </w:r>
      <w:r>
        <w:t xml:space="preserve"> </w:t>
      </w:r>
      <w:r>
        <w:t xml:space="preserve">EU;</w:t>
      </w:r>
      <w:r>
        <w:t xml:space="preserve"> </w:t>
      </w:r>
      <w:r>
        <w:t xml:space="preserve"> increased prudential and supervisory requirements for CSDs and other institutions</w:t>
      </w:r>
      <w:r>
        <w:t xml:space="preserve"> </w:t>
      </w:r>
      <w:r>
        <w:t xml:space="preserve">providing banking services that support securities settlement;</w:t>
      </w:r>
      <w:r>
        <w:t xml:space="preserve"> </w:t>
      </w:r>
      <w:r>
        <w:t xml:space="preserve"> increased cooperation requirements for authorities across Member States with</w:t>
      </w:r>
      <w:r>
        <w:t xml:space="preserve"> </w:t>
      </w:r>
      <w:r>
        <w:t xml:space="preserve">respect to CSDs providing their services in relation to financial instruments</w:t>
      </w:r>
      <w:r>
        <w:t xml:space="preserve"> </w:t>
      </w:r>
      <w:r>
        <w:t xml:space="preserve">constituted under the law of a Member State other than that of their authorisation</w:t>
      </w:r>
      <w:r>
        <w:t xml:space="preserve"> </w:t>
      </w:r>
      <w:r>
        <w:t xml:space="preserve">and to CSDs establishing a branch in another Member State.</w:t>
      </w:r>
    </w:p>
    <w:p>
      <w:pPr>
        <w:pStyle w:val="BodyText"/>
      </w:pPr>
      <w:r>
        <w:t xml:space="preserve">In accordance with Article 75 of CSDR, the Commission was mandated to carry out a</w:t>
      </w:r>
      <w:r>
        <w:t xml:space="preserve"> </w:t>
      </w:r>
      <w:r>
        <w:t xml:space="preserve">review of the application of CSDR and to present any appropriate legislative proposals.</w:t>
      </w:r>
      <w:r>
        <w:t xml:space="preserve"> </w:t>
      </w:r>
      <w:r>
        <w:t xml:space="preserve">In this context, the Commission has carried out an assessment of the rules currently in</w:t>
      </w:r>
      <w:r>
        <w:t xml:space="preserve"> </w:t>
      </w:r>
      <w:r>
        <w:t xml:space="preserve">place, based in particular on a targeted public consultation and input from various</w:t>
      </w:r>
      <w:r>
        <w:t xml:space="preserve"> </w:t>
      </w:r>
      <w:r>
        <w:t xml:space="preserve">stakeholders, carried out by DG FISMA in the course of 2020 and the first half of 2021.</w:t>
      </w:r>
      <w:r>
        <w:t xml:space="preserve"> </w:t>
      </w:r>
      <w:r>
        <w:t xml:space="preserve">On 1 July 2021, the Commission adopted a report on the review of CSDR (the CSDR</w:t>
      </w:r>
      <w:r>
        <w:t xml:space="preserve"> </w:t>
      </w:r>
      <w:r>
        <w:t xml:space="preserve">review report)296. The report identified areas for which targeted action is necessary to</w:t>
      </w:r>
      <w:r>
        <w:t xml:space="preserve"> </w:t>
      </w:r>
      <w:r>
        <w:t xml:space="preserve">ensure fulfilment of the CSDR objectives in a more proportionate, efficient and effective</w:t>
      </w:r>
      <w:r>
        <w:t xml:space="preserve"> </w:t>
      </w:r>
      <w:r>
        <w:t xml:space="preserve">manner.</w:t>
      </w:r>
      <w:r>
        <w:t xml:space="preserve"> </w:t>
      </w:r>
      <w:r>
        <w:t xml:space="preserve">Certain of core requirements of CSDR have not yet been implemented or the</w:t>
      </w:r>
      <w:r>
        <w:t xml:space="preserve"> </w:t>
      </w:r>
      <w:r>
        <w:t xml:space="preserve">implementation is incomplete. In particular, at this stage, the rules around settlement</w:t>
      </w:r>
      <w:r>
        <w:t xml:space="preserve"> </w:t>
      </w:r>
      <w:r>
        <w:t xml:space="preserve">discipline are not yet applicable and are scheduled to enter into application on 1 February</w:t>
      </w:r>
      <w:r>
        <w:t xml:space="preserve"> </w:t>
      </w:r>
      <w:r>
        <w:t xml:space="preserve">2022. As such, due to the lack of adequate evidence, the evaluation cannot assess</w:t>
      </w:r>
      <w:r>
        <w:t xml:space="preserve"> </w:t>
      </w:r>
      <w:r>
        <w:t xml:space="preserve">holistically and with historical data all elements of the impact of CSDR.</w:t>
      </w:r>
      <w:r>
        <w:t xml:space="preserve"> </w:t>
      </w:r>
      <w:r>
        <w:t xml:space="preserve">Nevertheless, the CSDR review report already identifies a number of issues relating to</w:t>
      </w:r>
      <w:r>
        <w:t xml:space="preserve"> </w:t>
      </w:r>
      <w:r>
        <w:t xml:space="preserve">the implementation of those requirements that already apply (namely, (1) passporting</w:t>
      </w:r>
      <w:r>
        <w:t xml:space="preserve"> </w:t>
      </w:r>
      <w:r>
        <w:t xml:space="preserve">requirements, (2) cooperation amongst authorities and supervisory convergence, (3)</w:t>
      </w:r>
      <w:r>
        <w:t xml:space="preserve"> </w:t>
      </w:r>
      <w:r>
        <w:t xml:space="preserve">banking services related to settlement, especially to foreign currencies, (4) aspects of the</w:t>
      </w:r>
      <w:r>
        <w:t xml:space="preserve"> </w:t>
      </w:r>
      <w:r>
        <w:t xml:space="preserve">settlement discipline framework, in particular mandatory buy-ins, (5) the framework for</w:t>
      </w:r>
      <w:r>
        <w:t xml:space="preserve"> </w:t>
      </w:r>
      <w:r>
        <w:t xml:space="preserve">third-country CSDs).</w:t>
      </w:r>
      <w:r>
        <w:t xml:space="preserve"> </w:t>
      </w:r>
      <w:r>
        <w:t xml:space="preserve">In addition, under Article 81(2c) of Regulation (EU) 2010/10 establishing a European</w:t>
      </w:r>
      <w:r>
        <w:t xml:space="preserve"> </w:t>
      </w:r>
      <w:r>
        <w:t xml:space="preserve">Supervisory Authority (European Securities and Markets Authority), the Commission is</w:t>
      </w:r>
      <w:r>
        <w:t xml:space="preserve"> </w:t>
      </w:r>
      <w:r>
        <w:t xml:space="preserve">required, after consulting all relevant authorities and stakeholders, to conduct a</w:t>
      </w:r>
      <w:r>
        <w:t xml:space="preserve"> </w:t>
      </w:r>
      <w:r>
        <w:t xml:space="preserve">comprehensive assessment of the potential supervision of third-country CSDs by ESMA</w:t>
      </w:r>
      <w:r>
        <w:t xml:space="preserve"> </w:t>
      </w:r>
      <w:r>
        <w:t xml:space="preserve">exploring certain aspects, including recognition based on systemic importance, ongoing</w:t>
      </w:r>
      <w:r>
        <w:t xml:space="preserve"> </w:t>
      </w:r>
      <w:r>
        <w:t xml:space="preserve">compliance, fines and periodic penalty payments.</w:t>
      </w:r>
      <w:r>
        <w:t xml:space="preserve"> </w:t>
      </w:r>
      <w:r>
        <w:t xml:space="preserve">In accordance with the CSDR review report and further analysis conducted in this</w:t>
      </w:r>
      <w:r>
        <w:t xml:space="preserve"> </w:t>
      </w:r>
      <w:r>
        <w:t xml:space="preserve">evaluation, the Commission considers proposing a targeted legislative initiative on</w:t>
      </w:r>
      <w:r>
        <w:t xml:space="preserve"> </w:t>
      </w:r>
      <w:r>
        <w:t xml:space="preserve">CSDR. This initiative is part of the Commission’s Regulatory Fitness and Performance</w:t>
      </w:r>
      <w:r>
        <w:t xml:space="preserve"> </w:t>
      </w:r>
      <w:r>
        <w:t xml:space="preserve">programme (REFIT) and included in the Commission Work Programme297 and the 2020</w:t>
      </w:r>
      <w:r>
        <w:t xml:space="preserve"> </w:t>
      </w:r>
      <w:r>
        <w:t xml:space="preserve">Capital Markets Union Action Plan.298</w:t>
      </w:r>
      <w:r>
        <w:t xml:space="preserve"> </w:t>
      </w:r>
      <w:r>
        <w:t xml:space="preserve">In this context, the purpose of this evaluation is to assess to what extent specific policy</w:t>
      </w:r>
      <w:r>
        <w:t xml:space="preserve"> </w:t>
      </w:r>
      <w:r>
        <w:t xml:space="preserve">requirements in CSDR have met their objectives and in particular whether these</w:t>
      </w:r>
      <w:r>
        <w:t xml:space="preserve"> </w:t>
      </w:r>
      <w:r>
        <w:t xml:space="preserve">requirements have done so in an efficient and effective way, while at the same time being</w:t>
      </w:r>
      <w:r>
        <w:t xml:space="preserve"> </w:t>
      </w:r>
      <w:r>
        <w:t xml:space="preserve">coherent, relevant and providing EU added-value. The evaluation has fed into the</w:t>
      </w:r>
      <w:r>
        <w:t xml:space="preserve"> </w:t>
      </w:r>
      <w:r>
        <w:t xml:space="preserve">problem definition of the impact assessment (IA).</w:t>
      </w:r>
      <w:r>
        <w:br/>
      </w:r>
      <w:r>
        <w:t xml:space="preserve">Section 3 Background to the initiative</w:t>
      </w:r>
    </w:p>
    <w:p>
      <w:pPr>
        <w:pStyle w:val="BodyText"/>
      </w:pPr>
      <w:r>
        <w:t xml:space="preserve">296 Report from the Commission to the European Parliament and the Council under Article 75 of Regulation</w:t>
      </w:r>
      <w:r>
        <w:t xml:space="preserve"> </w:t>
      </w:r>
      <w:r>
        <w:t xml:space="preserve">(EU) No 909/2014 of the European Parliament and of the Council of 23 July 2014 on improving securities</w:t>
      </w:r>
      <w:r>
        <w:t xml:space="preserve"> </w:t>
      </w:r>
      <w:r>
        <w:t xml:space="preserve">settlement in the European Union and on central securities depositories and amending Directives 98/26/EC</w:t>
      </w:r>
      <w:r>
        <w:t xml:space="preserve"> </w:t>
      </w:r>
      <w:r>
        <w:t xml:space="preserve">and 2014/65/EU and Regulation (EU) No 236/2012, COM(2021) 348 final, 1 July 2021:</w:t>
      </w:r>
      <w:r>
        <w:t xml:space="preserve"> </w:t>
      </w:r>
      <w:r>
        <w:t xml:space="preserve">https://ec.europa.eu/finance/docs/policy/210701-csdr-report_en.pdf</w:t>
      </w:r>
      <w:r>
        <w:t xml:space="preserve"> </w:t>
      </w:r>
      <w:r>
        <w:t xml:space="preserve">297 Commission Work Programme 2021 (see note 244).</w:t>
      </w:r>
      <w:r>
        <w:t xml:space="preserve"> </w:t>
      </w:r>
      <w:r>
        <w:t xml:space="preserve">298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“A Capital Markets Union for people and</w:t>
      </w:r>
      <w:r>
        <w:t xml:space="preserve"> </w:t>
      </w:r>
      <w:r>
        <w:t xml:space="preserve">businesses-new action plan”, COM (2020) 590 final.</w:t>
      </w:r>
    </w:p>
    <w:p>
      <w:pPr>
        <w:pStyle w:val="BodyText"/>
      </w:pPr>
      <w:r>
        <w:t xml:space="preserve">Description of the initiative and its objectives</w:t>
      </w:r>
      <w:r>
        <w:t xml:space="preserve"> </w:t>
      </w:r>
      <w:r>
        <w:t xml:space="preserve">CSDR was published in the Official Journal of the European Union on 28 August 2014,</w:t>
      </w:r>
      <w:r>
        <w:t xml:space="preserve"> </w:t>
      </w:r>
      <w:r>
        <w:t xml:space="preserve">and entered into force on 17 September 2014. Some of the requirements did not</w:t>
      </w:r>
      <w:r>
        <w:t xml:space="preserve"> </w:t>
      </w:r>
      <w:r>
        <w:t xml:space="preserve">immediately become applicable, as CSDR empowered the Commission to adopt</w:t>
      </w:r>
      <w:r>
        <w:t xml:space="preserve"> </w:t>
      </w:r>
      <w:r>
        <w:t xml:space="preserve">secondary legislation specifying technical modalities and a phase-in of some</w:t>
      </w:r>
      <w:r>
        <w:t xml:space="preserve"> </w:t>
      </w:r>
      <w:r>
        <w:t xml:space="preserve">requirements. As a result, requirements to adress settlement fails will only start to apply</w:t>
      </w:r>
      <w:r>
        <w:t xml:space="preserve"> </w:t>
      </w:r>
      <w:r>
        <w:t xml:space="preserve">from 1 February 2022.299 Other elements of CSDR that have later entry dates are the</w:t>
      </w:r>
      <w:r>
        <w:t xml:space="preserve"> </w:t>
      </w:r>
      <w:r>
        <w:t xml:space="preserve">requirement to issue in book-entry form,300 the shortening of the settlement period to 2</w:t>
      </w:r>
      <w:r>
        <w:t xml:space="preserve"> </w:t>
      </w:r>
      <w:r>
        <w:t xml:space="preserve">days after the conclusion of the securities transaction301 and certain reporting</w:t>
      </w:r>
      <w:r>
        <w:t xml:space="preserve"> </w:t>
      </w:r>
      <w:r>
        <w:t xml:space="preserve">requirements that were made dependent on the entry into force of the technical secondary</w:t>
      </w:r>
      <w:r>
        <w:t xml:space="preserve"> </w:t>
      </w:r>
      <w:r>
        <w:t xml:space="preserve">legislations.</w:t>
      </w:r>
      <w:r>
        <w:t xml:space="preserve"> </w:t>
      </w:r>
      <w:r>
        <w:t xml:space="preserve">Recital (5) of CSDR provides a description of the objectives of the Regulation:</w:t>
      </w:r>
      <w:r>
        <w:br/>
      </w:r>
      <w:r>
        <w:t xml:space="preserve">“It is necessary to lay down in a regulation a number of uniform obligations to be</w:t>
      </w:r>
      <w:r>
        <w:t xml:space="preserve"> </w:t>
      </w:r>
      <w:r>
        <w:t xml:space="preserve">imposed on market participants regarding certain aspects of the settlement cycle and</w:t>
      </w:r>
      <w:r>
        <w:t xml:space="preserve"> </w:t>
      </w:r>
      <w:r>
        <w:t xml:space="preserve">discipline and to provide a set of common requirements for CSDs operating securities</w:t>
      </w:r>
      <w:r>
        <w:t xml:space="preserve"> </w:t>
      </w:r>
      <w:r>
        <w:t xml:space="preserve">settlement systems. The directly applicable rules of a regulation should ensure that all</w:t>
      </w:r>
      <w:r>
        <w:t xml:space="preserve"> </w:t>
      </w:r>
      <w:r>
        <w:t xml:space="preserve">market operators and CSDs are subject to identical directly applicable obligations,</w:t>
      </w:r>
      <w:r>
        <w:t xml:space="preserve"> </w:t>
      </w:r>
      <w:r>
        <w:t xml:space="preserve">standards and rules. A regulation should increase the safety and efficiency of</w:t>
      </w:r>
      <w:r>
        <w:t xml:space="preserve"> </w:t>
      </w:r>
      <w:r>
        <w:t xml:space="preserve">settlement in the Union by preventing any diverging national rules as a result of the</w:t>
      </w:r>
      <w:r>
        <w:t xml:space="preserve"> </w:t>
      </w:r>
      <w:r>
        <w:t xml:space="preserve">transposition of a directive. A regulation should reduce the regulatory complexity for</w:t>
      </w:r>
      <w:r>
        <w:t xml:space="preserve"> </w:t>
      </w:r>
      <w:r>
        <w:t xml:space="preserve">market operators and CSDs resulting from different national rules and should allow</w:t>
      </w:r>
      <w:r>
        <w:t xml:space="preserve"> </w:t>
      </w:r>
      <w:r>
        <w:t xml:space="preserve">CSDs to provide their services on a cross-border basis without having to comply with</w:t>
      </w:r>
      <w:r>
        <w:t xml:space="preserve"> </w:t>
      </w:r>
      <w:r>
        <w:t xml:space="preserve">different sets of national requirements such as those concerning the authorisation,</w:t>
      </w:r>
      <w:r>
        <w:t xml:space="preserve"> </w:t>
      </w:r>
      <w:r>
        <w:t xml:space="preserve">supervision, organisation or risks of CSDs. A regulation imposing identical requirements</w:t>
      </w:r>
      <w:r>
        <w:t xml:space="preserve"> </w:t>
      </w:r>
      <w:r>
        <w:t xml:space="preserve">on CSDs should also contribute to eliminating competitive distortions.”</w:t>
      </w:r>
      <w:r>
        <w:t xml:space="preserve"> </w:t>
      </w:r>
      <w:r>
        <w:t xml:space="preserve">CSDR seeks to increase the safety and improve settlement efficiency as well as provide a</w:t>
      </w:r>
      <w:r>
        <w:t xml:space="preserve"> </w:t>
      </w:r>
      <w:r>
        <w:t xml:space="preserve">set of common requirements for CSDs across the EU while reducing systemic risk</w:t>
      </w:r>
      <w:r>
        <w:t xml:space="preserve"> </w:t>
      </w:r>
      <w:r>
        <w:t xml:space="preserve">through the application of its core requirements, which include:</w:t>
      </w:r>
      <w:r>
        <w:t xml:space="preserve"> </w:t>
      </w:r>
      <w:r>
        <w:t xml:space="preserve">1. shorter settlement periods and cash penalties and other deterrents for settlement</w:t>
      </w:r>
      <w:r>
        <w:t xml:space="preserve"> </w:t>
      </w:r>
      <w:r>
        <w:t xml:space="preserve">fails;</w:t>
      </w:r>
      <w:r>
        <w:t xml:space="preserve"> </w:t>
      </w:r>
      <w:r>
        <w:t xml:space="preserve">2. strict authorisation, organisational, conduct of business and prudential</w:t>
      </w:r>
      <w:r>
        <w:t xml:space="preserve"> </w:t>
      </w:r>
      <w:r>
        <w:t xml:space="preserve">requirements for CSDs;</w:t>
      </w:r>
      <w:r>
        <w:t xml:space="preserve"> </w:t>
      </w:r>
      <w:r>
        <w:t xml:space="preserve">3. a passport system allowing authorised CSDs to provide their services across the</w:t>
      </w:r>
      <w:r>
        <w:t xml:space="preserve"> </w:t>
      </w:r>
      <w:r>
        <w:t xml:space="preserve">EU;</w:t>
      </w:r>
      <w:r>
        <w:t xml:space="preserve"> </w:t>
      </w:r>
      <w:r>
        <w:t xml:space="preserve">4. increased prudential and supervisory requirements for CSDs and other institutions</w:t>
      </w:r>
      <w:r>
        <w:t xml:space="preserve"> </w:t>
      </w:r>
      <w:r>
        <w:t xml:space="preserve">providing banking services that support securities settlement;</w:t>
      </w:r>
      <w:r>
        <w:t xml:space="preserve"> </w:t>
      </w:r>
      <w:r>
        <w:t xml:space="preserve">5. increased cooperation requirements for authorities across Member States with</w:t>
      </w:r>
      <w:r>
        <w:t xml:space="preserve"> </w:t>
      </w:r>
      <w:r>
        <w:t xml:space="preserve">respect to CSDs providing their services in relation to financial instruments</w:t>
      </w:r>
      <w:r>
        <w:t xml:space="preserve"> </w:t>
      </w:r>
      <w:r>
        <w:t xml:space="preserve">constituted under the law of a Member State other than that of their authorisation</w:t>
      </w:r>
      <w:r>
        <w:t xml:space="preserve"> </w:t>
      </w:r>
      <w:r>
        <w:t xml:space="preserve">and to CSDs establishing a branch in another Member State.</w:t>
      </w:r>
    </w:p>
    <w:p>
      <w:pPr>
        <w:pStyle w:val="BodyText"/>
      </w:pPr>
      <w:r>
        <w:t xml:space="preserve">299 Originally intended to apply from 1 February 2020, the entry into force was twice delayed upon proposal</w:t>
      </w:r>
      <w:r>
        <w:t xml:space="preserve"> </w:t>
      </w:r>
      <w:r>
        <w:t xml:space="preserve">by ESMA: esma70-156-3490_final_report_-</w:t>
      </w:r>
      <w:r>
        <w:rPr>
          <w:i/>
          <w:iCs/>
        </w:rPr>
        <w:t xml:space="preserve">csdr_rts_on_settlement_discipline</w:t>
      </w:r>
      <w:r>
        <w:t xml:space="preserve">-</w:t>
      </w:r>
      <w:r>
        <w:t xml:space="preserve"> </w:t>
      </w:r>
      <w:r>
        <w:t xml:space="preserve">_postponement_until_1_february_2022.pdf.</w:t>
      </w:r>
      <w:r>
        <w:t xml:space="preserve"> </w:t>
      </w:r>
      <w:r>
        <w:t xml:space="preserve">300 Article 3(1) CSDR: from 1 January 2023 for transferable securities issued after that date and from 1</w:t>
      </w:r>
      <w:r>
        <w:t xml:space="preserve"> </w:t>
      </w:r>
      <w:r>
        <w:t xml:space="preserve">January 2025 to all transferable securities.</w:t>
      </w:r>
      <w:r>
        <w:br/>
      </w:r>
      <w:r>
        <w:t xml:space="preserve">301 Article 5(2) CSDR: application from 1 January 2015.</w:t>
      </w:r>
    </w:p>
    <w:p>
      <w:pPr>
        <w:pStyle w:val="BodyText"/>
      </w:pPr>
      <w:r>
        <w:t xml:space="preserve">Thus, CSDR plays a pivotal role in the post-trade harmonisation efforts in the EU,</w:t>
      </w:r>
      <w:r>
        <w:t xml:space="preserve"> </w:t>
      </w:r>
      <w:r>
        <w:t xml:space="preserve">enhancing the legal and operational conditions in particular for cross-border settlement in</w:t>
      </w:r>
      <w:r>
        <w:t xml:space="preserve"> </w:t>
      </w:r>
      <w:r>
        <w:t xml:space="preserve">the Union, while promoting cross-border competition and financial stability.</w:t>
      </w:r>
      <w:r>
        <w:t xml:space="preserve"> </w:t>
      </w:r>
      <w:r>
        <w:t xml:space="preserve">CSDR seeked to address the three main problems identified in the impact assessment that</w:t>
      </w:r>
      <w:r>
        <w:t xml:space="preserve"> </w:t>
      </w:r>
      <w:r>
        <w:t xml:space="preserve">accompanied the CSDR proposal in 2014302 related to the functioning of the EU’s</w:t>
      </w:r>
      <w:r>
        <w:t xml:space="preserve"> </w:t>
      </w:r>
      <w:r>
        <w:t xml:space="preserve">settlement markets: (i) higher risk for cross-border (compared to domestic) settlement;</w:t>
      </w:r>
      <w:r>
        <w:t xml:space="preserve"> </w:t>
      </w:r>
      <w:r>
        <w:t xml:space="preserve">(ii) higher cost for cross-border settlement; and (iii) unlevel playing field for CSD</w:t>
      </w:r>
      <w:r>
        <w:t xml:space="preserve"> </w:t>
      </w:r>
      <w:r>
        <w:t xml:space="preserve">services. These issues followed from ultimately three main drivers: (1) different market</w:t>
      </w:r>
      <w:r>
        <w:t xml:space="preserve"> </w:t>
      </w:r>
      <w:r>
        <w:t xml:space="preserve">practices on the organisation of settlement; (2) different rules for CSDs across the EU;</w:t>
      </w:r>
      <w:r>
        <w:t xml:space="preserve"> </w:t>
      </w:r>
      <w:r>
        <w:t xml:space="preserve">and (3) barriers of access to/from CSDs.</w:t>
      </w:r>
      <w:r>
        <w:t xml:space="preserve"> </w:t>
      </w:r>
      <w:r>
        <w:t xml:space="preserve">The strategic objectives of CSDR were to tackle the three key consequences of the</w:t>
      </w:r>
      <w:r>
        <w:t xml:space="preserve"> </w:t>
      </w:r>
      <w:r>
        <w:t xml:space="preserve">problems identified in the previous section by:</w:t>
      </w:r>
      <w:r>
        <w:t xml:space="preserve"> </w:t>
      </w:r>
      <w:r>
        <w:t xml:space="preserve">(1)</w:t>
      </w:r>
      <w:r>
        <w:t xml:space="preserve"> </w:t>
      </w:r>
      <w:r>
        <w:t xml:space="preserve">Increasing safety of the EU settlement market;</w:t>
      </w:r>
      <w:r>
        <w:br/>
      </w:r>
      <w:r>
        <w:t xml:space="preserve">(2)</w:t>
      </w:r>
      <w:r>
        <w:t xml:space="preserve"> </w:t>
      </w:r>
      <w:r>
        <w:t xml:space="preserve">Increasing efficiency of the EU settlement market;</w:t>
      </w:r>
      <w:r>
        <w:br/>
      </w:r>
      <w:r>
        <w:t xml:space="preserve">(3)</w:t>
      </w:r>
      <w:r>
        <w:t xml:space="preserve"> </w:t>
      </w:r>
      <w:r>
        <w:t xml:space="preserve">Ensuring level playing field for CSD services.</w:t>
      </w:r>
      <w:r>
        <w:t xml:space="preserve"> </w:t>
      </w:r>
      <w:r>
        <w:t xml:space="preserve">These strategic objectives translated into a number of specific objectives, as follows:</w:t>
      </w:r>
      <w:r>
        <w:t xml:space="preserve"> </w:t>
      </w:r>
      <w:r>
        <w:t xml:space="preserve"> Reduce the complexity of cross-border settlement – this should increase both</w:t>
      </w:r>
      <w:r>
        <w:t xml:space="preserve"> </w:t>
      </w:r>
      <w:r>
        <w:t xml:space="preserve">safety and efficiency of cross-border settlement;</w:t>
      </w:r>
      <w:r>
        <w:t xml:space="preserve"> </w:t>
      </w:r>
      <w:r>
        <w:t xml:space="preserve"> Reduce risk of arbitrage to the</w:t>
      </w:r>
      <w:r>
        <w:t xml:space="preserve"> </w:t>
      </w:r>
      <w:r>
        <w:t xml:space="preserve">“softest”</w:t>
      </w:r>
      <w:r>
        <w:t xml:space="preserve"> </w:t>
      </w:r>
      <w:r>
        <w:t xml:space="preserve">market practice (in terms of settlement</w:t>
      </w:r>
      <w:r>
        <w:t xml:space="preserve"> </w:t>
      </w:r>
      <w:r>
        <w:t xml:space="preserve">discipline) – this should increase the safety of settlement in general;</w:t>
      </w:r>
      <w:r>
        <w:t xml:space="preserve"> </w:t>
      </w:r>
      <w:r>
        <w:t xml:space="preserve"> Ensure consistent definition of CSD services across the EU – this should improve</w:t>
      </w:r>
      <w:r>
        <w:t xml:space="preserve"> </w:t>
      </w:r>
      <w:r>
        <w:t xml:space="preserve">level playing field between CSDs, as well as increase safety;</w:t>
      </w:r>
      <w:r>
        <w:t xml:space="preserve"> </w:t>
      </w:r>
      <w:r>
        <w:t xml:space="preserve"> Reduce the fragmentation of post-trading markets – this should increase both</w:t>
      </w:r>
      <w:r>
        <w:t xml:space="preserve"> </w:t>
      </w:r>
      <w:r>
        <w:t xml:space="preserve">safety and efficiency of cross-border settlement;</w:t>
      </w:r>
      <w:r>
        <w:t xml:space="preserve"> </w:t>
      </w:r>
      <w:r>
        <w:t xml:space="preserve"> Reduce the scope for national monopolies – this should improve the level playing</w:t>
      </w:r>
      <w:r>
        <w:t xml:space="preserve"> </w:t>
      </w:r>
      <w:r>
        <w:t xml:space="preserve">field for CSD services and increase competition between CSDs and between</w:t>
      </w:r>
      <w:r>
        <w:t xml:space="preserve"> </w:t>
      </w:r>
      <w:r>
        <w:t xml:space="preserve">CSDs and intermediaries.</w:t>
      </w:r>
      <w:r>
        <w:t xml:space="preserve"> </w:t>
      </w:r>
      <w:r>
        <w:t xml:space="preserve">These specific objectives were to be achieved by a number of concrete operational</w:t>
      </w:r>
      <w:r>
        <w:t xml:space="preserve"> </w:t>
      </w:r>
      <w:r>
        <w:t xml:space="preserve">objectives, which were grouped in the following three categories:</w:t>
      </w:r>
      <w:r>
        <w:t xml:space="preserve"> </w:t>
      </w:r>
      <w:r>
        <w:t xml:space="preserve">(1)</w:t>
      </w:r>
      <w:r>
        <w:t xml:space="preserve"> </w:t>
      </w:r>
      <w:r>
        <w:t xml:space="preserve">Enhance framework for settlement in the EU – by improving cross-</w:t>
      </w:r>
      <w:r>
        <w:t xml:space="preserve"> </w:t>
      </w:r>
      <w:r>
        <w:t xml:space="preserve">border settlement discipline and harmonizing settlement periods;</w:t>
      </w:r>
      <w:r>
        <w:t xml:space="preserve"> </w:t>
      </w:r>
      <w:r>
        <w:t xml:space="preserve">(2)</w:t>
      </w:r>
      <w:r>
        <w:t xml:space="preserve"> </w:t>
      </w:r>
      <w:r>
        <w:t xml:space="preserve">Introduce consistent rules for CSDs across the EU – such rules refered to</w:t>
      </w:r>
      <w:r>
        <w:t xml:space="preserve"> </w:t>
      </w:r>
      <w:r>
        <w:t xml:space="preserve">both the prudential and organisational rules to ensure the safety,</w:t>
      </w:r>
      <w:r>
        <w:t xml:space="preserve"> </w:t>
      </w:r>
      <w:r>
        <w:t xml:space="preserve">efficiency and level playing field of CSDs, as well as the licensing</w:t>
      </w:r>
      <w:r>
        <w:t xml:space="preserve"> </w:t>
      </w:r>
      <w:r>
        <w:t xml:space="preserve">framework, to ensure the level playing field and competition among</w:t>
      </w:r>
      <w:r>
        <w:t xml:space="preserve"> </w:t>
      </w:r>
      <w:r>
        <w:t xml:space="preserve">CSDs;</w:t>
      </w:r>
      <w:r>
        <w:t xml:space="preserve"> </w:t>
      </w:r>
      <w:r>
        <w:t xml:space="preserve">(3)</w:t>
      </w:r>
      <w:r>
        <w:t xml:space="preserve"> </w:t>
      </w:r>
      <w:r>
        <w:t xml:space="preserve">Remove barriers of access to/from CSDs – this refers to both access</w:t>
      </w:r>
      <w:r>
        <w:t xml:space="preserve"> </w:t>
      </w:r>
      <w:r>
        <w:t xml:space="preserve">between issuers and CSDs as well as between the CSDs themselves and</w:t>
      </w:r>
      <w:r>
        <w:t xml:space="preserve"> </w:t>
      </w:r>
      <w:r>
        <w:t xml:space="preserve">between CSDs and other market infrastructures such as trading venues</w:t>
      </w:r>
      <w:r>
        <w:t xml:space="preserve"> </w:t>
      </w:r>
      <w:r>
        <w:t xml:space="preserve">and CCPs.</w:t>
      </w:r>
      <w:r>
        <w:t xml:space="preserve"> </w:t>
      </w:r>
      <w:r>
        <w:t xml:space="preserve">An overview of the various objectives and their interconnectedness is depicted below in</w:t>
      </w:r>
      <w:r>
        <w:t xml:space="preserve"> </w:t>
      </w:r>
      <w:r>
        <w:t xml:space="preserve">Figure 1. It also provides a description - in a summarised diagram format - on how</w:t>
      </w:r>
    </w:p>
    <w:p>
      <w:pPr>
        <w:pStyle w:val="BodyText"/>
      </w:pPr>
      <w:r>
        <w:t xml:space="preserve">302 https://eur-lex.europa.eu/legal-content/EN/TXT/?uri=SWD%3A2012%3A0023%3AFIN</w:t>
      </w:r>
    </w:p>
    <w:p>
      <w:pPr>
        <w:pStyle w:val="BodyText"/>
      </w:pPr>
      <w:r>
        <w:t xml:space="preserve">CSDR was expected to work and the intervention logic. This evaluation uses it as a</w:t>
      </w:r>
      <w:r>
        <w:t xml:space="preserve"> </w:t>
      </w:r>
      <w:r>
        <w:t xml:space="preserve">structure carry out the evaluation and answer specific questions.</w:t>
      </w:r>
      <w:r>
        <w:t xml:space="preserve"> </w:t>
      </w:r>
      <w:r>
        <w:t xml:space="preserve">Figure 1: Overview of objectives</w:t>
      </w:r>
    </w:p>
    <w:p>
      <w:pPr>
        <w:pStyle w:val="BodyText"/>
      </w:pPr>
      <w:r>
        <w:t xml:space="preserve">Nb: the arrows represent the key interrelationships. Most factors represented above are in fact interlinked. *</w:t>
      </w:r>
      <w:r>
        <w:t xml:space="preserve"> </w:t>
      </w:r>
      <w:r>
        <w:t xml:space="preserve">refers to a competitive environment.</w:t>
      </w:r>
      <w:r>
        <w:t xml:space="preserve"> </w:t>
      </w:r>
      <w:r>
        <w:t xml:space="preserve">Description of the situation before the adoption of CSDR</w:t>
      </w:r>
      <w:r>
        <w:t xml:space="preserve"> </w:t>
      </w:r>
      <w:r>
        <w:t xml:space="preserve">Against the background of the ongoing financial crisis, around 2008 various international</w:t>
      </w:r>
      <w:r>
        <w:t xml:space="preserve"> </w:t>
      </w:r>
      <w:r>
        <w:t xml:space="preserve">institutions pleaded to strenghten ensuring safe and sound post-trade infrastructures</w:t>
      </w:r>
      <w:r>
        <w:t xml:space="preserve"> </w:t>
      </w:r>
      <w:r>
        <w:t xml:space="preserve">inbuilding a safer, more stable and efficient global financial system. To that effect the</w:t>
      </w:r>
      <w:r>
        <w:t xml:space="preserve"> </w:t>
      </w:r>
      <w:r>
        <w:t xml:space="preserve">Council urged to step up the EU ambitions for post-trade infrastructures with emphasis</w:t>
      </w:r>
      <w:r>
        <w:t xml:space="preserve"> </w:t>
      </w:r>
      <w:r>
        <w:t xml:space="preserve">on safety and soundness, whereby it noted that</w:t>
      </w:r>
      <w:r>
        <w:t xml:space="preserve"> </w:t>
      </w:r>
      <w:r>
        <w:t xml:space="preserve">“the reality of a single European securities</w:t>
      </w:r>
      <w:r>
        <w:t xml:space="preserve"> </w:t>
      </w:r>
      <w:r>
        <w:t xml:space="preserve">market is not compatible with a fragmented European post-trading sector. Achieving</w:t>
      </w:r>
      <w:r>
        <w:t xml:space="preserve"> </w:t>
      </w:r>
      <w:r>
        <w:t xml:space="preserve">competitive, efficient and safe pan-European post trading arrangements is becoming</w:t>
      </w:r>
      <w:r>
        <w:t xml:space="preserve"> </w:t>
      </w:r>
      <w:r>
        <w:t xml:space="preserve">more and more critical”</w:t>
      </w:r>
      <w:r>
        <w:t xml:space="preserve">.303</w:t>
      </w:r>
      <w:r>
        <w:t xml:space="preserve"> </w:t>
      </w:r>
      <w:r>
        <w:t xml:space="preserve">It was noted that CSDs are systemically important market infrastructures. Firstly, they</w:t>
      </w:r>
      <w:r>
        <w:t xml:space="preserve"> </w:t>
      </w:r>
      <w:r>
        <w:t xml:space="preserve">intervene throughout the life span of securities, from issuance to reimbursement.</w:t>
      </w:r>
      <w:r>
        <w:t xml:space="preserve"> </w:t>
      </w:r>
      <w:r>
        <w:t xml:space="preserve">Secondly, they perform, sometimes after prior netting by Central Counterparties (CCPs),</w:t>
      </w:r>
      <w:r>
        <w:t xml:space="preserve"> </w:t>
      </w:r>
      <w:r>
        <w:t xml:space="preserve">most of the processes that lead to the settlement of a transaction, i.e. the delivery of</w:t>
      </w:r>
      <w:r>
        <w:t xml:space="preserve"> </w:t>
      </w:r>
      <w:r>
        <w:t xml:space="preserve">securities against cash. In addition, CSDs play a crucial role in the transmission of</w:t>
      </w:r>
      <w:r>
        <w:t xml:space="preserve"> </w:t>
      </w:r>
      <w:r>
        <w:t xml:space="preserve">monetary policies. Concrete cases at the time that urged action were the Lehman and</w:t>
      </w:r>
      <w:r>
        <w:t xml:space="preserve"> </w:t>
      </w:r>
      <w:r>
        <w:t xml:space="preserve">Bear Stearns cases, where difficulties were encountered in terms of the ownership of</w:t>
      </w:r>
      <w:r>
        <w:t xml:space="preserve"> </w:t>
      </w:r>
      <w:r>
        <w:t xml:space="preserve">securities as well as the number of outstanding securities (more securities with</w:t>
      </w:r>
      <w:r>
        <w:t xml:space="preserve"> </w:t>
      </w:r>
      <w:r>
        <w:t xml:space="preserve">counterparties than issued).</w:t>
      </w:r>
      <w:r>
        <w:t xml:space="preserve"> </w:t>
      </w:r>
      <w:r>
        <w:t xml:space="preserve">Before the entry into force of the CSDR there was no central EU regulation where this</w:t>
      </w:r>
      <w:r>
        <w:t xml:space="preserve"> </w:t>
      </w:r>
      <w:r>
        <w:t xml:space="preserve">subject matter was regulated, although a number of topics were addressed in different</w:t>
      </w:r>
      <w:r>
        <w:t xml:space="preserve"> </w:t>
      </w:r>
      <w:r>
        <w:t xml:space="preserve">regulations, such as SFD, MIFID.</w:t>
      </w:r>
    </w:p>
    <w:p>
      <w:pPr>
        <w:pStyle w:val="BodyText"/>
      </w:pPr>
      <w:r>
        <w:t xml:space="preserve">303 https://data.consilium.europa.eu/doc/document/ST-16212-2008-INIT/en/pdf</w:t>
      </w:r>
      <w:r>
        <w:br/>
      </w:r>
      <w:r>
        <w:t xml:space="preserve">Strategic</w:t>
      </w:r>
      <w:r>
        <w:t xml:space="preserve"> </w:t>
      </w:r>
      <w:r>
        <w:t xml:space="preserve">Specific</w:t>
      </w:r>
      <w:r>
        <w:t xml:space="preserve"> </w:t>
      </w:r>
      <w:r>
        <w:t xml:space="preserve">Operational</w:t>
      </w:r>
      <w:r>
        <w:t xml:space="preserve"> </w:t>
      </w:r>
      <w:r>
        <w:t xml:space="preserve">Ensure level playing field</w:t>
      </w:r>
      <w:r>
        <w:t xml:space="preserve"> </w:t>
      </w:r>
      <w:r>
        <w:t xml:space="preserve">for CSD services</w:t>
      </w:r>
      <w:r>
        <w:t xml:space="preserve"> </w:t>
      </w:r>
      <w:r>
        <w:t xml:space="preserve">Increase efficiency of</w:t>
      </w:r>
      <w:r>
        <w:t xml:space="preserve"> </w:t>
      </w:r>
      <w:r>
        <w:t xml:space="preserve">cross-border transactions</w:t>
      </w:r>
      <w:r>
        <w:t xml:space="preserve"> </w:t>
      </w:r>
      <w:r>
        <w:t xml:space="preserve">Introduce consistent rules</w:t>
      </w:r>
      <w:r>
        <w:t xml:space="preserve"> </w:t>
      </w:r>
      <w:r>
        <w:t xml:space="preserve">for CSDs across the EU:</w:t>
      </w:r>
      <w:r>
        <w:t xml:space="preserve"> </w:t>
      </w:r>
      <w:r>
        <w:t xml:space="preserve">- Prudential and</w:t>
      </w:r>
      <w:r>
        <w:t xml:space="preserve"> </w:t>
      </w:r>
      <w:r>
        <w:t xml:space="preserve">organisational rules</w:t>
      </w:r>
      <w:r>
        <w:t xml:space="preserve"> </w:t>
      </w:r>
      <w:r>
        <w:t xml:space="preserve">- Licensing framework</w:t>
      </w:r>
      <w:r>
        <w:t xml:space="preserve"> </w:t>
      </w:r>
      <w:r>
        <w:t xml:space="preserve">Remove barriers of access</w:t>
      </w:r>
      <w:r>
        <w:t xml:space="preserve"> </w:t>
      </w:r>
      <w:r>
        <w:t xml:space="preserve">to/from CSDs:</w:t>
      </w:r>
      <w:r>
        <w:t xml:space="preserve"> </w:t>
      </w:r>
      <w:r>
        <w:t xml:space="preserve">- Access issuers-CSDs</w:t>
      </w:r>
      <w:r>
        <w:t xml:space="preserve"> </w:t>
      </w:r>
      <w:r>
        <w:t xml:space="preserve">- Access CSDs-CSDs or</w:t>
      </w:r>
      <w:r>
        <w:t xml:space="preserve"> </w:t>
      </w:r>
      <w:r>
        <w:t xml:space="preserve">CSDs-other infrastructures</w:t>
      </w:r>
      <w:r>
        <w:t xml:space="preserve"> </w:t>
      </w:r>
      <w:r>
        <w:t xml:space="preserve">Enhance framework for</w:t>
      </w:r>
      <w:r>
        <w:t xml:space="preserve"> </w:t>
      </w:r>
      <w:r>
        <w:t xml:space="preserve">settlement in the EU</w:t>
      </w:r>
      <w:r>
        <w:t xml:space="preserve"> </w:t>
      </w:r>
      <w:r>
        <w:t xml:space="preserve">- Settlement discipline</w:t>
      </w:r>
      <w:r>
        <w:t xml:space="preserve"> </w:t>
      </w:r>
      <w:r>
        <w:t xml:space="preserve">- Settlement periods</w:t>
      </w:r>
      <w:r>
        <w:t xml:space="preserve"> </w:t>
      </w:r>
      <w:r>
        <w:t xml:space="preserve">Reduce scope for national</w:t>
      </w:r>
      <w:r>
        <w:t xml:space="preserve"> </w:t>
      </w:r>
      <w:r>
        <w:t xml:space="preserve">monopolies</w:t>
      </w:r>
      <w:r>
        <w:t xml:space="preserve"> </w:t>
      </w:r>
      <w:r>
        <w:t xml:space="preserve">Reduce complexity of</w:t>
      </w:r>
      <w:r>
        <w:t xml:space="preserve"> </w:t>
      </w:r>
      <w:r>
        <w:t xml:space="preserve">cross-border settlement</w:t>
      </w:r>
      <w:r>
        <w:t xml:space="preserve"> </w:t>
      </w:r>
      <w:r>
        <w:t xml:space="preserve">Increase safety of cross-</w:t>
      </w:r>
      <w:r>
        <w:t xml:space="preserve"> </w:t>
      </w:r>
      <w:r>
        <w:t xml:space="preserve">border transactions</w:t>
      </w:r>
      <w:r>
        <w:t xml:space="preserve"> </w:t>
      </w:r>
      <w:r>
        <w:t xml:space="preserve">Reduce fragmentation of</w:t>
      </w:r>
      <w:r>
        <w:t xml:space="preserve"> </w:t>
      </w:r>
      <w:r>
        <w:t xml:space="preserve">post trading market</w:t>
      </w:r>
      <w:r>
        <w:t xml:space="preserve"> </w:t>
      </w:r>
      <w:r>
        <w:t xml:space="preserve">Reduce risk of arbitrage to</w:t>
      </w:r>
      <w:r>
        <w:t xml:space="preserve"> </w:t>
      </w:r>
      <w:r>
        <w:t xml:space="preserve">the “softest” market</w:t>
      </w:r>
      <w:r>
        <w:t xml:space="preserve"> </w:t>
      </w:r>
      <w:r>
        <w:t xml:space="preserve">practice</w:t>
      </w:r>
      <w:r>
        <w:rPr>
          <w:i/>
          <w:iCs/>
        </w:rPr>
        <w:t xml:space="preserve"> </w:t>
      </w:r>
      <w:r>
        <w:rPr>
          <w:i/>
          <w:iCs/>
        </w:rPr>
        <w:t xml:space="preserve">Ensure consistent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 of CSD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EU</w:t>
      </w:r>
      <w:r>
        <w:rPr>
          <w:i/>
          <w:iCs/>
        </w:rPr>
        <w:t xml:space="preserve"> </w:t>
      </w:r>
      <w:r>
        <w:rPr>
          <w:i/>
          <w:iCs/>
        </w:rPr>
        <w:t xml:space="preserve">Strategic</w:t>
      </w:r>
      <w:r>
        <w:rPr>
          <w:i/>
          <w:iCs/>
        </w:rPr>
        <w:t xml:space="preserve"> </w:t>
      </w:r>
      <w:r>
        <w:rPr>
          <w:i/>
          <w:iCs/>
        </w:rPr>
        <w:t xml:space="preserve">Specific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Operational</w:t>
      </w:r>
      <w:r>
        <w:rPr>
          <w:i/>
          <w:iCs/>
        </w:rPr>
        <w:t xml:space="preserve"> </w:t>
      </w:r>
      <w:r>
        <w:rPr>
          <w:i/>
          <w:iCs/>
        </w:rPr>
        <w:t xml:space="preserve">Ensure level playing field</w:t>
      </w:r>
      <w:r>
        <w:rPr>
          <w:i/>
          <w:iCs/>
        </w:rPr>
        <w:t xml:space="preserve"> </w:t>
      </w:r>
      <w:r>
        <w:rPr>
          <w:i/>
          <w:iCs/>
        </w:rPr>
        <w:t xml:space="preserve">for CSD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Increase efficiency of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transactions</w:t>
      </w:r>
      <w:r>
        <w:rPr>
          <w:i/>
          <w:iCs/>
        </w:rPr>
        <w:t xml:space="preserve"> </w:t>
      </w:r>
      <w:r>
        <w:rPr>
          <w:i/>
          <w:iCs/>
        </w:rPr>
        <w:t xml:space="preserve">Introduce consistent rules</w:t>
      </w:r>
      <w:r>
        <w:rPr>
          <w:i/>
          <w:iCs/>
        </w:rPr>
        <w:t xml:space="preserve"> </w:t>
      </w:r>
      <w:r>
        <w:rPr>
          <w:i/>
          <w:iCs/>
        </w:rPr>
        <w:t xml:space="preserve">for CSDs across the EU:</w:t>
      </w:r>
      <w:r>
        <w:rPr>
          <w:i/>
          <w:iCs/>
        </w:rPr>
        <w:t xml:space="preserve"> </w:t>
      </w:r>
      <w:r>
        <w:rPr>
          <w:i/>
          <w:iCs/>
        </w:rPr>
        <w:t xml:space="preserve">- Prudential and</w:t>
      </w:r>
      <w:r>
        <w:rPr>
          <w:i/>
          <w:iCs/>
        </w:rPr>
        <w:t xml:space="preserve"> </w:t>
      </w:r>
      <w:r>
        <w:rPr>
          <w:i/>
          <w:iCs/>
        </w:rPr>
        <w:t xml:space="preserve">organisational rules</w:t>
      </w:r>
      <w:r>
        <w:rPr>
          <w:i/>
          <w:iCs/>
        </w:rPr>
        <w:t xml:space="preserve"> </w:t>
      </w:r>
      <w:r>
        <w:rPr>
          <w:i/>
          <w:iCs/>
        </w:rPr>
        <w:t xml:space="preserve">- Licensing framework</w:t>
      </w:r>
      <w:r>
        <w:rPr>
          <w:i/>
          <w:iCs/>
        </w:rPr>
        <w:t xml:space="preserve"> </w:t>
      </w:r>
      <w:r>
        <w:rPr>
          <w:i/>
          <w:iCs/>
        </w:rPr>
        <w:t xml:space="preserve">Remove barriers of access</w:t>
      </w:r>
      <w:r>
        <w:rPr>
          <w:i/>
          <w:iCs/>
        </w:rPr>
        <w:t xml:space="preserve"> </w:t>
      </w:r>
      <w:r>
        <w:rPr>
          <w:i/>
          <w:iCs/>
        </w:rPr>
        <w:t xml:space="preserve">to/from CSDs:</w:t>
      </w:r>
      <w:r>
        <w:rPr>
          <w:i/>
          <w:iCs/>
        </w:rPr>
        <w:t xml:space="preserve"> </w:t>
      </w:r>
      <w:r>
        <w:rPr>
          <w:i/>
          <w:iCs/>
        </w:rPr>
        <w:t xml:space="preserve">- Access issuers-CSDs</w:t>
      </w:r>
      <w:r>
        <w:rPr>
          <w:i/>
          <w:iCs/>
        </w:rPr>
        <w:t xml:space="preserve"> </w:t>
      </w:r>
      <w:r>
        <w:rPr>
          <w:i/>
          <w:iCs/>
        </w:rPr>
        <w:t xml:space="preserve">- Access CSDs-CSDs or</w:t>
      </w:r>
      <w:r>
        <w:rPr>
          <w:i/>
          <w:iCs/>
        </w:rPr>
        <w:t xml:space="preserve"> </w:t>
      </w:r>
      <w:r>
        <w:rPr>
          <w:i/>
          <w:iCs/>
        </w:rPr>
        <w:t xml:space="preserve">CSDs-other infrastructures</w:t>
      </w:r>
      <w:r>
        <w:rPr>
          <w:i/>
          <w:iCs/>
        </w:rPr>
        <w:t xml:space="preserve"> </w:t>
      </w:r>
      <w:r>
        <w:rPr>
          <w:i/>
          <w:iCs/>
        </w:rPr>
        <w:t xml:space="preserve">Enhance framework for</w:t>
      </w:r>
      <w:r>
        <w:rPr>
          <w:i/>
          <w:iCs/>
        </w:rPr>
        <w:t xml:space="preserve"> </w:t>
      </w:r>
      <w:r>
        <w:rPr>
          <w:i/>
          <w:iCs/>
        </w:rPr>
        <w:t xml:space="preserve">settlement in the EU</w:t>
      </w:r>
      <w:r>
        <w:rPr>
          <w:i/>
          <w:iCs/>
        </w:rPr>
        <w:t xml:space="preserve"> </w:t>
      </w:r>
      <w:r>
        <w:rPr>
          <w:i/>
          <w:iCs/>
        </w:rPr>
        <w:t xml:space="preserve">- Settlement discipline</w:t>
      </w:r>
      <w:r>
        <w:rPr>
          <w:i/>
          <w:iCs/>
        </w:rPr>
        <w:t xml:space="preserve"> </w:t>
      </w:r>
      <w:r>
        <w:rPr>
          <w:i/>
          <w:iCs/>
        </w:rPr>
        <w:t xml:space="preserve">- Settlement periods</w:t>
      </w:r>
      <w:r>
        <w:rPr>
          <w:i/>
          <w:iCs/>
        </w:rPr>
        <w:t xml:space="preserve"> </w:t>
      </w:r>
      <w:r>
        <w:rPr>
          <w:i/>
          <w:iCs/>
        </w:rPr>
        <w:t xml:space="preserve">Reduce scope for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monopolies</w:t>
      </w:r>
      <w:r>
        <w:rPr>
          <w:i/>
          <w:iCs/>
        </w:rPr>
        <w:t xml:space="preserve"> </w:t>
      </w:r>
      <w:r>
        <w:rPr>
          <w:i/>
          <w:iCs/>
        </w:rPr>
        <w:t xml:space="preserve">Reduce complexity of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settlement</w:t>
      </w:r>
      <w:r>
        <w:rPr>
          <w:i/>
          <w:iCs/>
        </w:rPr>
        <w:t xml:space="preserve"> </w:t>
      </w:r>
      <w:r>
        <w:rPr>
          <w:i/>
          <w:iCs/>
        </w:rPr>
        <w:t xml:space="preserve">Increase safety of cross-</w:t>
      </w:r>
      <w:r>
        <w:rPr>
          <w:i/>
          <w:iCs/>
        </w:rPr>
        <w:t xml:space="preserve"> </w:t>
      </w:r>
      <w:r>
        <w:rPr>
          <w:i/>
          <w:iCs/>
        </w:rPr>
        <w:t xml:space="preserve">border transactions</w:t>
      </w:r>
      <w:r>
        <w:rPr>
          <w:i/>
          <w:iCs/>
        </w:rPr>
        <w:t xml:space="preserve"> </w:t>
      </w:r>
      <w:r>
        <w:rPr>
          <w:i/>
          <w:iCs/>
        </w:rPr>
        <w:t xml:space="preserve">Reduce fragmentation of</w:t>
      </w:r>
      <w:r>
        <w:rPr>
          <w:i/>
          <w:iCs/>
        </w:rPr>
        <w:t xml:space="preserve"> </w:t>
      </w:r>
      <w:r>
        <w:rPr>
          <w:i/>
          <w:iCs/>
        </w:rPr>
        <w:t xml:space="preserve">post trading market</w:t>
      </w:r>
      <w:r>
        <w:rPr>
          <w:i/>
          <w:iCs/>
        </w:rPr>
        <w:t xml:space="preserve"> </w:t>
      </w:r>
      <w:r>
        <w:rPr>
          <w:i/>
          <w:iCs/>
        </w:rPr>
        <w:t xml:space="preserve">Reduce risk of arbitrage to</w:t>
      </w:r>
      <w:r>
        <w:rPr>
          <w:i/>
          <w:iCs/>
        </w:rPr>
        <w:t xml:space="preserve"> </w:t>
      </w:r>
      <w:r>
        <w:rPr>
          <w:i/>
          <w:iCs/>
        </w:rPr>
        <w:t xml:space="preserve">the “softest” market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</w:t>
      </w:r>
      <w:r>
        <w:t xml:space="preserve"> </w:t>
      </w:r>
      <w:r>
        <w:t xml:space="preserve">Ensure consistent</w:t>
      </w:r>
      <w:r>
        <w:t xml:space="preserve"> </w:t>
      </w:r>
      <w:r>
        <w:t xml:space="preserve">definition of CSD services</w:t>
      </w:r>
      <w:r>
        <w:t xml:space="preserve"> </w:t>
      </w:r>
      <w:r>
        <w:t xml:space="preserve">across the EU</w:t>
      </w:r>
    </w:p>
    <w:p>
      <w:pPr>
        <w:pStyle w:val="BodyText"/>
      </w:pPr>
      <w:r>
        <w:t xml:space="preserve">At the time, securities transactions in Europe were already becoming increasingly cross-</w:t>
      </w:r>
      <w:r>
        <w:t xml:space="preserve"> </w:t>
      </w:r>
      <w:r>
        <w:t xml:space="preserve">border and was expected to increase once the Target2 Securities (T2S)304 pan-European</w:t>
      </w:r>
      <w:r>
        <w:t xml:space="preserve"> </w:t>
      </w:r>
      <w:r>
        <w:t xml:space="preserve">common settlement platform would start. Despite this, cross-border securities settlement</w:t>
      </w:r>
      <w:r>
        <w:t xml:space="preserve"> </w:t>
      </w:r>
      <w:r>
        <w:t xml:space="preserve">in Europe remained complex due to different – highly fragmented along national lines –</w:t>
      </w:r>
      <w:r>
        <w:t xml:space="preserve"> </w:t>
      </w:r>
      <w:r>
        <w:t xml:space="preserve">market practices regarding settlement as well as to persisting barriers of access. This had</w:t>
      </w:r>
      <w:r>
        <w:t xml:space="preserve"> </w:t>
      </w:r>
      <w:r>
        <w:t xml:space="preserve">implications for the safety and efficiency of cross-border securities transactions. For</w:t>
      </w:r>
      <w:r>
        <w:t xml:space="preserve"> </w:t>
      </w:r>
      <w:r>
        <w:t xml:space="preserve">instance, costs of cross-border settlement were about 4 times more costly as within</w:t>
      </w:r>
      <w:r>
        <w:t xml:space="preserve"> </w:t>
      </w:r>
      <w:r>
        <w:t xml:space="preserve">national borders.305</w:t>
      </w:r>
      <w:r>
        <w:t xml:space="preserve"> </w:t>
      </w:r>
      <w:r>
        <w:t xml:space="preserve">In the EU in 2010, over 330 million securities transactions were settled by CSDs, for a</w:t>
      </w:r>
      <w:r>
        <w:t xml:space="preserve"> </w:t>
      </w:r>
      <w:r>
        <w:t xml:space="preserve">total value of approximately €920 trillion. EU CSDs held almost €39 trillion of securities</w:t>
      </w:r>
      <w:r>
        <w:t xml:space="preserve"> </w:t>
      </w:r>
      <w:r>
        <w:t xml:space="preserve">at the end of 2010.</w:t>
      </w:r>
      <w:r>
        <w:t xml:space="preserve"> </w:t>
      </w:r>
      <w:r>
        <w:t xml:space="preserve">The IA in 2010 identified several problems relating to the functioning of the EU</w:t>
      </w:r>
      <w:r>
        <w:t xml:space="preserve"> </w:t>
      </w:r>
      <w:r>
        <w:t xml:space="preserve">settlement markets, which included: (i) higher risk for cross-border (compared to</w:t>
      </w:r>
      <w:r>
        <w:t xml:space="preserve"> </w:t>
      </w:r>
      <w:r>
        <w:t xml:space="preserve">domestic) settlement, (ii) higher cost for cross-border settlement and (iii) unlevel playing</w:t>
      </w:r>
      <w:r>
        <w:t xml:space="preserve"> </w:t>
      </w:r>
      <w:r>
        <w:t xml:space="preserve">field for CSD services.</w:t>
      </w:r>
      <w:r>
        <w:t xml:space="preserve"> </w:t>
      </w:r>
      <w:r>
        <w:t xml:space="preserve">CSDR was adopted to address these problems by setting out the measures as identified</w:t>
      </w:r>
      <w:r>
        <w:t xml:space="preserve"> </w:t>
      </w:r>
      <w:r>
        <w:t xml:space="preserve">above.</w:t>
      </w:r>
      <w:r>
        <w:t xml:space="preserve"> </w:t>
      </w:r>
      <w:r>
        <w:t xml:space="preserve">Section 4 Evaluation Questions</w:t>
      </w:r>
      <w:r>
        <w:t xml:space="preserve"> </w:t>
      </w:r>
      <w:r>
        <w:t xml:space="preserve">This section summarises the review questions addressed in this evaluation.</w:t>
      </w:r>
      <w:r>
        <w:t xml:space="preserve"> </w:t>
      </w:r>
      <w:r>
        <w:t xml:space="preserve">Question 1: How effective has the EU intervention been?</w:t>
      </w:r>
      <w:r>
        <w:t xml:space="preserve"> </w:t>
      </w:r>
      <w:r>
        <w:t xml:space="preserve">- To what extent have the objectives of CSDR to: (1) increase safety of cross-border</w:t>
      </w:r>
      <w:r>
        <w:t xml:space="preserve"> </w:t>
      </w:r>
      <w:r>
        <w:t xml:space="preserve">transactions; (2) increase efficiency of cross-border transactions and (3) ensure level</w:t>
      </w:r>
      <w:r>
        <w:t xml:space="preserve"> </w:t>
      </w:r>
      <w:r>
        <w:t xml:space="preserve">playing field for CSD services been achieved and what factors influenced the</w:t>
      </w:r>
      <w:r>
        <w:t xml:space="preserve"> </w:t>
      </w:r>
      <w:r>
        <w:t xml:space="preserve">achievements observed?</w:t>
      </w:r>
      <w:r>
        <w:t xml:space="preserve"> </w:t>
      </w:r>
      <w:r>
        <w:t xml:space="preserve">Question 2: How efficient has the EU intervention been?</w:t>
      </w:r>
      <w:r>
        <w:t xml:space="preserve"> </w:t>
      </w:r>
      <w:r>
        <w:t xml:space="preserve">- To what extent have CSDR’s core requirements on settlement discipline,</w:t>
      </w:r>
      <w:r>
        <w:t xml:space="preserve"> </w:t>
      </w:r>
      <w:r>
        <w:t xml:space="preserve">organisational, conduct of business and prudential requirements for CSDs, the passport</w:t>
      </w:r>
      <w:r>
        <w:t xml:space="preserve"> </w:t>
      </w:r>
      <w:r>
        <w:t xml:space="preserve">system, increased prudential and supervisory requirements and increased cooperation</w:t>
      </w:r>
      <w:r>
        <w:t xml:space="preserve"> </w:t>
      </w:r>
      <w:r>
        <w:t xml:space="preserve">requirements given the effects they have achieved in promoting an EU settlement market</w:t>
      </w:r>
      <w:r>
        <w:t xml:space="preserve"> </w:t>
      </w:r>
      <w:r>
        <w:t xml:space="preserve">and in mitigating systemic risk?</w:t>
      </w:r>
      <w:r>
        <w:t xml:space="preserve"> </w:t>
      </w:r>
      <w:r>
        <w:t xml:space="preserve">Question 3: How relevant is the EU intervention?</w:t>
      </w:r>
      <w:r>
        <w:br/>
      </w:r>
      <w:r>
        <w:t xml:space="preserve">- To what extent are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still relevant to promote an EU settlement market and the stability of the</w:t>
      </w:r>
      <w:r>
        <w:t xml:space="preserve"> </w:t>
      </w:r>
      <w:r>
        <w:t xml:space="preserve">financial markets and in light of current developments in this market?</w:t>
      </w:r>
      <w:r>
        <w:t xml:space="preserve"> </w:t>
      </w:r>
      <w:r>
        <w:t xml:space="preserve">Question 4: How coherent is the EU intervention?</w:t>
      </w:r>
    </w:p>
    <w:p>
      <w:pPr>
        <w:pStyle w:val="BodyText"/>
      </w:pPr>
      <w:r>
        <w:t xml:space="preserve">304 See T2S website for more details http://www.ecb.int/paym/t2s/html/index.en.html</w:t>
      </w:r>
      <w:r>
        <w:br/>
      </w:r>
      <w:r>
        <w:t xml:space="preserve">305 Commission Staff Working Document, “Impact Assessment accompanying the proposal for a regulation on</w:t>
      </w:r>
      <w:r>
        <w:t xml:space="preserve"> </w:t>
      </w:r>
      <w:r>
        <w:t xml:space="preserve">improving securities settlement in the European Union and on Central Securities Depositories (CSDs)”,</w:t>
      </w:r>
      <w:r>
        <w:t xml:space="preserve"> </w:t>
      </w:r>
      <w:r>
        <w:t xml:space="preserve">SWD (2012) 22 final, p.58.</w:t>
      </w:r>
    </w:p>
    <w:p>
      <w:pPr>
        <w:pStyle w:val="Compact"/>
        <w:numPr>
          <w:ilvl w:val="0"/>
          <w:numId w:val="1003"/>
        </w:numPr>
      </w:pPr>
      <w:r>
        <w:t xml:space="preserve">To what extent are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coherent with other pieces of EU financial legislation.</w:t>
      </w:r>
      <w:r>
        <w:br/>
      </w:r>
      <w:r>
        <w:t xml:space="preserve">Question 5: What is the EU-added value of the intervention?</w:t>
      </w:r>
      <w:r>
        <w:br/>
      </w:r>
      <w:r>
        <w:t xml:space="preserve">To what extent have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helped increasing safety of cross-border transactions, increasing efficiency</w:t>
      </w:r>
      <w:r>
        <w:t xml:space="preserve"> </w:t>
      </w:r>
      <w:r>
        <w:t xml:space="preserve">of cross-border transactions; ensuring level playing field for CSD services and to what</w:t>
      </w:r>
      <w:r>
        <w:t xml:space="preserve"> </w:t>
      </w:r>
      <w:r>
        <w:t xml:space="preserve">extent do the risks relating to the markets continue to require action at EU level?</w:t>
      </w:r>
    </w:p>
    <w:p>
      <w:pPr>
        <w:pStyle w:val="FirstParagraph"/>
      </w:pPr>
      <w:r>
        <w:t xml:space="preserve">Section 5 Methodology</w:t>
      </w:r>
    </w:p>
    <w:p>
      <w:pPr>
        <w:pStyle w:val="BodyText"/>
      </w:pPr>
      <w:r>
        <w:t xml:space="preserve">This evaluation is based primarily on the results of consultations with stakeholders,</w:t>
      </w:r>
      <w:r>
        <w:t xml:space="preserve"> </w:t>
      </w:r>
      <w:r>
        <w:t xml:space="preserve">reports from the European Securities and Markets Authority (ESMA), various inputs</w:t>
      </w:r>
      <w:r>
        <w:t xml:space="preserve"> </w:t>
      </w:r>
      <w:r>
        <w:t xml:space="preserve">from different stakeholders and additional desk research of the Commission services.</w:t>
      </w:r>
      <w:r>
        <w:t xml:space="preserve"> </w:t>
      </w:r>
      <w:r>
        <w:t xml:space="preserve">More specific sources included:</w:t>
      </w:r>
      <w:r>
        <w:br/>
      </w:r>
      <w:r>
        <w:t xml:space="preserve"> the CSDR review report306;</w:t>
      </w:r>
      <w:r>
        <w:t xml:space="preserve"> </w:t>
      </w:r>
      <w:r>
        <w:t xml:space="preserve"> a targeted public consultation seeking feedback on a range of specific areas where</w:t>
      </w:r>
      <w:r>
        <w:t xml:space="preserve"> </w:t>
      </w:r>
      <w:r>
        <w:t xml:space="preserve">targeted action may be necessary to ensure the fulfilment of the objectives of</w:t>
      </w:r>
      <w:r>
        <w:t xml:space="preserve"> </w:t>
      </w:r>
      <w:r>
        <w:t xml:space="preserve">CSDR in a more proportionate, efficient and effective manner as mandated by</w:t>
      </w:r>
      <w:r>
        <w:t xml:space="preserve"> </w:t>
      </w:r>
      <w:r>
        <w:t xml:space="preserve">Article 75 CSDR.307 This consulation took place from 8 December 2020 until 2</w:t>
      </w:r>
      <w:r>
        <w:t xml:space="preserve"> </w:t>
      </w:r>
      <w:r>
        <w:t xml:space="preserve">February 2021 and received 91 responses from a broad range of stakeholders</w:t>
      </w:r>
      <w:r>
        <w:t xml:space="preserve"> </w:t>
      </w:r>
      <w:r>
        <w:t xml:space="preserve">across the EU as well as from third-countries. A detailed summary of the</w:t>
      </w:r>
      <w:r>
        <w:t xml:space="preserve"> </w:t>
      </w:r>
      <w:r>
        <w:t xml:space="preserve">responses to the two consultations is provided in the feedback statement to the</w:t>
      </w:r>
      <w:r>
        <w:t xml:space="preserve"> </w:t>
      </w:r>
      <w:r>
        <w:t xml:space="preserve">consultation.308</w:t>
      </w:r>
      <w:r>
        <w:t xml:space="preserve"> </w:t>
      </w:r>
      <w:r>
        <w:t xml:space="preserve"> Reports from ESMA309, as required by Article 75 of CSDR.</w:t>
      </w:r>
      <w:r>
        <w:t xml:space="preserve"> </w:t>
      </w:r>
      <w:r>
        <w:t xml:space="preserve">In addition to these sources, input from the European Parliament as well as from</w:t>
      </w:r>
      <w:r>
        <w:t xml:space="preserve"> </w:t>
      </w:r>
      <w:r>
        <w:t xml:space="preserve">dedicated meetings with Member States was also considered. In particular, a resolution</w:t>
      </w:r>
      <w:r>
        <w:t xml:space="preserve"> </w:t>
      </w:r>
      <w:r>
        <w:t xml:space="preserve">by the European Parliament on stocktaking and challenges of the EU Financial Services</w:t>
      </w:r>
      <w:r>
        <w:t xml:space="preserve"> </w:t>
      </w:r>
      <w:r>
        <w:t xml:space="preserve">Regulation: impact and the way forward towards a more efficient and effective EU</w:t>
      </w:r>
      <w:r>
        <w:t xml:space="preserve"> </w:t>
      </w:r>
      <w:r>
        <w:t xml:space="preserve">framework for Financial Regulation and a Capital Markets Union, adopted in January</w:t>
      </w:r>
      <w:r>
        <w:t xml:space="preserve"> </w:t>
      </w:r>
      <w:r>
        <w:t xml:space="preserve">2016310. The Commission services also engaged in exchanges with MEPs from the</w:t>
      </w:r>
      <w:r>
        <w:t xml:space="preserve"> </w:t>
      </w:r>
      <w:r>
        <w:t xml:space="preserve">ECON Committee involved in the CSDR review.</w:t>
      </w:r>
    </w:p>
    <w:p>
      <w:pPr>
        <w:pStyle w:val="BodyText"/>
      </w:pPr>
      <w:r>
        <w:t xml:space="preserve">306 Report from the Commission to the European Parliament and the Council under Article 75 of Regulation</w:t>
      </w:r>
      <w:r>
        <w:t xml:space="preserve"> </w:t>
      </w:r>
      <w:r>
        <w:t xml:space="preserve">(EU) No 909/2014 of the European Parliament and of the Council of 23 July 2014 on improving securities</w:t>
      </w:r>
      <w:r>
        <w:t xml:space="preserve"> </w:t>
      </w:r>
      <w:r>
        <w:t xml:space="preserve">settlement in the European Union and on central securities depositories and amending Directives 98/26/EC</w:t>
      </w:r>
      <w:r>
        <w:t xml:space="preserve"> </w:t>
      </w:r>
      <w:r>
        <w:t xml:space="preserve">and 2014/65/EU and Regulation (EU) No 236/2012, COM(2021) 348 final, 1 July 2021:</w:t>
      </w:r>
      <w:r>
        <w:t xml:space="preserve"> </w:t>
      </w:r>
      <w:r>
        <w:t xml:space="preserve">https://ec.europa.eu/finance/docs/policy/210701-csdr-report_en.pdf</w:t>
      </w:r>
      <w:r>
        <w:t xml:space="preserve"> </w:t>
      </w:r>
      <w:r>
        <w:t xml:space="preserve">307 Feedback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br/>
      </w:r>
      <w:r>
        <w:t xml:space="preserve">https://ec.europa.eu/info/consultations/finance-2020-csdr-review_en</w:t>
      </w:r>
      <w:r>
        <w:br/>
      </w:r>
      <w:r>
        <w:t xml:space="preserve">308 https://ec.europa.eu/info/sites/default/files/business_economy_euro/banking_and_finance/documents/2020-</w:t>
      </w:r>
      <w:r>
        <w:t xml:space="preserve"> </w:t>
      </w:r>
      <w:r>
        <w:t xml:space="preserve">csdr-review-summary-of-responses_en.pdf.</w:t>
      </w:r>
      <w:r>
        <w:br/>
      </w:r>
      <w:r>
        <w:t xml:space="preserve">309 See notes 50, 86, 88, 89.</w:t>
      </w:r>
      <w:r>
        <w:br/>
      </w:r>
      <w:r>
        <w:t xml:space="preserve">310 European Parliament Resolution 2015/2106 (INI) of 19 January 2016.</w:t>
      </w:r>
    </w:p>
    <w:p>
      <w:pPr>
        <w:pStyle w:val="BodyText"/>
      </w:pPr>
      <w:r>
        <w:t xml:space="preserve">The Commission services also participated in various meetings and working groups of</w:t>
      </w:r>
      <w:r>
        <w:t xml:space="preserve"> </w:t>
      </w:r>
      <w:r>
        <w:t xml:space="preserve">the ESCB as well as ESMA where post-trade developments are discussed.</w:t>
      </w:r>
      <w:r>
        <w:t xml:space="preserve"> </w:t>
      </w:r>
      <w:r>
        <w:t xml:space="preserve">Limitations – robustness of findings</w:t>
      </w:r>
      <w:r>
        <w:t xml:space="preserve"> </w:t>
      </w:r>
      <w:r>
        <w:t xml:space="preserve">While CSDR entered into force on 17 September 2014, certain core requirements</w:t>
      </w:r>
      <w:r>
        <w:t xml:space="preserve"> </w:t>
      </w:r>
      <w:r>
        <w:t xml:space="preserve">(including those on settlement discipline) provided for in the Regulation are yet to be</w:t>
      </w:r>
      <w:r>
        <w:t xml:space="preserve"> </w:t>
      </w:r>
      <w:r>
        <w:t xml:space="preserve">implemented or completed. This has a number of consequences.</w:t>
      </w:r>
      <w:r>
        <w:t xml:space="preserve"> </w:t>
      </w:r>
      <w:r>
        <w:t xml:space="preserve">First, it means that a full evaluation of the effectiveness and efficiency of CSDR in</w:t>
      </w:r>
      <w:r>
        <w:t xml:space="preserve"> </w:t>
      </w:r>
      <w:r>
        <w:t xml:space="preserve">meeting its objectives is not possible.</w:t>
      </w:r>
      <w:r>
        <w:br/>
      </w:r>
      <w:r>
        <w:t xml:space="preserve">Second, there is only a limited amount of quantitative evidence available to carry out the</w:t>
      </w:r>
      <w:r>
        <w:t xml:space="preserve"> </w:t>
      </w:r>
      <w:r>
        <w:t xml:space="preserve">evaluation, as the experience drawn from the applicable requirements only spans a couple</w:t>
      </w:r>
      <w:r>
        <w:t xml:space="preserve"> </w:t>
      </w:r>
      <w:r>
        <w:t xml:space="preserve">of years. In the specific instance of settlement discipline, for example, there is no data</w:t>
      </w:r>
      <w:r>
        <w:t xml:space="preserve"> </w:t>
      </w:r>
      <w:r>
        <w:t xml:space="preserve">available, as the regime is only scheduled to apply from February 2022.</w:t>
      </w:r>
      <w:r>
        <w:t xml:space="preserve"> </w:t>
      </w:r>
      <w:r>
        <w:t xml:space="preserve">Nevertheless, the evaluation draws from the data collected by European public</w:t>
      </w:r>
      <w:r>
        <w:t xml:space="preserve"> </w:t>
      </w:r>
      <w:r>
        <w:t xml:space="preserve">authorities and bodies (i.e. ESMA, ESCB) on the basis of rules which are already in</w:t>
      </w:r>
      <w:r>
        <w:t xml:space="preserve"> </w:t>
      </w:r>
      <w:r>
        <w:t xml:space="preserve">place as well as the responses to the public consultation and contacts and sometimes</w:t>
      </w:r>
      <w:r>
        <w:t xml:space="preserve"> </w:t>
      </w:r>
      <w:r>
        <w:t xml:space="preserve">concerns by external stakeholders. In addition, it is important to highlight that the market</w:t>
      </w:r>
      <w:r>
        <w:t xml:space="preserve"> </w:t>
      </w:r>
      <w:r>
        <w:t xml:space="preserve">for settlement is yet, only a few years after entering into force, still fragmented, with</w:t>
      </w:r>
      <w:r>
        <w:t xml:space="preserve"> </w:t>
      </w:r>
      <w:r>
        <w:t xml:space="preserve">many local specificities in legal, taxation and other administrative areas so that</w:t>
      </w:r>
      <w:r>
        <w:t xml:space="preserve"> </w:t>
      </w:r>
      <w:r>
        <w:t xml:space="preserve">comparisons are highly difficult to make. This entails that in some areas proxies and</w:t>
      </w:r>
      <w:r>
        <w:t xml:space="preserve"> </w:t>
      </w:r>
      <w:r>
        <w:t xml:space="preserve">assumptions have been made.</w:t>
      </w:r>
      <w:r>
        <w:t xml:space="preserve"> </w:t>
      </w:r>
      <w:r>
        <w:t xml:space="preserve">Section 6 Implementation state of play (Results)</w:t>
      </w:r>
      <w:r>
        <w:t xml:space="preserve"> </w:t>
      </w:r>
      <w:r>
        <w:t xml:space="preserve">Overview of requirements in place</w:t>
      </w:r>
      <w:r>
        <w:t xml:space="preserve"> </w:t>
      </w:r>
      <w:r>
        <w:t xml:space="preserve">As mentioned, CSDR has been directly applicable since 17 September 2014. A</w:t>
      </w:r>
      <w:r>
        <w:t xml:space="preserve"> </w:t>
      </w:r>
      <w:r>
        <w:t xml:space="preserve">Regulation was deemed to be the most suitable policy instrument to ensure the</w:t>
      </w:r>
      <w:r>
        <w:t xml:space="preserve"> </w:t>
      </w:r>
      <w:r>
        <w:t xml:space="preserve">application of uniform requirements throughout the EU with exactly the same scope,</w:t>
      </w:r>
      <w:r>
        <w:t xml:space="preserve"> </w:t>
      </w:r>
      <w:r>
        <w:t xml:space="preserve">without any gold-plating and without allowing residual powers to Member States. In</w:t>
      </w:r>
      <w:r>
        <w:t xml:space="preserve"> </w:t>
      </w:r>
      <w:r>
        <w:t xml:space="preserve">addition, CSDR empowered the Commission to adopt delegated acts in accordance with</w:t>
      </w:r>
      <w:r>
        <w:t xml:space="preserve"> </w:t>
      </w:r>
      <w:r>
        <w:t xml:space="preserve">Article 290 TFEU to specifying some requirements and implementing acts in accordance</w:t>
      </w:r>
      <w:r>
        <w:t xml:space="preserve"> </w:t>
      </w:r>
      <w:r>
        <w:t xml:space="preserve">with Article 291 TFEU to ensure the uniform conditions of implementation. CSDR also</w:t>
      </w:r>
      <w:r>
        <w:t xml:space="preserve"> </w:t>
      </w:r>
      <w:r>
        <w:t xml:space="preserve">required ESMA to prepare draft regulatory technical standards and implementing</w:t>
      </w:r>
      <w:r>
        <w:t xml:space="preserve"> </w:t>
      </w:r>
      <w:r>
        <w:t xml:space="preserve">technical standards, to be adopted by the Commission, and carry out appropriate impact</w:t>
      </w:r>
      <w:r>
        <w:t xml:space="preserve"> </w:t>
      </w:r>
      <w:r>
        <w:t xml:space="preserve">assessments pursuant to Regulation (EU) No 1095/2010.</w:t>
      </w:r>
      <w:r>
        <w:t xml:space="preserve"> </w:t>
      </w:r>
      <w:r>
        <w:t xml:space="preserve">This section focuses on the application of those rules that are relevant to achieve CSDR’s</w:t>
      </w:r>
      <w:r>
        <w:t xml:space="preserve"> </w:t>
      </w:r>
      <w:r>
        <w:t xml:space="preserve">objectives to increase safety of the EU settlement market, increase efficiency of the EU</w:t>
      </w:r>
      <w:r>
        <w:t xml:space="preserve"> </w:t>
      </w:r>
      <w:r>
        <w:t xml:space="preserve">settlement market and ensure a level playing field for CSD services.</w:t>
      </w:r>
      <w:r>
        <w:t xml:space="preserve"> </w:t>
      </w:r>
      <w:r>
        <w:t xml:space="preserve">The following key obligations have started to apply with respect to these three objectives:</w:t>
      </w:r>
      <w:r>
        <w:t xml:space="preserve"> </w:t>
      </w:r>
      <w:r>
        <w:t xml:space="preserve"> Increasing efficiency of the EU settlement market: shortening settlement times</w:t>
      </w:r>
      <w:r>
        <w:t xml:space="preserve"> </w:t>
      </w:r>
      <w:r>
        <w:t xml:space="preserve">from T+3 to T+2 and a passporting regime to enable CSDs their services across</w:t>
      </w:r>
      <w:r>
        <w:t xml:space="preserve"> </w:t>
      </w:r>
      <w:r>
        <w:t xml:space="preserve">the EU.</w:t>
      </w:r>
      <w:r>
        <w:t xml:space="preserve"> </w:t>
      </w:r>
      <w:r>
        <w:t xml:space="preserve"> Increasing safety of the EU settlement market: authorisation, organisational,</w:t>
      </w:r>
      <w:r>
        <w:t xml:space="preserve"> </w:t>
      </w:r>
      <w:r>
        <w:t xml:space="preserve">conduct of business and prudential requirements for CSDs, integrity of issue</w:t>
      </w:r>
      <w:r>
        <w:t xml:space="preserve"> </w:t>
      </w:r>
      <w:r>
        <w:t xml:space="preserve">requirements, part of the settlement discipline measures (where CSDs have to</w:t>
      </w:r>
    </w:p>
    <w:p>
      <w:pPr>
        <w:pStyle w:val="BodyText"/>
      </w:pPr>
      <w:r>
        <w:t xml:space="preserve">have internal processes and procedures in place as well as external contractual</w:t>
      </w:r>
      <w:r>
        <w:t xml:space="preserve"> </w:t>
      </w:r>
      <w:r>
        <w:t xml:space="preserve">measures in place to facilitate timely settlement) and a framework for the</w:t>
      </w:r>
      <w:r>
        <w:t xml:space="preserve"> </w:t>
      </w:r>
      <w:r>
        <w:t xml:space="preserve">provision of banking services by CSDs.</w:t>
      </w:r>
      <w:r>
        <w:t xml:space="preserve"> </w:t>
      </w:r>
      <w:r>
        <w:t xml:space="preserve"> Ensuring level playing field for CSD services: a passporting framework, a</w:t>
      </w:r>
      <w:r>
        <w:t xml:space="preserve"> </w:t>
      </w:r>
      <w:r>
        <w:t xml:space="preserve">framework for supervisory cooperation and a framework for third-country CSDs.</w:t>
      </w:r>
      <w:r>
        <w:t xml:space="preserve"> </w:t>
      </w:r>
      <w:r>
        <w:t xml:space="preserve">These rules are in place across EU Member States as well as the European Economic</w:t>
      </w:r>
      <w:r>
        <w:t xml:space="preserve"> </w:t>
      </w:r>
      <w:r>
        <w:t xml:space="preserve">Area (‘EEA’). As with any other EU Regulation, its provisions are directly applicable</w:t>
      </w:r>
      <w:r>
        <w:t xml:space="preserve"> </w:t>
      </w:r>
      <w:r>
        <w:t xml:space="preserve">(i.e. legally binding in all Member States without transposition into national law) as from</w:t>
      </w:r>
      <w:r>
        <w:t xml:space="preserve"> </w:t>
      </w:r>
      <w:r>
        <w:t xml:space="preserve">the day of entry into force.</w:t>
      </w:r>
      <w:r>
        <w:t xml:space="preserve"> </w:t>
      </w:r>
      <w:r>
        <w:t xml:space="preserve">Not all of the requirements of CSDR already apply. Many provisions of CSDR, in</w:t>
      </w:r>
      <w:r>
        <w:t xml:space="preserve"> </w:t>
      </w:r>
      <w:r>
        <w:t xml:space="preserve">particular when taken together with the implementation dates included within the</w:t>
      </w:r>
      <w:r>
        <w:t xml:space="preserve"> </w:t>
      </w:r>
      <w:r>
        <w:t xml:space="preserve">different technical standards, result in a phased-in application of the legal framework.</w:t>
      </w:r>
      <w:r>
        <w:t xml:space="preserve"> </w:t>
      </w:r>
      <w:r>
        <w:t xml:space="preserve">This is notably the case of the reporting, penalties and buy-in requirements of the</w:t>
      </w:r>
      <w:r>
        <w:t xml:space="preserve"> </w:t>
      </w:r>
      <w:r>
        <w:t xml:space="preserve">settlement discipline regime, for which entry into force has been postponed twice. These</w:t>
      </w:r>
      <w:r>
        <w:t xml:space="preserve"> </w:t>
      </w:r>
      <w:r>
        <w:t xml:space="preserve">requirements are currently scheduled to apply from 1 February 2022.</w:t>
      </w:r>
      <w:r>
        <w:t xml:space="preserve"> </w:t>
      </w:r>
      <w:r>
        <w:t xml:space="preserve">These requirements should be considered within the relevant objectives of CSDR.</w:t>
      </w:r>
      <w:r>
        <w:t xml:space="preserve"> </w:t>
      </w:r>
      <w:r>
        <w:t xml:space="preserve">What is the current situation?</w:t>
      </w:r>
      <w:r>
        <w:t xml:space="preserve"> </w:t>
      </w:r>
      <w:r>
        <w:t xml:space="preserve">1. Requirements aimed at increasing efficiency of the EU settlement market</w:t>
      </w:r>
      <w:r>
        <w:t xml:space="preserve"> </w:t>
      </w:r>
      <w:r>
        <w:t xml:space="preserve">An important achievement of the CSDR is that settlement periods are reduced to T+2.</w:t>
      </w:r>
      <w:r>
        <w:t xml:space="preserve"> </w:t>
      </w:r>
      <w:r>
        <w:t xml:space="preserve">The settlement period was harmonised in the EU and set at a maximum of two days after</w:t>
      </w:r>
      <w:r>
        <w:t xml:space="preserve"> </w:t>
      </w:r>
      <w:r>
        <w:t xml:space="preserve">the trading day (T+2). A harmonised settlement period aims to reduce operational</w:t>
      </w:r>
      <w:r>
        <w:t xml:space="preserve"> </w:t>
      </w:r>
      <w:r>
        <w:t xml:space="preserve">inefficiencies and risks for cross-border transactions, while reducing funding costs for</w:t>
      </w:r>
      <w:r>
        <w:t xml:space="preserve"> </w:t>
      </w:r>
      <w:r>
        <w:t xml:space="preserve">investors (i.e. for those that have to deliver cash or securities at T+3 but can only receive</w:t>
      </w:r>
      <w:r>
        <w:t xml:space="preserve"> </w:t>
      </w:r>
      <w:r>
        <w:t xml:space="preserve">them at T+2). Shorter settlement periods has an important advantage of reducing</w:t>
      </w:r>
      <w:r>
        <w:t xml:space="preserve"> </w:t>
      </w:r>
      <w:r>
        <w:t xml:space="preserve">counterparty risk, that is, the period of time during which an investor runs a risk that its</w:t>
      </w:r>
      <w:r>
        <w:t xml:space="preserve"> </w:t>
      </w:r>
      <w:r>
        <w:t xml:space="preserve">counterparty will default on its obligation to deliver cash or securities at the agreed</w:t>
      </w:r>
      <w:r>
        <w:t xml:space="preserve"> </w:t>
      </w:r>
      <w:r>
        <w:t xml:space="preserve">settlement date.</w:t>
      </w:r>
      <w:r>
        <w:t xml:space="preserve"> </w:t>
      </w:r>
      <w:r>
        <w:t xml:space="preserve">A core objective of CSDR was the creation of a single market for CSDs. CSDR creates a</w:t>
      </w:r>
      <w:r>
        <w:t xml:space="preserve"> </w:t>
      </w:r>
      <w:r>
        <w:t xml:space="preserve">passporting regime whereby CSDs may provide their services in the EU without the need</w:t>
      </w:r>
      <w:r>
        <w:t xml:space="preserve"> </w:t>
      </w:r>
      <w:r>
        <w:t xml:space="preserve">for further local authorisation. When a CSD provides its services in a Member State other</w:t>
      </w:r>
      <w:r>
        <w:t xml:space="preserve"> </w:t>
      </w:r>
      <w:r>
        <w:t xml:space="preserve">than where it is established, the competent authority of the home Member State is</w:t>
      </w:r>
      <w:r>
        <w:t xml:space="preserve"> </w:t>
      </w:r>
      <w:r>
        <w:t xml:space="preserve">responsible for the supervision of that CSD. However, the procedure through which a</w:t>
      </w:r>
      <w:r>
        <w:t xml:space="preserve"> </w:t>
      </w:r>
      <w:r>
        <w:t xml:space="preserve">CSD authorised in an EU Member State can provide notary and central maintenance</w:t>
      </w:r>
      <w:r>
        <w:t xml:space="preserve"> </w:t>
      </w:r>
      <w:r>
        <w:t xml:space="preserve">services in relation to financial instruments constituted under the law of another EU</w:t>
      </w:r>
      <w:r>
        <w:t xml:space="preserve"> </w:t>
      </w:r>
      <w:r>
        <w:t xml:space="preserve">Member State or to set up a branch in another Member State is based on the cooperation</w:t>
      </w:r>
      <w:r>
        <w:t xml:space="preserve"> </w:t>
      </w:r>
      <w:r>
        <w:t xml:space="preserve">of the CSD’s home Member State competent authority with the host Member State</w:t>
      </w:r>
      <w:r>
        <w:t xml:space="preserve"> </w:t>
      </w:r>
      <w:r>
        <w:t xml:space="preserve">competent authority. In that case, the home Member State competent authority bears the</w:t>
      </w:r>
      <w:r>
        <w:t xml:space="preserve"> </w:t>
      </w:r>
      <w:r>
        <w:t xml:space="preserve">primary responsibility to determine the adequacy of the administrative structure and the</w:t>
      </w:r>
      <w:r>
        <w:t xml:space="preserve"> </w:t>
      </w:r>
      <w:r>
        <w:t xml:space="preserve">financial situation of the CSD wishing to provide its services in the host Member State.</w:t>
      </w:r>
      <w:r>
        <w:t xml:space="preserve"> </w:t>
      </w:r>
      <w:r>
        <w:t xml:space="preserve">The host Member State competent authority shall however approve a part of the</w:t>
      </w:r>
      <w:r>
        <w:t xml:space="preserve"> </w:t>
      </w:r>
      <w:r>
        <w:t xml:space="preserve">passporting file consisting of the description of the measures that the requesting CSD</w:t>
      </w:r>
      <w:r>
        <w:t xml:space="preserve"> </w:t>
      </w:r>
      <w:r>
        <w:t xml:space="preserve">will implement in order to allow its participants to comply with the relevant provisions of</w:t>
      </w:r>
      <w:r>
        <w:t xml:space="preserve"> </w:t>
      </w:r>
      <w:r>
        <w:t xml:space="preserve">the corporate or similar law of the home Member State.</w:t>
      </w:r>
      <w:r>
        <w:br/>
      </w:r>
      <w:r>
        <w:t xml:space="preserve">Despite the fact that most of the applying CSDs have been able to obtain a “passport” to</w:t>
      </w:r>
      <w:r>
        <w:t xml:space="preserve"> </w:t>
      </w:r>
      <w:r>
        <w:t xml:space="preserve">offer notary and central maintenance services in one or several other Member States,</w:t>
      </w:r>
      <w:r>
        <w:t xml:space="preserve"> </w:t>
      </w:r>
      <w:r>
        <w:t xml:space="preserve">anecdotal information from stakeholders has indicated that this process has been</w:t>
      </w:r>
      <w:r>
        <w:t xml:space="preserve"> </w:t>
      </w:r>
      <w:r>
        <w:t xml:space="preserve">significantly more burdensome than previously thought. The majority of CSDs</w:t>
      </w:r>
    </w:p>
    <w:p>
      <w:pPr>
        <w:pStyle w:val="BodyText"/>
      </w:pPr>
      <w:r>
        <w:t xml:space="preserve">considered that the passporting process has not prevented CSDs from offering issuer</w:t>
      </w:r>
      <w:r>
        <w:t xml:space="preserve"> </w:t>
      </w:r>
      <w:r>
        <w:t xml:space="preserve">CSD services for securities constituted under the laws of another Member State as such,</w:t>
      </w:r>
      <w:r>
        <w:t xml:space="preserve"> </w:t>
      </w:r>
      <w:r>
        <w:t xml:space="preserve">but has slowed down their ambitions. Certain CSDs noted that they had to withdraw</w:t>
      </w:r>
      <w:r>
        <w:t xml:space="preserve"> </w:t>
      </w:r>
      <w:r>
        <w:t xml:space="preserve">some passport requests due to, what they perceived to be national constraints, e.g. </w:t>
      </w:r>
      <w:r>
        <w:t xml:space="preserve"> </w:t>
      </w:r>
      <w:r>
        <w:t xml:space="preserve">compliance with the direct individual segregation model applicable under national law.311</w:t>
      </w:r>
      <w:r>
        <w:t xml:space="preserve"> </w:t>
      </w:r>
      <w:r>
        <w:t xml:space="preserve">Finally, CSDR introduced rules on settlement discipline to prevent and address failures in</w:t>
      </w:r>
      <w:r>
        <w:t xml:space="preserve"> </w:t>
      </w:r>
      <w:r>
        <w:t xml:space="preserve">the settlement of securities transactions and therefore ensure the efficiency of transaction</w:t>
      </w:r>
      <w:r>
        <w:t xml:space="preserve"> </w:t>
      </w:r>
      <w:r>
        <w:t xml:space="preserve">settlement. The two main elements of the settlement discipline regime are cash penalties</w:t>
      </w:r>
      <w:r>
        <w:t xml:space="preserve"> </w:t>
      </w:r>
      <w:r>
        <w:t xml:space="preserve">and mandatory buy-ins. All CSDs would be required to impose cash penalties on their</w:t>
      </w:r>
      <w:r>
        <w:t xml:space="preserve"> </w:t>
      </w:r>
      <w:r>
        <w:t xml:space="preserve">participants in case of settlement fails. If despite the cash penalties, a CSD participant</w:t>
      </w:r>
      <w:r>
        <w:t xml:space="preserve"> </w:t>
      </w:r>
      <w:r>
        <w:t xml:space="preserve">(original seller) would fail to deliver the securities it would be subject to a mandatory</w:t>
      </w:r>
      <w:r>
        <w:t xml:space="preserve"> </w:t>
      </w:r>
      <w:r>
        <w:t xml:space="preserve">buy-in. A buy-in provides the buyer of securities with the right to buy the securities</w:t>
      </w:r>
      <w:r>
        <w:t xml:space="preserve"> </w:t>
      </w:r>
      <w:r>
        <w:t xml:space="preserve">elsewhere, cancel the original transaction and put the costs of the buy-in, as well as any</w:t>
      </w:r>
      <w:r>
        <w:t xml:space="preserve"> </w:t>
      </w:r>
      <w:r>
        <w:t xml:space="preserve">price difference, with the original seller. The settlement discipline regime also imposes</w:t>
      </w:r>
      <w:r>
        <w:t xml:space="preserve"> </w:t>
      </w:r>
      <w:r>
        <w:t xml:space="preserve">requirements on the reporting of settlement fails by the CSDs.</w:t>
      </w:r>
      <w:r>
        <w:t xml:space="preserve"> </w:t>
      </w:r>
      <w:r>
        <w:t xml:space="preserve">Since 2017, ESMA has frequently updated its CSDR Q&amp;A’s on settlement discipline</w:t>
      </w:r>
      <w:r>
        <w:t xml:space="preserve"> </w:t>
      </w:r>
      <w:r>
        <w:t xml:space="preserve">regime, with currently 7 Q&amp;A’s related to settlement discipline.312 More than 25 Q&amp;As</w:t>
      </w:r>
      <w:r>
        <w:t xml:space="preserve"> </w:t>
      </w:r>
      <w:r>
        <w:t xml:space="preserve">on settlement discipline are however being assessed at this point in time.</w:t>
      </w:r>
      <w:r>
        <w:t xml:space="preserve"> </w:t>
      </w:r>
      <w:r>
        <w:t xml:space="preserve">The settlement discipline regime was due to enter into force on 13 December 2020 but</w:t>
      </w:r>
      <w:r>
        <w:t xml:space="preserve"> </w:t>
      </w:r>
      <w:r>
        <w:t xml:space="preserve">was postponed twice: (1) to 1 February 2020 (this short delay, based on a proposal by</w:t>
      </w:r>
      <w:r>
        <w:t xml:space="preserve"> </w:t>
      </w:r>
      <w:r>
        <w:t xml:space="preserve">ESMA, was considered necessary to take into account the additional time needed for the</w:t>
      </w:r>
      <w:r>
        <w:t xml:space="preserve"> </w:t>
      </w:r>
      <w:r>
        <w:t xml:space="preserve">establishment of some essential features for the functioning of the new framework); (2)</w:t>
      </w:r>
      <w:r>
        <w:t xml:space="preserve"> </w:t>
      </w:r>
      <w:r>
        <w:t xml:space="preserve">due to the impact of the Covid-19 pandemic, ESMA313 decided to propose postponing</w:t>
      </w:r>
      <w:r>
        <w:t xml:space="preserve"> </w:t>
      </w:r>
      <w:r>
        <w:t xml:space="preserve">the date of entry into force of a CSDR Regulatory Technical Standards (RTS) on</w:t>
      </w:r>
      <w:r>
        <w:t xml:space="preserve"> </w:t>
      </w:r>
      <w:r>
        <w:t xml:space="preserve">settlement discipline314 until 1 February 2022.</w:t>
      </w:r>
      <w:r>
        <w:t xml:space="preserve"> </w:t>
      </w:r>
      <w:r>
        <w:t xml:space="preserve">Despite the absence of experience in applying the rules, the development and</w:t>
      </w:r>
      <w:r>
        <w:t xml:space="preserve"> </w:t>
      </w:r>
      <w:r>
        <w:t xml:space="preserve">specification of the framework in the relevant regulatory technical standard has allowed</w:t>
      </w:r>
      <w:r>
        <w:t xml:space="preserve"> </w:t>
      </w:r>
      <w:r>
        <w:t xml:space="preserve">all interested parties to better understand the regime and the challenges its application</w:t>
      </w:r>
      <w:r>
        <w:t xml:space="preserve"> </w:t>
      </w:r>
      <w:r>
        <w:t xml:space="preserve">could give rise to, especially at times of crisis, e.g. such as the COVID-19 crisis in spring</w:t>
      </w:r>
      <w:r>
        <w:t xml:space="preserve"> </w:t>
      </w:r>
      <w:r>
        <w:t xml:space="preserve">2020.</w:t>
      </w:r>
      <w:r>
        <w:t xml:space="preserve"> </w:t>
      </w:r>
      <w:r>
        <w:t xml:space="preserve">Despite the lack of complete data in this respect due to lack of mandatory reporting, it</w:t>
      </w:r>
      <w:r>
        <w:t xml:space="preserve"> </w:t>
      </w:r>
      <w:r>
        <w:t xml:space="preserve">seems that settlement fails rates have remained stable in the EU since 2018 (approx. 6%</w:t>
      </w:r>
      <w:r>
        <w:t xml:space="preserve"> </w:t>
      </w:r>
      <w:r>
        <w:t xml:space="preserve">for equities and 3% for bonds315) in a context of the dramatic increase in trading</w:t>
      </w:r>
      <w:r>
        <w:t xml:space="preserve"> </w:t>
      </w:r>
      <w:r>
        <w:t xml:space="preserve">(settlement instructions increased by 30% between 2015 – 2019 in EU CSDs316), but still</w:t>
      </w:r>
      <w:r>
        <w:t xml:space="preserve"> </w:t>
      </w:r>
      <w:r>
        <w:t xml:space="preserve">remain higher than other jurisdictions (in particular, higher than in the US where roughly</w:t>
      </w:r>
      <w:r>
        <w:t xml:space="preserve"> </w:t>
      </w:r>
      <w:r>
        <w:t xml:space="preserve">2% of all US treasuries and mortgage backed securities transactions fail317). The</w:t>
      </w:r>
    </w:p>
    <w:p>
      <w:pPr>
        <w:pStyle w:val="BodyText"/>
      </w:pPr>
      <w:r>
        <w:t xml:space="preserve">311 Feedback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br/>
      </w:r>
      <w:r>
        <w:t xml:space="preserve">https://ec.europa.eu/info/consultations/finance-2020-csdr-review_en</w:t>
      </w:r>
      <w:r>
        <w:br/>
      </w:r>
      <w:r>
        <w:t xml:space="preserve">312 CSDR Q&amp;As (see note 164).</w:t>
      </w:r>
      <w:r>
        <w:t xml:space="preserve"> </w:t>
      </w:r>
      <w:r>
        <w:t xml:space="preserve">313 ESMA</w:t>
      </w:r>
      <w:r>
        <w:t xml:space="preserve"> </w:t>
      </w:r>
      <w:r>
        <w:t xml:space="preserve">proposes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postpone</w:t>
      </w:r>
      <w:r>
        <w:t xml:space="preserve"> </w:t>
      </w:r>
      <w:r>
        <w:t xml:space="preserve">CSDR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</w:t>
      </w:r>
      <w:r>
        <w:t xml:space="preserve"> </w:t>
      </w:r>
      <w:r>
        <w:t xml:space="preserve">(europa.eu):</w:t>
      </w:r>
      <w:r>
        <w:t xml:space="preserve"> </w:t>
      </w:r>
      <w:r>
        <w:t xml:space="preserve">https://www.esma.europa.eu/press-news/esma-news/esma-proposes-further-postpone-csdr-settlement-</w:t>
      </w:r>
      <w:r>
        <w:t xml:space="preserve"> </w:t>
      </w:r>
      <w:r>
        <w:t xml:space="preserve">discipline.</w:t>
      </w:r>
      <w:r>
        <w:t xml:space="preserve"> </w:t>
      </w:r>
      <w:r>
        <w:t xml:space="preserve">314 RTS on settlement discipline.</w:t>
      </w:r>
      <w:r>
        <w:t xml:space="preserve"> </w:t>
      </w:r>
      <w:r>
        <w:t xml:space="preserve">315 “ESMA Report on trends, risks and vulnerabilities”, European Securities and Markets Authority, ESMA-</w:t>
      </w:r>
      <w:r>
        <w:t xml:space="preserve"> </w:t>
      </w:r>
      <w:r>
        <w:t xml:space="preserve">50-165-1287, No. 2, 2 September 2020.</w:t>
      </w:r>
      <w:r>
        <w:t xml:space="preserve"> </w:t>
      </w:r>
      <w:r>
        <w:t xml:space="preserve">316 Data generated through the Securities Trading, Clearing and Settlement Statistics Database, European</w:t>
      </w:r>
      <w:r>
        <w:t xml:space="preserve"> </w:t>
      </w:r>
      <w:r>
        <w:t xml:space="preserve">Central</w:t>
      </w:r>
      <w:r>
        <w:t xml:space="preserve"> </w:t>
      </w:r>
      <w:r>
        <w:t xml:space="preserve">Bank.</w:t>
      </w:r>
      <w:r>
        <w:t xml:space="preserve"> </w:t>
      </w:r>
      <w:r>
        <w:t xml:space="preserve">Accessed</w:t>
      </w:r>
      <w:r>
        <w:t xml:space="preserve"> </w:t>
      </w:r>
      <w:r>
        <w:t xml:space="preserve">on</w:t>
      </w:r>
      <w:r>
        <w:t xml:space="preserve"> </w:t>
      </w:r>
      <w:r>
        <w:t xml:space="preserve">29</w:t>
      </w:r>
      <w:r>
        <w:t xml:space="preserve"> </w:t>
      </w:r>
      <w:r>
        <w:t xml:space="preserve">April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https://sdw.ecb.europa.eu/browse.do?node=9691131.</w:t>
      </w:r>
      <w:r>
        <w:t xml:space="preserve"> </w:t>
      </w:r>
      <w:r>
        <w:t xml:space="preserve">317 K. Burne, ‘How to succeed in fixing settlement fails’, Aerial View, Bank of New York Mellon, 2020.</w:t>
      </w:r>
    </w:p>
    <w:p>
      <w:pPr>
        <w:pStyle w:val="BodyText"/>
      </w:pPr>
      <w:r>
        <w:t xml:space="preserve">forthcoming entry into force of the settlement discipline regime is expected to further</w:t>
      </w:r>
      <w:r>
        <w:t xml:space="preserve"> </w:t>
      </w:r>
      <w:r>
        <w:t xml:space="preserve">improve such rates. But it is yet to be determined what the exact impact of each</w:t>
      </w:r>
      <w:r>
        <w:t xml:space="preserve"> </w:t>
      </w:r>
      <w:r>
        <w:t xml:space="preserve">requirement of this regime (i.e. reporting, penalties and buy-in requirements) will be.</w:t>
      </w:r>
      <w:r>
        <w:t xml:space="preserve"> </w:t>
      </w:r>
      <w:r>
        <w:t xml:space="preserve">2. Requirements aimed at increasing safety of the EU settlement market</w:t>
      </w:r>
      <w:r>
        <w:t xml:space="preserve"> </w:t>
      </w:r>
      <w:r>
        <w:t xml:space="preserve">CSDs are subject to authorisation by the competent authorities of their home Member</w:t>
      </w:r>
      <w:r>
        <w:t xml:space="preserve"> </w:t>
      </w:r>
      <w:r>
        <w:t xml:space="preserve">Sate which examine how CSDs operate on a daily basis, carry out regular reviews and</w:t>
      </w:r>
      <w:r>
        <w:t xml:space="preserve"> </w:t>
      </w:r>
      <w:r>
        <w:t xml:space="preserve">take appropriate action when necessary. Under Articles 16 and 54 of CSDR, CSDs should</w:t>
      </w:r>
      <w:r>
        <w:t xml:space="preserve"> </w:t>
      </w:r>
      <w:r>
        <w:t xml:space="preserve">obtain an authorisation to provide core CSD services as well as non-banking and</w:t>
      </w:r>
      <w:r>
        <w:t xml:space="preserve"> </w:t>
      </w:r>
      <w:r>
        <w:t xml:space="preserve">banking-type ancillary services. Article 69(4) however allows CSDs authorised under</w:t>
      </w:r>
      <w:r>
        <w:t xml:space="preserve"> </w:t>
      </w:r>
      <w:r>
        <w:t xml:space="preserve">national law before the adoption of CSDR to continue operating under such national law</w:t>
      </w:r>
      <w:r>
        <w:t xml:space="preserve"> </w:t>
      </w:r>
      <w:r>
        <w:t xml:space="preserve">until they have been authorised under the new CSDR rules (the “grandfathering clause”).</w:t>
      </w:r>
      <w:r>
        <w:t xml:space="preserve"> </w:t>
      </w:r>
      <w:r>
        <w:t xml:space="preserve">Feedback received from respondents to the public consultation show that the</w:t>
      </w:r>
      <w:r>
        <w:t xml:space="preserve"> </w:t>
      </w:r>
      <w:r>
        <w:t xml:space="preserve">authorisation procedure has been widely regarded as lengthy (sometimes up to 2 years,</w:t>
      </w:r>
      <w:r>
        <w:t xml:space="preserve"> </w:t>
      </w:r>
      <w:r>
        <w:t xml:space="preserve">although broadly about 6 months from the date that the application is complete)318 and</w:t>
      </w:r>
      <w:r>
        <w:t xml:space="preserve"> </w:t>
      </w:r>
      <w:r>
        <w:t xml:space="preserve">burdensome by CSDs. As of 31 July 2021, out of 28 EEA CSDs that are subject to</w:t>
      </w:r>
      <w:r>
        <w:t xml:space="preserve"> </w:t>
      </w:r>
      <w:r>
        <w:t xml:space="preserve">authorisation requirements under CSDR, two have not been authorised under CSDR, and</w:t>
      </w:r>
      <w:r>
        <w:t xml:space="preserve"> </w:t>
      </w:r>
      <w:r>
        <w:t xml:space="preserve">still relying on the grandfathering clause.319</w:t>
      </w:r>
      <w:r>
        <w:t xml:space="preserve"> </w:t>
      </w:r>
      <w:r>
        <w:t xml:space="preserve">Once a CSD has been authorised, CSDR requires NCAs to review its compliance with</w:t>
      </w:r>
      <w:r>
        <w:t xml:space="preserve"> </w:t>
      </w:r>
      <w:r>
        <w:t xml:space="preserve">CSDR and to evaluate the risks to which the CSD is or might be exposed, as well as the</w:t>
      </w:r>
      <w:r>
        <w:t xml:space="preserve"> </w:t>
      </w:r>
      <w:r>
        <w:t xml:space="preserve">risks it might create. This must be carried out at least annually, with the NCA’s</w:t>
      </w:r>
      <w:r>
        <w:t xml:space="preserve"> </w:t>
      </w:r>
      <w:r>
        <w:t xml:space="preserve">determining the specific depth and frequency of the review and evaluation taking into</w:t>
      </w:r>
      <w:r>
        <w:t xml:space="preserve"> </w:t>
      </w:r>
      <w:r>
        <w:t xml:space="preserve">consideration the size, nature and systemic importance of the CSD under supervision.</w:t>
      </w:r>
      <w:r>
        <w:t xml:space="preserve"> </w:t>
      </w:r>
      <w:r>
        <w:t xml:space="preserve">The experience in this respect shows that this exercise may be redundant from one year</w:t>
      </w:r>
      <w:r>
        <w:t xml:space="preserve"> </w:t>
      </w:r>
      <w:r>
        <w:t xml:space="preserve">to the other, depending on the CSD at stake. The majority of key stakeholders (i.e. </w:t>
      </w:r>
      <w:r>
        <w:t xml:space="preserve"> </w:t>
      </w:r>
      <w:r>
        <w:t xml:space="preserve">national competent authorities and CSDs) considered this exercise to be too burdensome</w:t>
      </w:r>
      <w:r>
        <w:t xml:space="preserve"> </w:t>
      </w:r>
      <w:r>
        <w:t xml:space="preserve">to be carried out on an annual basis unless justified by the risk profile of the CSD. Thus,</w:t>
      </w:r>
      <w:r>
        <w:t xml:space="preserve"> </w:t>
      </w:r>
      <w:r>
        <w:t xml:space="preserve">most respondents to the public consultation considered that the frequency of the annual</w:t>
      </w:r>
      <w:r>
        <w:t xml:space="preserve"> </w:t>
      </w:r>
      <w:r>
        <w:t xml:space="preserve">review process should be amended in order to allow for more flexibility in this respect.</w:t>
      </w:r>
      <w:r>
        <w:t xml:space="preserve"> </w:t>
      </w:r>
      <w:r>
        <w:t xml:space="preserve">CSDR also sets organisational rules for CSDs including notably: governance, record</w:t>
      </w:r>
      <w:r>
        <w:t xml:space="preserve"> </w:t>
      </w:r>
      <w:r>
        <w:t xml:space="preserve">keeping and outsourcing rules; conduct of business rules in the relations between CSDs</w:t>
      </w:r>
      <w:r>
        <w:t xml:space="preserve"> </w:t>
      </w:r>
      <w:r>
        <w:t xml:space="preserve">and their users, including transparency requirements and communication procedures with</w:t>
      </w:r>
      <w:r>
        <w:t xml:space="preserve"> </w:t>
      </w:r>
      <w:r>
        <w:t xml:space="preserve">participants; rules regarding the provision of services by CSDs in order to ensure the</w:t>
      </w:r>
      <w:r>
        <w:t xml:space="preserve"> </w:t>
      </w:r>
      <w:r>
        <w:t xml:space="preserve">integrity of securities issues, protection of securities of participants and those of their</w:t>
      </w:r>
      <w:r>
        <w:t xml:space="preserve"> </w:t>
      </w:r>
      <w:r>
        <w:t xml:space="preserve">clients, protection of the settlement finality and cash settlement and protection against a</w:t>
      </w:r>
      <w:r>
        <w:t xml:space="preserve"> </w:t>
      </w:r>
      <w:r>
        <w:t xml:space="preserve">participant’s default; and capital requirements and prudential requirements covering legal,</w:t>
      </w:r>
      <w:r>
        <w:t xml:space="preserve"> </w:t>
      </w:r>
      <w:r>
        <w:t xml:space="preserve">general business, operational and investment risks.</w:t>
      </w:r>
      <w:r>
        <w:t xml:space="preserve"> </w:t>
      </w:r>
      <w:r>
        <w:t xml:space="preserve">Today, all these organisational rules have entered into force and are implemented by the</w:t>
      </w:r>
      <w:r>
        <w:t xml:space="preserve"> </w:t>
      </w:r>
      <w:r>
        <w:t xml:space="preserve">key stakeholders, in particular the CSDs. These requirements did not raise concerns from</w:t>
      </w:r>
      <w:r>
        <w:t xml:space="preserve"> </w:t>
      </w:r>
      <w:r>
        <w:t xml:space="preserve">key stakeholders in the answers to the public consultation. As regards the integrity of the</w:t>
      </w:r>
      <w:r>
        <w:t xml:space="preserve"> </w:t>
      </w:r>
      <w:r>
        <w:t xml:space="preserve">issue, it should only be noted that in May 2020 T2S faced an operational incident which</w:t>
      </w:r>
      <w:r>
        <w:t xml:space="preserve"> </w:t>
      </w:r>
      <w:r>
        <w:t xml:space="preserve">led to 1 835 securities positions and 22 cash balances ending up with negative</w:t>
      </w:r>
      <w:r>
        <w:t xml:space="preserve"> </w:t>
      </w:r>
      <w:r>
        <w:t xml:space="preserve">balances320. This incident was solved within two days but raised some questions</w:t>
      </w:r>
      <w:r>
        <w:t xml:space="preserve"> </w:t>
      </w:r>
      <w:r>
        <w:t xml:space="preserve">regarding the interpretation of some CSDR level 2 provisions regarding the suspension of</w:t>
      </w:r>
    </w:p>
    <w:p>
      <w:pPr>
        <w:pStyle w:val="BodyText"/>
      </w:pPr>
      <w:r>
        <w:t xml:space="preserve">318 https://ec.europa.eu/info/consultations/finance-2020-csdr-review_en.</w:t>
      </w:r>
      <w:r>
        <w:t xml:space="preserve"> </w:t>
      </w:r>
      <w:r>
        <w:t xml:space="preserve">319 ESMA data provided to the Commission.</w:t>
      </w:r>
      <w:r>
        <w:br/>
      </w:r>
      <w:r>
        <w:t xml:space="preserve">320 TARGET2-Securities Annual Report 2020 (europa.eu).</w:t>
      </w:r>
    </w:p>
    <w:p>
      <w:pPr>
        <w:pStyle w:val="BodyText"/>
      </w:pPr>
      <w:r>
        <w:t xml:space="preserve">a securities issue from settlement until the problem is solved.</w:t>
      </w:r>
      <w:r>
        <w:t xml:space="preserve"> </w:t>
      </w:r>
      <w:r>
        <w:t xml:space="preserve">CSDR also introduced a regime for the provision of banking-type ancillary services by</w:t>
      </w:r>
      <w:r>
        <w:t xml:space="preserve"> </w:t>
      </w:r>
      <w:r>
        <w:t xml:space="preserve">CSDs. By preference, and in order to avoid settlement risks due to the insolvency of the</w:t>
      </w:r>
      <w:r>
        <w:t xml:space="preserve"> </w:t>
      </w:r>
      <w:r>
        <w:t xml:space="preserve">settlement agent, a CSD should settle, whenever practical and available, the cash leg of</w:t>
      </w:r>
      <w:r>
        <w:t xml:space="preserve"> </w:t>
      </w:r>
      <w:r>
        <w:t xml:space="preserve">the securities transaction through accounts opened with a central bank. If this option is</w:t>
      </w:r>
      <w:r>
        <w:t xml:space="preserve"> </w:t>
      </w:r>
      <w:r>
        <w:t xml:space="preserve">not practical and available, CSDR provides two other possibilities, both subject to</w:t>
      </w:r>
      <w:r>
        <w:t xml:space="preserve"> </w:t>
      </w:r>
      <w:r>
        <w:t xml:space="preserve">conditions and requirements: to settle through accounts opened with a credit institution</w:t>
      </w:r>
      <w:r>
        <w:t xml:space="preserve"> </w:t>
      </w:r>
      <w:r>
        <w:t xml:space="preserve">and to provide banking services ancillary to settlement directly.</w:t>
      </w:r>
      <w:r>
        <w:t xml:space="preserve"> </w:t>
      </w:r>
      <w:r>
        <w:t xml:space="preserve">CSDs offering settlement in commercial bank money as an ancillary service must comply</w:t>
      </w:r>
      <w:r>
        <w:t xml:space="preserve"> </w:t>
      </w:r>
      <w:r>
        <w:t xml:space="preserve">with additional requirements to mitigate mainly credit and liquidity risks for the CSD and</w:t>
      </w:r>
      <w:r>
        <w:t xml:space="preserve"> </w:t>
      </w:r>
      <w:r>
        <w:t xml:space="preserve">its participants,321 e.g. CSDs have to be authorised as a credit institution under the</w:t>
      </w:r>
      <w:r>
        <w:t xml:space="preserve"> </w:t>
      </w:r>
      <w:r>
        <w:t xml:space="preserve">applicable banking legislation and comply with the regulatory capital requirements set in</w:t>
      </w:r>
      <w:r>
        <w:t xml:space="preserve"> </w:t>
      </w:r>
      <w:r>
        <w:t xml:space="preserve">the Capital Requirements Regulation. Today, only 5 out of the 28 CSDs in the EEA have</w:t>
      </w:r>
      <w:r>
        <w:t xml:space="preserve"> </w:t>
      </w:r>
      <w:r>
        <w:t xml:space="preserve">applied to provide banking services under CSDR (of which 5 have been already</w:t>
      </w:r>
      <w:r>
        <w:t xml:space="preserve"> </w:t>
      </w:r>
      <w:r>
        <w:t xml:space="preserve">authorised), and all of them provided these services pre-CSDR and no new providers</w:t>
      </w:r>
      <w:r>
        <w:t xml:space="preserve"> </w:t>
      </w:r>
      <w:r>
        <w:t xml:space="preserve">have entered the market.322</w:t>
      </w:r>
      <w:r>
        <w:t xml:space="preserve"> </w:t>
      </w:r>
      <w:r>
        <w:t xml:space="preserve">CSDs offering settlement through a credit institution and above certain thresholds (i.e. </w:t>
      </w:r>
      <w:r>
        <w:t xml:space="preserve"> </w:t>
      </w:r>
      <w:r>
        <w:t xml:space="preserve">the total value of cash settlement must be less than 1% of the total value of all securities</w:t>
      </w:r>
      <w:r>
        <w:t xml:space="preserve"> </w:t>
      </w:r>
      <w:r>
        <w:t xml:space="preserve">transactions against cash settled in the books of the CSD and shall not exceed a</w:t>
      </w:r>
      <w:r>
        <w:t xml:space="preserve"> </w:t>
      </w:r>
      <w:r>
        <w:t xml:space="preserve">maximum of EUR 2.5 billion per year) shall ensure that such credit institution is a</w:t>
      </w:r>
      <w:r>
        <w:t xml:space="preserve"> </w:t>
      </w:r>
      <w:r>
        <w:t xml:space="preserve">limited-licence bank that provides services only to CSDs and that complies with</w:t>
      </w:r>
      <w:r>
        <w:t xml:space="preserve"> </w:t>
      </w:r>
      <w:r>
        <w:t xml:space="preserve">additional requirements to mitigate the risks. However, no such designated credit</w:t>
      </w:r>
      <w:r>
        <w:t xml:space="preserve"> </w:t>
      </w:r>
      <w:r>
        <w:t xml:space="preserve">institutions exists to date.323 As such, CSDs cannot make use of this option to settle in</w:t>
      </w:r>
      <w:r>
        <w:t xml:space="preserve"> </w:t>
      </w:r>
      <w:r>
        <w:t xml:space="preserve">commercial bank money.</w:t>
      </w:r>
      <w:r>
        <w:t xml:space="preserve"> </w:t>
      </w:r>
      <w:r>
        <w:t xml:space="preserve">CSDs settling in commercial bank money below the abovementioned thresholds do not</w:t>
      </w:r>
      <w:r>
        <w:t xml:space="preserve"> </w:t>
      </w:r>
      <w:r>
        <w:t xml:space="preserve">have to comply with all the credit and liquidity requirements (i.e. they can use a normal</w:t>
      </w:r>
      <w:r>
        <w:t xml:space="preserve"> </w:t>
      </w:r>
      <w:r>
        <w:t xml:space="preserve">commercial bank or can perform the services themselves).</w:t>
      </w:r>
      <w:r>
        <w:t xml:space="preserve"> </w:t>
      </w:r>
      <w:r>
        <w:t xml:space="preserve">From the public consultation and in contacts with stakeholders, it has become clear, that</w:t>
      </w:r>
      <w:r>
        <w:t xml:space="preserve"> </w:t>
      </w:r>
      <w:r>
        <w:t xml:space="preserve">the settlement in commercial bank money in foreign currencies is limited and has not</w:t>
      </w:r>
      <w:r>
        <w:t xml:space="preserve"> </w:t>
      </w:r>
      <w:r>
        <w:t xml:space="preserve">grown substantially since the introduction of CSDR. Although the safety of the</w:t>
      </w:r>
      <w:r>
        <w:t xml:space="preserve"> </w:t>
      </w:r>
      <w:r>
        <w:t xml:space="preserve">settlement markets is an important objective, from the perspective of the objective to</w:t>
      </w:r>
      <w:r>
        <w:t xml:space="preserve"> </w:t>
      </w:r>
      <w:r>
        <w:t xml:space="preserve">enhance cross-border transactions and the improvement of efficiency of settlement</w:t>
      </w:r>
      <w:r>
        <w:t xml:space="preserve"> </w:t>
      </w:r>
      <w:r>
        <w:t xml:space="preserve">markets this is sub-optimal and the constraints appear disproportionate. First, designated</w:t>
      </w:r>
      <w:r>
        <w:t xml:space="preserve"> </w:t>
      </w:r>
      <w:r>
        <w:t xml:space="preserve">credit institutions do not exist (yet). The fact that it can only service CSDs, thus have a</w:t>
      </w:r>
      <w:r>
        <w:t xml:space="preserve"> </w:t>
      </w:r>
      <w:r>
        <w:t xml:space="preserve">very limited business role, is assumed to have prevented market players from establishing</w:t>
      </w:r>
      <w:r>
        <w:t xml:space="preserve"> </w:t>
      </w:r>
      <w:r>
        <w:t xml:space="preserve">such an institution. Second, the thresholds under which CSDs can use a commercial bank</w:t>
      </w:r>
      <w:r>
        <w:t xml:space="preserve"> </w:t>
      </w:r>
      <w:r>
        <w:t xml:space="preserve">to settle in commercial bank money are deemed too low by many stakeholders to develop</w:t>
      </w:r>
      <w:r>
        <w:t xml:space="preserve"> </w:t>
      </w:r>
      <w:r>
        <w:t xml:space="preserve">foreign currency settlement services. As an example, for smaller CSDs with lower</w:t>
      </w:r>
      <w:r>
        <w:t xml:space="preserve"> </w:t>
      </w:r>
      <w:r>
        <w:t xml:space="preserve">turnover ratio324, e.g. 11, the current threshold of EUR 2.5 billion settlement per year</w:t>
      </w:r>
    </w:p>
    <w:p>
      <w:pPr>
        <w:pStyle w:val="BodyText"/>
      </w:pPr>
      <w:r>
        <w:t xml:space="preserve">321 Credit risk is the risk an institution faces when lending to borrowers that cannot meet their obligations.</w:t>
      </w:r>
      <w:r>
        <w:t xml:space="preserve"> </w:t>
      </w:r>
      <w:r>
        <w:t xml:space="preserve">Liquidity risk refers to the inability of an institution to meet its own financial obligations.</w:t>
      </w:r>
      <w:r>
        <w:t xml:space="preserve"> </w:t>
      </w:r>
      <w:r>
        <w:t xml:space="preserve">322 ESMA CSD Register (see note 26)</w:t>
      </w:r>
      <w:r>
        <w:t xml:space="preserve"> </w:t>
      </w:r>
      <w:r>
        <w:t xml:space="preserve">323 ESMA Report ‘Provision of banking-type ancillary services under CSDR’ (see note 88).</w:t>
      </w:r>
      <w:r>
        <w:br/>
      </w:r>
      <w:r>
        <w:t xml:space="preserve">324 The asset turnover ratio measures the value of a company’s sales or revenues relative to the value of its</w:t>
      </w:r>
      <w:r>
        <w:t xml:space="preserve"> </w:t>
      </w:r>
      <w:r>
        <w:t xml:space="preserve">assets. The asset turnover ratio can be used as an indicator of the efficiency with which a company is using</w:t>
      </w:r>
      <w:r>
        <w:t xml:space="preserve"> </w:t>
      </w:r>
      <w:r>
        <w:t xml:space="preserve">its assets to generate revenue. The higher the asset turnover ratio, the more efficient a company is at</w:t>
      </w:r>
      <w:r>
        <w:t xml:space="preserve"> </w:t>
      </w:r>
      <w:r>
        <w:t xml:space="preserve">generating revenue from its assets. Conversely, if a company has a low asset turnover ratio, it indicates it is</w:t>
      </w:r>
      <w:r>
        <w:t xml:space="preserve"> </w:t>
      </w:r>
      <w:r>
        <w:t xml:space="preserve">not efficiently using its assets to generate sales..</w:t>
      </w:r>
    </w:p>
    <w:p>
      <w:pPr>
        <w:pStyle w:val="BodyText"/>
      </w:pPr>
      <w:r>
        <w:t xml:space="preserve">would be reached with issuance corresponding to EUR 229 million – less than half the</w:t>
      </w:r>
      <w:r>
        <w:t xml:space="preserve"> </w:t>
      </w:r>
      <w:r>
        <w:t xml:space="preserve">size of a regular bond issue, leaving no possibility to offer issuance to others in the same</w:t>
      </w:r>
      <w:r>
        <w:t xml:space="preserve"> </w:t>
      </w:r>
      <w:r>
        <w:t xml:space="preserve">or other currencies in commercial bank money. In a recent confidential survey, a majority</w:t>
      </w:r>
      <w:r>
        <w:t xml:space="preserve"> </w:t>
      </w:r>
      <w:r>
        <w:t xml:space="preserve">of respondents indicated that an increase in the threshold in Article 54(5) would satisfy</w:t>
      </w:r>
      <w:r>
        <w:t xml:space="preserve"> </w:t>
      </w:r>
      <w:r>
        <w:t xml:space="preserve">the CSDs’ needs for the intended business of settlement in foreign currencies325.</w:t>
      </w:r>
      <w:r>
        <w:br/>
      </w:r>
      <w:r>
        <w:t xml:space="preserve">3. Requirements aimed at ensuring a level playing field for CSD services</w:t>
      </w:r>
      <w:r>
        <w:t xml:space="preserve"> </w:t>
      </w:r>
      <w:r>
        <w:t xml:space="preserve">CSDR includes provisions that aim to ensure a level playing field for CSD services both</w:t>
      </w:r>
      <w:r>
        <w:t xml:space="preserve"> </w:t>
      </w:r>
      <w:r>
        <w:t xml:space="preserve">at EU and international level.</w:t>
      </w:r>
      <w:r>
        <w:t xml:space="preserve"> </w:t>
      </w:r>
      <w:r>
        <w:t xml:space="preserve">Within the EU, CSDR introduced two sets of rules in this respect: a passporting</w:t>
      </w:r>
      <w:r>
        <w:t xml:space="preserve"> </w:t>
      </w:r>
      <w:r>
        <w:t xml:space="preserve">framework, already presented in paragraph 1 above; and a framework for supervisory</w:t>
      </w:r>
      <w:r>
        <w:t xml:space="preserve"> </w:t>
      </w:r>
      <w:r>
        <w:t xml:space="preserve">cooperation.</w:t>
      </w:r>
      <w:r>
        <w:t xml:space="preserve"> </w:t>
      </w:r>
      <w:r>
        <w:t xml:space="preserve">Under a framework for supervisory cooperation, national competent authorities, relevant</w:t>
      </w:r>
      <w:r>
        <w:t xml:space="preserve"> </w:t>
      </w:r>
      <w:r>
        <w:t xml:space="preserve">authorities and ESMA are required to cooperate closely and, on request and without</w:t>
      </w:r>
      <w:r>
        <w:t xml:space="preserve"> </w:t>
      </w:r>
      <w:r>
        <w:t xml:space="preserve">undue delay, provide one another with the information required for the purposes of</w:t>
      </w:r>
      <w:r>
        <w:t xml:space="preserve"> </w:t>
      </w:r>
      <w:r>
        <w:t xml:space="preserve">carrying out their duties.</w:t>
      </w:r>
      <w:r>
        <w:t xml:space="preserve"> </w:t>
      </w:r>
      <w:r>
        <w:t xml:space="preserve">With respect to the provision of services in other Member States, CSDR further provides</w:t>
      </w:r>
      <w:r>
        <w:t xml:space="preserve"> </w:t>
      </w:r>
      <w:r>
        <w:t xml:space="preserve">that where a CSD has become of substantial importance for the functioning of the</w:t>
      </w:r>
      <w:r>
        <w:t xml:space="preserve"> </w:t>
      </w:r>
      <w:r>
        <w:t xml:space="preserve">securities markets and the protection of the investors in more than one host Member</w:t>
      </w:r>
      <w:r>
        <w:t xml:space="preserve"> </w:t>
      </w:r>
      <w:r>
        <w:t xml:space="preserve">State, the home Member State may decide that such cooperation arrangements are to</w:t>
      </w:r>
      <w:r>
        <w:t xml:space="preserve"> </w:t>
      </w:r>
      <w:r>
        <w:t xml:space="preserve">include colleges of supervisors326. In practice however, only one college has been set up</w:t>
      </w:r>
      <w:r>
        <w:t xml:space="preserve"> </w:t>
      </w:r>
      <w:r>
        <w:t xml:space="preserve">for an EU CSD327.</w:t>
      </w:r>
      <w:r>
        <w:t xml:space="preserve"> </w:t>
      </w:r>
      <w:r>
        <w:t xml:space="preserve">It emerges from answers to the public consultation and various bilateral inputs from</w:t>
      </w:r>
      <w:r>
        <w:t xml:space="preserve"> </w:t>
      </w:r>
      <w:r>
        <w:t xml:space="preserve">stakeholders that views are split on whether cooperation arrangements under CSDR work</w:t>
      </w:r>
      <w:r>
        <w:t xml:space="preserve"> </w:t>
      </w:r>
      <w:r>
        <w:t xml:space="preserve">in an efficient manner. It should however be noted that the majority of respondents to the</w:t>
      </w:r>
      <w:r>
        <w:t xml:space="preserve"> </w:t>
      </w:r>
      <w:r>
        <w:t xml:space="preserve">public consultation, including public authorities and banks, considered that the</w:t>
      </w:r>
      <w:r>
        <w:t xml:space="preserve"> </w:t>
      </w:r>
      <w:r>
        <w:t xml:space="preserve">cooperation amongst NCAs would be improved if colleges were established and they</w:t>
      </w:r>
      <w:r>
        <w:t xml:space="preserve"> </w:t>
      </w:r>
      <w:r>
        <w:t xml:space="preserve">were always involved in notably the passporting process328.</w:t>
      </w:r>
      <w:r>
        <w:t xml:space="preserve"> </w:t>
      </w:r>
      <w:r>
        <w:t xml:space="preserve">Regarding third-country CSDs, Article 25(1) of CSDR provides that they may provide</w:t>
      </w:r>
      <w:r>
        <w:t xml:space="preserve"> </w:t>
      </w:r>
      <w:r>
        <w:t xml:space="preserve">their services in the EU, including through setting up branches on the territory of the EU.</w:t>
      </w:r>
      <w:r>
        <w:t xml:space="preserve"> </w:t>
      </w:r>
      <w:r>
        <w:t xml:space="preserve">Article 25(2) requires a third-country CSD to apply for recognition to ESMA in two</w:t>
      </w:r>
      <w:r>
        <w:t xml:space="preserve"> </w:t>
      </w:r>
      <w:r>
        <w:t xml:space="preserve">specific cases: (a) where it intends to provide certain core CSD services (issuance and</w:t>
      </w:r>
      <w:r>
        <w:t xml:space="preserve"> </w:t>
      </w:r>
      <w:r>
        <w:t xml:space="preserve">central maintenance services related to financial instruments governed by the law of a</w:t>
      </w:r>
      <w:r>
        <w:t xml:space="preserve"> </w:t>
      </w:r>
      <w:r>
        <w:t xml:space="preserve">Member State); or (b) where it intends to provide its services in the EU through a branch</w:t>
      </w:r>
      <w:r>
        <w:t xml:space="preserve"> </w:t>
      </w:r>
      <w:r>
        <w:t xml:space="preserve">set up in a Member State. Services other than those described (including settlement</w:t>
      </w:r>
      <w:r>
        <w:t xml:space="preserve"> </w:t>
      </w:r>
      <w:r>
        <w:t xml:space="preserve">services) do not require recognition by ESMA under Article 25 CSDR. ESMA may</w:t>
      </w:r>
      <w:r>
        <w:t xml:space="preserve"> </w:t>
      </w:r>
      <w:r>
        <w:t xml:space="preserve">recognise a third-country CSD that wishes to provide issuance and central maintenance</w:t>
      </w:r>
      <w:r>
        <w:t xml:space="preserve"> </w:t>
      </w:r>
      <w:r>
        <w:t xml:space="preserve">services only where the conditions referred to in Article 25(4) of CSDR are met. One of</w:t>
      </w:r>
      <w:r>
        <w:t xml:space="preserve"> </w:t>
      </w:r>
      <w:r>
        <w:t xml:space="preserve">those conditions is that the Commission has adopted an implementing act determining</w:t>
      </w:r>
      <w:r>
        <w:t xml:space="preserve"> </w:t>
      </w:r>
      <w:r>
        <w:t xml:space="preserve">that the regulatory framework applicable to CSDs of that third country is equivalent in</w:t>
      </w:r>
    </w:p>
    <w:p>
      <w:pPr>
        <w:pStyle w:val="BodyText"/>
      </w:pPr>
      <w:r>
        <w:t xml:space="preserve">325 Based on confidential information provided to DG FISMA services.</w:t>
      </w:r>
      <w:r>
        <w:t xml:space="preserve"> </w:t>
      </w:r>
      <w:r>
        <w:t xml:space="preserve">326 Article 24(4) of CSDR</w:t>
      </w:r>
      <w:r>
        <w:t xml:space="preserve"> </w:t>
      </w:r>
      <w:r>
        <w:t xml:space="preserve">327 The Latvian supervisory authority established and led the Nasdaq CSD SE supervisory college in</w:t>
      </w:r>
      <w:r>
        <w:t xml:space="preserve"> </w:t>
      </w:r>
      <w:r>
        <w:t xml:space="preserve">cooperation with supervisory authorities and central banks of Lithuania, Estonia and Latvia</w:t>
      </w:r>
      <w:r>
        <w:t xml:space="preserve"> </w:t>
      </w:r>
      <w:r>
        <w:t xml:space="preserve">https://www.fktk.lv/en/news/press-releases/nasdaq-merges-its-baltic-csds-to-create-nasdaq-csd/.</w:t>
      </w:r>
      <w:r>
        <w:t xml:space="preserve"> </w:t>
      </w:r>
      <w:r>
        <w:t xml:space="preserve">328 Summary report of the targeted consultation document on the review of regulation on improving securities</w:t>
      </w:r>
      <w:r>
        <w:t xml:space="preserve"> </w:t>
      </w:r>
      <w:r>
        <w:t xml:space="preserve">settlement in the European Union and on central securities depositories 8 December 2020 – 2 February</w:t>
      </w:r>
      <w:r>
        <w:t xml:space="preserve"> </w:t>
      </w:r>
      <w:r>
        <w:t xml:space="preserve">2021, paragraph 3.3.3</w:t>
      </w:r>
    </w:p>
    <w:p>
      <w:pPr>
        <w:pStyle w:val="BodyText"/>
      </w:pPr>
      <w:r>
        <w:t xml:space="preserve">accordance with CSDR. One CSD has applied to date for recognition to ESMA, i.e. the</w:t>
      </w:r>
      <w:r>
        <w:t xml:space="preserve"> </w:t>
      </w:r>
      <w:r>
        <w:t xml:space="preserve">UK CSD in the context of Brexit. At least two other CSDs have contacted ESMA and</w:t>
      </w:r>
      <w:r>
        <w:t xml:space="preserve"> </w:t>
      </w:r>
      <w:r>
        <w:t xml:space="preserve">have expressed their intention to apply for recognition as third-country CSDs.</w:t>
      </w:r>
      <w:r>
        <w:br/>
      </w:r>
      <w:r>
        <w:t xml:space="preserve">However, according to the current provisions of Article 25 of CSDR, the recognition</w:t>
      </w:r>
      <w:r>
        <w:t xml:space="preserve"> </w:t>
      </w:r>
      <w:r>
        <w:t xml:space="preserve">process is only triggered once there is an equivalence decision issued by the European</w:t>
      </w:r>
      <w:r>
        <w:t xml:space="preserve"> </w:t>
      </w:r>
      <w:r>
        <w:t xml:space="preserve">Commission in respect of a particular third country. In the meantime, according to Article</w:t>
      </w:r>
      <w:r>
        <w:t xml:space="preserve"> </w:t>
      </w:r>
      <w:r>
        <w:t xml:space="preserve">69(4) of CSDR, third-country CSDs can continue providing services in the EU under the</w:t>
      </w:r>
      <w:r>
        <w:t xml:space="preserve"> </w:t>
      </w:r>
      <w:r>
        <w:t xml:space="preserve">national regimes (the so-called “grandfathering clause”). As CSDR is now approaching</w:t>
      </w:r>
      <w:r>
        <w:t xml:space="preserve"> </w:t>
      </w:r>
      <w:r>
        <w:t xml:space="preserve">its full entry into force (notably with the settlement discipline regime that should enter</w:t>
      </w:r>
      <w:r>
        <w:t xml:space="preserve"> </w:t>
      </w:r>
      <w:r>
        <w:t xml:space="preserve">into force on 1 February 2022), concerns start to arise regarding such grandfathering</w:t>
      </w:r>
      <w:r>
        <w:t xml:space="preserve"> </w:t>
      </w:r>
      <w:r>
        <w:t xml:space="preserve">clause. Some stakeholders, including national competent authorities and certain EU</w:t>
      </w:r>
      <w:r>
        <w:t xml:space="preserve"> </w:t>
      </w:r>
      <w:r>
        <w:t xml:space="preserve">CSDs, supported the introduction of an end-date to the grandfathering arguing, amongst</w:t>
      </w:r>
      <w:r>
        <w:t xml:space="preserve"> </w:t>
      </w:r>
      <w:r>
        <w:t xml:space="preserve">others, that currently third-country CSDs can continue to service EU securities even</w:t>
      </w:r>
      <w:r>
        <w:t xml:space="preserve"> </w:t>
      </w:r>
      <w:r>
        <w:t xml:space="preserve">though they comply with rules which have not been determined as equivalent by the</w:t>
      </w:r>
      <w:r>
        <w:t xml:space="preserve"> </w:t>
      </w:r>
      <w:r>
        <w:t xml:space="preserve">Commission. However, other stakeholders, mainly a couple of national competent</w:t>
      </w:r>
      <w:r>
        <w:t xml:space="preserve"> </w:t>
      </w:r>
      <w:r>
        <w:t xml:space="preserve">authorities and third-country CSDs expressed their views against amending the current</w:t>
      </w:r>
      <w:r>
        <w:t xml:space="preserve"> </w:t>
      </w:r>
      <w:r>
        <w:t xml:space="preserve">grandfathering framework, arguing that this would create legal and financial uncertainty</w:t>
      </w:r>
      <w:r>
        <w:t xml:space="preserve"> </w:t>
      </w:r>
      <w:r>
        <w:t xml:space="preserve">for third-country CSDs if they are not recognised by the end of the grandfathering period,</w:t>
      </w:r>
      <w:r>
        <w:t xml:space="preserve"> </w:t>
      </w:r>
      <w:r>
        <w:t xml:space="preserve">which would introduce unnecessary risk to the market.</w:t>
      </w:r>
      <w:r>
        <w:t xml:space="preserve"> </w:t>
      </w:r>
      <w:r>
        <w:t xml:space="preserve">Notwithstanding the above, a common observation is the lack of clear information on the</w:t>
      </w:r>
      <w:r>
        <w:t xml:space="preserve"> </w:t>
      </w:r>
      <w:r>
        <w:t xml:space="preserve">exact services that third-country CSDs provide within the EU under the grandfathering</w:t>
      </w:r>
      <w:r>
        <w:t xml:space="preserve"> </w:t>
      </w:r>
      <w:r>
        <w:t xml:space="preserve">clause329.</w:t>
      </w:r>
      <w:r>
        <w:t xml:space="preserve"> </w:t>
      </w:r>
      <w:r>
        <w:t xml:space="preserve">Section 7 Answers to the evaluation questions</w:t>
      </w:r>
    </w:p>
    <w:p>
      <w:pPr>
        <w:pStyle w:val="BodyText"/>
      </w:pPr>
      <w:r>
        <w:t xml:space="preserve">Question 1: How effective has the EU intervention been?</w:t>
      </w:r>
      <w:r>
        <w:t xml:space="preserve"> </w:t>
      </w:r>
      <w:r>
        <w:t xml:space="preserve">- To what extent have the objectives of CSDR to: (1) increase efficiency of the EU</w:t>
      </w:r>
      <w:r>
        <w:t xml:space="preserve"> </w:t>
      </w:r>
      <w:r>
        <w:t xml:space="preserve">settlement market; (2) increase safety of the EU settlement market and (3) ensure level</w:t>
      </w:r>
      <w:r>
        <w:t xml:space="preserve"> </w:t>
      </w:r>
      <w:r>
        <w:t xml:space="preserve">playing field for CSD services been achieved and what factors influenced the</w:t>
      </w:r>
      <w:r>
        <w:t xml:space="preserve"> </w:t>
      </w:r>
      <w:r>
        <w:t xml:space="preserve">achievements observed?</w:t>
      </w:r>
      <w:r>
        <w:t xml:space="preserve"> </w:t>
      </w:r>
      <w:r>
        <w:t xml:space="preserve">1. Efficiency of the EU settlement market</w:t>
      </w:r>
      <w:r>
        <w:t xml:space="preserve"> </w:t>
      </w:r>
      <w:r>
        <w:t xml:space="preserve">At the time of adoption of CSDR, settlement markets in the Union were fragmented. This</w:t>
      </w:r>
      <w:r>
        <w:t xml:space="preserve"> </w:t>
      </w:r>
      <w:r>
        <w:t xml:space="preserve">was identified as a source of risk and additional costs for cross-border settlement. Given</w:t>
      </w:r>
      <w:r>
        <w:t xml:space="preserve"> </w:t>
      </w:r>
      <w:r>
        <w:t xml:space="preserve">the systemic relevance of CSDs, the promotion of competition between CSDs was one of</w:t>
      </w:r>
      <w:r>
        <w:t xml:space="preserve"> </w:t>
      </w:r>
      <w:r>
        <w:t xml:space="preserve">CSDR’s objectives, with the view to creating a single market for securities settlement,</w:t>
      </w:r>
      <w:r>
        <w:t xml:space="preserve"> </w:t>
      </w:r>
      <w:r>
        <w:t xml:space="preserve">allowing any investor in the Union to invest in all Union securities with the same ease as</w:t>
      </w:r>
      <w:r>
        <w:t xml:space="preserve"> </w:t>
      </w:r>
      <w:r>
        <w:t xml:space="preserve">in, and using the same processes as for, domestic securities. This was considered</w:t>
      </w:r>
      <w:r>
        <w:t xml:space="preserve"> </w:t>
      </w:r>
      <w:r>
        <w:t xml:space="preserve">essential to the proper functioning of the internal market.</w:t>
      </w:r>
      <w:r>
        <w:t xml:space="preserve"> </w:t>
      </w:r>
      <w:r>
        <w:t xml:space="preserve">In 2010, the European securities market was deemed very significant; according to ECB</w:t>
      </w:r>
      <w:r>
        <w:t xml:space="preserve"> </w:t>
      </w:r>
      <w:r>
        <w:t xml:space="preserve">statistics330, 690 million trades were executed on securities exchanges in the EU in 2010,</w:t>
      </w:r>
      <w:r>
        <w:t xml:space="preserve"> </w:t>
      </w:r>
      <w:r>
        <w:t xml:space="preserve">representing a total value of over €33 trillion. The EU capital market was the second in</w:t>
      </w:r>
    </w:p>
    <w:p>
      <w:pPr>
        <w:pStyle w:val="BodyText"/>
      </w:pPr>
      <w:r>
        <w:t xml:space="preserve">329 https://ec.europa.eu/info/consultations/finance-2020-csdr-review_en</w:t>
      </w:r>
      <w:r>
        <w:t xml:space="preserve"> </w:t>
      </w:r>
      <w:r>
        <w:t xml:space="preserve">330 http://sdw.ecb.europa.eu/reports.do?node=1000001584.</w:t>
      </w:r>
    </w:p>
    <w:p>
      <w:pPr>
        <w:pStyle w:val="BodyText"/>
      </w:pPr>
      <w:r>
        <w:t xml:space="preserve">size after the US capital market and represents around 30% of the global market (the US</w:t>
      </w:r>
      <w:r>
        <w:t xml:space="preserve"> </w:t>
      </w:r>
      <w:r>
        <w:t xml:space="preserve">represented around 35% of the total331).</w:t>
      </w:r>
      <w:r>
        <w:t xml:space="preserve"> </w:t>
      </w:r>
      <w:r>
        <w:t xml:space="preserve">In 2014, when CSDR was adopted, EUR 43.5 trillion worth of securities were held in EU</w:t>
      </w:r>
      <w:r>
        <w:t xml:space="preserve"> </w:t>
      </w:r>
      <w:r>
        <w:t xml:space="preserve">securities settlement systems, which handled over 330 million delivery instructions for a</w:t>
      </w:r>
      <w:r>
        <w:t xml:space="preserve"> </w:t>
      </w:r>
      <w:r>
        <w:t xml:space="preserve">total of turnover of over EUR 850 trillion.</w:t>
      </w:r>
      <w:r>
        <w:t xml:space="preserve"> </w:t>
      </w:r>
      <w:r>
        <w:t xml:space="preserve">At the end of 2019, there were over EUR 53 trillion worth of securities in EU Securities</w:t>
      </w:r>
      <w:r>
        <w:t xml:space="preserve"> </w:t>
      </w:r>
      <w:r>
        <w:t xml:space="preserve">Settlement Systems handling over 420 million delivery instructions in 2019 for a total of</w:t>
      </w:r>
      <w:r>
        <w:t xml:space="preserve"> </w:t>
      </w:r>
      <w:r>
        <w:t xml:space="preserve">turnover of over EUR 1 120 trillion332. This represents a growth of 22% in value of</w:t>
      </w:r>
      <w:r>
        <w:t xml:space="preserve"> </w:t>
      </w:r>
      <w:r>
        <w:t xml:space="preserve">securities held, 27% in number of delivery instructions and 32% in turnover in the period</w:t>
      </w:r>
      <w:r>
        <w:t xml:space="preserve"> </w:t>
      </w:r>
      <w:r>
        <w:t xml:space="preserve">between 2014 and 2019.</w:t>
      </w:r>
      <w:r>
        <w:t xml:space="preserve"> </w:t>
      </w:r>
      <w:r>
        <w:t xml:space="preserve">This also confirms the important role of CSDs serving the growing European Capital</w:t>
      </w:r>
      <w:r>
        <w:t xml:space="preserve"> </w:t>
      </w:r>
      <w:r>
        <w:t xml:space="preserve">Markets.</w:t>
      </w:r>
      <w:r>
        <w:t xml:space="preserve"> </w:t>
      </w:r>
      <w:r>
        <w:t xml:space="preserve">Depite this overall growth of the EU settlement activity, an important consideration is</w:t>
      </w:r>
      <w:r>
        <w:t xml:space="preserve"> </w:t>
      </w:r>
      <w:r>
        <w:t xml:space="preserve">that in the EU the three333 largest CSDs hold over 60% of all securities held in EU CSDs.</w:t>
      </w:r>
      <w:r>
        <w:t xml:space="preserve"> </w:t>
      </w:r>
      <w:r>
        <w:t xml:space="preserve">In the same period, the value of securities held by the UK CSD334 rose from</w:t>
      </w:r>
      <w:r>
        <w:t xml:space="preserve"> </w:t>
      </w:r>
      <w:r>
        <w:t xml:space="preserve">EUR 6 215 billion in 2015 to EUR 6 406 billion in 2019 (an increase of 3%), while the</w:t>
      </w:r>
      <w:r>
        <w:t xml:space="preserve"> </w:t>
      </w:r>
      <w:r>
        <w:t xml:space="preserve">value of delivery instructions rose from EUR 272 087 billion to EUR 357 184 billion</w:t>
      </w:r>
      <w:r>
        <w:t xml:space="preserve"> </w:t>
      </w:r>
      <w:r>
        <w:t xml:space="preserve">respectively (an increase of 31%)335. In the US336, the value of securities held by the two</w:t>
      </w:r>
      <w:r>
        <w:t xml:space="preserve"> </w:t>
      </w:r>
      <w:r>
        <w:t xml:space="preserve">CSDs337 rose from EUR 100 739 billion in 2015 to EUR 130 366 billion in 2019 (an</w:t>
      </w:r>
      <w:r>
        <w:t xml:space="preserve"> </w:t>
      </w:r>
      <w:r>
        <w:t xml:space="preserve">increase of 29%), the number of delivery instructions processed increased from</w:t>
      </w:r>
      <w:r>
        <w:t xml:space="preserve"> </w:t>
      </w:r>
      <w:r>
        <w:t xml:space="preserve">362 663 000 (2015) to 672 887 000 (2019) (an increase of 86%) for a value of</w:t>
      </w:r>
      <w:r>
        <w:t xml:space="preserve"> </w:t>
      </w:r>
      <w:r>
        <w:t xml:space="preserve">EUR 355 trillion in 2015 to EUR 401 trillion in 2019 (an increase of 13%).</w:t>
      </w:r>
      <w:r>
        <w:t xml:space="preserve"> </w:t>
      </w:r>
      <w:r>
        <w:t xml:space="preserve">Depite this overall growth of the EU settlement activity, an important consideration is</w:t>
      </w:r>
      <w:r>
        <w:t xml:space="preserve"> </w:t>
      </w:r>
      <w:r>
        <w:t xml:space="preserve">that in the EU the three338 largest CSDs hold over 60% of all securities held in EU CSDs.</w:t>
      </w:r>
      <w:r>
        <w:t xml:space="preserve"> </w:t>
      </w:r>
      <w:r>
        <w:t xml:space="preserve">It can be concluded that EU settlement activity is concentrated in a few CSDs, albeit that</w:t>
      </w:r>
      <w:r>
        <w:t xml:space="preserve"> </w:t>
      </w:r>
      <w:r>
        <w:t xml:space="preserve">the same applies to settlement activity in other comparable jurisdictions. In addition,</w:t>
      </w:r>
      <w:r>
        <w:t xml:space="preserve"> </w:t>
      </w:r>
      <w:r>
        <w:t xml:space="preserve">there was generally increased settlement activity, explained by increased trading activity,</w:t>
      </w:r>
      <w:r>
        <w:t xml:space="preserve"> </w:t>
      </w:r>
      <w:r>
        <w:t xml:space="preserve">that in turn can</w:t>
      </w:r>
      <w:r>
        <w:t xml:space="preserve"> </w:t>
      </w:r>
      <w:r>
        <w:t xml:space="preserve">Other signs point in the direction of a slow but surely moving in the direction of a real</w:t>
      </w:r>
      <w:r>
        <w:t xml:space="preserve"> </w:t>
      </w:r>
      <w:r>
        <w:t xml:space="preserve">EU settlement market as well. First, mergers between clearing houses, CSDs, and stock</w:t>
      </w:r>
      <w:r>
        <w:t xml:space="preserve"> </w:t>
      </w:r>
      <w:r>
        <w:t xml:space="preserve">exchanges have created EU financial market infrastructure conglomerates, such as the</w:t>
      </w:r>
      <w:r>
        <w:t xml:space="preserve"> </w:t>
      </w:r>
      <w:r>
        <w:t xml:space="preserve">formation of Clearstream through the merger of Cedel International and Deutsche Boerse</w:t>
      </w:r>
      <w:r>
        <w:t xml:space="preserve"> </w:t>
      </w:r>
      <w:r>
        <w:t xml:space="preserve">in 2012. With the acquisition of the Norwegian and Danish CSDs in 2019 and 2020</w:t>
      </w:r>
    </w:p>
    <w:p>
      <w:pPr>
        <w:pStyle w:val="BodyText"/>
      </w:pPr>
      <w:r>
        <w:t xml:space="preserve">331 According to the McKinsey</w:t>
      </w:r>
      <w:r>
        <w:t xml:space="preserve"> </w:t>
      </w:r>
      <w:r>
        <w:t xml:space="preserve">“Global Capital Markets: Entering a New Era”</w:t>
      </w:r>
      <w:r>
        <w:t xml:space="preserve"> </w:t>
      </w:r>
      <w:r>
        <w:t xml:space="preserve">September 2009</w:t>
      </w:r>
      <w:r>
        <w:t xml:space="preserve"> </w:t>
      </w:r>
      <w:r>
        <w:t xml:space="preserve">http://www.mckinsey.com/mgi/reports/pdfs/gcm_sixth_annual_report/gcm_sixth_annual_report_full_repor</w:t>
      </w:r>
      <w:r>
        <w:t xml:space="preserve"> </w:t>
      </w:r>
      <w:r>
        <w:t xml:space="preserve">t.pdf</w:t>
      </w:r>
      <w:r>
        <w:t xml:space="preserve"> </w:t>
      </w:r>
      <w:r>
        <w:t xml:space="preserve">332 Data generated through the Securities Trading, Clearing and Settlement Statistics Database, European</w:t>
      </w:r>
      <w:r>
        <w:t xml:space="preserve"> </w:t>
      </w:r>
      <w:r>
        <w:t xml:space="preserve">Central</w:t>
      </w:r>
      <w:r>
        <w:t xml:space="preserve"> </w:t>
      </w:r>
      <w:r>
        <w:t xml:space="preserve">Bank.</w:t>
      </w:r>
      <w:r>
        <w:t xml:space="preserve"> </w:t>
      </w:r>
      <w:r>
        <w:t xml:space="preserve">Accessed</w:t>
      </w:r>
      <w:r>
        <w:t xml:space="preserve"> </w:t>
      </w:r>
      <w:r>
        <w:t xml:space="preserve">on</w:t>
      </w:r>
      <w:r>
        <w:t xml:space="preserve"> </w:t>
      </w:r>
      <w:r>
        <w:t xml:space="preserve">29</w:t>
      </w:r>
      <w:r>
        <w:t xml:space="preserve"> </w:t>
      </w:r>
      <w:r>
        <w:t xml:space="preserve">April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https://sdw.ecb.europa.eu/browse.do?node=9691131</w:t>
      </w:r>
      <w:r>
        <w:t xml:space="preserve"> </w:t>
      </w:r>
      <w:r>
        <w:t xml:space="preserve">333 Euroclear Bank Belgium (28%), Clearstream Banking Frankfurt (18%), Clearstream Banking Luxembourg</w:t>
      </w:r>
      <w:r>
        <w:t xml:space="preserve"> </w:t>
      </w:r>
      <w:r>
        <w:t xml:space="preserve">(15%).</w:t>
      </w:r>
      <w:r>
        <w:t xml:space="preserve"> </w:t>
      </w:r>
      <w:r>
        <w:t xml:space="preserve">334 Euroclear UK and Ireland.</w:t>
      </w:r>
      <w:r>
        <w:t xml:space="preserve"> </w:t>
      </w:r>
      <w:r>
        <w:t xml:space="preserve">335 “Securities trading, clearing and settlement statistics”, European Central Bank, September 2020</w:t>
      </w:r>
      <w:r>
        <w:t xml:space="preserve"> </w:t>
      </w:r>
      <w:r>
        <w:t xml:space="preserve">336 Bank for International Settlement, Red Book Statistics, Payment and financial market infrastructures.</w:t>
      </w:r>
      <w:r>
        <w:t xml:space="preserve"> </w:t>
      </w:r>
      <w:r>
        <w:t xml:space="preserve">Available at: https://stats.bis.org/statx/toc/CPMI.html. Accessed on 01 June 2021.</w:t>
      </w:r>
      <w:r>
        <w:br/>
      </w:r>
      <w:r>
        <w:t xml:space="preserve">337 DTC and Fedwire Securities Service</w:t>
      </w:r>
      <w:r>
        <w:t xml:space="preserve"> </w:t>
      </w:r>
      <w:r>
        <w:t xml:space="preserve">338 Euroclear Bank Belgium (28%), Clearstream Banking Frankfurt (18%), Clearstream Banking Luxembourg</w:t>
      </w:r>
      <w:r>
        <w:t xml:space="preserve"> </w:t>
      </w:r>
      <w:r>
        <w:t xml:space="preserve">(15%).</w:t>
      </w:r>
    </w:p>
    <w:p>
      <w:pPr>
        <w:pStyle w:val="BodyText"/>
      </w:pPr>
      <w:r>
        <w:t xml:space="preserve">respectively, Euronext has also strengthened its presence in the EU settlement markets as</w:t>
      </w:r>
      <w:r>
        <w:t xml:space="preserve"> </w:t>
      </w:r>
      <w:r>
        <w:t xml:space="preserve">well in the area of stock exchanges and clearing houses with the acquisition of Borsa</w:t>
      </w:r>
      <w:r>
        <w:t xml:space="preserve"> </w:t>
      </w:r>
      <w:r>
        <w:t xml:space="preserve">Italiana, MTS, where most of Italy’s sovereign debt is traded, as well as the major multi-</w:t>
      </w:r>
      <w:r>
        <w:t xml:space="preserve"> </w:t>
      </w:r>
      <w:r>
        <w:t xml:space="preserve">asset clearing house, CC&amp;G in 2020..</w:t>
      </w:r>
      <w:r>
        <w:t xml:space="preserve"> </w:t>
      </w:r>
      <w:r>
        <w:t xml:space="preserve">Economies of scope could also be obtained through horizontal synergies. In 2009</w:t>
      </w:r>
      <w:r>
        <w:t xml:space="preserve"> </w:t>
      </w:r>
      <w:r>
        <w:t xml:space="preserve">Euroclear brought the Belgian, Dutch and French domestic CSDs onto a single platform,</w:t>
      </w:r>
      <w:r>
        <w:t xml:space="preserve"> </w:t>
      </w:r>
      <w:r>
        <w:t xml:space="preserve">under a harmonised framework, but as separate legal entities. Nasdaq has also</w:t>
      </w:r>
      <w:r>
        <w:t xml:space="preserve"> </w:t>
      </w:r>
      <w:r>
        <w:t xml:space="preserve">consolidated the three Baltic CSDs (Estonia, Lithuania and Latvia) in 2017 and the</w:t>
      </w:r>
      <w:r>
        <w:t xml:space="preserve"> </w:t>
      </w:r>
      <w:r>
        <w:t xml:space="preserve">Icelandic CSD into a single legal entity in 2020. As a result of these changes the</w:t>
      </w:r>
      <w:r>
        <w:t xml:space="preserve"> </w:t>
      </w:r>
      <w:r>
        <w:t xml:space="preserve">nominally fragmented post-trade market in Europe is dominated by large conglomarates</w:t>
      </w:r>
      <w:r>
        <w:t xml:space="preserve"> </w:t>
      </w:r>
      <w:r>
        <w:t xml:space="preserve">offering post-trade services, i.e. Euroclear (bringing together the international CSD</w:t>
      </w:r>
      <w:r>
        <w:t xml:space="preserve"> </w:t>
      </w:r>
      <w:r>
        <w:t xml:space="preserve">Euroclear Bank and national CSDs in Belgium, Finland, France, Ireland, the Netherlands,</w:t>
      </w:r>
      <w:r>
        <w:t xml:space="preserve"> </w:t>
      </w:r>
      <w:r>
        <w:t xml:space="preserve">Sweden and the United Kingdom), Euronext (bringing together national CSDs in</w:t>
      </w:r>
      <w:r>
        <w:t xml:space="preserve"> </w:t>
      </w:r>
      <w:r>
        <w:t xml:space="preserve">Portugal, Denmark, Norway and Italy), Nasdaq CSD (following the merger of the</w:t>
      </w:r>
      <w:r>
        <w:t xml:space="preserve"> </w:t>
      </w:r>
      <w:r>
        <w:t xml:space="preserve">regional CSDs for Lithuania, Latvia, Estonia and Iceland) and Deutsche Boerse Group</w:t>
      </w:r>
      <w:r>
        <w:t xml:space="preserve"> </w:t>
      </w:r>
      <w:r>
        <w:t xml:space="preserve">(operating the ICSD Clearstream Luxembourg, the German CSD and LuxCSD).</w:t>
      </w:r>
      <w:r>
        <w:t xml:space="preserve"> </w:t>
      </w:r>
      <w:r>
        <w:t xml:space="preserve">Responses from the public consultation confirm these findings. Although most</w:t>
      </w:r>
      <w:r>
        <w:t xml:space="preserve"> </w:t>
      </w:r>
      <w:r>
        <w:t xml:space="preserve">stakeholders, did not express an opinion as to whether CSDR has actually increased</w:t>
      </w:r>
      <w:r>
        <w:t xml:space="preserve"> </w:t>
      </w:r>
      <w:r>
        <w:t xml:space="preserve">competition amongst CSDs, a group of stakeholders representing central banks, CSDs</w:t>
      </w:r>
      <w:r>
        <w:t xml:space="preserve"> </w:t>
      </w:r>
      <w:r>
        <w:t xml:space="preserve">and their participants, as well as a CSD and a bank underlined that data on competition in</w:t>
      </w:r>
      <w:r>
        <w:t xml:space="preserve"> </w:t>
      </w:r>
      <w:r>
        <w:t xml:space="preserve">the CSD market and the level of cross-CSD settlement does not provide evidence of a</w:t>
      </w:r>
      <w:r>
        <w:t xml:space="preserve"> </w:t>
      </w:r>
      <w:r>
        <w:t xml:space="preserve">significant increase in competition or cross-border services or cross-CSD settlement.</w:t>
      </w:r>
      <w:r>
        <w:t xml:space="preserve"> </w:t>
      </w:r>
      <w:r>
        <w:t xml:space="preserve">According to those stakeholders, reasons for the lack of evidence for increased</w:t>
      </w:r>
      <w:r>
        <w:t xml:space="preserve"> </w:t>
      </w:r>
      <w:r>
        <w:t xml:space="preserve">competition between CSDs and the absence of significant cross-CSD settlement include:</w:t>
      </w:r>
      <w:r>
        <w:t xml:space="preserve"> </w:t>
      </w:r>
      <w:r>
        <w:t xml:space="preserve">(a) diverging national practices in corporate actions processing and diverging national</w:t>
      </w:r>
      <w:r>
        <w:t xml:space="preserve"> </w:t>
      </w:r>
      <w:r>
        <w:t xml:space="preserve">corporate laws or corporate governance rules; (b) diverging practices in withholding tax</w:t>
      </w:r>
      <w:r>
        <w:t xml:space="preserve"> </w:t>
      </w:r>
      <w:r>
        <w:t xml:space="preserve">refund and relief at-source procedures; (c) diverging market practices in collateral</w:t>
      </w:r>
      <w:r>
        <w:t xml:space="preserve"> </w:t>
      </w:r>
      <w:r>
        <w:t xml:space="preserve">management; (d) lack of harmonisation in issuance procedures. It was also noted that</w:t>
      </w:r>
      <w:r>
        <w:t xml:space="preserve"> </w:t>
      </w:r>
      <w:r>
        <w:t xml:space="preserve">such national divergences also hinder mergers of CSDs.</w:t>
      </w:r>
      <w:r>
        <w:t xml:space="preserve"> </w:t>
      </w:r>
      <w:r>
        <w:t xml:space="preserve">There were also positive views on CSDR’s impact on competition. In particular, it was</w:t>
      </w:r>
      <w:r>
        <w:t xml:space="preserve"> </w:t>
      </w:r>
      <w:r>
        <w:t xml:space="preserve">noted that the harmonisation brought about by CSDR (which according to a bank</w:t>
      </w:r>
      <w:r>
        <w:t xml:space="preserve"> </w:t>
      </w:r>
      <w:r>
        <w:t xml:space="preserve">enhanced, amongst other things, the transparency of CSD fees and introduced high</w:t>
      </w:r>
      <w:r>
        <w:t xml:space="preserve"> </w:t>
      </w:r>
      <w:r>
        <w:t xml:space="preserve">standards for CSDs’ operations) contributed to competition amongst EU CSDs. Some</w:t>
      </w:r>
      <w:r>
        <w:t xml:space="preserve"> </w:t>
      </w:r>
      <w:r>
        <w:t xml:space="preserve">stakeholders noted that CSDR’s impact on competition should not be analysed in</w:t>
      </w:r>
      <w:r>
        <w:t xml:space="preserve"> </w:t>
      </w:r>
      <w:r>
        <w:t xml:space="preserve">isolation as many other factors, such as the launch of T2S and the related harmonisation</w:t>
      </w:r>
      <w:r>
        <w:t xml:space="preserve"> </w:t>
      </w:r>
      <w:r>
        <w:t xml:space="preserve">efforts, impacted the CSD market in recent years.</w:t>
      </w:r>
      <w:r>
        <w:t xml:space="preserve"> </w:t>
      </w:r>
      <w:r>
        <w:t xml:space="preserve">Although various parrallel developments in the EU settlement market make the drawing</w:t>
      </w:r>
      <w:r>
        <w:t xml:space="preserve"> </w:t>
      </w:r>
      <w:r>
        <w:t xml:space="preserve">of conlusions difficult, especially since the time frame for trends between the original</w:t>
      </w:r>
      <w:r>
        <w:t xml:space="preserve"> </w:t>
      </w:r>
      <w:r>
        <w:t xml:space="preserve">CSDR entry into force and present is short, developments pointed out above point to a</w:t>
      </w:r>
      <w:r>
        <w:t xml:space="preserve"> </w:t>
      </w:r>
      <w:r>
        <w:t xml:space="preserve">slowly but steadily forming EU settlement market but still largely focused around</w:t>
      </w:r>
      <w:r>
        <w:t xml:space="preserve"> </w:t>
      </w:r>
      <w:r>
        <w:t xml:space="preserve">national markets, due to different, legal, corporate and tax rules that make the formation</w:t>
      </w:r>
      <w:r>
        <w:t xml:space="preserve"> </w:t>
      </w:r>
      <w:r>
        <w:t xml:space="preserve">of single European wide CDS operators difficult to form.</w:t>
      </w:r>
      <w:r>
        <w:t xml:space="preserve"> </w:t>
      </w:r>
      <w:r>
        <w:t xml:space="preserve">CSDR also aimed at improving efficiency of the EU settlement market by increasing</w:t>
      </w:r>
      <w:r>
        <w:t xml:space="preserve"> </w:t>
      </w:r>
      <w:r>
        <w:t xml:space="preserve">competition between CSDs through the introduction of the passporting regime. This</w:t>
      </w:r>
      <w:r>
        <w:t xml:space="preserve"> </w:t>
      </w:r>
      <w:r>
        <w:t xml:space="preserve">objective has been at least partly achieved since most of the applying CSDs have been</w:t>
      </w:r>
      <w:r>
        <w:t xml:space="preserve"> </w:t>
      </w:r>
      <w:r>
        <w:t xml:space="preserve">able to obtain a “passport” to offer notary and central maintenance services in one or</w:t>
      </w:r>
      <w:r>
        <w:t xml:space="preserve"> </w:t>
      </w:r>
      <w:r>
        <w:t xml:space="preserve">several other Member States. However, the process itself has been significantly more</w:t>
      </w:r>
      <w:r>
        <w:t xml:space="preserve"> </w:t>
      </w:r>
      <w:r>
        <w:t xml:space="preserve">burdensome than previously thought. The majority of CSDs considered that the</w:t>
      </w:r>
    </w:p>
    <w:p>
      <w:pPr>
        <w:pStyle w:val="BodyText"/>
      </w:pPr>
      <w:r>
        <w:t xml:space="preserve">passporting process has not prevented CSDs from offering issuer CSD services for</w:t>
      </w:r>
      <w:r>
        <w:t xml:space="preserve"> </w:t>
      </w:r>
      <w:r>
        <w:t xml:space="preserve">securities constituted under the laws of another Member State as such, but has slowed</w:t>
      </w:r>
      <w:r>
        <w:t xml:space="preserve"> </w:t>
      </w:r>
      <w:r>
        <w:t xml:space="preserve">down their ambitions. Certain CSDs noted that they had to withdraw some passport</w:t>
      </w:r>
      <w:r>
        <w:t xml:space="preserve"> </w:t>
      </w:r>
      <w:r>
        <w:t xml:space="preserve">requests due to local constraints that are disputable, e.g. compliance with the direct</w:t>
      </w:r>
      <w:r>
        <w:t xml:space="preserve"> </w:t>
      </w:r>
      <w:r>
        <w:t xml:space="preserve">individual segregation model applicable under national law.</w:t>
      </w:r>
      <w:r>
        <w:t xml:space="preserve"> </w:t>
      </w:r>
      <w:r>
        <w:t xml:space="preserve">Another important achievement of the CSDR is that settlement periods are reduced to</w:t>
      </w:r>
      <w:r>
        <w:t xml:space="preserve"> </w:t>
      </w:r>
      <w:r>
        <w:t xml:space="preserve">T+2. The settlement period was harmonised in Europe and set at a maximum of two days</w:t>
      </w:r>
      <w:r>
        <w:t xml:space="preserve"> </w:t>
      </w:r>
      <w:r>
        <w:t xml:space="preserve">after the trading day (T+2). A harmonised settlement period aims to reduce operational</w:t>
      </w:r>
      <w:r>
        <w:t xml:space="preserve"> </w:t>
      </w:r>
      <w:r>
        <w:t xml:space="preserve">inefficiencies and risks for cross-border transactions, while reducing funding costs for</w:t>
      </w:r>
      <w:r>
        <w:t xml:space="preserve"> </w:t>
      </w:r>
      <w:r>
        <w:t xml:space="preserve">investors (for instance, for those that have to deliver cash or securities at T+3 but can</w:t>
      </w:r>
      <w:r>
        <w:t xml:space="preserve"> </w:t>
      </w:r>
      <w:r>
        <w:t xml:space="preserve">only receive them at T+2). Shorter settlement periods has an important advantage of</w:t>
      </w:r>
      <w:r>
        <w:t xml:space="preserve"> </w:t>
      </w:r>
      <w:r>
        <w:t xml:space="preserve">reducing counterparty risk, that is, the period of time during which an investor runs a risk</w:t>
      </w:r>
      <w:r>
        <w:t xml:space="preserve"> </w:t>
      </w:r>
      <w:r>
        <w:t xml:space="preserve">that its counterparty will default on its obligation to deliver cash or securities at the</w:t>
      </w:r>
      <w:r>
        <w:t xml:space="preserve"> </w:t>
      </w:r>
      <w:r>
        <w:t xml:space="preserve">agreed settlement date.</w:t>
      </w:r>
      <w:r>
        <w:t xml:space="preserve"> </w:t>
      </w:r>
      <w:r>
        <w:t xml:space="preserve">Finally, CSDR also aimed to achieve efficiency of the EU settlement market by imposing</w:t>
      </w:r>
      <w:r>
        <w:t xml:space="preserve"> </w:t>
      </w:r>
      <w:r>
        <w:t xml:space="preserve">a strict settlement discipline regime that would reduce settlement fails rates within the</w:t>
      </w:r>
      <w:r>
        <w:t xml:space="preserve"> </w:t>
      </w:r>
      <w:r>
        <w:t xml:space="preserve">EU. Given that this framework has not yet entered into force it is difficult to assess what</w:t>
      </w:r>
      <w:r>
        <w:t xml:space="preserve"> </w:t>
      </w:r>
      <w:r>
        <w:t xml:space="preserve">the exact impact on settlement efficiency would have. However, a large majority of the</w:t>
      </w:r>
      <w:r>
        <w:t xml:space="preserve"> </w:t>
      </w:r>
      <w:r>
        <w:t xml:space="preserve">respondents to the public consultation, including public authorities, CSDs, CCPs, banks,</w:t>
      </w:r>
      <w:r>
        <w:t xml:space="preserve"> </w:t>
      </w:r>
      <w:r>
        <w:t xml:space="preserve">asset management companies, market makers, and their respective associations, have</w:t>
      </w:r>
      <w:r>
        <w:t xml:space="preserve"> </w:t>
      </w:r>
      <w:r>
        <w:t xml:space="preserve">raised already the fact that the settlement discipline framework should be reviewed. From</w:t>
      </w:r>
      <w:r>
        <w:t xml:space="preserve"> </w:t>
      </w:r>
      <w:r>
        <w:t xml:space="preserve">those respondents, a vast majority indicated that the rules related to buy-ins should be</w:t>
      </w:r>
      <w:r>
        <w:t xml:space="preserve"> </w:t>
      </w:r>
      <w:r>
        <w:t xml:space="preserve">reviewed, with a large majority (all categories of stakeholder included) in favour of</w:t>
      </w:r>
      <w:r>
        <w:t xml:space="preserve"> </w:t>
      </w:r>
      <w:r>
        <w:t xml:space="preserve">voluntary buy-ins. Such respondents notably anticipate that the mandatory buy-in</w:t>
      </w:r>
      <w:r>
        <w:t xml:space="preserve"> </w:t>
      </w:r>
      <w:r>
        <w:t xml:space="preserve">requirements as introduced in CSDR may reduce market liquidity, increase the costs for</w:t>
      </w:r>
      <w:r>
        <w:t xml:space="preserve"> </w:t>
      </w:r>
      <w:r>
        <w:t xml:space="preserve">investors, creat unlevel playing field for EU CSDs and negatively impact securities</w:t>
      </w:r>
      <w:r>
        <w:t xml:space="preserve"> </w:t>
      </w:r>
      <w:r>
        <w:t xml:space="preserve">lending and repo markets.339 The reporting and penalty requirements of the settlement</w:t>
      </w:r>
      <w:r>
        <w:t xml:space="preserve"> </w:t>
      </w:r>
      <w:r>
        <w:t xml:space="preserve">discipline regime have however raised much less comments from respondents.</w:t>
      </w:r>
      <w:r>
        <w:t xml:space="preserve"> </w:t>
      </w:r>
      <w:r>
        <w:t xml:space="preserve">In light of the above, we can conclude that CSDR has largely paved the way of a more</w:t>
      </w:r>
      <w:r>
        <w:t xml:space="preserve"> </w:t>
      </w:r>
      <w:r>
        <w:t xml:space="preserve">efficient EU settlement market, notably by creating synergies and cross border</w:t>
      </w:r>
      <w:r>
        <w:t xml:space="preserve"> </w:t>
      </w:r>
      <w:r>
        <w:t xml:space="preserve">opportunities for CSDs, and by reducing settlement period to T+2. However, CSDR may</w:t>
      </w:r>
      <w:r>
        <w:t xml:space="preserve"> </w:t>
      </w:r>
      <w:r>
        <w:t xml:space="preserve">still be improved with a view to better achieve this objective, in particular by simplifying</w:t>
      </w:r>
      <w:r>
        <w:t xml:space="preserve"> </w:t>
      </w:r>
      <w:r>
        <w:t xml:space="preserve">the passeporting process and enhancing supervisory cooperation between authorities with</w:t>
      </w:r>
      <w:r>
        <w:t xml:space="preserve"> </w:t>
      </w:r>
      <w:r>
        <w:t xml:space="preserve">a view to facilitate the developement of cross-border activities. Furthermore, despite the</w:t>
      </w:r>
      <w:r>
        <w:t xml:space="preserve"> </w:t>
      </w:r>
      <w:r>
        <w:t xml:space="preserve">fact that it has not yet entered into force, further thoughts should be put into the</w:t>
      </w:r>
      <w:r>
        <w:t xml:space="preserve"> </w:t>
      </w:r>
      <w:r>
        <w:t xml:space="preserve">improvement of the settlement discipline regime, in particular the buy-in requirements.</w:t>
      </w:r>
      <w:r>
        <w:t xml:space="preserve"> </w:t>
      </w:r>
      <w:r>
        <w:t xml:space="preserve">2. Safety of the EU settlement market</w:t>
      </w:r>
      <w:r>
        <w:t xml:space="preserve"> </w:t>
      </w:r>
      <w:r>
        <w:t xml:space="preserve">Before the entry into force of CSDR, CSDs were subject to different authorisation and</w:t>
      </w:r>
      <w:r>
        <w:t xml:space="preserve"> </w:t>
      </w:r>
      <w:r>
        <w:t xml:space="preserve">supervision regimes across the EU.340 Differences can be broadly divided into three</w:t>
      </w:r>
      <w:r>
        <w:t xml:space="preserve"> </w:t>
      </w:r>
      <w:r>
        <w:t xml:space="preserve">categories: (1) different definitions of CSD services, (2) different authorisation and</w:t>
      </w:r>
      <w:r>
        <w:t xml:space="preserve"> </w:t>
      </w:r>
      <w:r>
        <w:t xml:space="preserve">supervision regimes and organisational rules, and (3) lack of a common prudential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339 Summary report of the targeted consultation document on the review of regulation on improving securities</w:t>
      </w:r>
      <w:r>
        <w:t xml:space="preserve"> </w:t>
      </w:r>
      <w:r>
        <w:t xml:space="preserve">settlement in the European Union and on central securities depositories 8 December 2020 – 2 February</w:t>
      </w:r>
      <w:r>
        <w:t xml:space="preserve"> </w:t>
      </w:r>
      <w:r>
        <w:t xml:space="preserve">2021, paragraph 3.7.2.</w:t>
      </w:r>
      <w:r>
        <w:t xml:space="preserve"> </w:t>
      </w:r>
      <w:r>
        <w:t xml:space="preserve">340 2014 IA, p.14: https://eur-lex.europa.eu/legal-content/EN/TXT/?uri=SWD%3A2012%3A0022%3AFIN</w:t>
      </w:r>
    </w:p>
    <w:p>
      <w:pPr>
        <w:pStyle w:val="BodyText"/>
      </w:pPr>
      <w:r>
        <w:t xml:space="preserve">It was determined that definitions of CSDs and of the CSDs’ services vary considerably,</w:t>
      </w:r>
      <w:r>
        <w:t xml:space="preserve"> </w:t>
      </w:r>
      <w:r>
        <w:t xml:space="preserve">for instance in the different holding systems, with the three core functions not</w:t>
      </w:r>
      <w:r>
        <w:t xml:space="preserve"> </w:t>
      </w:r>
      <w:r>
        <w:t xml:space="preserve">distinguished between each other nor with the ancillary functions. In the indirect holding</w:t>
      </w:r>
      <w:r>
        <w:t xml:space="preserve"> </w:t>
      </w:r>
      <w:r>
        <w:t xml:space="preserve">systems the central safekeeping function was either incorporated into the notary function</w:t>
      </w:r>
      <w:r>
        <w:t xml:space="preserve"> </w:t>
      </w:r>
      <w:r>
        <w:t xml:space="preserve">(France) or into the settlement function (the UK). Ancillary services were not uniformly</w:t>
      </w:r>
      <w:r>
        <w:t xml:space="preserve"> </w:t>
      </w:r>
      <w:r>
        <w:t xml:space="preserve">defined or recognised, especially the banking services which could not be offered by</w:t>
      </w:r>
      <w:r>
        <w:t xml:space="preserve"> </w:t>
      </w:r>
      <w:r>
        <w:t xml:space="preserve">CSDs in most Member States, while they form an integral part of the CSD functions in</w:t>
      </w:r>
      <w:r>
        <w:t xml:space="preserve"> </w:t>
      </w:r>
      <w:r>
        <w:t xml:space="preserve">other Member States (Germany, Belgium).</w:t>
      </w:r>
      <w:r>
        <w:t xml:space="preserve"> </w:t>
      </w:r>
      <w:r>
        <w:t xml:space="preserve">These differences had consequences in terms of level playing field but also of safety: the</w:t>
      </w:r>
      <w:r>
        <w:t xml:space="preserve"> </w:t>
      </w:r>
      <w:r>
        <w:t xml:space="preserve">lack of a common definition of core CSD services and of who can/cannot provide such</w:t>
      </w:r>
      <w:r>
        <w:t xml:space="preserve"> </w:t>
      </w:r>
      <w:r>
        <w:t xml:space="preserve">services can lead to some of the core services, particularly settlement, being provided by</w:t>
      </w:r>
      <w:r>
        <w:t xml:space="preserve"> </w:t>
      </w:r>
      <w:r>
        <w:t xml:space="preserve">institutions not authorised as CSDs causing an unlevel playing field as some parties</w:t>
      </w:r>
      <w:r>
        <w:t xml:space="preserve"> </w:t>
      </w:r>
      <w:r>
        <w:t xml:space="preserve">could for example settle internally protected by the SFD, and others could not, or for</w:t>
      </w:r>
      <w:r>
        <w:t xml:space="preserve"> </w:t>
      </w:r>
      <w:r>
        <w:t xml:space="preserve">instance between those who are allowed to provide banking-type of services and those</w:t>
      </w:r>
      <w:r>
        <w:t xml:space="preserve"> </w:t>
      </w:r>
      <w:r>
        <w:t xml:space="preserve">who are not.</w:t>
      </w:r>
      <w:r>
        <w:t xml:space="preserve"> </w:t>
      </w:r>
      <w:r>
        <w:t xml:space="preserve">Risk to the soundness of CSDs, arose from the ability of some CSDs to engage in</w:t>
      </w:r>
      <w:r>
        <w:t xml:space="preserve"> </w:t>
      </w:r>
      <w:r>
        <w:t xml:space="preserve">activities with higher risk, such as banking-type of activities, raising the risk profile of</w:t>
      </w:r>
      <w:r>
        <w:t xml:space="preserve"> </w:t>
      </w:r>
      <w:r>
        <w:t xml:space="preserve">CSDs that undertake these activities, albeit mitigated to some extent by the limitation in</w:t>
      </w:r>
      <w:r>
        <w:t xml:space="preserve"> </w:t>
      </w:r>
      <w:r>
        <w:t xml:space="preserve">scope of these activities (essentially to deposit taking and credit granting related to the</w:t>
      </w:r>
      <w:r>
        <w:t xml:space="preserve"> </w:t>
      </w:r>
      <w:r>
        <w:t xml:space="preserve">CSD’s core activities) and by strict CPSS-IOSCO requirements, including full</w:t>
      </w:r>
      <w:r>
        <w:t xml:space="preserve"> </w:t>
      </w:r>
      <w:r>
        <w:t xml:space="preserve">collateralisation of credit.</w:t>
      </w:r>
      <w:r>
        <w:t xml:space="preserve"> </w:t>
      </w:r>
      <w:r>
        <w:t xml:space="preserve">In some Member States there was no specific authorisation regime for CSDs but their</w:t>
      </w:r>
      <w:r>
        <w:t xml:space="preserve"> </w:t>
      </w:r>
      <w:r>
        <w:t xml:space="preserve">functions were regulated by various national regulations. In most direct holding countries</w:t>
      </w:r>
      <w:r>
        <w:t xml:space="preserve"> </w:t>
      </w:r>
      <w:r>
        <w:t xml:space="preserve">CSDs are designated by law to perform some core and ancillary functions such as</w:t>
      </w:r>
      <w:r>
        <w:t xml:space="preserve"> </w:t>
      </w:r>
      <w:r>
        <w:t xml:space="preserve">registrar and account providing (safekeeping) functions and the other functions are</w:t>
      </w:r>
      <w:r>
        <w:t xml:space="preserve"> </w:t>
      </w:r>
      <w:r>
        <w:t xml:space="preserve">derived from these. In other countries CSDs are deemed to have a banking status. These</w:t>
      </w:r>
      <w:r>
        <w:t xml:space="preserve"> </w:t>
      </w:r>
      <w:r>
        <w:t xml:space="preserve">differences led to the fragmentation of the EU post trading market described. This</w:t>
      </w:r>
      <w:r>
        <w:t xml:space="preserve"> </w:t>
      </w:r>
      <w:r>
        <w:t xml:space="preserve">fragmentation resulted in the cross-border settlement of transactions relying on a</w:t>
      </w:r>
      <w:r>
        <w:t xml:space="preserve"> </w:t>
      </w:r>
      <w:r>
        <w:t xml:space="preserve">“spaghetti”</w:t>
      </w:r>
      <w:r>
        <w:t xml:space="preserve"> </w:t>
      </w:r>
      <w:r>
        <w:t xml:space="preserve">model of links between CSDs and/or a chain of intermediaries. This has</w:t>
      </w:r>
      <w:r>
        <w:t xml:space="preserve"> </w:t>
      </w:r>
      <w:r>
        <w:t xml:space="preserve">obvious consequences for the safety and efficiency of cross-border transactions.</w:t>
      </w:r>
      <w:r>
        <w:t xml:space="preserve"> </w:t>
      </w:r>
      <w:r>
        <w:t xml:space="preserve">Before CSDR, organisational and conduct of business requirements, rules regarding the</w:t>
      </w:r>
      <w:r>
        <w:t xml:space="preserve"> </w:t>
      </w:r>
      <w:r>
        <w:t xml:space="preserve">integrity of the issue and rules regarding the provision of banking services ancillary to</w:t>
      </w:r>
      <w:r>
        <w:t xml:space="preserve"> </w:t>
      </w:r>
      <w:r>
        <w:t xml:space="preserve">settlement, diverged from one Member State to the other, with some CSDs being subject</w:t>
      </w:r>
      <w:r>
        <w:t xml:space="preserve"> </w:t>
      </w:r>
      <w:r>
        <w:t xml:space="preserve">to less stringent requirements than others. Harmonisation of such requirement from the</w:t>
      </w:r>
      <w:r>
        <w:t xml:space="preserve"> </w:t>
      </w:r>
      <w:r>
        <w:t xml:space="preserve">above in CSDR aimed at strengthning CSDs organisation and rebalancing the</w:t>
      </w:r>
      <w:r>
        <w:t xml:space="preserve"> </w:t>
      </w:r>
      <w:r>
        <w:t xml:space="preserve">relationship between CSDs and participants.</w:t>
      </w:r>
      <w:r>
        <w:t xml:space="preserve"> </w:t>
      </w:r>
      <w:r>
        <w:t xml:space="preserve">Finally, European CSDs also lacked a common prudential framework. They were subject</w:t>
      </w:r>
      <w:r>
        <w:t xml:space="preserve"> </w:t>
      </w:r>
      <w:r>
        <w:t xml:space="preserve">to technical standards by ECB and to recommendations by CPSS-IOSCO and ESCB-</w:t>
      </w:r>
      <w:r>
        <w:t xml:space="preserve"> </w:t>
      </w:r>
      <w:r>
        <w:t xml:space="preserve">CESR. However, due to their soft law nature, these standards and recommendations are</w:t>
      </w:r>
      <w:r>
        <w:t xml:space="preserve"> </w:t>
      </w:r>
      <w:r>
        <w:t xml:space="preserve">implemented in different ways. This raised several problems: possible failures due to non</w:t>
      </w:r>
      <w:r>
        <w:t xml:space="preserve"> </w:t>
      </w:r>
      <w:r>
        <w:t xml:space="preserve">regulated operational or financial risks would have tremendous consequences for a</w:t>
      </w:r>
      <w:r>
        <w:t xml:space="preserve"> </w:t>
      </w:r>
      <w:r>
        <w:t xml:space="preserve">national market as it would essentially block the securities market, with severe</w:t>
      </w:r>
      <w:r>
        <w:t xml:space="preserve"> </w:t>
      </w:r>
      <w:r>
        <w:t xml:space="preserve">implications for the ability of market participants to honour their obligations, the lack of</w:t>
      </w:r>
      <w:r>
        <w:t xml:space="preserve"> </w:t>
      </w:r>
      <w:r>
        <w:t xml:space="preserve">a common prudential framework could lead to regulatory arbitrage favouring the CSD</w:t>
      </w:r>
      <w:r>
        <w:t xml:space="preserve"> </w:t>
      </w:r>
      <w:r>
        <w:t xml:space="preserve">with the</w:t>
      </w:r>
      <w:r>
        <w:t xml:space="preserve"> </w:t>
      </w:r>
      <w:r>
        <w:t xml:space="preserve">“softest”</w:t>
      </w:r>
      <w:r>
        <w:t xml:space="preserve"> </w:t>
      </w:r>
      <w:r>
        <w:t xml:space="preserve">approach and as the markets are becoming more integrated, link</w:t>
      </w:r>
      <w:r>
        <w:t xml:space="preserve"> </w:t>
      </w:r>
      <w:r>
        <w:t xml:space="preserve">arrangements between CSDs are expected to increase, especially in the post-T2S</w:t>
      </w:r>
      <w:r>
        <w:t xml:space="preserve"> </w:t>
      </w:r>
      <w:r>
        <w:t xml:space="preserve">environment possibly creating additional legal, credit, liquidity and operational risks</w:t>
      </w:r>
      <w:r>
        <w:t xml:space="preserve"> </w:t>
      </w:r>
      <w:r>
        <w:t xml:space="preserve">arising from differences between the laws of the linked CSDs concerning netting, finality</w:t>
      </w:r>
    </w:p>
    <w:p>
      <w:pPr>
        <w:pStyle w:val="BodyText"/>
      </w:pPr>
      <w:r>
        <w:t xml:space="preserve">of transfers, ownership and collateral owing to inefficiencies associated with the</w:t>
      </w:r>
      <w:r>
        <w:t xml:space="preserve"> </w:t>
      </w:r>
      <w:r>
        <w:t xml:space="preserve">operation of the link, such as variations in the settlement cycles and settlement discipline</w:t>
      </w:r>
      <w:r>
        <w:t xml:space="preserve"> </w:t>
      </w:r>
      <w:r>
        <w:t xml:space="preserve">of the linked systems and for example in the case one CSD permits provisional transfers</w:t>
      </w:r>
      <w:r>
        <w:t xml:space="preserve"> </w:t>
      </w:r>
      <w:r>
        <w:t xml:space="preserve">of funds or securities that may be unwound.</w:t>
      </w:r>
      <w:r>
        <w:t xml:space="preserve"> </w:t>
      </w:r>
      <w:r>
        <w:t xml:space="preserve">Prudential requirements are also about ensuring the CSDs have reconciliation rules of</w:t>
      </w:r>
      <w:r>
        <w:t xml:space="preserve"> </w:t>
      </w:r>
      <w:r>
        <w:t xml:space="preserve">their records in order to prevent the unauthorised creation or deletion of securities. There</w:t>
      </w:r>
      <w:r>
        <w:t xml:space="preserve"> </w:t>
      </w:r>
      <w:r>
        <w:t xml:space="preserve">are also rules that prohibit artificial creation of securities, provisional transfers of</w:t>
      </w:r>
      <w:r>
        <w:t xml:space="preserve"> </w:t>
      </w:r>
      <w:r>
        <w:t xml:space="preserve">securities across CSD links and re-use of securities without client consent, or rules that</w:t>
      </w:r>
      <w:r>
        <w:t xml:space="preserve"> </w:t>
      </w:r>
      <w:r>
        <w:t xml:space="preserve">require CSDs to segregate participants’ securities from their own assets and to support the</w:t>
      </w:r>
      <w:r>
        <w:t xml:space="preserve"> </w:t>
      </w:r>
      <w:r>
        <w:t xml:space="preserve">segregation of securities belonging to a participant’s customers on the participant’s books.</w:t>
      </w:r>
      <w:r>
        <w:t xml:space="preserve"> </w:t>
      </w:r>
      <w:r>
        <w:t xml:space="preserve">In light of the above, we can conclude that CSDR has generally achieved the objective of</w:t>
      </w:r>
      <w:r>
        <w:t xml:space="preserve"> </w:t>
      </w:r>
      <w:r>
        <w:t xml:space="preserve">improving safety of the EU settlement market, at the risk of being sometimes too</w:t>
      </w:r>
      <w:r>
        <w:t xml:space="preserve"> </w:t>
      </w:r>
      <w:r>
        <w:t xml:space="preserve">stringent. Indeed, although the majority of CSDs that responded to the public</w:t>
      </w:r>
      <w:r>
        <w:t xml:space="preserve"> </w:t>
      </w:r>
      <w:r>
        <w:t xml:space="preserve">consultation consider that the conditions set out in CSDR for the provision of banking-</w:t>
      </w:r>
      <w:r>
        <w:t xml:space="preserve"> </w:t>
      </w:r>
      <w:r>
        <w:t xml:space="preserve">type ancillary services by CSDs are proportionate, some CSDs noted that such</w:t>
      </w:r>
      <w:r>
        <w:t xml:space="preserve"> </w:t>
      </w:r>
      <w:r>
        <w:t xml:space="preserve">requirements may not be proportionate to the risks and volumes of certain banking</w:t>
      </w:r>
      <w:r>
        <w:t xml:space="preserve"> </w:t>
      </w:r>
      <w:r>
        <w:t xml:space="preserve">services they intend to provide, especially in the case of smaller CSDs. It can be noted in</w:t>
      </w:r>
      <w:r>
        <w:t xml:space="preserve"> </w:t>
      </w:r>
      <w:r>
        <w:t xml:space="preserve">this respect that all of the 5 CSDs that have applied to provide banking services under</w:t>
      </w:r>
      <w:r>
        <w:t xml:space="preserve"> </w:t>
      </w:r>
      <w:r>
        <w:t xml:space="preserve">CSDR already provided these services pre-CSDR and no new providers have entered the</w:t>
      </w:r>
      <w:r>
        <w:t xml:space="preserve"> </w:t>
      </w:r>
      <w:r>
        <w:t xml:space="preserve">market. Furthermore, none of the CSDs providing services do so through designated</w:t>
      </w:r>
      <w:r>
        <w:t xml:space="preserve"> </w:t>
      </w:r>
      <w:r>
        <w:t xml:space="preserve">credit insitutitions as allowed by CSDR, for the simple reason that no credit institution</w:t>
      </w:r>
      <w:r>
        <w:t xml:space="preserve"> </w:t>
      </w:r>
      <w:r>
        <w:t xml:space="preserve">offer such services for the moment (respondent to the consultation mentionning notably</w:t>
      </w:r>
      <w:r>
        <w:t xml:space="preserve"> </w:t>
      </w:r>
      <w:r>
        <w:t xml:space="preserve">that the limited activity and the limited number of potential transactions due to CSDR</w:t>
      </w:r>
      <w:r>
        <w:t xml:space="preserve"> </w:t>
      </w:r>
      <w:r>
        <w:t xml:space="preserve">restrictions mean that such kind of credit institutions would not be economically viable).</w:t>
      </w:r>
      <w:r>
        <w:t xml:space="preserve"> </w:t>
      </w:r>
      <w:r>
        <w:t xml:space="preserve">3. Level playing field for CSDs</w:t>
      </w:r>
      <w:r>
        <w:t xml:space="preserve"> </w:t>
      </w:r>
      <w:r>
        <w:t xml:space="preserve">Before the entry into force of CSDR, cooperation between national competent authorities</w:t>
      </w:r>
      <w:r>
        <w:t xml:space="preserve"> </w:t>
      </w:r>
      <w:r>
        <w:t xml:space="preserve">regarding the supervision of EU CSDs was ensured on a bilateral basis only, between the</w:t>
      </w:r>
      <w:r>
        <w:t xml:space="preserve"> </w:t>
      </w:r>
      <w:r>
        <w:t xml:space="preserve">authorities, without: i) any strict requirement applying in this respect; ii) a minimum</w:t>
      </w:r>
      <w:r>
        <w:t xml:space="preserve"> </w:t>
      </w:r>
      <w:r>
        <w:t xml:space="preserve">common set of organisational and prudential requirements applicable to CSDs; and iii)</w:t>
      </w:r>
      <w:r>
        <w:t xml:space="preserve"> </w:t>
      </w:r>
      <w:r>
        <w:t xml:space="preserve">the involvment of ESMA. Such situation created the risk of an unlevel playing field</w:t>
      </w:r>
      <w:r>
        <w:t xml:space="preserve"> </w:t>
      </w:r>
      <w:r>
        <w:t xml:space="preserve">between EU CSDs operating in a Member State, those established locally being subject</w:t>
      </w:r>
      <w:r>
        <w:t xml:space="preserve"> </w:t>
      </w:r>
      <w:r>
        <w:t xml:space="preserve">to local requirements whilst those operating on a cross border basis were subject to a</w:t>
      </w:r>
      <w:r>
        <w:t xml:space="preserve"> </w:t>
      </w:r>
      <w:r>
        <w:t xml:space="preserve">different set of requirements, not necessarily always completely aligned.</w:t>
      </w:r>
      <w:r>
        <w:t xml:space="preserve"> </w:t>
      </w:r>
      <w:r>
        <w:t xml:space="preserve">By creating an harmonized set of requirements applying to CSDs and introducing</w:t>
      </w:r>
      <w:r>
        <w:t xml:space="preserve"> </w:t>
      </w:r>
      <w:r>
        <w:t xml:space="preserve">cooperation requirements between national competent authorities, CSDR moved</w:t>
      </w:r>
      <w:r>
        <w:t xml:space="preserve"> </w:t>
      </w:r>
      <w:r>
        <w:t xml:space="preserve">substantially closer to its objective to ensure a level playing field for CSDs within the</w:t>
      </w:r>
      <w:r>
        <w:t xml:space="preserve"> </w:t>
      </w:r>
      <w:r>
        <w:t xml:space="preserve">EU. However, evidence from the targeted consultation and bilateral information provided</w:t>
      </w:r>
      <w:r>
        <w:t xml:space="preserve"> </w:t>
      </w:r>
      <w:r>
        <w:t xml:space="preserve">by stakeholders shows that views are split on whether cooperation arrangements under</w:t>
      </w:r>
      <w:r>
        <w:t xml:space="preserve"> </w:t>
      </w:r>
      <w:r>
        <w:t xml:space="preserve">CSDR work in the most efficient manner. For example, despite the fact that CSDR</w:t>
      </w:r>
      <w:r>
        <w:t xml:space="preserve"> </w:t>
      </w:r>
      <w:r>
        <w:t xml:space="preserve">provides the possibility for national competent authorities to set up colleges, no such</w:t>
      </w:r>
      <w:r>
        <w:t xml:space="preserve"> </w:t>
      </w:r>
      <w:r>
        <w:t xml:space="preserve">college has yet been put in place for EU CSDs. It should be noted that the majority of</w:t>
      </w:r>
      <w:r>
        <w:t xml:space="preserve"> </w:t>
      </w:r>
      <w:r>
        <w:t xml:space="preserve">respondents to the targeted consultation, including public authorities and banks,</w:t>
      </w:r>
      <w:r>
        <w:t xml:space="preserve"> </w:t>
      </w:r>
      <w:r>
        <w:t xml:space="preserve">considered that the cooperation amongst national competent authorities would be</w:t>
      </w:r>
    </w:p>
    <w:p>
      <w:pPr>
        <w:pStyle w:val="BodyText"/>
      </w:pPr>
      <w:r>
        <w:t xml:space="preserve">improved if colleges were established and, in particular, they were always involved in the</w:t>
      </w:r>
      <w:r>
        <w:t xml:space="preserve"> </w:t>
      </w:r>
      <w:r>
        <w:t xml:space="preserve">passporting process notably.341</w:t>
      </w:r>
      <w:r>
        <w:t xml:space="preserve"> </w:t>
      </w:r>
      <w:r>
        <w:t xml:space="preserve">On an international level, CSDR aimed at ensuring the EU alignment with the global</w:t>
      </w:r>
      <w:r>
        <w:t xml:space="preserve"> </w:t>
      </w:r>
      <w:r>
        <w:t xml:space="preserve">standards applying to the setllement environment, in particular the Principle for Financial</w:t>
      </w:r>
      <w:r>
        <w:t xml:space="preserve"> </w:t>
      </w:r>
      <w:r>
        <w:t xml:space="preserve">Markets Infrastructures (PFMIs) adopted by the Bank of International Settlements (BIS)</w:t>
      </w:r>
      <w:r>
        <w:t xml:space="preserve"> </w:t>
      </w:r>
      <w:r>
        <w:t xml:space="preserve">and the International Organisation of Securities Commissions (IOSCO) in April 2012.342</w:t>
      </w:r>
      <w:r>
        <w:t xml:space="preserve"> </w:t>
      </w:r>
      <w:r>
        <w:t xml:space="preserve">This aimed at ensuring international consistency in the framework under which CSDs</w:t>
      </w:r>
      <w:r>
        <w:t xml:space="preserve"> </w:t>
      </w:r>
      <w:r>
        <w:t xml:space="preserve">operate. Nevertheless, in some aspects the requirements set out in CSDR go beyond the</w:t>
      </w:r>
      <w:r>
        <w:t xml:space="preserve"> </w:t>
      </w:r>
      <w:r>
        <w:t xml:space="preserve">PFMIs, e.g. this is the case for settlement discipline regime, which includes the buy-in</w:t>
      </w:r>
      <w:r>
        <w:t xml:space="preserve"> </w:t>
      </w:r>
      <w:r>
        <w:t xml:space="preserve">regime that is not part of the PFMIs and rarely implemented in other jurisdictions343, e.g. </w:t>
      </w:r>
      <w:r>
        <w:t xml:space="preserve"> </w:t>
      </w:r>
      <w:r>
        <w:t xml:space="preserve">the UK announced it is not implementing the CSDR Settlement Discipline Regime344.</w:t>
      </w:r>
      <w:r>
        <w:t xml:space="preserve"> </w:t>
      </w:r>
      <w:r>
        <w:t xml:space="preserve">The impact of the discrepancies between the rules applicable to EU CSDs and those</w:t>
      </w:r>
      <w:r>
        <w:t xml:space="preserve"> </w:t>
      </w:r>
      <w:r>
        <w:t xml:space="preserve">applicable to non-EU CSDs could be attenuated if non-EU CSDs were authorised to</w:t>
      </w:r>
      <w:r>
        <w:t xml:space="preserve"> </w:t>
      </w:r>
      <w:r>
        <w:t xml:space="preserve">provide core services within the EU only further to an equivalence and recognition</w:t>
      </w:r>
      <w:r>
        <w:t xml:space="preserve"> </w:t>
      </w:r>
      <w:r>
        <w:t xml:space="preserve">process. However, the existence of a grandfathering clause in CSDR, allowing non-EU</w:t>
      </w:r>
      <w:r>
        <w:t xml:space="preserve"> </w:t>
      </w:r>
      <w:r>
        <w:t xml:space="preserve">CSDs to continue providing services in the EU under the national regimes until an</w:t>
      </w:r>
      <w:r>
        <w:t xml:space="preserve"> </w:t>
      </w:r>
      <w:r>
        <w:t xml:space="preserve">equivalence decision is issued by the Commission creates a de facto situation where</w:t>
      </w:r>
      <w:r>
        <w:t xml:space="preserve"> </w:t>
      </w:r>
      <w:r>
        <w:t xml:space="preserve">third-country CSDs may keep serving EU participants under a legal framework different</w:t>
      </w:r>
      <w:r>
        <w:t xml:space="preserve"> </w:t>
      </w:r>
      <w:r>
        <w:t xml:space="preserve">(and potentially less stringent) to the one applicable to EU CSDs. Without any end-date</w:t>
      </w:r>
      <w:r>
        <w:t xml:space="preserve"> </w:t>
      </w:r>
      <w:r>
        <w:t xml:space="preserve">to the grandfathering clause and absent the possibility for the Commission to issue</w:t>
      </w:r>
      <w:r>
        <w:t xml:space="preserve"> </w:t>
      </w:r>
      <w:r>
        <w:t xml:space="preserve">negative equivalence decisions, such situation could continue - potentially indefinately.</w:t>
      </w:r>
      <w:r>
        <w:t xml:space="preserve"> </w:t>
      </w:r>
      <w:r>
        <w:t xml:space="preserve">Question 2: How efficient has the EU intervention been?</w:t>
      </w:r>
      <w:r>
        <w:t xml:space="preserve"> </w:t>
      </w:r>
      <w:r>
        <w:t xml:space="preserve">- To what extent have CSDR’s core requirements on settlement discipline,</w:t>
      </w:r>
      <w:r>
        <w:t xml:space="preserve"> </w:t>
      </w:r>
      <w:r>
        <w:t xml:space="preserve">organisational, conduct of business and prudential requirements for CSDs, the passport</w:t>
      </w:r>
      <w:r>
        <w:t xml:space="preserve"> </w:t>
      </w:r>
      <w:r>
        <w:t xml:space="preserve">system, increased prudential and supervisory requirements and increased cooperation</w:t>
      </w:r>
      <w:r>
        <w:t xml:space="preserve"> </w:t>
      </w:r>
      <w:r>
        <w:t xml:space="preserve">requirements given the effects they have achieved in promoting an EU settlement market</w:t>
      </w:r>
      <w:r>
        <w:t xml:space="preserve"> </w:t>
      </w:r>
      <w:r>
        <w:t xml:space="preserve">and in mitigating systemic risk?</w:t>
      </w:r>
      <w:r>
        <w:t xml:space="preserve"> </w:t>
      </w:r>
      <w:r>
        <w:t xml:space="preserve">Since not all of the requirements of CSDR have entered into application, such as the</w:t>
      </w:r>
      <w:r>
        <w:t xml:space="preserve"> </w:t>
      </w:r>
      <w:r>
        <w:t xml:space="preserve">requirements of settlement fails part of the settlement discipline rules, and CSDR’s</w:t>
      </w:r>
      <w:r>
        <w:t xml:space="preserve"> </w:t>
      </w:r>
      <w:r>
        <w:t xml:space="preserve">limited history of application overall make definitive conclusions on settlement</w:t>
      </w:r>
      <w:r>
        <w:t xml:space="preserve"> </w:t>
      </w:r>
      <w:r>
        <w:t xml:space="preserve">efficiency difficult, the following can be mentioned.</w:t>
      </w:r>
      <w:r>
        <w:br/>
      </w:r>
      <w:r>
        <w:t xml:space="preserve">In broad terms, CSDR is achieving its original objectives to enhance the efficiency of</w:t>
      </w:r>
      <w:r>
        <w:t xml:space="preserve"> </w:t>
      </w:r>
      <w:r>
        <w:t xml:space="preserve">settlement in the EU and the soundness of Central Securities Depositories (‘CSDs’). For</w:t>
      </w:r>
    </w:p>
    <w:p>
      <w:pPr>
        <w:pStyle w:val="BodyText"/>
      </w:pPr>
      <w:r>
        <w:t xml:space="preserve">341 Summary report of the targeted consultation document on the review of regulation on improving securities</w:t>
      </w:r>
      <w:r>
        <w:t xml:space="preserve"> </w:t>
      </w:r>
      <w:r>
        <w:t xml:space="preserve">settlement in the European Union and on central securities depositories 8 December 2020 – 2 February</w:t>
      </w:r>
      <w:r>
        <w:t xml:space="preserve"> </w:t>
      </w:r>
      <w:r>
        <w:t xml:space="preserve">2021, paragraph 3.3.3.</w:t>
      </w:r>
      <w:r>
        <w:t xml:space="preserve"> </w:t>
      </w:r>
      <w:r>
        <w:t xml:space="preserve">342 Principles for financial market infrastructures, Issued by the Committee on Payments and Market</w:t>
      </w:r>
      <w:r>
        <w:t xml:space="preserve"> </w:t>
      </w:r>
      <w:r>
        <w:t xml:space="preserve">Infrastructure (CPMI) of the Bank of International Settlements (BIS) and the International Organization of</w:t>
      </w:r>
      <w:r>
        <w:t xml:space="preserve"> </w:t>
      </w:r>
      <w:r>
        <w:t xml:space="preserve">Securities Commissions (IOSCO) in April 2012.</w:t>
      </w:r>
      <w:r>
        <w:t xml:space="preserve"> </w:t>
      </w:r>
      <w:r>
        <w:t xml:space="preserve">343 During the CSDR public consultation stakeholders referred to a few arrangements similar to the CSDR</w:t>
      </w:r>
      <w:r>
        <w:t xml:space="preserve"> </w:t>
      </w:r>
      <w:r>
        <w:t xml:space="preserve">settlement discipline regime. For instance, in the USA, the SHO Regulation and SEC Rule 204, relates</w:t>
      </w:r>
      <w:r>
        <w:t xml:space="preserve"> </w:t>
      </w:r>
      <w:r>
        <w:t xml:space="preserve">only to short-selling and the obligation that broker and dealer must close-out unresolved equities</w:t>
      </w:r>
      <w:r>
        <w:t xml:space="preserve"> </w:t>
      </w:r>
      <w:r>
        <w:t xml:space="preserve">transactions. Examples of buy-ins were given for Asian markets, e.g. Singapore Exchange where any</w:t>
      </w:r>
      <w:r>
        <w:t xml:space="preserve"> </w:t>
      </w:r>
      <w:r>
        <w:t xml:space="preserve">unsettled buy-in trade is carried forward to the next business day for settlement. If the buy-in and</w:t>
      </w:r>
      <w:r>
        <w:t xml:space="preserve"> </w:t>
      </w:r>
      <w:r>
        <w:t xml:space="preserve">procurement remains unsuccessful by ISD +6, cash settlement will be initiated against the seller to provide</w:t>
      </w:r>
      <w:r>
        <w:t xml:space="preserve"> </w:t>
      </w:r>
      <w:r>
        <w:t xml:space="preserve">resolution of the sale trade. However the Singapore Exchange has a very low failure rate because of DvP</w:t>
      </w:r>
      <w:r>
        <w:t xml:space="preserve"> </w:t>
      </w:r>
      <w:r>
        <w:t xml:space="preserve">and very few trades go to buy-in.</w:t>
      </w:r>
      <w:r>
        <w:t xml:space="preserve"> </w:t>
      </w:r>
      <w:r>
        <w:t xml:space="preserve">344 Written statement by Chancellor of the Exchequer on 23 June 2020. See: https://questions-</w:t>
      </w:r>
      <w:r>
        <w:t xml:space="preserve"> </w:t>
      </w:r>
      <w:r>
        <w:t xml:space="preserve">statements.parliament.uk/written-statements/detail/2020-06-23/HCWS309.</w:t>
      </w:r>
    </w:p>
    <w:p>
      <w:pPr>
        <w:pStyle w:val="BodyText"/>
      </w:pPr>
      <w:r>
        <w:t xml:space="preserve">most areas, significant changes to CSDR would be premature considering the relatively</w:t>
      </w:r>
      <w:r>
        <w:t xml:space="preserve"> </w:t>
      </w:r>
      <w:r>
        <w:t xml:space="preserve">recent application of requirements.</w:t>
      </w:r>
      <w:r>
        <w:t xml:space="preserve"> </w:t>
      </w:r>
      <w:r>
        <w:t xml:space="preserve">One of the main objectives of CSDR was to reduce the complexity of and facilitate cross-</w:t>
      </w:r>
      <w:r>
        <w:t xml:space="preserve"> </w:t>
      </w:r>
      <w:r>
        <w:t xml:space="preserve">border settlement in order to limit the risk and cost involved in such operations. The</w:t>
      </w:r>
      <w:r>
        <w:t xml:space="preserve"> </w:t>
      </w:r>
      <w:r>
        <w:t xml:space="preserve">ongoing inefficiencies in the EU settlement market are due to a burdensome passporting</w:t>
      </w:r>
      <w:r>
        <w:t xml:space="preserve"> </w:t>
      </w:r>
      <w:r>
        <w:t xml:space="preserve">process, insufficient cooperation between authorities CSDR has not proved efficient at</w:t>
      </w:r>
      <w:r>
        <w:t xml:space="preserve"> </w:t>
      </w:r>
      <w:r>
        <w:t xml:space="preserve">faciliating cross-border settlement. Passporting requirements remain burdensome, there is</w:t>
      </w:r>
      <w:r>
        <w:t xml:space="preserve"> </w:t>
      </w:r>
      <w:r>
        <w:t xml:space="preserve">insufficient coordination among the various authorities responsible, while requirements</w:t>
      </w:r>
      <w:r>
        <w:t xml:space="preserve"> </w:t>
      </w:r>
      <w:r>
        <w:t xml:space="preserve">for the provision of banking services remain restrictive. CSDR requires the establishment</w:t>
      </w:r>
      <w:r>
        <w:t xml:space="preserve"> </w:t>
      </w:r>
      <w:r>
        <w:t xml:space="preserve">of cooperative arrangements between home and host authorities when certain conditions</w:t>
      </w:r>
      <w:r>
        <w:t xml:space="preserve"> </w:t>
      </w:r>
      <w:r>
        <w:t xml:space="preserve">are met and even allows for the voluntary establishment of colleges of supervisors, in</w:t>
      </w:r>
      <w:r>
        <w:t xml:space="preserve"> </w:t>
      </w:r>
      <w:r>
        <w:t xml:space="preserve">practice such arrangements have barely been used. Compliance costs with CSDR</w:t>
      </w:r>
      <w:r>
        <w:t xml:space="preserve"> </w:t>
      </w:r>
      <w:r>
        <w:t xml:space="preserve">requirements have so far proved disproprotionate, both for market participants and</w:t>
      </w:r>
      <w:r>
        <w:t xml:space="preserve"> </w:t>
      </w:r>
      <w:r>
        <w:t xml:space="preserve">regulators. Legal requirements remain unclear requiring regulators to provide guidance to</w:t>
      </w:r>
      <w:r>
        <w:t xml:space="preserve"> </w:t>
      </w:r>
      <w:r>
        <w:t xml:space="preserve">CSDs and other market participants. Compliance costs are thus considered excessively</w:t>
      </w:r>
      <w:r>
        <w:t xml:space="preserve"> </w:t>
      </w:r>
      <w:r>
        <w:t xml:space="preserve">burdensome or the costs outweigh the potential benefits of the regime.</w:t>
      </w:r>
      <w:r>
        <w:br/>
      </w:r>
      <w:r>
        <w:t xml:space="preserve">As a result the competition amongst providers of CSD services remains limited and the</w:t>
      </w:r>
      <w:r>
        <w:t xml:space="preserve"> </w:t>
      </w:r>
      <w:r>
        <w:t xml:space="preserve">costs incurred by investors in cross-border transaction remain high. CSDR has thus</w:t>
      </w:r>
      <w:r>
        <w:t xml:space="preserve"> </w:t>
      </w:r>
      <w:r>
        <w:t xml:space="preserve">proved so far inefficient in creating an integrated EU market for settlement services.</w:t>
      </w:r>
      <w:r>
        <w:br/>
      </w:r>
      <w:r>
        <w:t xml:space="preserve">In certain areas of CSDR, requirements evaluated indicate that certain enhancements can</w:t>
      </w:r>
      <w:r>
        <w:t xml:space="preserve"> </w:t>
      </w:r>
      <w:r>
        <w:t xml:space="preserve">be made. For instance:</w:t>
      </w:r>
      <w:r>
        <w:t xml:space="preserve"> </w:t>
      </w:r>
      <w:r>
        <w:t xml:space="preserve"> Passporting. Responses from stakeholders in the public consultation indicate that</w:t>
      </w:r>
      <w:r>
        <w:t xml:space="preserve"> </w:t>
      </w:r>
      <w:r>
        <w:t xml:space="preserve">costs for obtaining passports in the different Member States was costly and</w:t>
      </w:r>
      <w:r>
        <w:t xml:space="preserve"> </w:t>
      </w:r>
      <w:r>
        <w:t xml:space="preserve">burdensome and from an individual confidential response the Commission has</w:t>
      </w:r>
      <w:r>
        <w:t xml:space="preserve"> </w:t>
      </w:r>
      <w:r>
        <w:t xml:space="preserve">received an estimation on the costs of passporting to a few countries, and together</w:t>
      </w:r>
      <w:r>
        <w:t xml:space="preserve"> </w:t>
      </w:r>
      <w:r>
        <w:t xml:space="preserve">with legal costs understand that these costs run into the millions of Euro.</w:t>
      </w:r>
      <w:r>
        <w:t xml:space="preserve"> </w:t>
      </w:r>
      <w:r>
        <w:t xml:space="preserve"> Supervision. From supervisors, the Commission received input to the effect that</w:t>
      </w:r>
      <w:r>
        <w:t xml:space="preserve"> </w:t>
      </w:r>
      <w:r>
        <w:t xml:space="preserve">supervision can be quite burdensome and as an example the annual assessments</w:t>
      </w:r>
      <w:r>
        <w:t xml:space="preserve"> </w:t>
      </w:r>
      <w:r>
        <w:t xml:space="preserve">of CSDs are quite resource costly and that in some cases these costs could be</w:t>
      </w:r>
      <w:r>
        <w:t xml:space="preserve"> </w:t>
      </w:r>
      <w:r>
        <w:t xml:space="preserve">attributed to the industry. In addition, authorisation is mentioned as costly,</w:t>
      </w:r>
      <w:r>
        <w:t xml:space="preserve"> </w:t>
      </w:r>
      <w:r>
        <w:t xml:space="preserve">although it can be said that these are one-off costs and that most authorisations</w:t>
      </w:r>
      <w:r>
        <w:t xml:space="preserve"> </w:t>
      </w:r>
      <w:r>
        <w:t xml:space="preserve">have been finalized. On the other hand, these costs could hamper new entrants</w:t>
      </w:r>
      <w:r>
        <w:t xml:space="preserve"> </w:t>
      </w:r>
      <w:r>
        <w:t xml:space="preserve">into the market.</w:t>
      </w:r>
      <w:r>
        <w:t xml:space="preserve"> </w:t>
      </w:r>
      <w:r>
        <w:t xml:space="preserve">Question 3: How relevant is the EU intervention?</w:t>
      </w:r>
      <w:r>
        <w:br/>
      </w:r>
      <w:r>
        <w:t xml:space="preserve">- To what extent are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still relevant to promote an EU settlement market and the stability of the</w:t>
      </w:r>
      <w:r>
        <w:t xml:space="preserve"> </w:t>
      </w:r>
      <w:r>
        <w:t xml:space="preserve">financial markets and in light of current developments in this market?</w:t>
      </w:r>
      <w:r>
        <w:t xml:space="preserve"> </w:t>
      </w:r>
      <w:r>
        <w:t xml:space="preserve">CSDR originated from the call of the FSB in 2010 for more robust core market</w:t>
      </w:r>
      <w:r>
        <w:t xml:space="preserve"> </w:t>
      </w:r>
      <w:r>
        <w:t xml:space="preserve">infrastructures and asked for the revision of the and enhancement of existing standards.</w:t>
      </w:r>
      <w:r>
        <w:t xml:space="preserve"> </w:t>
      </w:r>
      <w:r>
        <w:t xml:space="preserve">In April 2012, the Committee on Payments and Settlement Systems (CPSS) of the Bank</w:t>
      </w:r>
      <w:r>
        <w:t xml:space="preserve"> </w:t>
      </w:r>
      <w:r>
        <w:t xml:space="preserve">of International Settlements (BIS) and the International Organisation of Securities</w:t>
      </w:r>
      <w:r>
        <w:t xml:space="preserve"> </w:t>
      </w:r>
      <w:r>
        <w:t xml:space="preserve">Commissions (IOSCO) adopted global standards for financial market infrastructures.</w:t>
      </w:r>
      <w:r>
        <w:t xml:space="preserve"> </w:t>
      </w:r>
      <w:r>
        <w:t xml:space="preserve">Taking into account the global nature of financial markets and the systemic importance</w:t>
      </w:r>
      <w:r>
        <w:t xml:space="preserve"> </w:t>
      </w:r>
      <w:r>
        <w:t xml:space="preserve">of CSDs, it was deemed necessary to ensure international convergence of the</w:t>
      </w:r>
      <w:r>
        <w:t xml:space="preserve"> </w:t>
      </w:r>
      <w:r>
        <w:t xml:space="preserve">requirements to which they are subject.</w:t>
      </w:r>
    </w:p>
    <w:p>
      <w:pPr>
        <w:pStyle w:val="BodyText"/>
      </w:pPr>
      <w:r>
        <w:t xml:space="preserve">Since entry into force of CSDR in September 2014, the markets in settlement have</w:t>
      </w:r>
      <w:r>
        <w:t xml:space="preserve"> </w:t>
      </w:r>
      <w:r>
        <w:t xml:space="preserve">increased significantly, both in terms of numbers of instructions as well in terms of total</w:t>
      </w:r>
      <w:r>
        <w:t xml:space="preserve"> </w:t>
      </w:r>
      <w:r>
        <w:t xml:space="preserve">volume. Although there have been few new entrants in the market, consolidation within</w:t>
      </w:r>
      <w:r>
        <w:t xml:space="preserve"> </w:t>
      </w:r>
      <w:r>
        <w:t xml:space="preserve">the EU of settlement providers have been taken place, adding evidence that competition</w:t>
      </w:r>
      <w:r>
        <w:t xml:space="preserve"> </w:t>
      </w:r>
      <w:r>
        <w:t xml:space="preserve">benefits from CSDR although not for the smaller players. In addition, due to their</w:t>
      </w:r>
      <w:r>
        <w:t xml:space="preserve"> </w:t>
      </w:r>
      <w:r>
        <w:t xml:space="preserve">essential role in the facitating of transparent, legally sound and efficient securities</w:t>
      </w:r>
      <w:r>
        <w:t xml:space="preserve"> </w:t>
      </w:r>
      <w:r>
        <w:t xml:space="preserve">trading, attention of regulatory authorities have also focused on this part of the essential</w:t>
      </w:r>
      <w:r>
        <w:t xml:space="preserve"> </w:t>
      </w:r>
      <w:r>
        <w:t xml:space="preserve">infrastructure of the financial markets. In the EU, for instance, initiatives are being</w:t>
      </w:r>
      <w:r>
        <w:t xml:space="preserve"> </w:t>
      </w:r>
      <w:r>
        <w:t xml:space="preserve">developed to make CSD more operational resilient and make these infrastructure</w:t>
      </w:r>
      <w:r>
        <w:t xml:space="preserve"> </w:t>
      </w:r>
      <w:r>
        <w:t xml:space="preserve">morefuture proof in terms of innovative technologies, such as blockchain. In this context,</w:t>
      </w:r>
      <w:r>
        <w:t xml:space="preserve"> </w:t>
      </w:r>
      <w:r>
        <w:t xml:space="preserve">7 years after the entry into force of CSDR, its objectives to contribute to safe settlement</w:t>
      </w:r>
      <w:r>
        <w:t xml:space="preserve"> </w:t>
      </w:r>
      <w:r>
        <w:t xml:space="preserve">markets, efficient settlement markets and increased cross border transactions remain</w:t>
      </w:r>
      <w:r>
        <w:t xml:space="preserve"> </w:t>
      </w:r>
      <w:r>
        <w:t xml:space="preserve">valid. As discussed above, the initial results of evaluating the core requirements of CSDR</w:t>
      </w:r>
      <w:r>
        <w:t xml:space="preserve"> </w:t>
      </w:r>
      <w:r>
        <w:t xml:space="preserve">show that CSDR is broadly achieving its objectives with in certain areas there could be</w:t>
      </w:r>
      <w:r>
        <w:t xml:space="preserve"> </w:t>
      </w:r>
      <w:r>
        <w:t xml:space="preserve">enhancements in terms of optimizing the requirements to achieve the objectives in a more</w:t>
      </w:r>
      <w:r>
        <w:t xml:space="preserve"> </w:t>
      </w:r>
      <w:r>
        <w:t xml:space="preserve">effective and efficient manner.</w:t>
      </w:r>
      <w:r>
        <w:t xml:space="preserve"> </w:t>
      </w:r>
      <w:r>
        <w:t xml:space="preserve">This is also confirmed by the EU’s Capital Markets Union action plan345 to make its</w:t>
      </w:r>
      <w:r>
        <w:t xml:space="preserve"> </w:t>
      </w:r>
      <w:r>
        <w:t xml:space="preserve">financial markets deeper and more liquid with, as a corner stone in those plans,</w:t>
      </w:r>
      <w:r>
        <w:t xml:space="preserve"> </w:t>
      </w:r>
      <w:r>
        <w:t xml:space="preserve">developing more integrated and more efficient financial infrastructures in the area of</w:t>
      </w:r>
      <w:r>
        <w:t xml:space="preserve"> </w:t>
      </w:r>
      <w:r>
        <w:t xml:space="preserve">post-trade. In addition, as stated in the Commission’s Communication on open strategic</w:t>
      </w:r>
      <w:r>
        <w:t xml:space="preserve"> </w:t>
      </w:r>
      <w:r>
        <w:t xml:space="preserve">autonomy346 for the financial structure, post-trade has a role, to develop these</w:t>
      </w:r>
      <w:r>
        <w:t xml:space="preserve"> </w:t>
      </w:r>
      <w:r>
        <w:t xml:space="preserve">infrastructure into strong international competitive players and boost European strategic</w:t>
      </w:r>
      <w:r>
        <w:t xml:space="preserve"> </w:t>
      </w:r>
      <w:r>
        <w:t xml:space="preserve">autonomy.</w:t>
      </w:r>
      <w:r>
        <w:t xml:space="preserve"> </w:t>
      </w:r>
      <w:r>
        <w:t xml:space="preserve">Question 4: How coherent is the EU intervention?</w:t>
      </w:r>
      <w:r>
        <w:t xml:space="preserve"> </w:t>
      </w:r>
      <w:r>
        <w:t xml:space="preserve">-To what extent are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coherent with other pieces of EU financial legislation.</w:t>
      </w:r>
      <w:r>
        <w:br/>
      </w:r>
      <w:r>
        <w:t xml:space="preserve">CSDR brought harmonized requirements for central securities depositories. These</w:t>
      </w:r>
      <w:r>
        <w:t xml:space="preserve"> </w:t>
      </w:r>
      <w:r>
        <w:t xml:space="preserve">requirements were introduced after the Financial Stability Board, on 20 October</w:t>
      </w:r>
      <w:r>
        <w:t xml:space="preserve"> </w:t>
      </w:r>
      <w:r>
        <w:t xml:space="preserve">2010,called for more robust core market infrastructures and asked for the revision and</w:t>
      </w:r>
      <w:r>
        <w:t xml:space="preserve"> </w:t>
      </w:r>
      <w:r>
        <w:t xml:space="preserve">enhancement of the existing standards. In April 2012, the Committee on Payments and</w:t>
      </w:r>
      <w:r>
        <w:t xml:space="preserve"> </w:t>
      </w:r>
      <w:r>
        <w:t xml:space="preserve">Settlement Systems (CPSS) of the Bank of International Settlements (BIS) and the</w:t>
      </w:r>
      <w:r>
        <w:t xml:space="preserve"> </w:t>
      </w:r>
      <w:r>
        <w:t xml:space="preserve">International Organisation of Securities Commissions (IOSCO) adopted global standards</w:t>
      </w:r>
      <w:r>
        <w:t xml:space="preserve"> </w:t>
      </w:r>
      <w:r>
        <w:t xml:space="preserve">for financial market infrastructures. Taking into account the global nature of financial</w:t>
      </w:r>
      <w:r>
        <w:t xml:space="preserve"> </w:t>
      </w:r>
      <w:r>
        <w:t xml:space="preserve">markets and the systemic importance of CSDs, it was deemed necessary to ensure</w:t>
      </w:r>
      <w:r>
        <w:t xml:space="preserve"> </w:t>
      </w:r>
      <w:r>
        <w:t xml:space="preserve">international convergence of the requirements to which they are subject.</w:t>
      </w:r>
      <w:r>
        <w:br/>
      </w:r>
      <w:r>
        <w:t xml:space="preserve">CSDR is also broadly in line with the EU’s core pillar of creating and boosting the</w:t>
      </w:r>
      <w:r>
        <w:t xml:space="preserve"> </w:t>
      </w:r>
      <w:r>
        <w:t xml:space="preserve">Internal Market and the freedom to provide services: the creation of an integrated market</w:t>
      </w:r>
      <w:r>
        <w:t xml:space="preserve"> </w:t>
      </w:r>
      <w:r>
        <w:t xml:space="preserve">for securities settlement with no distinction between national and cross-border securities</w:t>
      </w:r>
      <w:r>
        <w:t xml:space="preserve"> </w:t>
      </w:r>
      <w:r>
        <w:t xml:space="preserve">transactions is needed for the proper functioning of this internal market. For example, the</w:t>
      </w:r>
      <w:r>
        <w:t xml:space="preserve"> </w:t>
      </w:r>
      <w:r>
        <w:t xml:space="preserve">freedom to provide services is apparent in the passporting but also third-country parts of</w:t>
      </w:r>
    </w:p>
    <w:p>
      <w:pPr>
        <w:pStyle w:val="BodyText"/>
      </w:pPr>
      <w:r>
        <w:t xml:space="preserve">345 https://eur-lex.europa.eu/resource.html?uri=cellar:61042990-fe46-11ea-b44f-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346 https://eur-lex.europa.eu/legal-content/EN/TXT/PDF/?uri=CELEX:52021DC0032&amp;from=EN</w:t>
      </w:r>
    </w:p>
    <w:p>
      <w:pPr>
        <w:pStyle w:val="BodyText"/>
      </w:pPr>
      <w:r>
        <w:t xml:space="preserve">CSDR; CSDs should benefit from a clear and as less burdensome access as possible and</w:t>
      </w:r>
      <w:r>
        <w:t xml:space="preserve"> </w:t>
      </w:r>
      <w:r>
        <w:t xml:space="preserve">deemed necessary.</w:t>
      </w:r>
      <w:r>
        <w:br/>
      </w:r>
      <w:r>
        <w:t xml:space="preserve">Other relevant existing EU regulations that have an interplay with the CSDR are:</w:t>
      </w:r>
      <w:r>
        <w:t xml:space="preserve"> </w:t>
      </w:r>
      <w:r>
        <w:t xml:space="preserve"> The banking regulations, Capital Requirements Regulation347 and Directive348.</w:t>
      </w:r>
      <w:r>
        <w:t xml:space="preserve"> </w:t>
      </w:r>
      <w:r>
        <w:t xml:space="preserve">Prudential and other requirements are either directly, in the case of banking</w:t>
      </w:r>
      <w:r>
        <w:t xml:space="preserve"> </w:t>
      </w:r>
      <w:r>
        <w:t xml:space="preserve">CSDs, or indirectly, in the case of non-banking CSDs, applicable to CSDR</w:t>
      </w:r>
      <w:r>
        <w:t xml:space="preserve"> </w:t>
      </w:r>
      <w:r>
        <w:t xml:space="preserve">actors.</w:t>
      </w:r>
      <w:r>
        <w:t xml:space="preserve"> </w:t>
      </w:r>
      <w:r>
        <w:t xml:space="preserve"> Securities’ markets legislations, such as Settlement Finality Directive349,</w:t>
      </w:r>
      <w:r>
        <w:t xml:space="preserve"> </w:t>
      </w:r>
      <w:r>
        <w:t xml:space="preserve">Financial Collateral Directive350 as well as MIFID351 and EMIR352.</w:t>
      </w:r>
      <w:r>
        <w:t xml:space="preserve"> </w:t>
      </w:r>
      <w:r>
        <w:t xml:space="preserve">In addition, CSDR requirements are in line with initiatives currently undertaken by the</w:t>
      </w:r>
      <w:r>
        <w:t xml:space="preserve"> </w:t>
      </w:r>
      <w:r>
        <w:t xml:space="preserve">EU. First, the Commission’s Capital Market Union Action Plan353, striving for deeper</w:t>
      </w:r>
      <w:r>
        <w:t xml:space="preserve"> </w:t>
      </w:r>
      <w:r>
        <w:t xml:space="preserve">and more liquid financial markets in the EU and of which a core element is the</w:t>
      </w:r>
      <w:r>
        <w:t xml:space="preserve"> </w:t>
      </w:r>
      <w:r>
        <w:t xml:space="preserve">development of post – trading infrastructures, amongst which CSDs are a constituting</w:t>
      </w:r>
      <w:r>
        <w:t xml:space="preserve"> </w:t>
      </w:r>
      <w:r>
        <w:t xml:space="preserve">part. Second, post trading infrastructures are strategic nodes in the financial system and</w:t>
      </w:r>
      <w:r>
        <w:t xml:space="preserve"> </w:t>
      </w:r>
      <w:r>
        <w:t xml:space="preserve">could play a part in the strategy of the EU to strenghten its stategic autonomy. As CSDs</w:t>
      </w:r>
      <w:r>
        <w:t xml:space="preserve"> </w:t>
      </w:r>
      <w:r>
        <w:t xml:space="preserve">serve as gateways to foreign financial markets and their openness benefits EU businesses</w:t>
      </w:r>
      <w:r>
        <w:t xml:space="preserve"> </w:t>
      </w:r>
      <w:r>
        <w:t xml:space="preserve">and investors, their soundness and relevance will also help to boost the role of the EU on</w:t>
      </w:r>
      <w:r>
        <w:t xml:space="preserve"> </w:t>
      </w:r>
      <w:r>
        <w:t xml:space="preserve">the world stage. Strengthening market infrastructures’ operational resilience includes</w:t>
      </w:r>
      <w:r>
        <w:t xml:space="preserve"> </w:t>
      </w:r>
      <w:r>
        <w:t xml:space="preserve">shielding the sector from increasingly pervasive, targeted and impactful cybersecurity</w:t>
      </w:r>
      <w:r>
        <w:t xml:space="preserve"> </w:t>
      </w:r>
      <w:r>
        <w:t xml:space="preserve">threats and vulnerabilities. A number of EU-based financial market infrastructures</w:t>
      </w:r>
      <w:r>
        <w:t xml:space="preserve"> </w:t>
      </w:r>
      <w:r>
        <w:t xml:space="preserve">provide global depository and messaging services. Their international operations make</w:t>
      </w:r>
      <w:r>
        <w:t xml:space="preserve"> </w:t>
      </w:r>
      <w:r>
        <w:t xml:space="preserve">them vulnerable to disruptive actions by third countries. It is important for the EU to</w:t>
      </w:r>
      <w:r>
        <w:t xml:space="preserve"> </w:t>
      </w:r>
      <w:r>
        <w:t xml:space="preserve">preserve the global reach of these infrastructures, while safeguarding the open strategic</w:t>
      </w:r>
      <w:r>
        <w:t xml:space="preserve"> </w:t>
      </w:r>
      <w:r>
        <w:t xml:space="preserve">autonomy of the EU. Third, CSDR is in line with current initiatives in the area of digital</w:t>
      </w:r>
      <w:r>
        <w:t xml:space="preserve"> </w:t>
      </w:r>
      <w:r>
        <w:t xml:space="preserve">innovation: the Commission’s proposal to introduce a pilot regime for technological</w:t>
      </w:r>
    </w:p>
    <w:p>
      <w:pPr>
        <w:pStyle w:val="BodyText"/>
      </w:pPr>
      <w:r>
        <w:t xml:space="preserve">347 Regulation (EU) No 575/2013 (see note 157).</w:t>
      </w:r>
      <w:r>
        <w:br/>
      </w:r>
      <w:r>
        <w:t xml:space="preserve">348 Directive (EU) 2019/878 of the European Parliament and of the Council of 20 May 2019 amending</w:t>
      </w:r>
      <w:r>
        <w:t xml:space="preserve"> </w:t>
      </w:r>
      <w:r>
        <w:t xml:space="preserve">Directive 2013/36/EU as regards exempted entities, financial holding companies, mixed financial holding</w:t>
      </w:r>
      <w:r>
        <w:t xml:space="preserve"> </w:t>
      </w:r>
      <w:r>
        <w:t xml:space="preserve">companies, remuneration, supervisory measures and powers and capital conservation measures: https://eur-</w:t>
      </w:r>
      <w:r>
        <w:t xml:space="preserve"> </w:t>
      </w:r>
      <w:r>
        <w:t xml:space="preserve">lex.europa.eu/legal-content/EN/TXT/PDF/?uri=CELEX:32019L0878&amp;from=EN</w:t>
      </w:r>
      <w:r>
        <w:br/>
      </w:r>
      <w:r>
        <w:t xml:space="preserve">349 Directive 98/26/EC of the European Parliament and of the Council of 19 May 1998 on settlement finality</w:t>
      </w:r>
      <w:r>
        <w:t xml:space="preserve"> </w:t>
      </w:r>
      <w:r>
        <w:t xml:space="preserve">in payment and securities settlement systems: https://eur-lex.europa.eu/eli/dir/1998/26/oj/eng</w:t>
      </w:r>
      <w:r>
        <w:br/>
      </w:r>
      <w:r>
        <w:t xml:space="preserve">350 Directive 2002/47/EC of the European Parliament and of the Council of 6 June 2002 on financial collateral</w:t>
      </w:r>
      <w:r>
        <w:t xml:space="preserve"> </w:t>
      </w:r>
      <w:r>
        <w:t xml:space="preserve">arrangements: https://eur-lex.europa.eu/eli/dir/2002/47/oj</w:t>
      </w:r>
      <w:r>
        <w:br/>
      </w:r>
      <w:r>
        <w:t xml:space="preserve">351 Directive 2014/65/EU of the European Parliament and of the Council of 15 May 2014 on markets in</w:t>
      </w:r>
      <w:r>
        <w:t xml:space="preserve"> </w:t>
      </w:r>
      <w:r>
        <w:t xml:space="preserve">financial instruments and amending Directive 2002/92/EC and Directive 2011/61/EU (recast): https://eur-</w:t>
      </w:r>
      <w:r>
        <w:t xml:space="preserve"> </w:t>
      </w:r>
      <w:r>
        <w:t xml:space="preserve">lex.europa.eu/legal-content/EN/TXT/?uri=CELEX:02014L0065-20160701</w:t>
      </w:r>
      <w:r>
        <w:br/>
      </w:r>
      <w:r>
        <w:t xml:space="preserve">352 Regulation (EU) No 648/2012 of the European Parliament and of the Council of 4 July 2012 on OTC</w:t>
      </w:r>
      <w:r>
        <w:t xml:space="preserve"> </w:t>
      </w:r>
      <w:r>
        <w:t xml:space="preserve">derivatives,</w:t>
      </w:r>
      <w:r>
        <w:t xml:space="preserve"> </w:t>
      </w:r>
      <w:r>
        <w:t xml:space="preserve">central</w:t>
      </w:r>
      <w:r>
        <w:t xml:space="preserve"> </w:t>
      </w:r>
      <w:r>
        <w:t xml:space="preserve">counterparties</w:t>
      </w:r>
      <w:r>
        <w:t xml:space="preserve"> </w:t>
      </w:r>
      <w:r>
        <w:t xml:space="preserve">and</w:t>
      </w:r>
      <w:r>
        <w:t xml:space="preserve"> </w:t>
      </w:r>
      <w:r>
        <w:t xml:space="preserve">trade</w:t>
      </w:r>
      <w:r>
        <w:t xml:space="preserve"> </w:t>
      </w:r>
      <w:r>
        <w:t xml:space="preserve">repositories: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content/EN/TXT/?uri=CELEX%3A02012R0648-20210628</w:t>
      </w:r>
      <w:r>
        <w:br/>
      </w:r>
      <w:r>
        <w:t xml:space="preserve">353 https://ec.europa.eu/info/business-economy-euro/growth-and-investment/capital-markets-union/capital-</w:t>
      </w:r>
      <w:r>
        <w:t xml:space="preserve"> </w:t>
      </w:r>
      <w:r>
        <w:t xml:space="preserve">markets-union-2020-action-</w:t>
      </w:r>
      <w:r>
        <w:t xml:space="preserve"> </w:t>
      </w:r>
      <w:r>
        <w:t xml:space="preserve">plan_en#:~:text=On%2024%20September%202020%20the%20Commission%20adopted%20a,and%20co</w:t>
      </w:r>
      <w:r>
        <w:t xml:space="preserve"> </w:t>
      </w:r>
      <w:r>
        <w:t xml:space="preserve">mpanies%2C%20regardless%20of%20where%20they%20are%20located.</w:t>
      </w:r>
    </w:p>
    <w:p>
      <w:pPr>
        <w:pStyle w:val="BodyText"/>
      </w:pPr>
      <w:r>
        <w:t xml:space="preserve">innovations354 of CSDs and the initiative to enhance operational resilience of financial</w:t>
      </w:r>
      <w:r>
        <w:t xml:space="preserve"> </w:t>
      </w:r>
      <w:r>
        <w:t xml:space="preserve">markets participants (DORA)355.</w:t>
      </w:r>
      <w:r>
        <w:t xml:space="preserve"> </w:t>
      </w:r>
      <w:r>
        <w:t xml:space="preserve">Where CSDR is broadly coherent with the aformentioned legislations in terms of conduct</w:t>
      </w:r>
      <w:r>
        <w:t xml:space="preserve"> </w:t>
      </w:r>
      <w:r>
        <w:t xml:space="preserve">of business rules, organisational and prudential rules, 2 areas were coherence is limited</w:t>
      </w:r>
      <w:r>
        <w:t xml:space="preserve"> </w:t>
      </w:r>
      <w:r>
        <w:t xml:space="preserve">are the folowing:</w:t>
      </w:r>
      <w:r>
        <w:t xml:space="preserve"> </w:t>
      </w:r>
      <w:r>
        <w:t xml:space="preserve"> Third-country regime: in most EU legislation in the financial sector, third-</w:t>
      </w:r>
      <w:r>
        <w:t xml:space="preserve"> </w:t>
      </w:r>
      <w:r>
        <w:t xml:space="preserve">country regimes consist of an equivalence framework including a notification</w:t>
      </w:r>
      <w:r>
        <w:t xml:space="preserve"> </w:t>
      </w:r>
      <w:r>
        <w:t xml:space="preserve">requirement for recognition, also for existing third-country providers within the</w:t>
      </w:r>
      <w:r>
        <w:t xml:space="preserve"> </w:t>
      </w:r>
      <w:r>
        <w:t xml:space="preserve">EU. CSDR has grandfathered existing providers without an end-date.</w:t>
      </w:r>
      <w:r>
        <w:t xml:space="preserve"> </w:t>
      </w:r>
      <w:r>
        <w:t xml:space="preserve"> Passporting: in most EU legislation in the financial sector, passporting consists</w:t>
      </w:r>
      <w:r>
        <w:t xml:space="preserve"> </w:t>
      </w:r>
      <w:r>
        <w:t xml:space="preserve">of a mere notfication to the host Member State, in CSDR passporting</w:t>
      </w:r>
      <w:r>
        <w:t xml:space="preserve"> </w:t>
      </w:r>
      <w:r>
        <w:t xml:space="preserve">effectively means an authorization process by the host Member State as the</w:t>
      </w:r>
      <w:r>
        <w:t xml:space="preserve"> </w:t>
      </w:r>
      <w:r>
        <w:t xml:space="preserve">passporting process is not standardized as such and Article 49(1) could lead to</w:t>
      </w:r>
      <w:r>
        <w:t xml:space="preserve"> </w:t>
      </w:r>
      <w:r>
        <w:t xml:space="preserve">relevant national authorities to examine if a CSD complies with the host</w:t>
      </w:r>
      <w:r>
        <w:t xml:space="preserve"> </w:t>
      </w:r>
      <w:r>
        <w:t xml:space="preserve">commercial and civil laws before entering the market.</w:t>
      </w:r>
      <w:r>
        <w:t xml:space="preserve"> </w:t>
      </w:r>
      <w:r>
        <w:t xml:space="preserve">Question 5: What is the EU-added value of the intervention?</w:t>
      </w:r>
      <w:r>
        <w:br/>
      </w:r>
      <w:r>
        <w:t xml:space="preserve">To what extent have CSDR’s requirements on settlement discipline, organisational,</w:t>
      </w:r>
      <w:r>
        <w:t xml:space="preserve"> </w:t>
      </w:r>
      <w:r>
        <w:t xml:space="preserve">conduct of business and prudential requirements for CSDs, the passport system,</w:t>
      </w:r>
      <w:r>
        <w:t xml:space="preserve"> </w:t>
      </w:r>
      <w:r>
        <w:t xml:space="preserve">increased prudential and supervisory requirements and increased cooperation</w:t>
      </w:r>
      <w:r>
        <w:t xml:space="preserve"> </w:t>
      </w:r>
      <w:r>
        <w:t xml:space="preserve">requirements helped increasing safety of cross-border transactions, increasing efficiency</w:t>
      </w:r>
      <w:r>
        <w:t xml:space="preserve"> </w:t>
      </w:r>
      <w:r>
        <w:t xml:space="preserve">of cross-border transactions; ensuring level playing field for CSD services and to what</w:t>
      </w:r>
      <w:r>
        <w:t xml:space="preserve"> </w:t>
      </w:r>
      <w:r>
        <w:t xml:space="preserve">extent do the risks relating to the markets continue to require action at EU level?</w:t>
      </w:r>
    </w:p>
    <w:p>
      <w:pPr>
        <w:pStyle w:val="BodyText"/>
      </w:pPr>
      <w:r>
        <w:t xml:space="preserve">CSDR is the first EU-wide regulation on Central Securities Depositories which, since</w:t>
      </w:r>
      <w:r>
        <w:t xml:space="preserve"> </w:t>
      </w:r>
      <w:r>
        <w:t xml:space="preserve">2014, introduced a uniform approach for the EU settlement markets. It introduced a</w:t>
      </w:r>
      <w:r>
        <w:t xml:space="preserve"> </w:t>
      </w:r>
      <w:r>
        <w:t xml:space="preserve">framework aiming for efficient settlement markets, increased cross-border transactions</w:t>
      </w:r>
      <w:r>
        <w:t xml:space="preserve"> </w:t>
      </w:r>
      <w:r>
        <w:t xml:space="preserve">and a level playing field CSDs for relevant stakeholders on the EU capital markets.</w:t>
      </w:r>
      <w:r>
        <w:br/>
      </w:r>
      <w:r>
        <w:t xml:space="preserve">As the EU markets for settlement is, by its very nature, an interconnected and</w:t>
      </w:r>
      <w:r>
        <w:t xml:space="preserve"> </w:t>
      </w:r>
      <w:r>
        <w:t xml:space="preserve">international market, the EU level requirements by a directly applicable Regulation</w:t>
      </w:r>
      <w:r>
        <w:t xml:space="preserve"> </w:t>
      </w:r>
      <w:r>
        <w:t xml:space="preserve">contributed to a level playing field for competition in the area of settlement, increased</w:t>
      </w:r>
      <w:r>
        <w:t xml:space="preserve"> </w:t>
      </w:r>
      <w:r>
        <w:t xml:space="preserve">cross-border transactions as well as increasing safety of these markets. Although not all</w:t>
      </w:r>
      <w:r>
        <w:t xml:space="preserve"> </w:t>
      </w:r>
      <w:r>
        <w:t xml:space="preserve">requirements have entered into application, such as the majority of settlement discipline</w:t>
      </w:r>
      <w:r>
        <w:t xml:space="preserve"> </w:t>
      </w:r>
      <w:r>
        <w:t xml:space="preserve">requirements, the following can be mentioned on the added value of of EU action on</w:t>
      </w:r>
      <w:r>
        <w:t xml:space="preserve"> </w:t>
      </w:r>
      <w:r>
        <w:t xml:space="preserve">settlements.</w:t>
      </w:r>
      <w:r>
        <w:t xml:space="preserve"> </w:t>
      </w:r>
      <w:r>
        <w:t xml:space="preserve">First, after the entry into force of CSDR, markets have become less fragmented along</w:t>
      </w:r>
      <w:r>
        <w:t xml:space="preserve"> </w:t>
      </w:r>
      <w:r>
        <w:t xml:space="preserve">national lines. CSDR contributed to aligning rules across the whole of the EU and the</w:t>
      </w:r>
      <w:r>
        <w:t xml:space="preserve"> </w:t>
      </w:r>
      <w:r>
        <w:t xml:space="preserve">EEA. Requirements on banking services brought the same rules across the EU with</w:t>
      </w:r>
      <w:r>
        <w:t xml:space="preserve"> </w:t>
      </w:r>
      <w:r>
        <w:t xml:space="preserve">respect to prudential rules but also similar treatment of credit and liquidity risks and on</w:t>
      </w:r>
      <w:r>
        <w:t xml:space="preserve"> </w:t>
      </w:r>
      <w:r>
        <w:t xml:space="preserve">how banking services should be authorised and supervised. Passporting requirements</w:t>
      </w:r>
    </w:p>
    <w:p>
      <w:pPr>
        <w:pStyle w:val="BodyText"/>
      </w:pPr>
      <w:r>
        <w:t xml:space="preserve">354 COM(2020) 594 final, 2020/0267 (COD), Proposal for a of the European Parliament and of the Council on</w:t>
      </w:r>
      <w:r>
        <w:t xml:space="preserve"> </w:t>
      </w:r>
      <w:r>
        <w:t xml:space="preserve">a pilot regime for market infrastructures based on distributed ledger technology: https://eur-</w:t>
      </w:r>
      <w:r>
        <w:t xml:space="preserve"> </w:t>
      </w:r>
      <w:r>
        <w:t xml:space="preserve">lex.europa.eu/legal-content/EN/TXT/PDF/?uri=COM:2020:594:FIN</w:t>
      </w:r>
      <w:r>
        <w:br/>
      </w:r>
      <w:r>
        <w:t xml:space="preserve">355 Proposal for a Regulation of the European Parliament and of the Council on digital operational resilience</w:t>
      </w:r>
      <w:r>
        <w:t xml:space="preserve"> </w:t>
      </w:r>
      <w:r>
        <w:t xml:space="preserve">for the financial sector (DORA) and amending Regulations (EC) No 1060/2009, (EU) No 648/2012, (EU)</w:t>
      </w:r>
      <w:r>
        <w:t xml:space="preserve"> </w:t>
      </w:r>
      <w:r>
        <w:t xml:space="preserve">No 600/2014 and (EU) No 909/2014.</w:t>
      </w:r>
    </w:p>
    <w:p>
      <w:pPr>
        <w:pStyle w:val="BodyText"/>
      </w:pPr>
      <w:r>
        <w:t xml:space="preserve">brought increased opportunities to offer services across intra EU-borders and third–</w:t>
      </w:r>
      <w:r>
        <w:t xml:space="preserve"> </w:t>
      </w:r>
      <w:r>
        <w:t xml:space="preserve">country requirements brought certainty for those CSDs offering their services within the</w:t>
      </w:r>
      <w:r>
        <w:t xml:space="preserve"> </w:t>
      </w:r>
      <w:r>
        <w:t xml:space="preserve">EU.</w:t>
      </w:r>
      <w:r>
        <w:t xml:space="preserve"> </w:t>
      </w:r>
      <w:r>
        <w:t xml:space="preserve">Second, this consistency has increased the safety of EU settlement markets as supervision</w:t>
      </w:r>
      <w:r>
        <w:t xml:space="preserve"> </w:t>
      </w:r>
      <w:r>
        <w:t xml:space="preserve">has become more intertwined and benefitting from more coordination and actions aimed</w:t>
      </w:r>
      <w:r>
        <w:t xml:space="preserve"> </w:t>
      </w:r>
      <w:r>
        <w:t xml:space="preserve">at supervisory convergence by the European Securities Markets Authority. This has led</w:t>
      </w:r>
      <w:r>
        <w:t xml:space="preserve"> </w:t>
      </w:r>
      <w:r>
        <w:t xml:space="preserve">to more consistent rules but also more coordination of the application of the rules by</w:t>
      </w:r>
      <w:r>
        <w:t xml:space="preserve"> </w:t>
      </w:r>
      <w:r>
        <w:t xml:space="preserve">bringing guidance to supervisors on how to apply certain rules. Enhanced data improved</w:t>
      </w:r>
      <w:r>
        <w:t xml:space="preserve"> </w:t>
      </w:r>
      <w:r>
        <w:t xml:space="preserve">the position of supervisors and enabled to also compare across border.</w:t>
      </w:r>
      <w:r>
        <w:t xml:space="preserve"> </w:t>
      </w:r>
      <w:r>
        <w:t xml:space="preserve">Although CSDR requirements have helped to mitigate risks on the European market, led</w:t>
      </w:r>
      <w:r>
        <w:t xml:space="preserve"> </w:t>
      </w:r>
      <w:r>
        <w:t xml:space="preserve">to more cross-border transactions as demonstrated by increased cooperation between</w:t>
      </w:r>
      <w:r>
        <w:t xml:space="preserve"> </w:t>
      </w:r>
      <w:r>
        <w:t xml:space="preserve">market players as well as the overall increase in the market in terms of size and number</w:t>
      </w:r>
      <w:r>
        <w:t xml:space="preserve"> </w:t>
      </w:r>
      <w:r>
        <w:t xml:space="preserve">of settlement instructions, feedback from the public consultation as well as the wider</w:t>
      </w:r>
      <w:r>
        <w:t xml:space="preserve"> </w:t>
      </w:r>
      <w:r>
        <w:t xml:space="preserve">feedback process, seems to indicate that requirements are sub-optimal and could be</w:t>
      </w:r>
      <w:r>
        <w:t xml:space="preserve"> </w:t>
      </w:r>
      <w:r>
        <w:t xml:space="preserve">recalibrated in the areas mentioned above.</w:t>
      </w:r>
      <w:r>
        <w:br/>
      </w:r>
      <w:r>
        <w:t xml:space="preserve">This supports the added value of the EU action via CSDR. Current initiatives such as the</w:t>
      </w:r>
      <w:r>
        <w:t xml:space="preserve"> </w:t>
      </w:r>
      <w:r>
        <w:t xml:space="preserve">Commission’s Capital Markets Union action plan356 efforts to create more integrated</w:t>
      </w:r>
      <w:r>
        <w:t xml:space="preserve"> </w:t>
      </w:r>
      <w:r>
        <w:t xml:space="preserve">post-trade infrastructures within the EU also support the future EU value–added.</w:t>
      </w:r>
      <w:r>
        <w:t xml:space="preserve"> </w:t>
      </w:r>
      <w:r>
        <w:t xml:space="preserve">Section 8 Conclusions</w:t>
      </w:r>
    </w:p>
    <w:p>
      <w:pPr>
        <w:pStyle w:val="BodyText"/>
      </w:pPr>
      <w:r>
        <w:t xml:space="preserve">The objectives of CSDR to increase the safety and efficiency of EU settlement market</w:t>
      </w:r>
      <w:r>
        <w:t xml:space="preserve"> </w:t>
      </w:r>
      <w:r>
        <w:t xml:space="preserve">and ensuring a level playing field for CSD services remain relevant, and associated</w:t>
      </w:r>
      <w:r>
        <w:t xml:space="preserve"> </w:t>
      </w:r>
      <w:r>
        <w:t xml:space="preserve">risks with EU settlement markets persist.</w:t>
      </w:r>
      <w:r>
        <w:t xml:space="preserve"> </w:t>
      </w:r>
      <w:r>
        <w:t xml:space="preserve">While not all of the key CSDR requirements have entered into application, such as the</w:t>
      </w:r>
      <w:r>
        <w:t xml:space="preserve"> </w:t>
      </w:r>
      <w:r>
        <w:t xml:space="preserve">measures to address settlement fails, the analysis shows that, based on the evidence</w:t>
      </w:r>
      <w:r>
        <w:t xml:space="preserve"> </w:t>
      </w:r>
      <w:r>
        <w:t xml:space="preserve">available, the initial results of CSDR are delivering on the general objective to promote a</w:t>
      </w:r>
      <w:r>
        <w:t xml:space="preserve"> </w:t>
      </w:r>
      <w:r>
        <w:t xml:space="preserve">more level playing field, increase safety and promote an efficient EU settlement market.</w:t>
      </w:r>
      <w:r>
        <w:t xml:space="preserve"> </w:t>
      </w:r>
      <w:r>
        <w:t xml:space="preserve">The impact of the settlement fails measures have not been measurable as they have not</w:t>
      </w:r>
      <w:r>
        <w:t xml:space="preserve"> </w:t>
      </w:r>
      <w:r>
        <w:t xml:space="preserve">been in place on the date of writing of this evaluation.</w:t>
      </w:r>
      <w:r>
        <w:t xml:space="preserve"> </w:t>
      </w:r>
      <w:r>
        <w:t xml:space="preserve">On the effectiveness and efficiency of the core requirements of CSDR, the evaluation</w:t>
      </w:r>
      <w:r>
        <w:t xml:space="preserve"> </w:t>
      </w:r>
      <w:r>
        <w:t xml:space="preserve">indicates that while the volume of settled trades increased since the entry into force of</w:t>
      </w:r>
      <w:r>
        <w:t xml:space="preserve"> </w:t>
      </w:r>
      <w:r>
        <w:t xml:space="preserve">CSDR, cross-border transactions remained stable and feedback from stakeholders</w:t>
      </w:r>
      <w:r>
        <w:t xml:space="preserve"> </w:t>
      </w:r>
      <w:r>
        <w:t xml:space="preserve">indicate that in several areas, such as passporting, licensing, and supervisory assessments,</w:t>
      </w:r>
      <w:r>
        <w:t xml:space="preserve"> </w:t>
      </w:r>
      <w:r>
        <w:t xml:space="preserve">significant barriers exist and preliminary findings suggest that actions (i) to reduce</w:t>
      </w:r>
      <w:r>
        <w:t xml:space="preserve"> </w:t>
      </w:r>
      <w:r>
        <w:t xml:space="preserve">disproportionate compliance burdens, (ii) to improve cross-border activity could be</w:t>
      </w:r>
      <w:r>
        <w:t xml:space="preserve"> </w:t>
      </w:r>
      <w:r>
        <w:t xml:space="preserve">undertaken. Improvements could be sought in the area of banking services, where the</w:t>
      </w:r>
      <w:r>
        <w:t xml:space="preserve"> </w:t>
      </w:r>
      <w:r>
        <w:t xml:space="preserve">access to banking type ancillary services is limited which in turn inhibits settlement in</w:t>
      </w:r>
      <w:r>
        <w:t xml:space="preserve"> </w:t>
      </w:r>
      <w:r>
        <w:t xml:space="preserve">foreign currencies and in improvement of supervision, both impacting the possibilities or</w:t>
      </w:r>
      <w:r>
        <w:t xml:space="preserve"> </w:t>
      </w:r>
      <w:r>
        <w:t xml:space="preserve">opportunities for firms to offer services cross-border.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https://ec.europa.eu/info/business-economy-euro/growth-and-investment/capital-markets-union/capital-</w:t>
      </w:r>
      <w:r>
        <w:t xml:space="preserve"> </w:t>
      </w:r>
      <w:r>
        <w:t xml:space="preserve">markets-union-2020-action-</w:t>
      </w:r>
      <w:r>
        <w:t xml:space="preserve"> </w:t>
      </w:r>
      <w:r>
        <w:t xml:space="preserve">plan_en#:~:text=On%2024%20September%202020%20the%20Commission%20adopted%20a,and%20co</w:t>
      </w:r>
      <w:r>
        <w:t xml:space="preserve"> </w:t>
      </w:r>
      <w:r>
        <w:t xml:space="preserve">mpanies%2C%20regardless%20of%20where%20they%20are%20located.</w:t>
      </w:r>
    </w:p>
    <w:p>
      <w:pPr>
        <w:pStyle w:val="BodyText"/>
      </w:pPr>
      <w:r>
        <w:t xml:space="preserve">The objectives of CSDR to increase the safety and efficiency of EU settlement market</w:t>
      </w:r>
      <w:r>
        <w:t xml:space="preserve"> </w:t>
      </w:r>
      <w:r>
        <w:t xml:space="preserve">and ensuring a level playing field for CSD services remain relevant, and associated</w:t>
      </w:r>
      <w:r>
        <w:t xml:space="preserve"> </w:t>
      </w:r>
      <w:r>
        <w:t xml:space="preserve">risks with EU settlement markets persist.</w:t>
      </w:r>
      <w:r>
        <w:t xml:space="preserve"> </w:t>
      </w:r>
      <w:r>
        <w:t xml:space="preserve">In terms of coherence, CSDR is aligned with international efforts to ensure stability and</w:t>
      </w:r>
      <w:r>
        <w:t xml:space="preserve"> </w:t>
      </w:r>
      <w:r>
        <w:t xml:space="preserve">safety of post trade infrastructures. In addition, CSDR is coherent with other pieces of</w:t>
      </w:r>
      <w:r>
        <w:t xml:space="preserve"> </w:t>
      </w:r>
      <w:r>
        <w:t xml:space="preserve">EU legislation, such as the Commission’s Capital Market Union Action Plan, the</w:t>
      </w:r>
      <w:r>
        <w:t xml:space="preserve"> </w:t>
      </w:r>
      <w:r>
        <w:t xml:space="preserve">Commission’s proposal to introduce a pilot regime for technological innovations of</w:t>
      </w:r>
      <w:r>
        <w:t xml:space="preserve"> </w:t>
      </w:r>
      <w:r>
        <w:t xml:space="preserve">CSDs and DORA.</w:t>
      </w:r>
      <w:r>
        <w:t xml:space="preserve"> </w:t>
      </w:r>
      <w:r>
        <w:t xml:space="preserve">In terms of the EU added value, CSDR covered a gap that existed in legislation by</w:t>
      </w:r>
      <w:r>
        <w:t xml:space="preserve"> </w:t>
      </w:r>
      <w:r>
        <w:t xml:space="preserve">introducing a new framework aiming to address, in a uniform process at EU level, the</w:t>
      </w:r>
      <w:r>
        <w:t xml:space="preserve"> </w:t>
      </w:r>
      <w:r>
        <w:t xml:space="preserve">lack of a harmonised approach towards the EU’s settlement markets and in addressing</w:t>
      </w:r>
      <w:r>
        <w:t xml:space="preserve"> </w:t>
      </w:r>
      <w:r>
        <w:t xml:space="preserve">the related systemic risks.</w:t>
      </w:r>
    </w:p>
    <w:p>
      <w:pPr>
        <w:pStyle w:val="BodyText"/>
      </w:pPr>
      <w:r>
        <w:t xml:space="preserve">ANNEX 6: DETAILED DESCRIPTION OF IDENTIFIED PROBLEM AREAS</w:t>
      </w:r>
    </w:p>
    <w:p>
      <w:pPr>
        <w:pStyle w:val="Compact"/>
        <w:numPr>
          <w:ilvl w:val="0"/>
          <w:numId w:val="1004"/>
        </w:numPr>
      </w:pPr>
      <w:r>
        <w:t xml:space="preserve">Barriers to cross-border settlement</w:t>
      </w:r>
      <w:r>
        <w:t xml:space="preserve"> </w:t>
      </w:r>
      <w:r>
        <w:t xml:space="preserve">One of the main objectives of CSDR was to facilitate cross-border settlement in order to</w:t>
      </w:r>
      <w:r>
        <w:t xml:space="preserve"> </w:t>
      </w:r>
      <w:r>
        <w:t xml:space="preserve">limit the risk and cost involved in such operations. Nevertheless, seven years after</w:t>
      </w:r>
      <w:r>
        <w:t xml:space="preserve"> </w:t>
      </w:r>
      <w:r>
        <w:t xml:space="preserve">CSDR’s adoption, most stakeholders see limited progress in the provision of cross-border</w:t>
      </w:r>
      <w:r>
        <w:t xml:space="preserve"> </w:t>
      </w:r>
      <w:r>
        <w:t xml:space="preserve">services by CSDs (see point (c) in Section 1.3.3).357 The evaluation,358 has identified</w:t>
      </w:r>
      <w:r>
        <w:t xml:space="preserve"> </w:t>
      </w:r>
      <w:r>
        <w:t xml:space="preserve">three main reasons for this: burdensome passporting process; insufficient cooperation</w:t>
      </w:r>
      <w:r>
        <w:t xml:space="preserve"> </w:t>
      </w:r>
      <w:r>
        <w:t xml:space="preserve">between authorities; and restrictive requirements for the provision of banking services</w:t>
      </w:r>
      <w:r>
        <w:t xml:space="preserve"> </w:t>
      </w:r>
      <w:r>
        <w:t xml:space="preserve">related to settlement.</w:t>
      </w:r>
      <w:r>
        <w:br/>
      </w:r>
      <w:r>
        <w:t xml:space="preserve">First, the passporting process (i.e. the special procedure under which a CSD authorised</w:t>
      </w:r>
      <w:r>
        <w:t xml:space="preserve"> </w:t>
      </w:r>
      <w:r>
        <w:t xml:space="preserve">in a Member State can provide services in relation to financial instruments constituted</w:t>
      </w:r>
      <w:r>
        <w:t xml:space="preserve"> </w:t>
      </w:r>
      <w:r>
        <w:t xml:space="preserve">under the law of another Member State), is burdensome as it requires, where relevant,</w:t>
      </w:r>
      <w:r>
        <w:t xml:space="preserve"> </w:t>
      </w:r>
      <w:r>
        <w:t xml:space="preserve">the agreement of the host Member State authority, regarding the assessment by the CSD</w:t>
      </w:r>
      <w:r>
        <w:t xml:space="preserve"> </w:t>
      </w:r>
      <w:r>
        <w:t xml:space="preserve">of the measure that it intends to take to allow its users to comply with the national law</w:t>
      </w:r>
      <w:r>
        <w:t xml:space="preserve"> </w:t>
      </w:r>
      <w:r>
        <w:t xml:space="preserve">referred to in Article 49(1). All CSDs and their association responding to the</w:t>
      </w:r>
      <w:r>
        <w:t xml:space="preserve"> </w:t>
      </w:r>
      <w:r>
        <w:t xml:space="preserve">Commission targeted consultation as well as some public authorities, noted difficulties in</w:t>
      </w:r>
      <w:r>
        <w:t xml:space="preserve"> </w:t>
      </w:r>
      <w:r>
        <w:t xml:space="preserve">the process of obtaining the CSDR passport in one or several Member States.359</w:t>
      </w:r>
      <w:r>
        <w:t xml:space="preserve"> </w:t>
      </w:r>
      <w:r>
        <w:t xml:space="preserve">Although the initial intention was to ensure that the provision of cross-border services by</w:t>
      </w:r>
      <w:r>
        <w:t xml:space="preserve"> </w:t>
      </w:r>
      <w:r>
        <w:t xml:space="preserve">a CSD would not be used as a way for issuers, investors or third parties to circumvent</w:t>
      </w:r>
      <w:r>
        <w:t xml:space="preserve"> </w:t>
      </w:r>
      <w:r>
        <w:t xml:space="preserve">applicable national laws, it made the passporting process burdensome. The additional</w:t>
      </w:r>
      <w:r>
        <w:t xml:space="preserve"> </w:t>
      </w:r>
      <w:r>
        <w:t xml:space="preserve">burden deters CSDs from expanding their activities across borders (see sections 1.3.3,</w:t>
      </w:r>
      <w:r>
        <w:t xml:space="preserve"> </w:t>
      </w:r>
      <w:r>
        <w:t xml:space="preserve">2.2.1 and 2.3.1). This is in contrast to other areas of EU financial services legislation</w:t>
      </w:r>
      <w:r>
        <w:t xml:space="preserve"> </w:t>
      </w:r>
      <w:r>
        <w:t xml:space="preserve">where minimal additional input is required by host Member State authorities to provide</w:t>
      </w:r>
      <w:r>
        <w:t xml:space="preserve"> </w:t>
      </w:r>
      <w:r>
        <w:t xml:space="preserve">services cross-border.</w:t>
      </w:r>
      <w:r>
        <w:br/>
      </w:r>
      <w:r>
        <w:t xml:space="preserve">15 CSDs have obtained or applied for a passport in at least one host Member State (see</w:t>
      </w:r>
      <w:r>
        <w:t xml:space="preserve"> </w:t>
      </w:r>
      <w:r>
        <w:t xml:space="preserve">Annex 8, Figure I),360 with nine of them being of substantial importance361 to Member</w:t>
      </w:r>
      <w:r>
        <w:t xml:space="preserve"> </w:t>
      </w:r>
      <w:r>
        <w:t xml:space="preserve">States (including EEA countries) other than that of their authorisation.362</w:t>
      </w:r>
      <w:r>
        <w:t xml:space="preserve"> </w:t>
      </w:r>
      <w:r>
        <w:t xml:space="preserve">One CSD noted that it stopped providing cross-border services to avoid the procedure</w:t>
      </w:r>
      <w:r>
        <w:t xml:space="preserve"> </w:t>
      </w:r>
      <w:r>
        <w:t xml:space="preserve">while another stated that it is easier to provide services for securities constituted under</w:t>
      </w:r>
      <w:r>
        <w:t xml:space="preserve"> </w:t>
      </w:r>
      <w:r>
        <w:t xml:space="preserve">third-country law than the law of a Member State.363 Furthermore, some third-country</w:t>
      </w:r>
      <w:r>
        <w:t xml:space="preserve"> </w:t>
      </w:r>
      <w:r>
        <w:t xml:space="preserve">CSDs may provide their services in relation to financial instruments constituted under the</w:t>
      </w:r>
    </w:p>
    <w:p>
      <w:pPr>
        <w:pStyle w:val="FirstParagraph"/>
      </w:pPr>
      <w:r>
        <w:t xml:space="preserve">357 ESMA Report on cross-border services (see note 50), p. 20.</w:t>
      </w:r>
      <w:r>
        <w:t xml:space="preserve"> </w:t>
      </w:r>
      <w:r>
        <w:t xml:space="preserve">358 See “Annex 6 – Evaluation” and ESMA Report ‘Provision of banking-type ancillary services under CSDR’</w:t>
      </w:r>
      <w:r>
        <w:t xml:space="preserve"> </w:t>
      </w:r>
      <w:r>
        <w:t xml:space="preserve">(see note 88).</w:t>
      </w:r>
      <w:r>
        <w:t xml:space="preserve"> </w:t>
      </w:r>
      <w:r>
        <w:t xml:space="preserve">359 Summary report of the targeted consultation document on the review of regulation on improving securities</w:t>
      </w:r>
      <w:r>
        <w:t xml:space="preserve"> </w:t>
      </w:r>
      <w:r>
        <w:t xml:space="preserve">settlement in the European Union and on central securities depositories (‘Summary report of the CSDR</w:t>
      </w:r>
      <w:r>
        <w:t xml:space="preserve"> </w:t>
      </w:r>
      <w:r>
        <w:t xml:space="preserve">targeted consultation’) ,</w:t>
      </w:r>
    </w:p>
    <w:p>
      <w:pPr>
        <w:pStyle w:val="BodyText"/>
      </w:pPr>
      <w:r>
        <w:t xml:space="preserve">https://ec.europa.eu/info/sites/default/files/business_economy_euro/banking_and_finance/documents/2020-</w:t>
      </w:r>
      <w:r>
        <w:t xml:space="preserve"> </w:t>
      </w:r>
      <w:r>
        <w:t xml:space="preserve">csdr-review-summary-of-responses_en.pdf .</w:t>
      </w:r>
      <w:r>
        <w:t xml:space="preserve"> </w:t>
      </w:r>
      <w:r>
        <w:t xml:space="preserve">360 ESMA CSD Register (see note 26).</w:t>
      </w:r>
      <w:r>
        <w:br/>
      </w:r>
      <w:r>
        <w:t xml:space="preserve">361 Commission Delegated Regulation (EU) 2017/389 (see note 58), specifies the criteria to be considered in</w:t>
      </w:r>
      <w:r>
        <w:t xml:space="preserve"> </w:t>
      </w:r>
      <w:r>
        <w:t xml:space="preserve">order to determine whether a CSD is of substantial importance for the functioning of the securities markets</w:t>
      </w:r>
      <w:r>
        <w:t xml:space="preserve"> </w:t>
      </w:r>
      <w:r>
        <w:t xml:space="preserve">and the protection of investors in the host Member States concerned.</w:t>
      </w:r>
      <w:r>
        <w:t xml:space="preserve"> </w:t>
      </w:r>
      <w:r>
        <w:t xml:space="preserve">362 Two CSDs are of substantial importance to one host Member State; three CSDs are of substantial</w:t>
      </w:r>
      <w:r>
        <w:t xml:space="preserve"> </w:t>
      </w:r>
      <w:r>
        <w:t xml:space="preserve">importance to three host Member States; one CSD in six host Member States; one ICSD is of substantial</w:t>
      </w:r>
      <w:r>
        <w:t xml:space="preserve"> </w:t>
      </w:r>
      <w:r>
        <w:t xml:space="preserve">importance in 19 host Member States and the other in 23 host Member States</w:t>
      </w:r>
      <w:r>
        <w:t xml:space="preserve"> </w:t>
      </w:r>
      <w:r>
        <w:t xml:space="preserve">363 Summary Report of the Commission CSDR targeted consultation (see note 92).</w:t>
      </w:r>
    </w:p>
    <w:p>
      <w:pPr>
        <w:pStyle w:val="BodyText"/>
      </w:pPr>
      <w:r>
        <w:t xml:space="preserve">law of a Member State without complying with the passporting requirements that apply</w:t>
      </w:r>
      <w:r>
        <w:t xml:space="preserve"> </w:t>
      </w:r>
      <w:r>
        <w:t xml:space="preserve">to EU CSDs (see section 2.3.5). This means that, in some cases, it is easier for those</w:t>
      </w:r>
      <w:r>
        <w:t xml:space="preserve"> </w:t>
      </w:r>
      <w:r>
        <w:t xml:space="preserve">CSDs to operate cross-border in the EU than for an EU CSD.</w:t>
      </w:r>
      <w:r>
        <w:br/>
      </w:r>
      <w:r>
        <w:t xml:space="preserve">Second, the evaluation and stakeholder feedback has shown that cooperation between</w:t>
      </w:r>
      <w:r>
        <w:t xml:space="preserve"> </w:t>
      </w:r>
      <w:r>
        <w:t xml:space="preserve">authorities in home and host Member States and supervisory convergence is</w:t>
      </w:r>
      <w:r>
        <w:t xml:space="preserve"> </w:t>
      </w:r>
      <w:r>
        <w:t xml:space="preserve">insufficient, creating further obstacles in the CSDs’ cross-border operations, hindering</w:t>
      </w:r>
      <w:r>
        <w:t xml:space="preserve"> </w:t>
      </w:r>
      <w:r>
        <w:t xml:space="preserve">the creation of a true single market for settlement (see section 2.3.2), a conclusion that</w:t>
      </w:r>
      <w:r>
        <w:t xml:space="preserve"> </w:t>
      </w:r>
      <w:r>
        <w:t xml:space="preserve">High Level Forum on the CMU also reached.364 While CSDR requires the establishment</w:t>
      </w:r>
      <w:r>
        <w:t xml:space="preserve"> </w:t>
      </w:r>
      <w:r>
        <w:t xml:space="preserve">of cooperative arrangements between home and host authorities when certain conditions</w:t>
      </w:r>
      <w:r>
        <w:t xml:space="preserve"> </w:t>
      </w:r>
      <w:r>
        <w:t xml:space="preserve">are met and allows for the voluntary establishment of colleges of supervisors, in practice</w:t>
      </w:r>
      <w:r>
        <w:t xml:space="preserve"> </w:t>
      </w:r>
      <w:r>
        <w:t xml:space="preserve">there is no evidence that such arrangements have been used. For example, while six</w:t>
      </w:r>
      <w:r>
        <w:t xml:space="preserve"> </w:t>
      </w:r>
      <w:r>
        <w:t xml:space="preserve">CSDs are of substantial importance to more than one host Member States, only one</w:t>
      </w:r>
      <w:r>
        <w:t xml:space="preserve"> </w:t>
      </w:r>
      <w:r>
        <w:t xml:space="preserve">college of supervisors has been set up under Article 24(3) of CSDR365 and no</w:t>
      </w:r>
      <w:r>
        <w:t xml:space="preserve"> </w:t>
      </w:r>
      <w:r>
        <w:t xml:space="preserve">information is available to ESMA on whether the other required cooperative</w:t>
      </w:r>
      <w:r>
        <w:t xml:space="preserve"> </w:t>
      </w:r>
      <w:r>
        <w:t xml:space="preserve">arrangements under CSDR have been set up. This means that communication between</w:t>
      </w:r>
      <w:r>
        <w:t xml:space="preserve"> </w:t>
      </w:r>
      <w:r>
        <w:t xml:space="preserve">authorities in different Member States is not standardised; the same CSD is likely to be</w:t>
      </w:r>
      <w:r>
        <w:t xml:space="preserve"> </w:t>
      </w:r>
      <w:r>
        <w:t xml:space="preserve">subject to different supervisory arrangements and requirements in the different Member</w:t>
      </w:r>
      <w:r>
        <w:t xml:space="preserve"> </w:t>
      </w:r>
      <w:r>
        <w:t xml:space="preserve">States in which it may operate. This is further exacerbated by the fact that no single</w:t>
      </w:r>
      <w:r>
        <w:t xml:space="preserve"> </w:t>
      </w:r>
      <w:r>
        <w:t xml:space="preserve">authority participates in any arrangements that may have been set up to ensure that they</w:t>
      </w:r>
      <w:r>
        <w:t xml:space="preserve"> </w:t>
      </w:r>
      <w:r>
        <w:t xml:space="preserve">all follow in practice the same supervisory approach (see also section 2.3.2).</w:t>
      </w:r>
      <w:r>
        <w:br/>
      </w:r>
      <w:r>
        <w:t xml:space="preserve">Third, CSDR contains strict conditions for CSDs to settle a transaction in</w:t>
      </w:r>
      <w:r>
        <w:t xml:space="preserve"> </w:t>
      </w:r>
      <w:r>
        <w:t xml:space="preserve">commercial bank money (see section 2.3.3). A securities trade typically results in an</w:t>
      </w:r>
      <w:r>
        <w:t xml:space="preserve"> </w:t>
      </w:r>
      <w:r>
        <w:t xml:space="preserve">obligation for the seller to deliver securities (securities leg) and a corresponding</w:t>
      </w:r>
      <w:r>
        <w:t xml:space="preserve"> </w:t>
      </w:r>
      <w:r>
        <w:t xml:space="preserve">obligation for the buyer to deliver cash (cash leg). To ensure delivery of the cash, a CSD</w:t>
      </w:r>
      <w:r>
        <w:t xml:space="preserve"> </w:t>
      </w:r>
      <w:r>
        <w:t xml:space="preserve">may use accounts at a central bank366 or commercial bank money (i.e. CSDs may open</w:t>
      </w:r>
      <w:r>
        <w:t xml:space="preserve"> </w:t>
      </w:r>
      <w:r>
        <w:t xml:space="preserve">accounts in their own books or in a commercial bank). Access to central banks depends</w:t>
      </w:r>
      <w:r>
        <w:t xml:space="preserve"> </w:t>
      </w:r>
      <w:r>
        <w:t xml:space="preserve">on the respective central bank, brings cost and therefore requires certain economies of</w:t>
      </w:r>
      <w:r>
        <w:t xml:space="preserve"> </w:t>
      </w:r>
      <w:r>
        <w:t xml:space="preserve">scale. Consequently, settlement in commercial bank money is sometimes the only option</w:t>
      </w:r>
      <w:r>
        <w:t xml:space="preserve"> </w:t>
      </w:r>
      <w:r>
        <w:t xml:space="preserve">available for CSDs that want to settle in currencies other than that of the jurisdiction in</w:t>
      </w:r>
      <w:r>
        <w:t xml:space="preserve"> </w:t>
      </w:r>
      <w:r>
        <w:t xml:space="preserve">which they are authorised (e.g. because the CSD does not have an account with the</w:t>
      </w:r>
      <w:r>
        <w:t xml:space="preserve"> </w:t>
      </w:r>
      <w:r>
        <w:t xml:space="preserve">central bank of the transaction’s currency). However the restrictive nature of the</w:t>
      </w:r>
      <w:r>
        <w:t xml:space="preserve"> </w:t>
      </w:r>
      <w:r>
        <w:t xml:space="preserve">conditions (low threshold, no designated credit institutions, lack of economies of scale to</w:t>
      </w:r>
      <w:r>
        <w:t xml:space="preserve"> </w:t>
      </w:r>
      <w:r>
        <w:t xml:space="preserve">recuperate costs for banking license) under which this is possible means that CSDs</w:t>
      </w:r>
      <w:r>
        <w:t xml:space="preserve"> </w:t>
      </w:r>
      <w:r>
        <w:t xml:space="preserve">refrain from any cross-border activity.367 As a result, the percentage of EEA CSDs’</w:t>
      </w:r>
      <w:r>
        <w:t xml:space="preserve"> </w:t>
      </w:r>
      <w:r>
        <w:t xml:space="preserve">settlement activity in foreign currencies remains small (Figure II), while the level of</w:t>
      </w:r>
      <w:r>
        <w:t xml:space="preserve"> </w:t>
      </w:r>
      <w:r>
        <w:t xml:space="preserve">settlement in foreign currencies remains very limited; only five to seven CSDs between</w:t>
      </w:r>
      <w:r>
        <w:t xml:space="preserve"> </w:t>
      </w:r>
      <w:r>
        <w:t xml:space="preserve">2016 and 2020 settling more than 10% of the transactions in foreign currencies.</w:t>
      </w:r>
      <w:r>
        <w:br/>
      </w:r>
      <w:r>
        <w:t xml:space="preserve">Furthermore, as seen in Figure III, only four CSDs use more than four foreign</w:t>
      </w:r>
      <w:r>
        <w:t xml:space="preserve"> </w:t>
      </w:r>
      <w:r>
        <w:t xml:space="preserve">currencies in their settlement activity (one uses 10 foreign currencies; three use between</w:t>
      </w:r>
    </w:p>
    <w:p>
      <w:pPr>
        <w:pStyle w:val="BodyText"/>
      </w:pPr>
      <w:r>
        <w:t xml:space="preserve">364 Final report of the High Level Forum on the Capital Markets Union (see note 70), p. 16.</w:t>
      </w:r>
      <w:r>
        <w:t xml:space="preserve"> </w:t>
      </w:r>
      <w:r>
        <w:t xml:space="preserve">365 The Latvian supervisory authority established and led the Nasdaq CSD SE supervisory college in</w:t>
      </w:r>
      <w:r>
        <w:t xml:space="preserve"> </w:t>
      </w:r>
      <w:r>
        <w:t xml:space="preserve">cooperation with supervisory authorities and central banks of Lithuania, Estonia and Latvia</w:t>
      </w:r>
      <w:r>
        <w:t xml:space="preserve"> </w:t>
      </w:r>
      <w:r>
        <w:t xml:space="preserve">https://www.fktk.lv/en/news/press-releases/nasdaq-merges-its-baltic-csds-to-create-nasdaq-csd/.</w:t>
      </w:r>
      <w:r>
        <w:br/>
      </w:r>
      <w:r>
        <w:t xml:space="preserve">366 CSDR, in line with international standards, gives preference to settlement in central bank money as a credit</w:t>
      </w:r>
      <w:r>
        <w:t xml:space="preserve"> </w:t>
      </w:r>
      <w:r>
        <w:t xml:space="preserve">balance at a central bank implies no credit risk since what defines a central bank is its absolute ability to</w:t>
      </w:r>
      <w:r>
        <w:t xml:space="preserve"> </w:t>
      </w:r>
      <w:r>
        <w:t xml:space="preserve">issue currency to meet its needs. CSDs in the EU in principle have access to the central bank of the</w:t>
      </w:r>
      <w:r>
        <w:t xml:space="preserve"> </w:t>
      </w:r>
      <w:r>
        <w:t xml:space="preserve">currency in their jurisdiction and can therefore settle trades in that currency in central bank money.</w:t>
      </w:r>
      <w:r>
        <w:t xml:space="preserve"> </w:t>
      </w:r>
      <w:r>
        <w:t xml:space="preserve">367 As central banks can set their own access criteria, such as an obligation to be established in the jurisdiction</w:t>
      </w:r>
      <w:r>
        <w:t xml:space="preserve"> </w:t>
      </w:r>
      <w:r>
        <w:t xml:space="preserve">of the relevant currency, this is even more pertinent for EEA CSDs considering activities outside the EEA.</w:t>
      </w:r>
    </w:p>
    <w:p>
      <w:pPr>
        <w:pStyle w:val="BodyText"/>
      </w:pPr>
      <w:r>
        <w:t xml:space="preserve">25 and 33 currencies).368 The other CSDs settling in foreign currencies use between one</w:t>
      </w:r>
      <w:r>
        <w:t xml:space="preserve"> </w:t>
      </w:r>
      <w:r>
        <w:t xml:space="preserve">and two foreign currencies.369 This means that issuers have a limited choice for</w:t>
      </w:r>
      <w:r>
        <w:t xml:space="preserve"> </w:t>
      </w:r>
      <w:r>
        <w:t xml:space="preserve">multicurrency issuance which prevents genuine cross-border competition on all</w:t>
      </w:r>
      <w:r>
        <w:t xml:space="preserve"> </w:t>
      </w:r>
      <w:r>
        <w:t xml:space="preserve">currencies (especially since issuers seek one-stop-shop solutions).370</w:t>
      </w:r>
      <w:r>
        <w:t xml:space="preserve"> </w:t>
      </w:r>
      <w:r>
        <w:t xml:space="preserve">Figure II: Settlement in foreign currencies by EEA CSDs</w:t>
      </w:r>
    </w:p>
    <w:p>
      <w:pPr>
        <w:pStyle w:val="BodyText"/>
      </w:pPr>
      <w:r>
        <w:t xml:space="preserve">Figure III: Number of CSDs per range of yearly settlement in foreign currencies371</w:t>
      </w:r>
    </w:p>
    <w:p>
      <w:pPr>
        <w:pStyle w:val="Compact"/>
        <w:numPr>
          <w:ilvl w:val="0"/>
          <w:numId w:val="1005"/>
        </w:numPr>
      </w:pPr>
      <w:r>
        <w:t xml:space="preserve">Disproportionate compliance costs</w:t>
      </w:r>
      <w:r>
        <w:br/>
      </w:r>
      <w:r>
        <w:t xml:space="preserve">CSDR introduced new requirements for CSDs to safeguard the essential role they play in</w:t>
      </w:r>
      <w:r>
        <w:t xml:space="preserve"> </w:t>
      </w:r>
      <w:r>
        <w:t xml:space="preserve">financing the economy and channelling investments. Nevertheless, market participants</w:t>
      </w:r>
      <w:r>
        <w:t xml:space="preserve"> </w:t>
      </w:r>
      <w:r>
        <w:t xml:space="preserve">and authorities have identified targeted areas where the compliance costs are</w:t>
      </w:r>
    </w:p>
    <w:p>
      <w:pPr>
        <w:pStyle w:val="FirstParagraph"/>
      </w:pPr>
      <w:r>
        <w:t xml:space="preserve">368 ESMA Report ‘Provision of banking-type ancillary services under CSDR’ (see note 88).</w:t>
      </w:r>
      <w:r>
        <w:t xml:space="preserve"> </w:t>
      </w:r>
      <w:r>
        <w:t xml:space="preserve">369 Ibid.</w:t>
      </w:r>
      <w:r>
        <w:t xml:space="preserve"> </w:t>
      </w:r>
      <w:r>
        <w:t xml:space="preserve">370 Euronext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on</w:t>
      </w:r>
      <w:r>
        <w:t xml:space="preserve"> </w:t>
      </w:r>
      <w:r>
        <w:t xml:space="preserve">CSDR:</w:t>
      </w:r>
      <w:r>
        <w:t xml:space="preserve"> </w:t>
      </w:r>
      <w:r>
        <w:t xml:space="preserve">https://www.euronext.com/it/regulation/government-affairs.</w:t>
      </w:r>
      <w:r>
        <w:br/>
      </w:r>
      <w:r>
        <w:t xml:space="preserve">371 Report to the European Commission: provision of banking-type ancillary services under CSDR, ESMA, 8</w:t>
      </w:r>
      <w:r>
        <w:t xml:space="preserve"> </w:t>
      </w:r>
      <w:r>
        <w:t xml:space="preserve">July 2021: esma70-156-4582_report_to_the_ec_-_csdr_banking_services.pdf (europa.eu)</w:t>
      </w:r>
    </w:p>
    <w:p>
      <w:pPr>
        <w:pStyle w:val="BodyText"/>
      </w:pPr>
      <w:r>
        <w:t xml:space="preserve">disproportionate, because (a) legal requirements are unclear, and/or (b) they are</w:t>
      </w:r>
      <w:r>
        <w:t xml:space="preserve"> </w:t>
      </w:r>
      <w:r>
        <w:t xml:space="preserve">considered excessively burdensome, and/or (c) the costs of complying with the rules</w:t>
      </w:r>
      <w:r>
        <w:t xml:space="preserve"> </w:t>
      </w:r>
      <w:r>
        <w:t xml:space="preserve">appear to outweigh the potential benefits.</w:t>
      </w:r>
      <w:r>
        <w:br/>
      </w:r>
      <w:r>
        <w:t xml:space="preserve">Three areas have been identified as generating disproportionate compliance costs:</w:t>
      </w:r>
      <w:r>
        <w:t xml:space="preserve"> </w:t>
      </w:r>
      <w:r>
        <w:t xml:space="preserve">passporting rules; rules on the provision of banking services related to settlement; and the</w:t>
      </w:r>
      <w:r>
        <w:t xml:space="preserve"> </w:t>
      </w:r>
      <w:r>
        <w:t xml:space="preserve">settlement discipline regime.</w:t>
      </w:r>
      <w:r>
        <w:br/>
      </w:r>
      <w:r>
        <w:t xml:space="preserve">First, the CSDR passporting rules allow CSDs to provide services for financial</w:t>
      </w:r>
      <w:r>
        <w:t xml:space="preserve"> </w:t>
      </w:r>
      <w:r>
        <w:t xml:space="preserve">instruments constituted under the law of any Members State and not just that of their</w:t>
      </w:r>
      <w:r>
        <w:t xml:space="preserve"> </w:t>
      </w:r>
      <w:r>
        <w:t xml:space="preserve">authorisation. In this way, CSDs can benefit from access to a larger market and</w:t>
      </w:r>
      <w:r>
        <w:t xml:space="preserve"> </w:t>
      </w:r>
      <w:r>
        <w:t xml:space="preserve">issuers have more choice in where they issue and hold their securities. While the aim was</w:t>
      </w:r>
      <w:r>
        <w:t xml:space="preserve"> </w:t>
      </w:r>
      <w:r>
        <w:t xml:space="preserve">to ensure the functioning of the EU single market, the legal requirements have turned</w:t>
      </w:r>
      <w:r>
        <w:t xml:space="preserve"> </w:t>
      </w:r>
      <w:r>
        <w:t xml:space="preserve">out to be unclear in practice and burdensome (see section 2.3.1). For example, CSDs</w:t>
      </w:r>
      <w:r>
        <w:t xml:space="preserve"> </w:t>
      </w:r>
      <w:r>
        <w:t xml:space="preserve">wishing to provide their services across the EU would need the agreement of 26 Member</w:t>
      </w:r>
      <w:r>
        <w:t xml:space="preserve"> </w:t>
      </w:r>
      <w:r>
        <w:t xml:space="preserve">State authorities, in addition to their home authority, to do so. One CSD reported that 10-</w:t>
      </w:r>
      <w:r>
        <w:t xml:space="preserve"> </w:t>
      </w:r>
      <w:r>
        <w:t xml:space="preserve">15 pages of application were needed for each EU jurisdiction that a passport was</w:t>
      </w:r>
      <w:r>
        <w:t xml:space="preserve"> </w:t>
      </w:r>
      <w:r>
        <w:t xml:space="preserve">requested; this needed a further ca. 25-60 pages of external legal advice annexed per</w:t>
      </w:r>
      <w:r>
        <w:t xml:space="preserve"> </w:t>
      </w:r>
      <w:r>
        <w:t xml:space="preserve">jurisdiction.372</w:t>
      </w:r>
      <w:r>
        <w:br/>
      </w:r>
      <w:r>
        <w:t xml:space="preserve">The following examples shed light on burdensome and unclear passporting requirements:</w:t>
      </w:r>
      <w:r>
        <w:t xml:space="preserve"> </w:t>
      </w:r>
      <w:r>
        <w:t xml:space="preserve">First, the concept “securities constituted under the law of a Member State”373 gives</w:t>
      </w:r>
      <w:r>
        <w:t xml:space="preserve"> </w:t>
      </w:r>
      <w:r>
        <w:t xml:space="preserve">rise to interpretation. Article 23(2) of CSDR refers to “the law of another Member State</w:t>
      </w:r>
      <w:r>
        <w:t xml:space="preserve"> </w:t>
      </w:r>
      <w:r>
        <w:t xml:space="preserve">referred to in Article 49(1) [of CSDR]”, the latter provision mentioning the “corporate or</w:t>
      </w:r>
      <w:r>
        <w:t xml:space="preserve"> </w:t>
      </w:r>
      <w:r>
        <w:t xml:space="preserve">similar law of the Member State under which the securities are constituted”. This could</w:t>
      </w:r>
      <w:r>
        <w:t xml:space="preserve"> </w:t>
      </w:r>
      <w:r>
        <w:t xml:space="preserve">be understood as referring to the ‘governing law’ (i.e. the law governing the issuance)</w:t>
      </w:r>
      <w:r>
        <w:t xml:space="preserve"> </w:t>
      </w:r>
      <w:r>
        <w:t xml:space="preserve">or/and to the ‘issuer law’ (i.e. the law where the issuer is headquartered). This issue is</w:t>
      </w:r>
      <w:r>
        <w:t xml:space="preserve"> </w:t>
      </w:r>
      <w:r>
        <w:t xml:space="preserve">often encountered for debt securities as for shares the governing and issuer laws are</w:t>
      </w:r>
      <w:r>
        <w:t xml:space="preserve"> </w:t>
      </w:r>
      <w:r>
        <w:t xml:space="preserve">usually the same. According to a Q&amp;A on this issue the</w:t>
      </w:r>
      <w:r>
        <w:t xml:space="preserve"> </w:t>
      </w:r>
      <w:r>
        <w:t xml:space="preserve">‘law under which the securities</w:t>
      </w:r>
      <w:r>
        <w:t xml:space="preserve"> </w:t>
      </w:r>
      <w:r>
        <w:t xml:space="preserve">are constituted’</w:t>
      </w:r>
      <w:r>
        <w:t xml:space="preserve"> </w:t>
      </w:r>
      <w:r>
        <w:t xml:space="preserve">in the meaning of Article 49(1) of CSDR should be by default the</w:t>
      </w:r>
      <w:r>
        <w:t xml:space="preserve"> </w:t>
      </w:r>
      <w:r>
        <w:t xml:space="preserve">‘standard’ law of the issuance for each type of financial instrument per host Member</w:t>
      </w:r>
      <w:r>
        <w:t xml:space="preserve"> </w:t>
      </w:r>
      <w:r>
        <w:t xml:space="preserve">State (i.e. for shares, the national law of the issuer, and for bonds, the law that has been</w:t>
      </w:r>
      <w:r>
        <w:t xml:space="preserve"> </w:t>
      </w:r>
      <w:r>
        <w:t xml:space="preserve">contractually chosen to govern the issuance). However, several specific situations exist</w:t>
      </w:r>
      <w:r>
        <w:t xml:space="preserve"> </w:t>
      </w:r>
      <w:r>
        <w:t xml:space="preserve">which are detailed in the Q&amp;As. For example, under the current provisions of CSDR, the</w:t>
      </w:r>
      <w:r>
        <w:t xml:space="preserve"> </w:t>
      </w:r>
      <w:r>
        <w:t xml:space="preserve">case may arise where a CSD would need to require passports in two separate Member</w:t>
      </w:r>
      <w:r>
        <w:t xml:space="preserve"> </w:t>
      </w:r>
      <w:r>
        <w:t xml:space="preserve">States for a single issuance. This situation is considered in Q&amp;A 9 of ESMA.374 Article</w:t>
      </w:r>
      <w:r>
        <w:t xml:space="preserve"> </w:t>
      </w:r>
      <w:r>
        <w:t xml:space="preserve">23 of CSDR provides that CSDs should assess the measures to be taken to allow its users</w:t>
      </w:r>
      <w:r>
        <w:t xml:space="preserve"> </w:t>
      </w:r>
      <w:r>
        <w:t xml:space="preserve">to comply with the national law referred to in Article 49(1). However, in the case of</w:t>
      </w:r>
      <w:r>
        <w:t xml:space="preserve"> </w:t>
      </w:r>
      <w:r>
        <w:t xml:space="preserve">bonds, this could actually refer to the laws of two different Member States: the law of the</w:t>
      </w:r>
      <w:r>
        <w:t xml:space="preserve"> </w:t>
      </w:r>
      <w:r>
        <w:t xml:space="preserve">issuer Member State and the law contractually elected for the bond issuance.</w:t>
      </w:r>
      <w:r>
        <w:br/>
      </w:r>
      <w:r>
        <w:t xml:space="preserve">It should also be noted that – contrary to the Regulation– Q&amp;As are not legally binding</w:t>
      </w:r>
      <w:r>
        <w:t xml:space="preserve"> </w:t>
      </w:r>
      <w:r>
        <w:t xml:space="preserve">and therefore stakeholders may claim that they are entitled not follow them as, in</w:t>
      </w:r>
      <w:r>
        <w:t xml:space="preserve"> </w:t>
      </w:r>
      <w:r>
        <w:t xml:space="preserve">their view, they are complying with the Regulation itself even if they are not complying</w:t>
      </w:r>
      <w:r>
        <w:t xml:space="preserve"> </w:t>
      </w:r>
      <w:r>
        <w:t xml:space="preserve">with the Q&amp;A. Only a change to the EU legislation clarifying a legal requirement would</w:t>
      </w:r>
      <w:r>
        <w:t xml:space="preserve"> </w:t>
      </w:r>
      <w:r>
        <w:t xml:space="preserve">be legally binding.</w:t>
      </w:r>
    </w:p>
    <w:p>
      <w:pPr>
        <w:pStyle w:val="BodyText"/>
      </w:pPr>
      <w:r>
        <w:t xml:space="preserve">372 Based on confidential information provided to DG FISMA services.</w:t>
      </w:r>
      <w:r>
        <w:br/>
      </w:r>
      <w:r>
        <w:t xml:space="preserve">373 Article 23(2) and Article 49(1) of CSDR.</w:t>
      </w:r>
      <w:r>
        <w:t xml:space="preserve"> </w:t>
      </w:r>
      <w:r>
        <w:t xml:space="preserve">374 CSDR Q&amp;As, ESMA70-156-4448, 31 March 2021,</w:t>
      </w:r>
      <w:r>
        <w:t xml:space="preserve"> </w:t>
      </w:r>
      <w:r>
        <w:t xml:space="preserve">https://www.esma.europa.eu/sites/default/files/library/esma70-708036281-2_csdr_qas_2.pdf</w:t>
      </w:r>
    </w:p>
    <w:p>
      <w:pPr>
        <w:pStyle w:val="BodyText"/>
      </w:pPr>
      <w:r>
        <w:t xml:space="preserve">In their answer to the targeted consultation,375 multiple stakeholders raised the issue of</w:t>
      </w:r>
      <w:r>
        <w:t xml:space="preserve"> </w:t>
      </w:r>
      <w:r>
        <w:t xml:space="preserve">the lack of clarity of Article 23(2) of CSDR. The time required for CSDs to identify the</w:t>
      </w:r>
      <w:r>
        <w:t xml:space="preserve"> </w:t>
      </w:r>
      <w:r>
        <w:t xml:space="preserve">law to be considered as the “law under which securities are constituted” is burdensome.</w:t>
      </w:r>
      <w:r>
        <w:t xml:space="preserve"> </w:t>
      </w:r>
      <w:r>
        <w:t xml:space="preserve">In addition, the lack of legal clarity as to which law should be considered creates</w:t>
      </w:r>
      <w:r>
        <w:t xml:space="preserve"> </w:t>
      </w:r>
      <w:r>
        <w:t xml:space="preserve">uncertainty as to whether a passporting process has to be launched, and which national</w:t>
      </w:r>
      <w:r>
        <w:t xml:space="preserve"> </w:t>
      </w:r>
      <w:r>
        <w:t xml:space="preserve">authorities should be involved in it.</w:t>
      </w:r>
      <w:r>
        <w:br/>
      </w:r>
      <w:r>
        <w:t xml:space="preserve">Second, a question was raised as to whether the CSDR passporting procedure applied</w:t>
      </w:r>
      <w:r>
        <w:t xml:space="preserve"> </w:t>
      </w:r>
      <w:r>
        <w:t xml:space="preserve">to all types of securities. A Q&amp;A376 clarified that Article 23 applies to all financial</w:t>
      </w:r>
      <w:r>
        <w:t xml:space="preserve"> </w:t>
      </w:r>
      <w:r>
        <w:t xml:space="preserve">instruments.377 However, this broad scope creates more barriers for CSDs to operate</w:t>
      </w:r>
      <w:r>
        <w:t xml:space="preserve"> </w:t>
      </w:r>
      <w:r>
        <w:t xml:space="preserve">cross-border. For instance, according to a stakeholder the initial intention of the policy-</w:t>
      </w:r>
      <w:r>
        <w:t xml:space="preserve"> </w:t>
      </w:r>
      <w:r>
        <w:t xml:space="preserve">makers was for the passporting requirement to cover equities only; the broad scope has</w:t>
      </w:r>
      <w:r>
        <w:t xml:space="preserve"> </w:t>
      </w:r>
      <w:r>
        <w:t xml:space="preserve">resulted in an artificial barrier for issuance of bonds that already benefitted from the</w:t>
      </w:r>
      <w:r>
        <w:t xml:space="preserve"> </w:t>
      </w:r>
      <w:r>
        <w:t xml:space="preserve">freedom of issuance prior to the CSDR.378 Another underlined that the determination of</w:t>
      </w:r>
      <w:r>
        <w:t xml:space="preserve"> </w:t>
      </w:r>
      <w:r>
        <w:t xml:space="preserve">the relevant host Member State is easier for shares than for bonds as for the latter</w:t>
      </w:r>
      <w:r>
        <w:t xml:space="preserve"> </w:t>
      </w:r>
      <w:r>
        <w:t xml:space="preserve">different laws can apply such as the law of the issuer (for corporate aspects) or the law (s)</w:t>
      </w:r>
      <w:r>
        <w:t xml:space="preserve"> </w:t>
      </w:r>
      <w:r>
        <w:t xml:space="preserve">contractually chosen to govern some (economic) rights. In addition, it noted that bond</w:t>
      </w:r>
      <w:r>
        <w:t xml:space="preserve"> </w:t>
      </w:r>
      <w:r>
        <w:t xml:space="preserve">markets are very dynamic and the complexities of the passporting regime are particularly</w:t>
      </w:r>
      <w:r>
        <w:t xml:space="preserve"> </w:t>
      </w:r>
      <w:r>
        <w:t xml:space="preserve">problematic for the issuance of bonds since they harm CSDs’ ability to attract bond</w:t>
      </w:r>
      <w:r>
        <w:t xml:space="preserve"> </w:t>
      </w:r>
      <w:r>
        <w:t xml:space="preserve">issuance from abroad.379</w:t>
      </w:r>
      <w:r>
        <w:t xml:space="preserve"> </w:t>
      </w:r>
      <w:r>
        <w:t xml:space="preserve">Third, Article 23(3)(e) of CSDR requires CSDs to include in the information they</w:t>
      </w:r>
      <w:r>
        <w:t xml:space="preserve"> </w:t>
      </w:r>
      <w:r>
        <w:t xml:space="preserve">communicate to their competent authority, “where relevant, an assessment of the</w:t>
      </w:r>
      <w:r>
        <w:t xml:space="preserve"> </w:t>
      </w:r>
      <w:r>
        <w:t xml:space="preserve">measures the CSDs intends to take to allow its users to comply with the national law</w:t>
      </w:r>
      <w:r>
        <w:t xml:space="preserve"> </w:t>
      </w:r>
      <w:r>
        <w:t xml:space="preserve">referred to in Article 49(1)”. The use of “where relevant” does not allow for a</w:t>
      </w:r>
      <w:r>
        <w:t xml:space="preserve"> </w:t>
      </w:r>
      <w:r>
        <w:t xml:space="preserve">harmonised approach.380 ESMA has clarified through a Q&amp;A that “relevant” means</w:t>
      </w:r>
      <w:r>
        <w:t xml:space="preserve"> </w:t>
      </w:r>
      <w:r>
        <w:t xml:space="preserve">“whenever there are requirements under the national law that it has determined as being</w:t>
      </w:r>
      <w:r>
        <w:t xml:space="preserve"> </w:t>
      </w:r>
      <w:r>
        <w:t xml:space="preserve">relevant for the users of each cross-border service it provides or intends to provide”.381 It</w:t>
      </w:r>
      <w:r>
        <w:t xml:space="preserve"> </w:t>
      </w:r>
      <w:r>
        <w:t xml:space="preserve">is therefore left to the CSDs to make their due diligence in that respect, increasing the</w:t>
      </w:r>
      <w:r>
        <w:t xml:space="preserve"> </w:t>
      </w:r>
      <w:r>
        <w:t xml:space="preserve">burden imposed on them.</w:t>
      </w:r>
      <w:r>
        <w:br/>
      </w:r>
      <w:r>
        <w:t xml:space="preserve">Fourth, the passporting process is lengthy. The average time required between receipt</w:t>
      </w:r>
      <w:r>
        <w:t xml:space="preserve"> </w:t>
      </w:r>
      <w:r>
        <w:t xml:space="preserve">of the application and its transmission to host Member State authorities is six months.382</w:t>
      </w:r>
      <w:r>
        <w:t xml:space="preserve"> </w:t>
      </w:r>
      <w:r>
        <w:t xml:space="preserve">The length of the review by the host Member State authority for applications reported as</w:t>
      </w:r>
      <w:r>
        <w:t xml:space="preserve"> </w:t>
      </w:r>
      <w:r>
        <w:t xml:space="preserve">“approved” was on average 4 months.383 It could be a lengthy and burdensome procedure</w:t>
      </w:r>
      <w:r>
        <w:t xml:space="preserve"> </w:t>
      </w:r>
      <w:r>
        <w:t xml:space="preserve">before the CSD obtains the authorisation to provide its services in the host Member State.</w:t>
      </w:r>
      <w:r>
        <w:t xml:space="preserve"> </w:t>
      </w:r>
      <w:r>
        <w:t xml:space="preserve">CSDs wishing to provide their services in multiple Member States have to repeat the</w:t>
      </w:r>
      <w:r>
        <w:t xml:space="preserve"> </w:t>
      </w:r>
      <w:r>
        <w:t xml:space="preserve">process for each Member State separately. The lengthy process means that the issuer will</w:t>
      </w:r>
      <w:r>
        <w:t xml:space="preserve"> </w:t>
      </w:r>
      <w:r>
        <w:t xml:space="preserve">either have to put on hold its projects during this period384 or seek another provider,</w:t>
      </w:r>
      <w:r>
        <w:t xml:space="preserve"> </w:t>
      </w:r>
      <w:r>
        <w:t xml:space="preserve">where alternatives exist. Ten-months on average per passport process may be particularly</w:t>
      </w:r>
      <w:r>
        <w:t xml:space="preserve"> </w:t>
      </w:r>
      <w:r>
        <w:t xml:space="preserve">long for short-term instruments, especially in situations where the CSDs would like to</w:t>
      </w:r>
    </w:p>
    <w:p>
      <w:pPr>
        <w:pStyle w:val="BodyText"/>
      </w:pPr>
      <w:r>
        <w:t xml:space="preserve">375 Summary Report of the Commission CSDR targeted consultation (see note 92).</w:t>
      </w:r>
      <w:r>
        <w:t xml:space="preserve"> </w:t>
      </w:r>
      <w:r>
        <w:t xml:space="preserve">376 CSDR Q&amp;As (see note 164)</w:t>
      </w:r>
      <w:r>
        <w:t xml:space="preserve"> </w:t>
      </w:r>
      <w:r>
        <w:t xml:space="preserve">377 Financial instruments are defined in point (15) of Article 4(1) of Directive 2014/65/EU (see note 2).</w:t>
      </w:r>
      <w:r>
        <w:t xml:space="preserve"> </w:t>
      </w:r>
      <w:r>
        <w:t xml:space="preserve">378 ESCDA response to the Commission CSDR targeted consultation, https://ecsda.eu/archives/13474.</w:t>
      </w:r>
      <w:r>
        <w:t xml:space="preserve"> </w:t>
      </w:r>
      <w:r>
        <w:t xml:space="preserve">379 Euronext response to the Commission CSDR targeted consultation (see note 106).</w:t>
      </w:r>
      <w:r>
        <w:t xml:space="preserve"> </w:t>
      </w:r>
      <w:r>
        <w:t xml:space="preserve">380 ESMA Report on cross-border services (see note 50), par. 102.</w:t>
      </w:r>
      <w:r>
        <w:t xml:space="preserve"> </w:t>
      </w:r>
      <w:r>
        <w:t xml:space="preserve">381 CSDR Q&amp;As (see note 164), question 9(f).</w:t>
      </w:r>
      <w:r>
        <w:t xml:space="preserve"> </w:t>
      </w:r>
      <w:r>
        <w:t xml:space="preserve">382 ESMA Report on cross-border services (see note 50), para. 68.</w:t>
      </w:r>
      <w:r>
        <w:t xml:space="preserve"> </w:t>
      </w:r>
      <w:r>
        <w:t xml:space="preserve">383 Ibid, par. 72.</w:t>
      </w:r>
      <w:r>
        <w:t xml:space="preserve"> </w:t>
      </w:r>
      <w:r>
        <w:t xml:space="preserve">384 Based on confidential information provided to DG FISMA services.</w:t>
      </w:r>
    </w:p>
    <w:p>
      <w:pPr>
        <w:pStyle w:val="BodyText"/>
      </w:pPr>
      <w:r>
        <w:t xml:space="preserve">passport its services in multiple jurisdictions. This limits the incentive to request a</w:t>
      </w:r>
      <w:r>
        <w:t xml:space="preserve"> </w:t>
      </w:r>
      <w:r>
        <w:t xml:space="preserve">passport and engage in cross-border business, limiting competition.</w:t>
      </w:r>
      <w:r>
        <w:t xml:space="preserve"> </w:t>
      </w:r>
      <w:r>
        <w:t xml:space="preserve">Fifth, the passporting process is not standardised, as confirmed amongst others by</w:t>
      </w:r>
      <w:r>
        <w:t xml:space="preserve"> </w:t>
      </w:r>
      <w:r>
        <w:t xml:space="preserve">ESMA.385 This has led to divergences in the way different national authorities handle</w:t>
      </w:r>
      <w:r>
        <w:t xml:space="preserve"> </w:t>
      </w:r>
      <w:r>
        <w:t xml:space="preserve">passporting applications, e.g. the level of detail requested on the measures CSDs take to</w:t>
      </w:r>
      <w:r>
        <w:t xml:space="preserve"> </w:t>
      </w:r>
      <w:r>
        <w:t xml:space="preserve">allow their users to comply with the national laws of the host Member State. For</w:t>
      </w:r>
      <w:r>
        <w:t xml:space="preserve"> </w:t>
      </w:r>
      <w:r>
        <w:t xml:space="preserve">instance, it was reported that the legal opinion (which can have a significant impact on</w:t>
      </w:r>
      <w:r>
        <w:t xml:space="preserve"> </w:t>
      </w:r>
      <w:r>
        <w:t xml:space="preserve">the passporting costs) and which is considered as mandatory by an ESMA Q&amp;A, is only</w:t>
      </w:r>
      <w:r>
        <w:t xml:space="preserve"> </w:t>
      </w:r>
      <w:r>
        <w:t xml:space="preserve">accepted by certain national authorities (but not by others) if issued as “external</w:t>
      </w:r>
      <w:r>
        <w:t xml:space="preserve"> </w:t>
      </w:r>
      <w:r>
        <w:t xml:space="preserve">assessment”.386 Other examples include the need for additional supervision by the host</w:t>
      </w:r>
      <w:r>
        <w:t xml:space="preserve"> </w:t>
      </w:r>
      <w:r>
        <w:t xml:space="preserve">authority on top of that of the home authority and the need for the foreign CSD to</w:t>
      </w:r>
      <w:r>
        <w:t xml:space="preserve"> </w:t>
      </w:r>
      <w:r>
        <w:t xml:space="preserve">comply with certain domestic laws.</w:t>
      </w:r>
      <w:r>
        <w:t xml:space="preserve"> </w:t>
      </w:r>
      <w:r>
        <w:t xml:space="preserve">Sixth, the role of the host national authority is unclear, e.g. on whether it can request</w:t>
      </w:r>
      <w:r>
        <w:t xml:space="preserve"> </w:t>
      </w:r>
      <w:r>
        <w:t xml:space="preserve">additional information and/or what is its role in the assessment of the measures the CSD</w:t>
      </w:r>
      <w:r>
        <w:t xml:space="preserve"> </w:t>
      </w:r>
      <w:r>
        <w:t xml:space="preserve">intends to take to allow its users to comply with national law.387</w:t>
      </w:r>
      <w:r>
        <w:br/>
      </w:r>
      <w:r>
        <w:t xml:space="preserve">The complexity of the passporting procedure and the difficulties in obtaining a passport,</w:t>
      </w:r>
      <w:r>
        <w:t xml:space="preserve"> </w:t>
      </w:r>
      <w:r>
        <w:t xml:space="preserve">have been highlighted both by CSDs and their association as well as some public</w:t>
      </w:r>
      <w:r>
        <w:t xml:space="preserve"> </w:t>
      </w:r>
      <w:r>
        <w:t xml:space="preserve">authorities.388 One CSD stated that “[it] is our assessment that despite the passporting</w:t>
      </w:r>
      <w:r>
        <w:t xml:space="preserve"> </w:t>
      </w:r>
      <w:r>
        <w:t xml:space="preserve">regime introduced by CSDR, cross-border activity, namely the possibility for CSDs to</w:t>
      </w:r>
      <w:r>
        <w:t xml:space="preserve"> </w:t>
      </w:r>
      <w:r>
        <w:t xml:space="preserve">offer services as Issuer CSDs for instruments issued under the law of another Member</w:t>
      </w:r>
      <w:r>
        <w:t xml:space="preserve"> </w:t>
      </w:r>
      <w:r>
        <w:t xml:space="preserve">State has not sufficiently increased. Overall, the passport process has regrettably been</w:t>
      </w:r>
      <w:r>
        <w:t xml:space="preserve"> </w:t>
      </w:r>
      <w:r>
        <w:t xml:space="preserve">significantly more burdensome than what was intended by the legislator”.389</w:t>
      </w:r>
      <w:r>
        <w:br/>
      </w:r>
      <w:r>
        <w:t xml:space="preserve">In addition, the lack of clarity and complexity as regards how to comply with the legal</w:t>
      </w:r>
      <w:r>
        <w:t xml:space="preserve"> </w:t>
      </w:r>
      <w:r>
        <w:t xml:space="preserve">requirements, and the subsequent threat of potential legal action, generate costs that</w:t>
      </w:r>
      <w:r>
        <w:t xml:space="preserve"> </w:t>
      </w:r>
      <w:r>
        <w:t xml:space="preserve">present an unnecessary barrier to the development of CSD activities. A CSD reported</w:t>
      </w:r>
      <w:r>
        <w:t xml:space="preserve"> </w:t>
      </w:r>
      <w:r>
        <w:t xml:space="preserve">confidentially390 that the internal legal support required throughout the passporting</w:t>
      </w:r>
      <w:r>
        <w:t xml:space="preserve"> </w:t>
      </w:r>
      <w:r>
        <w:t xml:space="preserve">process was significant, including: interpretation of Article 23 of CSDR, clarification of</w:t>
      </w:r>
      <w:r>
        <w:t xml:space="preserve"> </w:t>
      </w:r>
      <w:r>
        <w:t xml:space="preserve">where passports were needed to maintain operating licenses, and preparation of local</w:t>
      </w:r>
      <w:r>
        <w:t xml:space="preserve"> </w:t>
      </w:r>
      <w:r>
        <w:t xml:space="preserve">legal work. After this, passport notifications were prepared, external legal advice was</w:t>
      </w:r>
    </w:p>
    <w:p>
      <w:pPr>
        <w:pStyle w:val="BodyText"/>
      </w:pPr>
      <w:r>
        <w:t xml:space="preserve">385 “Some authorities noted important discrepancies in the level of detail provided in respect of the measures</w:t>
      </w:r>
      <w:r>
        <w:t xml:space="preserve"> </w:t>
      </w:r>
      <w:r>
        <w:t xml:space="preserve">set up by CSDs to allow their users complying with national requirements, as this is not harmonised under</w:t>
      </w:r>
      <w:r>
        <w:t xml:space="preserve"> </w:t>
      </w:r>
      <w:r>
        <w:t xml:space="preserve">CSDR. Moreover, some CSDs solely seem to rely on the issuer to perform a legal analysis of the capacity</w:t>
      </w:r>
      <w:r>
        <w:t xml:space="preserve"> </w:t>
      </w:r>
      <w:r>
        <w:t xml:space="preserve">of the CSD to service their issuance. Some also claimed it is not clear whether a legal opinion is needed to</w:t>
      </w:r>
      <w:r>
        <w:t xml:space="preserve"> </w:t>
      </w:r>
      <w:r>
        <w:t xml:space="preserve">support the assessment. Another respondent highlighted that there are some important differences in the</w:t>
      </w:r>
      <w:r>
        <w:t xml:space="preserve"> </w:t>
      </w:r>
      <w:r>
        <w:t xml:space="preserve">degree of information in the provided documentation (e.g. from very detailed information to rather limited</w:t>
      </w:r>
      <w:r>
        <w:t xml:space="preserve"> </w:t>
      </w:r>
      <w:r>
        <w:t xml:space="preserve">and high-level information) and mostly in the assessments done by different CSDs. Some CSDs provided</w:t>
      </w:r>
      <w:r>
        <w:t xml:space="preserve"> </w:t>
      </w:r>
      <w:r>
        <w:t xml:space="preserve">independent legal opinions, some provided internal assessment and others estimated that an assessment of</w:t>
      </w:r>
      <w:r>
        <w:t xml:space="preserve"> </w:t>
      </w:r>
      <w:r>
        <w:t xml:space="preserve">each national requirement under Article 49 of CSDR was not necessary, due to the typology of</w:t>
      </w:r>
      <w:r>
        <w:t xml:space="preserve"> </w:t>
      </w:r>
      <w:r>
        <w:t xml:space="preserve">services/instruments the CSD provided.”, ESMA Report on cross-border services (see note 50), para. 107.</w:t>
      </w:r>
      <w:r>
        <w:t xml:space="preserve"> </w:t>
      </w:r>
      <w:r>
        <w:t xml:space="preserve">386 Based on confidential information provided to DG FISMA services.</w:t>
      </w:r>
      <w:r>
        <w:br/>
      </w:r>
      <w:r>
        <w:t xml:space="preserve">387 CSDR Q&amp;A (see note 164), CSDR Question 9(g) clarifies the role of host NCAs. Q&amp;As are not legally</w:t>
      </w:r>
      <w:r>
        <w:t xml:space="preserve"> </w:t>
      </w:r>
      <w:r>
        <w:t xml:space="preserve">binding.</w:t>
      </w:r>
      <w:r>
        <w:t xml:space="preserve"> </w:t>
      </w:r>
      <w:r>
        <w:t xml:space="preserve">388 To question 10 of the targeted consultation on whether they have encountered any particular difficulty in</w:t>
      </w:r>
      <w:r>
        <w:t xml:space="preserve"> </w:t>
      </w:r>
      <w:r>
        <w:t xml:space="preserve">the process of obtaining the CSDR “passport” in one or several Member States different to the one of the</w:t>
      </w:r>
      <w:r>
        <w:t xml:space="preserve"> </w:t>
      </w:r>
      <w:r>
        <w:t xml:space="preserve">place of establishment, 12 responded positively, 7 did not have an opinion while none of the respondents</w:t>
      </w:r>
      <w:r>
        <w:t xml:space="preserve"> </w:t>
      </w:r>
      <w:r>
        <w:t xml:space="preserve">answered negatively.</w:t>
      </w:r>
      <w:r>
        <w:br/>
      </w:r>
      <w:r>
        <w:t xml:space="preserve">389 Euronext response to the Commission CSDR targeted consultation (see note 106), page 16.</w:t>
      </w:r>
      <w:r>
        <w:t xml:space="preserve"> </w:t>
      </w:r>
      <w:r>
        <w:t xml:space="preserve">390 Based on confidential information provided to DG FISMA services.</w:t>
      </w:r>
    </w:p>
    <w:p>
      <w:pPr>
        <w:pStyle w:val="BodyText"/>
      </w:pPr>
      <w:r>
        <w:t xml:space="preserve">sought,391 and comments from host national authorities had to be addressed. Another</w:t>
      </w:r>
      <w:r>
        <w:t xml:space="preserve"> </w:t>
      </w:r>
      <w:r>
        <w:t xml:space="preserve">CSD stated confidentially392 that the CSD had to do most of the work rather than external</w:t>
      </w:r>
      <w:r>
        <w:t xml:space="preserve"> </w:t>
      </w:r>
      <w:r>
        <w:t xml:space="preserve">lawyers; consequently, in most cases, it was not achievable or realistic that the legal</w:t>
      </w:r>
      <w:r>
        <w:t xml:space="preserve"> </w:t>
      </w:r>
      <w:r>
        <w:t xml:space="preserve">opinion cover the compliance of the CSD’s procedures with the local laws. Even if most</w:t>
      </w:r>
      <w:r>
        <w:t xml:space="preserve"> </w:t>
      </w:r>
      <w:r>
        <w:t xml:space="preserve">CSDs applying for a passport to operate cross-border have been able to obtain it,</w:t>
      </w:r>
      <w:r>
        <w:t xml:space="preserve"> </w:t>
      </w:r>
      <w:r>
        <w:t xml:space="preserve">stakeholders have indicated that this process is difficult, lengthy and demanding (see</w:t>
      </w:r>
      <w:r>
        <w:t xml:space="preserve"> </w:t>
      </w:r>
      <w:r>
        <w:t xml:space="preserve">section 2.3.1).</w:t>
      </w:r>
      <w:r>
        <w:br/>
      </w:r>
      <w:r>
        <w:t xml:space="preserve">Second, the rules around the provision of banking services create disproportionate</w:t>
      </w:r>
      <w:r>
        <w:t xml:space="preserve"> </w:t>
      </w:r>
      <w:r>
        <w:t xml:space="preserve">compliance costs for CSDs. This negatively impacts the provision of cross-border</w:t>
      </w:r>
      <w:r>
        <w:t xml:space="preserve"> </w:t>
      </w:r>
      <w:r>
        <w:t xml:space="preserve">services. In addition, the lack of options to settle in either commercial bank money or</w:t>
      </w:r>
      <w:r>
        <w:t xml:space="preserve"> </w:t>
      </w:r>
      <w:r>
        <w:t xml:space="preserve">central bank money could undermine the safety of the settlement market, as transactions</w:t>
      </w:r>
      <w:r>
        <w:t xml:space="preserve"> </w:t>
      </w:r>
      <w:r>
        <w:t xml:space="preserve">could be settled free of payment instead of delivery versus payment, increasing risks for</w:t>
      </w:r>
      <w:r>
        <w:t xml:space="preserve"> </w:t>
      </w:r>
      <w:r>
        <w:t xml:space="preserve">the market as a whole.393 More specifically:</w:t>
      </w:r>
      <w:r>
        <w:br/>
      </w:r>
      <w:r>
        <w:t xml:space="preserve"> CSDs offering settlement in commercial bank money as an ancillary service must</w:t>
      </w:r>
      <w:r>
        <w:t xml:space="preserve"> </w:t>
      </w:r>
      <w:r>
        <w:t xml:space="preserve">comply with additional requirements to mitigate mainly credit and liquidity</w:t>
      </w:r>
      <w:r>
        <w:t xml:space="preserve"> </w:t>
      </w:r>
      <w:r>
        <w:t xml:space="preserve">risks for the CSD and its participants,394 e.g. CSDs have to be authorised as a</w:t>
      </w:r>
      <w:r>
        <w:t xml:space="preserve"> </w:t>
      </w:r>
      <w:r>
        <w:t xml:space="preserve">credit institution under the applicable banking legislation and comply with the</w:t>
      </w:r>
      <w:r>
        <w:t xml:space="preserve"> </w:t>
      </w:r>
      <w:r>
        <w:t xml:space="preserve">regulatory capital requirements set in Regulation (EU) No 575/2013 (Capital</w:t>
      </w:r>
      <w:r>
        <w:t xml:space="preserve"> </w:t>
      </w:r>
      <w:r>
        <w:t xml:space="preserve">Requirements Regulation). This has led to a doubling of regulatory capital and</w:t>
      </w:r>
      <w:r>
        <w:t xml:space="preserve"> </w:t>
      </w:r>
      <w:r>
        <w:t xml:space="preserve">significant investments in operational compliance relative to the situation where</w:t>
      </w:r>
      <w:r>
        <w:t xml:space="preserve"> </w:t>
      </w:r>
      <w:r>
        <w:t xml:space="preserve">only CSDR would be applicable.395 At end 2020, the level of regulatory capital of</w:t>
      </w:r>
      <w:r>
        <w:t xml:space="preserve"> </w:t>
      </w:r>
      <w:r>
        <w:t xml:space="preserve">a CSD with a banking licence estimated to be more than twice the amount</w:t>
      </w:r>
      <w:r>
        <w:t xml:space="preserve"> </w:t>
      </w:r>
      <w:r>
        <w:t xml:space="preserve">compared to the situation where it had to comply only with CSDR and without</w:t>
      </w:r>
      <w:r>
        <w:t xml:space="preserve"> </w:t>
      </w:r>
      <w:r>
        <w:t xml:space="preserve">taking into account the number of staff responsible for assessing, controlling and</w:t>
      </w:r>
      <w:r>
        <w:t xml:space="preserve"> </w:t>
      </w:r>
      <w:r>
        <w:t xml:space="preserve">mitigating the banking risks taken by the bank.396 In addition, CSDR does not</w:t>
      </w:r>
      <w:r>
        <w:t xml:space="preserve"> </w:t>
      </w:r>
      <w:r>
        <w:t xml:space="preserve">allow banking CSDs to offer their services to other (non-banking) CSDs</w:t>
      </w:r>
      <w:r>
        <w:t xml:space="preserve"> </w:t>
      </w:r>
      <w:r>
        <w:t xml:space="preserve">irrespective of whether the latter is within or outside their group.397 As a result of</w:t>
      </w:r>
      <w:r>
        <w:t xml:space="preserve"> </w:t>
      </w:r>
      <w:r>
        <w:t xml:space="preserve">the increased costs, only 5 out of 28 CSDs in the EEA have applied and been</w:t>
      </w:r>
      <w:r>
        <w:t xml:space="preserve"> </w:t>
      </w:r>
      <w:r>
        <w:t xml:space="preserve">authorised to provide banking services;398 all provided these services pre-CSDR</w:t>
      </w:r>
      <w:r>
        <w:t xml:space="preserve"> </w:t>
      </w:r>
      <w:r>
        <w:t xml:space="preserve">and no new providers have entered the market. Moreover, one CSD stopped</w:t>
      </w:r>
      <w:r>
        <w:t xml:space="preserve"> </w:t>
      </w:r>
      <w:r>
        <w:t xml:space="preserve">providing issuance and settlement services in currencies other than the Euro.399</w:t>
      </w:r>
      <w:r>
        <w:t xml:space="preserve"> </w:t>
      </w:r>
      <w:r>
        <w:t xml:space="preserve"> CSDs offering settlement above a certain threshold may also use a specialised</w:t>
      </w:r>
      <w:r>
        <w:t xml:space="preserve"> </w:t>
      </w:r>
      <w:r>
        <w:t xml:space="preserve">bank (known as a designated credit institution, which is a limited-licence bank</w:t>
      </w:r>
      <w:r>
        <w:t xml:space="preserve"> </w:t>
      </w:r>
      <w:r>
        <w:t xml:space="preserve">introduced by CSDR that provides services only to CSDs) that has to comply</w:t>
      </w:r>
      <w:r>
        <w:t xml:space="preserve"> </w:t>
      </w:r>
      <w:r>
        <w:t xml:space="preserve">with additional requirements to mitigate the risks. Nevertheless, considering the</w:t>
      </w:r>
      <w:r>
        <w:t xml:space="preserve"> </w:t>
      </w:r>
      <w:r>
        <w:t xml:space="preserve">costs required to be authorised as a designated credit institution and the</w:t>
      </w:r>
      <w:r>
        <w:t xml:space="preserve"> </w:t>
      </w:r>
      <w:r>
        <w:t xml:space="preserve">limited range of services that such entities can offer, no designated credit</w:t>
      </w:r>
      <w:r>
        <w:t xml:space="preserve"> </w:t>
      </w:r>
      <w:r>
        <w:t xml:space="preserve">institutions exist to date as a business case is difficult to make, as confirmed by</w:t>
      </w:r>
    </w:p>
    <w:p>
      <w:pPr>
        <w:pStyle w:val="BodyText"/>
      </w:pPr>
      <w:r>
        <w:t xml:space="preserve">391 In addition to the internal legal support, it is in practice impossible to provide a formalised assessment per</w:t>
      </w:r>
      <w:r>
        <w:t xml:space="preserve"> </w:t>
      </w:r>
      <w:r>
        <w:t xml:space="preserve">market and per type of securities in all EEA countries without external legal advice.</w:t>
      </w:r>
      <w:r>
        <w:br/>
      </w:r>
      <w:r>
        <w:t xml:space="preserve">392 Information provided to DG FISMA services confidentially.</w:t>
      </w:r>
      <w:r>
        <w:br/>
      </w:r>
      <w:r>
        <w:t xml:space="preserve">393 European Post-Trade Forum Report (see note 11), p. 117.</w:t>
      </w:r>
      <w:r>
        <w:t xml:space="preserve"> </w:t>
      </w:r>
      <w:r>
        <w:t xml:space="preserve">394 Credit risk is the risk an institution faces when lending to borrowers that cannot meet their obligations.</w:t>
      </w:r>
      <w:r>
        <w:t xml:space="preserve"> </w:t>
      </w:r>
      <w:r>
        <w:t xml:space="preserve">Liquidity risk refers to the inability of an institution to meet its own financial obligations.</w:t>
      </w:r>
      <w:r>
        <w:t xml:space="preserve"> </w:t>
      </w:r>
      <w:r>
        <w:t xml:space="preserve">395 Based on confidential information provided to DG FISMA services.</w:t>
      </w:r>
      <w:r>
        <w:t xml:space="preserve"> </w:t>
      </w:r>
      <w:r>
        <w:t xml:space="preserve">396 Based on confidential information provided to DG FISMA services.</w:t>
      </w:r>
      <w:r>
        <w:t xml:space="preserve"> </w:t>
      </w:r>
      <w:r>
        <w:t xml:space="preserve">397 Article 54 of CSDR.</w:t>
      </w:r>
      <w:r>
        <w:br/>
      </w:r>
      <w:r>
        <w:t xml:space="preserve">398 ESMA CSD Register (see note 26).</w:t>
      </w:r>
      <w:r>
        <w:t xml:space="preserve"> </w:t>
      </w:r>
      <w:r>
        <w:t xml:space="preserve">399 Based on confidential information provided to DG FISMA services.</w:t>
      </w:r>
    </w:p>
    <w:p>
      <w:pPr>
        <w:pStyle w:val="BodyText"/>
      </w:pPr>
      <w:r>
        <w:t xml:space="preserve">ESMA.400 Therefore, while this was an option in CSDR, CSDs cannot use it to</w:t>
      </w:r>
      <w:r>
        <w:t xml:space="preserve"> </w:t>
      </w:r>
      <w:r>
        <w:t xml:space="preserve">settle in commercial bank money. Consequently, CSDR does not achieve its</w:t>
      </w:r>
      <w:r>
        <w:t xml:space="preserve"> </w:t>
      </w:r>
      <w:r>
        <w:t xml:space="preserve">objective. The decision of BNY Mellon to stop its CSD project in 2015 can be</w:t>
      </w:r>
      <w:r>
        <w:t xml:space="preserve"> </w:t>
      </w:r>
      <w:r>
        <w:t xml:space="preserve">attributed to the restrictions imposed on designated credit institutions.401</w:t>
      </w:r>
      <w:r>
        <w:t xml:space="preserve"> </w:t>
      </w:r>
      <w:r>
        <w:t xml:space="preserve"> CSDs settling in commercial bank money below a certain threshold, do not</w:t>
      </w:r>
      <w:r>
        <w:t xml:space="preserve"> </w:t>
      </w:r>
      <w:r>
        <w:t xml:space="preserve">have to comply with all credit and liquidity requirements (i.e. they can use a</w:t>
      </w:r>
      <w:r>
        <w:t xml:space="preserve"> </w:t>
      </w:r>
      <w:r>
        <w:t xml:space="preserve">commercial bank).402 However, this means that they have to limit the offer of</w:t>
      </w:r>
      <w:r>
        <w:t xml:space="preserve"> </w:t>
      </w:r>
      <w:r>
        <w:t xml:space="preserve">their services in other currencies in order not to exceed the threshold of 1%</w:t>
      </w:r>
      <w:r>
        <w:t xml:space="preserve"> </w:t>
      </w:r>
      <w:r>
        <w:t xml:space="preserve">of total settlement and EUR 2.5 billion, thus incurring opportunity costs from</w:t>
      </w:r>
      <w:r>
        <w:t xml:space="preserve"> </w:t>
      </w:r>
      <w:r>
        <w:t xml:space="preserve">the loss of business. For example, in northern Europe, CSDs without access to</w:t>
      </w:r>
      <w:r>
        <w:t xml:space="preserve"> </w:t>
      </w:r>
      <w:r>
        <w:t xml:space="preserve">central bank money, such as Finland, Sweden and Denmark are confronted</w:t>
      </w:r>
      <w:r>
        <w:t xml:space="preserve"> </w:t>
      </w:r>
      <w:r>
        <w:t xml:space="preserve">directly with this limit, limiting possibilities for cross-border transactions between</w:t>
      </w:r>
      <w:r>
        <w:t xml:space="preserve"> </w:t>
      </w:r>
      <w:r>
        <w:t xml:space="preserve">these countries.403 Estimates are that, for CSDs without a banking license,</w:t>
      </w:r>
      <w:r>
        <w:t xml:space="preserve"> </w:t>
      </w:r>
      <w:r>
        <w:t xml:space="preserve">settlement activities in foreign currencies could potentially increase over a 5-year</w:t>
      </w:r>
      <w:r>
        <w:t xml:space="preserve"> </w:t>
      </w:r>
      <w:r>
        <w:t xml:space="preserve">horizon by ca. 5% of the total value of all securities transactions against cash</w:t>
      </w:r>
      <w:r>
        <w:t xml:space="preserve"> </w:t>
      </w:r>
      <w:r>
        <w:t xml:space="preserve">settled in the books of such CSDs.404 The majority of stakeholders responding to</w:t>
      </w:r>
      <w:r>
        <w:t xml:space="preserve"> </w:t>
      </w:r>
      <w:r>
        <w:t xml:space="preserve">the Commission targeted consultation, including CSDs and their association</w:t>
      </w:r>
      <w:r>
        <w:t xml:space="preserve"> </w:t>
      </w:r>
      <w:r>
        <w:t xml:space="preserve">suggested a reassessment of the threshold set out in Article 54(5) of CSD.405 New</w:t>
      </w:r>
      <w:r>
        <w:t xml:space="preserve"> </w:t>
      </w:r>
      <w:r>
        <w:t xml:space="preserve">entrant CSDs wishing to offer settlement services throughout the EU (and thus</w:t>
      </w:r>
      <w:r>
        <w:t xml:space="preserve"> </w:t>
      </w:r>
      <w:r>
        <w:t xml:space="preserve">likely to require commercial bank money settlement facilities) may also be</w:t>
      </w:r>
      <w:r>
        <w:t xml:space="preserve"> </w:t>
      </w:r>
      <w:r>
        <w:t xml:space="preserve">discouraged from entering the EU market due to the conditions for settlement in</w:t>
      </w:r>
      <w:r>
        <w:t xml:space="preserve"> </w:t>
      </w:r>
      <w:r>
        <w:t xml:space="preserve">commercial bank money, which were introduced to ensure financial stability.</w:t>
      </w:r>
      <w:r>
        <w:br/>
      </w:r>
      <w:r>
        <w:t xml:space="preserve"> Contributing to the reluctance of market participants could be the intensive</w:t>
      </w:r>
      <w:r>
        <w:t xml:space="preserve"> </w:t>
      </w:r>
      <w:r>
        <w:t xml:space="preserve">process to obtain a banking authorisation. For CSDs already authorised to provide</w:t>
      </w:r>
      <w:r>
        <w:t xml:space="preserve"> </w:t>
      </w:r>
      <w:r>
        <w:t xml:space="preserve">these services, the average time to receive the authorisation after the application</w:t>
      </w:r>
      <w:r>
        <w:t xml:space="preserve"> </w:t>
      </w:r>
      <w:r>
        <w:t xml:space="preserve">was deemed complete was approximately 6 months, as prescribed by CSDR. In</w:t>
      </w:r>
      <w:r>
        <w:t xml:space="preserve"> </w:t>
      </w:r>
      <w:r>
        <w:t xml:space="preserve">practice however, it can take up to two to three years for the application to be</w:t>
      </w:r>
      <w:r>
        <w:t xml:space="preserve"> </w:t>
      </w:r>
      <w:r>
        <w:t xml:space="preserve">deemed complete by the national authorities.406</w:t>
      </w:r>
    </w:p>
    <w:p>
      <w:pPr>
        <w:pStyle w:val="BodyText"/>
      </w:pPr>
      <w:r>
        <w:t xml:space="preserve">Third, the rules on settlement discipline,407 although not yet applicable, would</w:t>
      </w:r>
      <w:r>
        <w:t xml:space="preserve"> </w:t>
      </w:r>
      <w:r>
        <w:t xml:space="preserve">potentially create disproportionate compliance costs for CSDs and market participants</w:t>
      </w:r>
      <w:r>
        <w:t xml:space="preserve"> </w:t>
      </w:r>
      <w:r>
        <w:t xml:space="preserve">according to evidence provided by the majority of stakeholders.</w:t>
      </w:r>
      <w:r>
        <w:br/>
      </w:r>
      <w:r>
        <w:t xml:space="preserve">To ensure the safety of settlement, any participant in a securities settlement system</w:t>
      </w:r>
      <w:r>
        <w:t xml:space="preserve"> </w:t>
      </w:r>
      <w:r>
        <w:t xml:space="preserve">should settle its obligation on the intended settlement date (“ISD”); a settlement fail</w:t>
      </w:r>
      <w:r>
        <w:t xml:space="preserve"> </w:t>
      </w:r>
      <w:r>
        <w:t xml:space="preserve">occurs when a transaction does not settle on that date.408 The settlement discipline regime</w:t>
      </w:r>
      <w:r>
        <w:t xml:space="preserve"> </w:t>
      </w:r>
      <w:r>
        <w:t xml:space="preserve">aims to encourage market participants to avoid settlement fails; its two main elements</w:t>
      </w:r>
      <w:r>
        <w:t xml:space="preserve"> </w:t>
      </w:r>
      <w:r>
        <w:t xml:space="preserve">are the measures to prevent settlement fails (Article 6 of CSDR) and the measures to</w:t>
      </w:r>
    </w:p>
    <w:p>
      <w:pPr>
        <w:pStyle w:val="BodyText"/>
      </w:pPr>
      <w:r>
        <w:t xml:space="preserve">400 ESMA Report ‘Provision of banking-type ancillary services under CSDR’ (see note 88), p. 4.</w:t>
      </w:r>
      <w:r>
        <w:t xml:space="preserve"> </w:t>
      </w:r>
      <w:r>
        <w:t xml:space="preserve">401 European Post-Trade Forum Report (see note 11), p.117.</w:t>
      </w:r>
      <w:r>
        <w:br/>
      </w:r>
      <w:r>
        <w:t xml:space="preserve">402 Based on confidential information provided to DG FISMA services.</w:t>
      </w:r>
      <w:r>
        <w:t xml:space="preserve"> </w:t>
      </w:r>
      <w:r>
        <w:t xml:space="preserve">403 European Post-Trade Forum Report (see note 11), p. 117.</w:t>
      </w:r>
      <w:r>
        <w:t xml:space="preserve"> </w:t>
      </w:r>
      <w:r>
        <w:t xml:space="preserve">404 Based on the anonymised and consolidated outcome of a survey conducted among CSDs provided by the</w:t>
      </w:r>
      <w:r>
        <w:t xml:space="preserve"> </w:t>
      </w:r>
      <w:r>
        <w:t xml:space="preserve">ESCB.</w:t>
      </w:r>
      <w:r>
        <w:t xml:space="preserve"> </w:t>
      </w:r>
      <w:r>
        <w:t xml:space="preserve">405 Summary Report of the Commission CSDR targeted consultation (see note 92).</w:t>
      </w:r>
      <w:r>
        <w:t xml:space="preserve"> </w:t>
      </w:r>
      <w:r>
        <w:t xml:space="preserve">406 ESMA Report ‘Provision of banking-type ancillary services under CSDR’ (see note 88) p 10.</w:t>
      </w:r>
      <w:r>
        <w:t xml:space="preserve"> </w:t>
      </w:r>
      <w:r>
        <w:t xml:space="preserve">407 Articles 6 and 7 of CSDR.</w:t>
      </w:r>
      <w:r>
        <w:t xml:space="preserve"> </w:t>
      </w:r>
      <w:r>
        <w:t xml:space="preserve">408 CSDR defines settlement fails as the non-occurrence of settlement, or partial settlement of a securities</w:t>
      </w:r>
      <w:r>
        <w:t xml:space="preserve"> </w:t>
      </w:r>
      <w:r>
        <w:t xml:space="preserve">transaction on the intended settlement date, due to the lack of securities or cash and regardless of the</w:t>
      </w:r>
      <w:r>
        <w:t xml:space="preserve"> </w:t>
      </w:r>
      <w:r>
        <w:t xml:space="preserve">underlying cause (Article 2(15) of CSDR).</w:t>
      </w:r>
    </w:p>
    <w:p>
      <w:pPr>
        <w:pStyle w:val="BodyText"/>
      </w:pPr>
      <w:r>
        <w:t xml:space="preserve">address settlement fails (Article 7 of CSDR). The latter comprise two main pillars; cash</w:t>
      </w:r>
      <w:r>
        <w:t xml:space="preserve"> </w:t>
      </w:r>
      <w:r>
        <w:t xml:space="preserve">penalties and mandatory buy-ins. CSDs would be required to impose cash penalties on</w:t>
      </w:r>
      <w:r>
        <w:t xml:space="preserve"> </w:t>
      </w:r>
      <w:r>
        <w:t xml:space="preserve">their participants in case of settlement fails. If despite the cash penalties, a CSD</w:t>
      </w:r>
      <w:r>
        <w:t xml:space="preserve"> </w:t>
      </w:r>
      <w:r>
        <w:t xml:space="preserve">participant (original seller) fails to deliver the securities, it will be subject to a</w:t>
      </w:r>
      <w:r>
        <w:t xml:space="preserve"> </w:t>
      </w:r>
      <w:r>
        <w:t xml:space="preserve">mandatory buy-in. A buy-in provides the buyer of securities with the right to buy the</w:t>
      </w:r>
      <w:r>
        <w:t xml:space="preserve"> </w:t>
      </w:r>
      <w:r>
        <w:t xml:space="preserve">securities elsewhere, cancel the original transaction and put the costs of the buy-in, as</w:t>
      </w:r>
      <w:r>
        <w:t xml:space="preserve"> </w:t>
      </w:r>
      <w:r>
        <w:t xml:space="preserve">well as any price difference, with the original seller.409</w:t>
      </w:r>
      <w:r>
        <w:br/>
      </w:r>
      <w:r>
        <w:t xml:space="preserve">The original objective of the settlement discipline regime as contained in the</w:t>
      </w:r>
      <w:r>
        <w:t xml:space="preserve"> </w:t>
      </w:r>
      <w:r>
        <w:t xml:space="preserve">Commission proposal410 was to address high settlement fail rates, but mainly to</w:t>
      </w:r>
      <w:r>
        <w:t xml:space="preserve"> </w:t>
      </w:r>
      <w:r>
        <w:t xml:space="preserve">harmonize the diverse market discipline measures across EU capital markets. Hence the</w:t>
      </w:r>
      <w:r>
        <w:t xml:space="preserve"> </w:t>
      </w:r>
      <w:r>
        <w:t xml:space="preserve">proposed settlement discipline measures were general, with detailed technical standards</w:t>
      </w:r>
      <w:r>
        <w:t xml:space="preserve"> </w:t>
      </w:r>
      <w:r>
        <w:t xml:space="preserve">to be set in secondary legislation411. The final set-up of the settlement discipline</w:t>
      </w:r>
      <w:r>
        <w:t xml:space="preserve"> </w:t>
      </w:r>
      <w:r>
        <w:t xml:space="preserve">measures became evident to the market participants only when the 2018 regulatory</w:t>
      </w:r>
      <w:r>
        <w:t xml:space="preserve"> </w:t>
      </w:r>
      <w:r>
        <w:t xml:space="preserve">technical standard412 (RTS) was published. Furthermore, only the period of market</w:t>
      </w:r>
      <w:r>
        <w:t xml:space="preserve"> </w:t>
      </w:r>
      <w:r>
        <w:t xml:space="preserve">volatility of spring 2020 triggered reflections about the potential impact of the regime on</w:t>
      </w:r>
      <w:r>
        <w:t xml:space="preserve"> </w:t>
      </w:r>
      <w:r>
        <w:t xml:space="preserve">trading conditions or their ability to fulfil certain market functions.</w:t>
      </w:r>
      <w:r>
        <w:t xml:space="preserve"> </w:t>
      </w:r>
      <w:r>
        <w:t xml:space="preserve">Entry into force of the settlement discipline regime could provide a strong incentive for</w:t>
      </w:r>
      <w:r>
        <w:t xml:space="preserve"> </w:t>
      </w:r>
      <w:r>
        <w:t xml:space="preserve">all market participants to improve back-office capacity and operations to handle post-</w:t>
      </w:r>
      <w:r>
        <w:t xml:space="preserve"> </w:t>
      </w:r>
      <w:r>
        <w:t xml:space="preserve">trading functions. The higher EU fail rates seem to stem from operational and structural</w:t>
      </w:r>
      <w:r>
        <w:t xml:space="preserve"> </w:t>
      </w:r>
      <w:r>
        <w:t xml:space="preserve">factors; a lack of cash does not seem to be typically the issue.413 These deficiencies</w:t>
      </w:r>
      <w:r>
        <w:t xml:space="preserve"> </w:t>
      </w:r>
      <w:r>
        <w:t xml:space="preserve">include understaffing, fragmented IT infrastructure and systems or highly manual</w:t>
      </w:r>
      <w:r>
        <w:t xml:space="preserve"> </w:t>
      </w:r>
      <w:r>
        <w:t xml:space="preserve">procedures and lack of straight-through-processing. Insufficient operational post-trade</w:t>
      </w:r>
      <w:r>
        <w:t xml:space="preserve"> </w:t>
      </w:r>
      <w:r>
        <w:t xml:space="preserve">capacities may lead to incorrect settlement instructions (miscommunication, human error</w:t>
      </w:r>
      <w:r>
        <w:t xml:space="preserve"> </w:t>
      </w:r>
      <w:r>
        <w:t xml:space="preserve">etc.) that cannot be matched by CSDs.414</w:t>
      </w:r>
      <w:r>
        <w:t xml:space="preserve"> </w:t>
      </w:r>
      <w:r>
        <w:t xml:space="preserve">The settlement discipline regime would however create both high one-off (i.e. connecting</w:t>
      </w:r>
      <w:r>
        <w:t xml:space="preserve"> </w:t>
      </w:r>
      <w:r>
        <w:t xml:space="preserve">to buy-in agents, repapering existing contracts to take account of mandatory buy-in rules)</w:t>
      </w:r>
      <w:r>
        <w:t xml:space="preserve"> </w:t>
      </w:r>
      <w:r>
        <w:t xml:space="preserve">and ongoing costs (i.e. in terms of pricing and reduced liquidity of instruments</w:t>
      </w:r>
      <w:r>
        <w:t xml:space="preserve"> </w:t>
      </w:r>
      <w:r>
        <w:t xml:space="preserve">potentially at risk of being bought-in or trades being abandoned or migrating to non-EU</w:t>
      </w:r>
      <w:r>
        <w:t xml:space="preserve"> </w:t>
      </w:r>
      <w:r>
        <w:t xml:space="preserve">trading venues (see section 2.3.4)).</w:t>
      </w:r>
      <w:r>
        <w:br/>
      </w:r>
      <w:r>
        <w:t xml:space="preserve">Evidence provided seems to show that these costs are disproportionate and would stem</w:t>
      </w:r>
      <w:r>
        <w:t xml:space="preserve"> </w:t>
      </w:r>
      <w:r>
        <w:t xml:space="preserve">both from the lack of clarity around the rules governing the process (i.e. what</w:t>
      </w:r>
      <w:r>
        <w:t xml:space="preserve"> </w:t>
      </w:r>
      <w:r>
        <w:t xml:space="preserve">transactions are in-scope or how to use buy-in agents), and from the framework’s</w:t>
      </w:r>
      <w:r>
        <w:t xml:space="preserve"> </w:t>
      </w:r>
      <w:r>
        <w:t xml:space="preserve">impact on market conditions (deterioration of liquidity for some instruments, higher</w:t>
      </w:r>
      <w:r>
        <w:t xml:space="preserve"> </w:t>
      </w:r>
      <w:r>
        <w:t xml:space="preserve">bid-ask spreads) and market participants’ trading behaviour (migration of trading</w:t>
      </w:r>
      <w:r>
        <w:t xml:space="preserve"> </w:t>
      </w:r>
      <w:r>
        <w:t xml:space="preserve">from peripheral instruments to liquid instruments, doubts around the viability of the</w:t>
      </w:r>
      <w:r>
        <w:t xml:space="preserve"> </w:t>
      </w:r>
      <w:r>
        <w:t xml:space="preserve">market maker role for less liquid instruments). The costs of applying in particular the</w:t>
      </w:r>
      <w:r>
        <w:t xml:space="preserve"> </w:t>
      </w:r>
      <w:r>
        <w:t xml:space="preserve">rules on mandatory buy-in could outweigh their benefits for three main reasons:</w:t>
      </w:r>
      <w:r>
        <w:br/>
      </w:r>
      <w:r>
        <w:t xml:space="preserve">First, even though the settlement discipline regime did not yet apply in the early days of</w:t>
      </w:r>
      <w:r>
        <w:t xml:space="preserve"> </w:t>
      </w:r>
      <w:r>
        <w:t xml:space="preserve">the Covid-19 pandemic (i.e. March/April 2020), the crisis gave stakeholders the</w:t>
      </w:r>
      <w:r>
        <w:t xml:space="preserve"> </w:t>
      </w:r>
      <w:r>
        <w:t xml:space="preserve">opportunity to reflect on how it would have impacted the market if it were in place.415 In</w:t>
      </w:r>
    </w:p>
    <w:p>
      <w:pPr>
        <w:pStyle w:val="BodyText"/>
      </w:pPr>
      <w:r>
        <w:t xml:space="preserve">409 More details regarding the buy-in process is included in Annex 9.</w:t>
      </w:r>
      <w:r>
        <w:t xml:space="preserve"> </w:t>
      </w:r>
      <w:r>
        <w:t xml:space="preserve">410 COM (2012) 73 final</w:t>
      </w:r>
      <w:r>
        <w:br/>
      </w:r>
      <w:r>
        <w:t xml:space="preserve">411 See the Impact Assessment supporting the 2012 CSDR proposal. See SWD92012) 22 final, Option 1.1.2:</w:t>
      </w:r>
      <w:r>
        <w:t xml:space="preserve"> </w:t>
      </w:r>
      <w:r>
        <w:t xml:space="preserve">Introduce common EU principles for settlement discipline</w:t>
      </w:r>
      <w:r>
        <w:t xml:space="preserve"> </w:t>
      </w:r>
      <w:r>
        <w:t xml:space="preserve">412 Commission Delegated Regulation (EU) 2018/1229</w:t>
      </w:r>
      <w:r>
        <w:t xml:space="preserve"> </w:t>
      </w:r>
      <w:r>
        <w:t xml:space="preserve">413 ‘ESMA Report on trends, risks and vulnerabilities’, No.2, 2021, ESMA50-165-1842.</w:t>
      </w:r>
      <w:r>
        <w:t xml:space="preserve"> </w:t>
      </w:r>
      <w:r>
        <w:t xml:space="preserve">414 Based on confidential information provided to DG FISMA services.</w:t>
      </w:r>
      <w:r>
        <w:br/>
      </w:r>
      <w:r>
        <w:t xml:space="preserve">415 Summary Report of the Commission CSDR targeted consultation (see note 92).</w:t>
      </w:r>
    </w:p>
    <w:p>
      <w:pPr>
        <w:pStyle w:val="BodyText"/>
      </w:pPr>
      <w:r>
        <w:t xml:space="preserve">essence, mandatory buy-ins could have exacerbated the negative impacts linked to</w:t>
      </w:r>
      <w:r>
        <w:t xml:space="preserve"> </w:t>
      </w:r>
      <w:r>
        <w:t xml:space="preserve">the crisis; in particular they could have increased liquidity pressure and increased</w:t>
      </w:r>
      <w:r>
        <w:t xml:space="preserve"> </w:t>
      </w:r>
      <w:r>
        <w:t xml:space="preserve">the costs of securities at risk of being bought-in.416</w:t>
      </w:r>
      <w:r>
        <w:br/>
      </w:r>
      <w:r>
        <w:t xml:space="preserve">For instruments where there are few available buyers and sellers, market makers play a</w:t>
      </w:r>
      <w:r>
        <w:t xml:space="preserve"> </w:t>
      </w:r>
      <w:r>
        <w:t xml:space="preserve">key role by taking risk onto their balance sheet to provide immediate execution to clients.</w:t>
      </w:r>
      <w:r>
        <w:t xml:space="preserve"> </w:t>
      </w:r>
      <w:r>
        <w:t xml:space="preserve">For these securities, market makers417 are an important source of liquidity and thus often</w:t>
      </w:r>
      <w:r>
        <w:t xml:space="preserve"> </w:t>
      </w:r>
      <w:r>
        <w:t xml:space="preserve">offer securities they do not hold,418 based on the reasonable assumption of sourcing these</w:t>
      </w:r>
      <w:r>
        <w:t xml:space="preserve"> </w:t>
      </w:r>
      <w:r>
        <w:t xml:space="preserve">securities when necessary. For securities not held on their balance sheet, or which cannot</w:t>
      </w:r>
      <w:r>
        <w:t xml:space="preserve"> </w:t>
      </w:r>
      <w:r>
        <w:t xml:space="preserve">be readily sourced, the introduction of a mandatory buy-in regime under CSDR would</w:t>
      </w:r>
      <w:r>
        <w:t xml:space="preserve"> </w:t>
      </w:r>
      <w:r>
        <w:t xml:space="preserve">fundamentally impact the ability of market makers to make markets. To adjust for the</w:t>
      </w:r>
      <w:r>
        <w:t xml:space="preserve"> </w:t>
      </w:r>
      <w:r>
        <w:t xml:space="preserve">expected cost of being bought-in, market makers will have to add a premium to their</w:t>
      </w:r>
      <w:r>
        <w:t xml:space="preserve"> </w:t>
      </w:r>
      <w:r>
        <w:t xml:space="preserve">prices – which will widen the bid-offer spread (which will in turn increase costs to end-</w:t>
      </w:r>
      <w:r>
        <w:t xml:space="preserve"> </w:t>
      </w:r>
      <w:r>
        <w:t xml:space="preserve">investors) – or they may simply not make an offer price on an enquiry thereby negatively</w:t>
      </w:r>
      <w:r>
        <w:t xml:space="preserve"> </w:t>
      </w:r>
      <w:r>
        <w:t xml:space="preserve">affecting market liquidity.</w:t>
      </w:r>
      <w:r>
        <w:br/>
      </w:r>
      <w:r>
        <w:t xml:space="preserve">Although these liquidity effects are most pronounced in choices made by market makers,</w:t>
      </w:r>
      <w:r>
        <w:t xml:space="preserve"> </w:t>
      </w:r>
      <w:r>
        <w:t xml:space="preserve">all investors, even in liquid securities, could face similar trade-offs between entering into</w:t>
      </w:r>
      <w:r>
        <w:t xml:space="preserve"> </w:t>
      </w:r>
      <w:r>
        <w:t xml:space="preserve">a trade (providing liquidity), the availability of the instrument and the cost of being</w:t>
      </w:r>
      <w:r>
        <w:t xml:space="preserve"> </w:t>
      </w:r>
      <w:r>
        <w:t xml:space="preserve">bought-in. The impacts are likely to be reflected in behavioural change, rather than a</w:t>
      </w:r>
      <w:r>
        <w:t xml:space="preserve"> </w:t>
      </w:r>
      <w:r>
        <w:t xml:space="preserve">price adjustment. For instance, according to feedback from the targeted consultation,</w:t>
      </w:r>
      <w:r>
        <w:t xml:space="preserve"> </w:t>
      </w:r>
      <w:r>
        <w:t xml:space="preserve">lenders of bonds might become less inclined to lend, to reduce the risk that they get</w:t>
      </w:r>
      <w:r>
        <w:t xml:space="preserve"> </w:t>
      </w:r>
      <w:r>
        <w:t xml:space="preserve">bought in if they sell securities on loan which cannot be recalled on time.419 During</w:t>
      </w:r>
      <w:r>
        <w:t xml:space="preserve"> </w:t>
      </w:r>
      <w:r>
        <w:t xml:space="preserve">periods of market stress, in particular as investors hoard cash and withdraw the less risky</w:t>
      </w:r>
      <w:r>
        <w:t xml:space="preserve"> </w:t>
      </w:r>
      <w:r>
        <w:t xml:space="preserve">instruments, some securities, especially those with limited availability, will experience</w:t>
      </w:r>
      <w:r>
        <w:t xml:space="preserve"> </w:t>
      </w:r>
      <w:r>
        <w:t xml:space="preserve">further deterioration of liquidity resulting in increased settlement fails.</w:t>
      </w:r>
      <w:r>
        <w:br/>
      </w:r>
      <w:r>
        <w:t xml:space="preserve">If during this period of market stress mandatory buy-ins had been in place, participants</w:t>
      </w:r>
      <w:r>
        <w:t xml:space="preserve"> </w:t>
      </w:r>
      <w:r>
        <w:t xml:space="preserve">would have had to buy back the securities that already had limited availability and</w:t>
      </w:r>
      <w:r>
        <w:t xml:space="preserve"> </w:t>
      </w:r>
      <w:r>
        <w:t xml:space="preserve">therefore would have added liquidity pressure on them.420 Investors would have</w:t>
      </w:r>
      <w:r>
        <w:t xml:space="preserve"> </w:t>
      </w:r>
      <w:r>
        <w:t xml:space="preserve">chased a small number of available securities, driving up prices and potentially, further</w:t>
      </w:r>
      <w:r>
        <w:t xml:space="preserve"> </w:t>
      </w:r>
      <w:r>
        <w:t xml:space="preserve">driving volatility in a stressed market. The costs of mandatory buy-ins for market</w:t>
      </w:r>
      <w:r>
        <w:t xml:space="preserve"> </w:t>
      </w:r>
      <w:r>
        <w:t xml:space="preserve">participants (that have to buy exactly these securities) would thus have increased, making</w:t>
      </w:r>
      <w:r>
        <w:t xml:space="preserve"> </w:t>
      </w:r>
      <w:r>
        <w:t xml:space="preserve">it even more difficult for market participants to manage. One estimate is that the</w:t>
      </w:r>
      <w:r>
        <w:t xml:space="preserve"> </w:t>
      </w:r>
      <w:r>
        <w:t xml:space="preserve">volume of buy-ins in corporate bonds would have more than doubled during the</w:t>
      </w:r>
      <w:r>
        <w:t xml:space="preserve"> </w:t>
      </w:r>
      <w:r>
        <w:t xml:space="preserve">Covid-19 market turmoil, compared to normal market conditions.421 This would have led</w:t>
      </w:r>
      <w:r>
        <w:t xml:space="preserve"> </w:t>
      </w:r>
      <w:r>
        <w:t xml:space="preserve">to a noticeable increase in the cost of these instruments, illustrated by bid-offer spreads.</w:t>
      </w:r>
      <w:r>
        <w:t xml:space="preserve"> </w:t>
      </w:r>
      <w:r>
        <w:t xml:space="preserve">According to one bank, the application of mandatory buy-ins to EU government bonds</w:t>
      </w:r>
    </w:p>
    <w:p>
      <w:pPr>
        <w:pStyle w:val="BodyText"/>
      </w:pPr>
      <w:r>
        <w:t xml:space="preserve">416 More than half of respondents to the targeted consultation, all categories included, considered that the</w:t>
      </w:r>
      <w:r>
        <w:t xml:space="preserve"> </w:t>
      </w:r>
      <w:r>
        <w:t xml:space="preserve">CSDR settlement discipline regime would have had a significant negative impact on the market if it had</w:t>
      </w:r>
      <w:r>
        <w:t xml:space="preserve"> </w:t>
      </w:r>
      <w:r>
        <w:t xml:space="preserve">been in place during the market turmoil provoked by Covid-19. Summary Report of the Commission</w:t>
      </w:r>
      <w:r>
        <w:t xml:space="preserve"> </w:t>
      </w:r>
      <w:r>
        <w:t xml:space="preserve">CSDR targeted consultation (see note 92).</w:t>
      </w:r>
      <w:r>
        <w:t xml:space="preserve"> </w:t>
      </w:r>
      <w:r>
        <w:t xml:space="preserve">417 By providing a buy and sell price for securities (bid-ask spread) market makers establish liquidity and</w:t>
      </w:r>
      <w:r>
        <w:t xml:space="preserve"> </w:t>
      </w:r>
      <w:r>
        <w:t xml:space="preserve">pricing, and help end-investors to redeem funds or transact in a timely fashion in instruments for which</w:t>
      </w:r>
      <w:r>
        <w:t xml:space="preserve"> </w:t>
      </w:r>
      <w:r>
        <w:t xml:space="preserve">there may not be a counterparty with an immediate opposite intention.</w:t>
      </w:r>
      <w:r>
        <w:br/>
      </w:r>
      <w:r>
        <w:t xml:space="preserve">418 Market makers aim to run low levels of inventory since high levels of inventories have high risk, capital</w:t>
      </w:r>
      <w:r>
        <w:t xml:space="preserve"> </w:t>
      </w:r>
      <w:r>
        <w:t xml:space="preserve">and funding costs.</w:t>
      </w:r>
      <w:r>
        <w:t xml:space="preserve"> </w:t>
      </w:r>
      <w:r>
        <w:t xml:space="preserve">419 Especially during a credit crunch, this effect could be amplified as lenders would want to have the ability to</w:t>
      </w:r>
      <w:r>
        <w:t xml:space="preserve"> </w:t>
      </w:r>
      <w:r>
        <w:t xml:space="preserve">sell holdings at short notice to raise cash liquidity and the amount they will be willing to lend will be</w:t>
      </w:r>
      <w:r>
        <w:t xml:space="preserve"> </w:t>
      </w:r>
      <w:r>
        <w:t xml:space="preserve">further reduced</w:t>
      </w:r>
      <w:r>
        <w:t xml:space="preserve"> </w:t>
      </w:r>
      <w:r>
        <w:t xml:space="preserve">420 Based on responses to the Commission CSDR targeted consultation from AFME, Association of German</w:t>
      </w:r>
      <w:r>
        <w:t xml:space="preserve"> </w:t>
      </w:r>
      <w:r>
        <w:t xml:space="preserve">Banks, EFAMA, et al. </w:t>
      </w:r>
      <w:r>
        <w:t xml:space="preserve"> </w:t>
      </w:r>
      <w:r>
        <w:t xml:space="preserve">421 Based on confidential information provided to DG FISMA services.</w:t>
      </w:r>
    </w:p>
    <w:p>
      <w:pPr>
        <w:pStyle w:val="BodyText"/>
      </w:pPr>
      <w:r>
        <w:t xml:space="preserve">could have led to a 50%-100% increase in bid-offer spreads depending on the size</w:t>
      </w:r>
      <w:r>
        <w:t xml:space="preserve"> </w:t>
      </w:r>
      <w:r>
        <w:t xml:space="preserve">and the status of the markets.422</w:t>
      </w:r>
      <w:r>
        <w:t xml:space="preserve"> </w:t>
      </w:r>
      <w:r>
        <w:t xml:space="preserve">Second, the settlement discipline regime could also give rise to unintended</w:t>
      </w:r>
      <w:r>
        <w:t xml:space="preserve"> </w:t>
      </w:r>
      <w:r>
        <w:t xml:space="preserve">consequences for the competitiveness of the EU capital markets. Capital markets</w:t>
      </w:r>
      <w:r>
        <w:t xml:space="preserve"> </w:t>
      </w:r>
      <w:r>
        <w:t xml:space="preserve">outside the EU do not have a settlement discipline regime as strict as that of the EU;423</w:t>
      </w:r>
      <w:r>
        <w:t xml:space="preserve"> </w:t>
      </w:r>
      <w:r>
        <w:t xml:space="preserve">e.g. the UK announced it is not implementing the CSDR settlement discipline regime.424</w:t>
      </w:r>
      <w:r>
        <w:t xml:space="preserve"> </w:t>
      </w:r>
      <w:r>
        <w:t xml:space="preserve">Investors may therefore be tempted, in light of the increased costs of trading EU</w:t>
      </w:r>
      <w:r>
        <w:t xml:space="preserve"> </w:t>
      </w:r>
      <w:r>
        <w:t xml:space="preserve">securities due to the higher price for their settlement, to focus on other markets for the</w:t>
      </w:r>
      <w:r>
        <w:t xml:space="preserve"> </w:t>
      </w:r>
      <w:r>
        <w:t xml:space="preserve">settlement of their transactions. In particular mandatory buy-ins may create an additional</w:t>
      </w:r>
      <w:r>
        <w:t xml:space="preserve"> </w:t>
      </w:r>
      <w:r>
        <w:t xml:space="preserve">cost and risk for EU-settled securities that could disadvantage EU companies compared</w:t>
      </w:r>
      <w:r>
        <w:t xml:space="preserve"> </w:t>
      </w:r>
      <w:r>
        <w:t xml:space="preserve">to their global peers. Wider spreads and less liquidity will reduce the investment returns</w:t>
      </w:r>
      <w:r>
        <w:t xml:space="preserve"> </w:t>
      </w:r>
      <w:r>
        <w:t xml:space="preserve">of pension funds, asset managers and, ultimately, end investors, which, according to</w:t>
      </w:r>
      <w:r>
        <w:t xml:space="preserve"> </w:t>
      </w:r>
      <w:r>
        <w:t xml:space="preserve">some stakeholders, could risk driving issuance, trading and investment activity outside of</w:t>
      </w:r>
      <w:r>
        <w:t xml:space="preserve"> </w:t>
      </w:r>
      <w:r>
        <w:t xml:space="preserve">the EU.425 One firm stated that they would limit their activity and stop providing liquidity</w:t>
      </w:r>
      <w:r>
        <w:t xml:space="preserve"> </w:t>
      </w:r>
      <w:r>
        <w:t xml:space="preserve">to EU investors for emerging markets and US high grade and high yield bonds, where the</w:t>
      </w:r>
      <w:r>
        <w:t xml:space="preserve"> </w:t>
      </w:r>
      <w:r>
        <w:t xml:space="preserve">majority of liquidity comes from outside of Europe, because of the potential cost of these</w:t>
      </w:r>
      <w:r>
        <w:t xml:space="preserve"> </w:t>
      </w:r>
      <w:r>
        <w:t xml:space="preserve">rules.426 This would limit access to global liquidity for EU investors, as foreign investors</w:t>
      </w:r>
      <w:r>
        <w:t xml:space="preserve"> </w:t>
      </w:r>
      <w:r>
        <w:t xml:space="preserve">will be unlikely to assume the costs and risks involved. This would be detrimental to EU</w:t>
      </w:r>
      <w:r>
        <w:t xml:space="preserve"> </w:t>
      </w:r>
      <w:r>
        <w:t xml:space="preserve">businesses that would face a lower demand for their securities, but also for EU financial</w:t>
      </w:r>
      <w:r>
        <w:t xml:space="preserve"> </w:t>
      </w:r>
      <w:r>
        <w:t xml:space="preserve">infrastructures and CMU. It is worth noting that non-EU/EEA investors hold around</w:t>
      </w:r>
      <w:r>
        <w:t xml:space="preserve"> </w:t>
      </w:r>
      <w:r>
        <w:t xml:space="preserve">22% of European-issued securities. The impact of the entry into force of mandatory</w:t>
      </w:r>
      <w:r>
        <w:t xml:space="preserve"> </w:t>
      </w:r>
      <w:r>
        <w:t xml:space="preserve">buy-ins could therefore lead to a potentially major loss of counterparties and liquidity for</w:t>
      </w:r>
      <w:r>
        <w:t xml:space="preserve"> </w:t>
      </w:r>
      <w:r>
        <w:t xml:space="preserve">the EU capital market.427 A significant part of the EU capital market may hence be</w:t>
      </w:r>
      <w:r>
        <w:t xml:space="preserve"> </w:t>
      </w:r>
      <w:r>
        <w:t xml:space="preserve">affected, depending on where transactions are settled, with liquidity and pricing heavily</w:t>
      </w:r>
      <w:r>
        <w:t xml:space="preserve"> </w:t>
      </w:r>
      <w:r>
        <w:t xml:space="preserve">favouring non-EEA settlement and trading. The potential negative impact on the</w:t>
      </w:r>
      <w:r>
        <w:t xml:space="preserve"> </w:t>
      </w:r>
      <w:r>
        <w:t xml:space="preserve">attractiveness of the EU market would be at odds with the objectives pursued by the</w:t>
      </w:r>
      <w:r>
        <w:t xml:space="preserve"> </w:t>
      </w:r>
      <w:r>
        <w:t xml:space="preserve">settlement discipline regime and CSDR as a whole to make the EU capital market more</w:t>
      </w:r>
      <w:r>
        <w:t xml:space="preserve"> </w:t>
      </w:r>
      <w:r>
        <w:t xml:space="preserve">attractive by increasing the safety of settlement.</w:t>
      </w:r>
      <w:r>
        <w:t xml:space="preserve"> </w:t>
      </w:r>
      <w:r>
        <w:t xml:space="preserve">Finally, against the above arguments, it should be noted that despite the dramatic</w:t>
      </w:r>
      <w:r>
        <w:t xml:space="preserve"> </w:t>
      </w:r>
      <w:r>
        <w:t xml:space="preserve">increase in trading (settlement instructions increased by 30% between 2015 – 2019 in</w:t>
      </w:r>
    </w:p>
    <w:p>
      <w:pPr>
        <w:pStyle w:val="BodyText"/>
      </w:pPr>
      <w:r>
        <w:t xml:space="preserve">422 Based on confidential information provided to DG FISMA services.</w:t>
      </w:r>
      <w:r>
        <w:br/>
      </w:r>
      <w:r>
        <w:t xml:space="preserve">423 During the CSDR consultation process stakeholders referred to SHO Regulation and SEC Rule 204, which</w:t>
      </w:r>
      <w:r>
        <w:t xml:space="preserve"> </w:t>
      </w:r>
      <w:r>
        <w:t xml:space="preserve">however relates only to short-selling and the obligation that broker and dealer must close-out unresolved</w:t>
      </w:r>
      <w:r>
        <w:t xml:space="preserve"> </w:t>
      </w:r>
      <w:r>
        <w:t xml:space="preserve">equities transactions. This was introduced to discourage the market from naked short-selling. Also</w:t>
      </w:r>
      <w:r>
        <w:t xml:space="preserve"> </w:t>
      </w:r>
      <w:r>
        <w:t xml:space="preserve">examples of buy-in were given for Asian markets, in particular Singapore Exchange where any unsettled</w:t>
      </w:r>
      <w:r>
        <w:t xml:space="preserve"> </w:t>
      </w:r>
      <w:r>
        <w:t xml:space="preserve">buy-in trade is carried forward to the next business day for settlement. If the buy-in and procurement</w:t>
      </w:r>
      <w:r>
        <w:t xml:space="preserve"> </w:t>
      </w:r>
      <w:r>
        <w:t xml:space="preserve">remains unsuccessful by ISD +6, cash settlement will be initiated against the seller to provide resolution of</w:t>
      </w:r>
      <w:r>
        <w:t xml:space="preserve"> </w:t>
      </w:r>
      <w:r>
        <w:t xml:space="preserve">the sale trade. However the Singapore Exchange has a very low failure rate because of DvP and very few</w:t>
      </w:r>
      <w:r>
        <w:t xml:space="preserve"> </w:t>
      </w:r>
      <w:r>
        <w:t xml:space="preserve">trades go to buy-in.</w:t>
      </w:r>
      <w:r>
        <w:t xml:space="preserve"> </w:t>
      </w:r>
      <w:r>
        <w:t xml:space="preserve">424 Written statement by</w:t>
      </w:r>
      <w:r>
        <w:t xml:space="preserve"> </w:t>
      </w:r>
      <w:r>
        <w:t xml:space="preserve">Chancellor of the Exchequer on 23 June 2020,</w:t>
      </w:r>
      <w:r>
        <w:t xml:space="preserve"> </w:t>
      </w:r>
      <w:r>
        <w:t xml:space="preserve">https://questions-</w:t>
      </w:r>
      <w:r>
        <w:t xml:space="preserve"> </w:t>
      </w:r>
      <w:r>
        <w:t xml:space="preserve">statements.parliament.uk/written-statements/detail/2020-06-23/HCWS309. In the meantime the UK 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CREST</w:t>
      </w:r>
      <w:r>
        <w:t xml:space="preserve"> </w:t>
      </w:r>
      <w:r>
        <w:t xml:space="preserve">settlement</w:t>
      </w:r>
      <w:r>
        <w:t xml:space="preserve"> </w:t>
      </w:r>
      <w:r>
        <w:t xml:space="preserve">discipline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failed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(p.37):</w:t>
      </w:r>
      <w:r>
        <w:t xml:space="preserve"> </w:t>
      </w:r>
      <w:r>
        <w:t xml:space="preserve">https://www.crh.com/media/3376/crest-rules-january-2021.pdf It provides for fines on either failed bought</w:t>
      </w:r>
      <w:r>
        <w:t xml:space="preserve"> </w:t>
      </w:r>
      <w:r>
        <w:t xml:space="preserve">or sold transactions.</w:t>
      </w:r>
      <w:r>
        <w:br/>
      </w:r>
      <w:r>
        <w:t xml:space="preserve">425</w:t>
      </w:r>
      <w:r>
        <w:t xml:space="preserve"> </w:t>
      </w:r>
      <w:r>
        <w:t xml:space="preserve">See</w:t>
      </w:r>
      <w:r>
        <w:t xml:space="preserve"> </w:t>
      </w:r>
      <w:r>
        <w:t xml:space="preserve">AFME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CSDR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p. </w:t>
      </w:r>
      <w:r>
        <w:t xml:space="preserve"> </w:t>
      </w:r>
      <w:r>
        <w:t xml:space="preserve">36,</w:t>
      </w:r>
      <w:r>
        <w:t xml:space="preserve"> </w:t>
      </w:r>
      <w:r>
        <w:t xml:space="preserve">https://www.afme.eu/Portals/0/DispatchFeaturedImages/AFME_CSDR_CP_Response_Final.pdf.</w:t>
      </w:r>
      <w:r>
        <w:t xml:space="preserve"> </w:t>
      </w:r>
      <w:r>
        <w:t xml:space="preserve">426 Based on confidential information provided to DG FISMA services.</w:t>
      </w:r>
      <w:r>
        <w:t xml:space="preserve"> </w:t>
      </w:r>
      <w:r>
        <w:t xml:space="preserve">427 ‘Who Owns the European Economy? Evolution of the Ownership of EU-Listed Companies between 1970</w:t>
      </w:r>
      <w:r>
        <w:t xml:space="preserve"> </w:t>
      </w:r>
      <w:r>
        <w:t xml:space="preserve">and</w:t>
      </w:r>
      <w:r>
        <w:t xml:space="preserve"> </w:t>
      </w:r>
      <w:r>
        <w:t xml:space="preserve">2012’,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Savings</w:t>
      </w:r>
      <w:r>
        <w:t xml:space="preserve"> </w:t>
      </w:r>
      <w:r>
        <w:t xml:space="preserve">Institute</w:t>
      </w:r>
      <w:r>
        <w:t xml:space="preserve"> </w:t>
      </w:r>
      <w:r>
        <w:t xml:space="preserve">&amp;</w:t>
      </w:r>
      <w:r>
        <w:t xml:space="preserve"> </w:t>
      </w:r>
      <w:r>
        <w:t xml:space="preserve">INSEAD</w:t>
      </w:r>
      <w:r>
        <w:t xml:space="preserve"> </w:t>
      </w:r>
      <w:r>
        <w:t xml:space="preserve">OEE</w:t>
      </w:r>
      <w:r>
        <w:t xml:space="preserve"> </w:t>
      </w:r>
      <w:r>
        <w:t xml:space="preserve">Data</w:t>
      </w:r>
      <w:r>
        <w:t xml:space="preserve"> </w:t>
      </w:r>
      <w:r>
        <w:t xml:space="preserve">Services,</w:t>
      </w:r>
      <w:r>
        <w:t xml:space="preserve"> </w:t>
      </w:r>
      <w:r>
        <w:t xml:space="preserve">2013,</w:t>
      </w:r>
      <w:r>
        <w:t xml:space="preserve"> </w:t>
      </w:r>
      <w:r>
        <w:t xml:space="preserve">https://ec.europa.eu/info/sites/default/files/file_import/1308-report-who-owns-european-</w:t>
      </w:r>
      <w:r>
        <w:t xml:space="preserve"> </w:t>
      </w:r>
      <w:r>
        <w:t xml:space="preserve">economy_en_0.pdf.</w:t>
      </w:r>
    </w:p>
    <w:p>
      <w:pPr>
        <w:pStyle w:val="BodyText"/>
      </w:pPr>
      <w:r>
        <w:t xml:space="preserve">EU CSDs428) the settlement fail rate has remained relatively stable in the EU, both</w:t>
      </w:r>
      <w:r>
        <w:t xml:space="preserve"> </w:t>
      </w:r>
      <w:r>
        <w:t xml:space="preserve">as a share of value and number of total transactions (See Annex 8, Figure II ). More</w:t>
      </w:r>
      <w:r>
        <w:t xml:space="preserve"> </w:t>
      </w:r>
      <w:r>
        <w:t xml:space="preserve">specifically, for debt instruments there is a clear decrease in settlement fails (as a % of</w:t>
      </w:r>
      <w:r>
        <w:t xml:space="preserve"> </w:t>
      </w:r>
      <w:r>
        <w:t xml:space="preserve">total number of transactions) compared to 2015, both for corporate (from 5% to 3.5% in</w:t>
      </w:r>
      <w:r>
        <w:t xml:space="preserve"> </w:t>
      </w:r>
      <w:r>
        <w:t xml:space="preserve">January 2021) and government bonds (from 3% to 2% in January 2021). In terms of</w:t>
      </w:r>
      <w:r>
        <w:t xml:space="preserve"> </w:t>
      </w:r>
      <w:r>
        <w:t xml:space="preserve">failed settlement instructions as percentage of value of settlement instructions, corporate</w:t>
      </w:r>
      <w:r>
        <w:t xml:space="preserve"> </w:t>
      </w:r>
      <w:r>
        <w:t xml:space="preserve">bonds remain at a low and stable rate (ca. 2% since 2015), while the ratio for government</w:t>
      </w:r>
      <w:r>
        <w:t xml:space="preserve"> </w:t>
      </w:r>
      <w:r>
        <w:t xml:space="preserve">bonds has increased (from 2% in January 2018 to 3% in January 2021),429 implying fails</w:t>
      </w:r>
      <w:r>
        <w:t xml:space="preserve"> </w:t>
      </w:r>
      <w:r>
        <w:t xml:space="preserve">among bonds with a higher face value. For equity products the picture is less clear.</w:t>
      </w:r>
      <w:r>
        <w:t xml:space="preserve"> </w:t>
      </w:r>
      <w:r>
        <w:t xml:space="preserve">Settlement fails, calculated as percentage of total number of transactions, fell to 3%</w:t>
      </w:r>
      <w:r>
        <w:t xml:space="preserve"> </w:t>
      </w:r>
      <w:r>
        <w:t xml:space="preserve">before the Covid-19 market turmoil, but have since increased again to 4.5%. In terms of</w:t>
      </w:r>
      <w:r>
        <w:t xml:space="preserve"> </w:t>
      </w:r>
      <w:r>
        <w:t xml:space="preserve">settlement fails as percentage of value, the ratio has increased to 9% in January 2021</w:t>
      </w:r>
      <w:r>
        <w:t xml:space="preserve"> </w:t>
      </w:r>
      <w:r>
        <w:t xml:space="preserve">from 6% before March 2020.430 Only recently has ESMA recorded a slow improvement</w:t>
      </w:r>
      <w:r>
        <w:t xml:space="preserve"> </w:t>
      </w:r>
      <w:r>
        <w:t xml:space="preserve">in the settlement rate for equities, while the failure rate for debt instruments recovered</w:t>
      </w:r>
      <w:r>
        <w:t xml:space="preserve"> </w:t>
      </w:r>
      <w:r>
        <w:t xml:space="preserve">quicker.431 It should be noted however that between January 2018 and March 2020 the</w:t>
      </w:r>
      <w:r>
        <w:t xml:space="preserve"> </w:t>
      </w:r>
      <w:r>
        <w:t xml:space="preserve">settlement fails rate for equities was low and stable, both as a share of total value (6%)</w:t>
      </w:r>
      <w:r>
        <w:t xml:space="preserve"> </w:t>
      </w:r>
      <w:r>
        <w:t xml:space="preserve">and total number (3%) of equity transactions.432 This indicates that that in normal market</w:t>
      </w:r>
      <w:r>
        <w:t xml:space="preserve"> </w:t>
      </w:r>
      <w:r>
        <w:t xml:space="preserve">circumstances settlement in the EU can be relatively efficient. Finally, in the case of</w:t>
      </w:r>
      <w:r>
        <w:t xml:space="preserve"> </w:t>
      </w:r>
      <w:r>
        <w:t xml:space="preserve">fixed income instruments, data seems to show that the majority of fails are resolved</w:t>
      </w:r>
      <w:r>
        <w:t xml:space="preserve"> </w:t>
      </w:r>
      <w:r>
        <w:t xml:space="preserve">before the end of the notional extension period. For instance, approximately 1.5% of</w:t>
      </w:r>
      <w:r>
        <w:t xml:space="preserve"> </w:t>
      </w:r>
      <w:r>
        <w:t xml:space="preserve">corporate bonds were still not settled at ISD + 7, compared to 0.2% of sovereign</w:t>
      </w:r>
      <w:r>
        <w:t xml:space="preserve"> </w:t>
      </w:r>
      <w:r>
        <w:t xml:space="preserve">bonds.433 In absolute terms, this approximately equates to an estimated 1250 buy-ins per</w:t>
      </w:r>
      <w:r>
        <w:t xml:space="preserve"> </w:t>
      </w:r>
      <w:r>
        <w:t xml:space="preserve">business day, for one CSD and one instrument type. In relative terms, the buy-in regime</w:t>
      </w:r>
      <w:r>
        <w:t xml:space="preserve"> </w:t>
      </w:r>
      <w:r>
        <w:t xml:space="preserve">targets a small proportion of the total volume of transactions but will necessitate an</w:t>
      </w:r>
      <w:r>
        <w:t xml:space="preserve"> </w:t>
      </w:r>
      <w:r>
        <w:t xml:space="preserve">impact on the pricing and liquidity on a much larger percentage of overall transactions.434</w:t>
      </w:r>
      <w:r>
        <w:t xml:space="preserve"> </w:t>
      </w:r>
      <w:r>
        <w:t xml:space="preserve">However, even if settlement efficiency in the EU seems to be stable or improving</w:t>
      </w:r>
      <w:r>
        <w:t xml:space="preserve"> </w:t>
      </w:r>
      <w:r>
        <w:t xml:space="preserve">slightly, fail rates in the EU still remain higher than in, e.g. the US where about 2% of all</w:t>
      </w:r>
      <w:r>
        <w:t xml:space="preserve"> </w:t>
      </w:r>
      <w:r>
        <w:t xml:space="preserve">US treasuries and mortgage backed securities transactions fail.435 Different levels of</w:t>
      </w:r>
      <w:r>
        <w:t xml:space="preserve"> </w:t>
      </w:r>
      <w:r>
        <w:t xml:space="preserve">settlement efficiency between national capital markets can partly explain the lower</w:t>
      </w:r>
      <w:r>
        <w:t xml:space="preserve"> </w:t>
      </w:r>
      <w:r>
        <w:t xml:space="preserve">overall EU settlement efficiency.436 The top five EU Member States had a settlement</w:t>
      </w:r>
      <w:r>
        <w:t xml:space="preserve"> </w:t>
      </w:r>
      <w:r>
        <w:t xml:space="preserve">efficiency437 between 0.20% - 0.44% in 2020. Comparable figures for the least</w:t>
      </w:r>
      <w:r>
        <w:t xml:space="preserve"> </w:t>
      </w:r>
      <w:r>
        <w:t xml:space="preserve">performing five Member States ranged from 4.76% - 13.80%. This illustrates that there</w:t>
      </w:r>
    </w:p>
    <w:p>
      <w:pPr>
        <w:pStyle w:val="BodyText"/>
      </w:pPr>
      <w:r>
        <w:t xml:space="preserve">428 Data generated through the Securities Trading, Clearing and Settlement Statistics Database, European</w:t>
      </w:r>
      <w:r>
        <w:t xml:space="preserve"> </w:t>
      </w:r>
      <w:r>
        <w:t xml:space="preserve">Central Bank, https://sdw.ecb.europa.eu/browse.do?node=9691131.</w:t>
      </w:r>
      <w:r>
        <w:br/>
      </w:r>
      <w:r>
        <w:t xml:space="preserve">429 See Figure II, Annex 8. Based on confidential data provided to DG FISMA services.</w:t>
      </w:r>
      <w:r>
        <w:br/>
      </w:r>
      <w:r>
        <w:t xml:space="preserve">430 See Figure II, Annex 8. Based on confidential data provided to DG FISMA services.</w:t>
      </w:r>
      <w:r>
        <w:br/>
      </w:r>
      <w:r>
        <w:t xml:space="preserve">431 ‘ESMA Report on trends, risks and vulnerabilities”, ESMA50-165-1524, No. 1, March 2021.</w:t>
      </w:r>
      <w:r>
        <w:t xml:space="preserve"> </w:t>
      </w:r>
      <w:r>
        <w:t xml:space="preserve">432 A higher settlement fail rate for equities compared to debt products can be explained by the fact that</w:t>
      </w:r>
      <w:r>
        <w:t xml:space="preserve"> </w:t>
      </w:r>
      <w:r>
        <w:t xml:space="preserve">equities are more likely to form part of a chain of settlement fails. A staff paper by the Bank of England</w:t>
      </w:r>
      <w:r>
        <w:t xml:space="preserve"> </w:t>
      </w:r>
      <w:r>
        <w:t xml:space="preserve">found that only a small proportion of fails (17%) in the highly liquid FTSE100 securities was not part of a</w:t>
      </w:r>
      <w:r>
        <w:t xml:space="preserve"> </w:t>
      </w:r>
      <w:r>
        <w:t xml:space="preserve">cascade of fails. By contrast, for gilts more than 40% that failed was not involved in a cascade of fails.</w:t>
      </w:r>
      <w:r>
        <w:t xml:space="preserve"> </w:t>
      </w:r>
      <w:r>
        <w:t xml:space="preserve">Source: “Securities settlement fails network and buy-in strategies”, Gurrola-Perez, P., He J. &amp; Harper, G.,</w:t>
      </w:r>
      <w:r>
        <w:t xml:space="preserve"> </w:t>
      </w:r>
      <w:r>
        <w:t xml:space="preserve">Staff Working Paper No. 821, Bank of England, September 2019.</w:t>
      </w:r>
      <w:r>
        <w:t xml:space="preserve"> </w:t>
      </w:r>
      <w:r>
        <w:t xml:space="preserve">433 See AFME response to the Commission CSDR targeted consultation, Q. 34.1 based on data provided by</w:t>
      </w:r>
      <w:r>
        <w:t xml:space="preserve"> </w:t>
      </w:r>
      <w:r>
        <w:t xml:space="preserve">Euroclear Bank for the fixed income market in 2020 (see note 127).</w:t>
      </w:r>
      <w:r>
        <w:t xml:space="preserve"> </w:t>
      </w:r>
      <w:r>
        <w:t xml:space="preserve">434 Ibid.</w:t>
      </w:r>
      <w:r>
        <w:t xml:space="preserve"> </w:t>
      </w:r>
      <w:r>
        <w:t xml:space="preserve">435 K. Burne, ‘How to succeed in fixing settlement fails’, Aerial View, Bank of New York Mellon, 2020.</w:t>
      </w:r>
      <w:r>
        <w:t xml:space="preserve"> </w:t>
      </w:r>
      <w:r>
        <w:t xml:space="preserve">436 Based on confidential information provided to DG FISMA services.</w:t>
      </w:r>
      <w:r>
        <w:t xml:space="preserve"> </w:t>
      </w:r>
      <w:r>
        <w:t xml:space="preserve">437 Calculated as percentage of total value of all transactions, equity and debt combined. Looking at settlement</w:t>
      </w:r>
      <w:r>
        <w:t xml:space="preserve"> </w:t>
      </w:r>
      <w:r>
        <w:t xml:space="preserve">efficiency as percentage of total number of transactions, the best and worst performing Member States are</w:t>
      </w:r>
      <w:r>
        <w:t xml:space="preserve"> </w:t>
      </w:r>
      <w:r>
        <w:t xml:space="preserve">broadly similar.</w:t>
      </w:r>
    </w:p>
    <w:p>
      <w:pPr>
        <w:pStyle w:val="BodyText"/>
      </w:pPr>
      <w:r>
        <w:t xml:space="preserve">seems to be still some room for improvement in the EU’s settlement efficiency, in some</w:t>
      </w:r>
      <w:r>
        <w:t xml:space="preserve"> </w:t>
      </w:r>
      <w:r>
        <w:t xml:space="preserve">instruments more than others. Nevertheless, these small improvements, need to be</w:t>
      </w:r>
      <w:r>
        <w:t xml:space="preserve"> </w:t>
      </w:r>
      <w:r>
        <w:t xml:space="preserve">balanced against the potential disproportionate costs of investing in the settlement</w:t>
      </w:r>
      <w:r>
        <w:t xml:space="preserve"> </w:t>
      </w:r>
      <w:r>
        <w:t xml:space="preserve">discipline regime and applying it over time.</w:t>
      </w:r>
      <w:r>
        <w:t xml:space="preserve"> </w:t>
      </w:r>
      <w:r>
        <w:t xml:space="preserve">3. Insufficient insight into the activities of third-country CSDs</w:t>
      </w:r>
      <w:r>
        <w:t xml:space="preserve"> </w:t>
      </w:r>
      <w:r>
        <w:t xml:space="preserve">Under CSDR, third-country CSDs providing services in the EU provide insufficient</w:t>
      </w:r>
      <w:r>
        <w:t xml:space="preserve"> </w:t>
      </w:r>
      <w:r>
        <w:t xml:space="preserve">insight into their activities in relation to financial instruments constituted under the</w:t>
      </w:r>
      <w:r>
        <w:t xml:space="preserve"> </w:t>
      </w:r>
      <w:r>
        <w:t xml:space="preserve">law of a Member State, in particular when they provide services under the</w:t>
      </w:r>
      <w:r>
        <w:t xml:space="preserve"> </w:t>
      </w:r>
      <w:r>
        <w:t xml:space="preserve">grandfathering clause (see section 2.3.5). This leads to potential risks for the whole</w:t>
      </w:r>
      <w:r>
        <w:t xml:space="preserve"> </w:t>
      </w:r>
      <w:r>
        <w:t xml:space="preserve">settlement ecosystem, and in particular could have negative impacts on three groups of</w:t>
      </w:r>
      <w:r>
        <w:t xml:space="preserve"> </w:t>
      </w:r>
      <w:r>
        <w:t xml:space="preserve">stakeholders: EU authorities, EU CSDs and issuers.</w:t>
      </w:r>
      <w:r>
        <w:t xml:space="preserve"> </w:t>
      </w:r>
      <w:r>
        <w:t xml:space="preserve">First, EU authorities are not aware of the activities of third-country CSDs in the</w:t>
      </w:r>
      <w:r>
        <w:t xml:space="preserve"> </w:t>
      </w:r>
      <w:r>
        <w:t xml:space="preserve">EEA, a fact underlined both by ESMA and several respondents to the targeted</w:t>
      </w:r>
      <w:r>
        <w:t xml:space="preserve"> </w:t>
      </w:r>
      <w:r>
        <w:t xml:space="preserve">consultation; ESMA itself recognised that “… there is no information available either at</w:t>
      </w:r>
      <w:r>
        <w:t xml:space="preserve"> </w:t>
      </w:r>
      <w:r>
        <w:t xml:space="preserve">EEA level (ESMA, European Commission) or at the level of NCAs as to the activity of</w:t>
      </w:r>
      <w:r>
        <w:t xml:space="preserve"> </w:t>
      </w:r>
      <w:r>
        <w:t xml:space="preserve">TC-CSDs [third-country CSDs] in the EEA, unless provided by the TC-CSDs on a pure</w:t>
      </w:r>
      <w:r>
        <w:t xml:space="preserve"> </w:t>
      </w:r>
      <w:r>
        <w:t xml:space="preserve">voluntary basis”438. Some third-country CSDs operating in the EU are not subject to any</w:t>
      </w:r>
      <w:r>
        <w:t xml:space="preserve"> </w:t>
      </w:r>
      <w:r>
        <w:t xml:space="preserve">notification requirement for their activities with respect to securities constituted under the</w:t>
      </w:r>
      <w:r>
        <w:t xml:space="preserve"> </w:t>
      </w:r>
      <w:r>
        <w:t xml:space="preserve">law of a Member State (see section 2.3.5). EU authorities therefore have no information</w:t>
      </w:r>
      <w:r>
        <w:t xml:space="preserve"> </w:t>
      </w:r>
      <w:r>
        <w:t xml:space="preserve">on which services they provide, their volume or the Member States affected by them.</w:t>
      </w:r>
      <w:r>
        <w:t xml:space="preserve"> </w:t>
      </w:r>
      <w:r>
        <w:t xml:space="preserve">This means that, if needed, neither issuers nor public authorities at national and EU level</w:t>
      </w:r>
      <w:r>
        <w:t xml:space="preserve"> </w:t>
      </w:r>
      <w:r>
        <w:t xml:space="preserve">can assess the impact of these CSDs on the financial stability of the EU which may in</w:t>
      </w:r>
      <w:r>
        <w:t xml:space="preserve"> </w:t>
      </w:r>
      <w:r>
        <w:t xml:space="preserve">itself create a risk to financial stability.</w:t>
      </w:r>
      <w:r>
        <w:t xml:space="preserve"> </w:t>
      </w:r>
      <w:r>
        <w:t xml:space="preserve">Second, there is an uneven playing field between EU CSDs and third-country CSDs</w:t>
      </w:r>
      <w:r>
        <w:t xml:space="preserve"> </w:t>
      </w:r>
      <w:r>
        <w:t xml:space="preserve">as these latter are not required to comply with rules at least equivalent to CSDR for their</w:t>
      </w:r>
      <w:r>
        <w:t xml:space="preserve"> </w:t>
      </w:r>
      <w:r>
        <w:t xml:space="preserve">activities in relation to financial instruments constituted under the law of a Member State.</w:t>
      </w:r>
      <w:r>
        <w:t xml:space="preserve"> </w:t>
      </w:r>
      <w:r>
        <w:t xml:space="preserve">Third, the lack of information on third-country CSDs’ activities may create a risk</w:t>
      </w:r>
      <w:r>
        <w:t xml:space="preserve"> </w:t>
      </w:r>
      <w:r>
        <w:t xml:space="preserve">for investors. The Commission has not assessed the rules to which CSDs operating</w:t>
      </w:r>
      <w:r>
        <w:t xml:space="preserve"> </w:t>
      </w:r>
      <w:r>
        <w:t xml:space="preserve">under the grandfathering clause are subject, despite the fact that they provide services in</w:t>
      </w:r>
      <w:r>
        <w:t xml:space="preserve"> </w:t>
      </w:r>
      <w:r>
        <w:t xml:space="preserve">relation to the same financial instruments EU CSDs do (see section 2.3.5). The lack of</w:t>
      </w:r>
      <w:r>
        <w:t xml:space="preserve"> </w:t>
      </w:r>
      <w:r>
        <w:t xml:space="preserve">information on those CSDs’ activities may create a risk for investors where the</w:t>
      </w:r>
      <w:r>
        <w:t xml:space="preserve"> </w:t>
      </w:r>
      <w:r>
        <w:t xml:space="preserve">legislation governing them does not offer the same level of protection as EU legislation.</w:t>
      </w:r>
    </w:p>
    <w:p>
      <w:pPr>
        <w:pStyle w:val="BodyText"/>
      </w:pPr>
      <w:r>
        <w:t xml:space="preserve">438 ESMA letter to the European Commission, ‘ESMA’s Proposals regarding the Review of the CSD</w:t>
      </w:r>
      <w:r>
        <w:t xml:space="preserve"> </w:t>
      </w:r>
      <w:r>
        <w:t xml:space="preserve">Regulation (CSDR), 20 May 2021, https://www.esma.europa.eu/sites/default/files/library/esma70-156-</w:t>
      </w:r>
      <w:r>
        <w:t xml:space="preserve"> </w:t>
      </w:r>
      <w:r>
        <w:t xml:space="preserve">4519_letter_to_ec_-_csdr_review.pdf .</w:t>
      </w:r>
    </w:p>
    <w:p>
      <w:pPr>
        <w:pStyle w:val="BodyText"/>
      </w:pPr>
      <w:r>
        <w:t xml:space="preserve">ANNEX 7: ANALYSIS OF ALL THE OPTIONS</w:t>
      </w:r>
      <w:r>
        <w:t xml:space="preserve"> </w:t>
      </w:r>
      <w:r>
        <w:t xml:space="preserve">This section describes the costs and benefits of each policy option on the drivers.</w:t>
      </w:r>
      <w:r>
        <w:br/>
      </w:r>
      <w:r>
        <w:t xml:space="preserve">1. IMPACT OF THE POLICY OPTIONS REGARDING PASSPORTING REQUIREMENTS</w:t>
      </w:r>
      <w:r>
        <w:t xml:space="preserve"> </w:t>
      </w:r>
      <w:r>
        <w:t xml:space="preserve">1.1. Option 2 - Reduce the scope of the passporting requirements</w:t>
      </w:r>
      <w:r>
        <w:t xml:space="preserve"> </w:t>
      </w:r>
      <w:r>
        <w:t xml:space="preserve">Cost-benefit analysis</w:t>
      </w:r>
      <w:r>
        <w:br/>
      </w:r>
      <w:r>
        <w:t xml:space="preserve"> CSDs: Any EU CSD would be able to provide services for non-equity instruments</w:t>
      </w:r>
      <w:r>
        <w:t xml:space="preserve"> </w:t>
      </w:r>
      <w:r>
        <w:t xml:space="preserve">within the EU without being subject to a passporting process, increasing their</w:t>
      </w:r>
      <w:r>
        <w:t xml:space="preserve"> </w:t>
      </w:r>
      <w:r>
        <w:t xml:space="preserve">potential to expand cross-border, and thus benefit from potential economies of scale</w:t>
      </w:r>
      <w:r>
        <w:t xml:space="preserve"> </w:t>
      </w:r>
      <w:r>
        <w:t xml:space="preserve">and scope. This benefit would be ongoing. However, the unclear and burdensome</w:t>
      </w:r>
      <w:r>
        <w:t xml:space="preserve"> </w:t>
      </w:r>
      <w:r>
        <w:t xml:space="preserve">passporting requirements, for equities would remain, creating cross-border barriers</w:t>
      </w:r>
      <w:r>
        <w:t xml:space="preserve"> </w:t>
      </w:r>
      <w:r>
        <w:t xml:space="preserve">for CSDs, reducing competitiveness. This cost would be ongoing.</w:t>
      </w:r>
      <w:r>
        <w:br/>
      </w:r>
      <w:r>
        <w:t xml:space="preserve"> Issuers: Issuers would be positively impacted as it would increase cross-border</w:t>
      </w:r>
      <w:r>
        <w:t xml:space="preserve"> </w:t>
      </w:r>
      <w:r>
        <w:t xml:space="preserve">activities for non-equity securities, e.g. bonds. It would therefore mean more choice</w:t>
      </w:r>
      <w:r>
        <w:t xml:space="preserve"> </w:t>
      </w:r>
      <w:r>
        <w:t xml:space="preserve">and competition between CSDs and more offers for issuers. This benefit would be</w:t>
      </w:r>
      <w:r>
        <w:t xml:space="preserve"> </w:t>
      </w:r>
      <w:r>
        <w:t xml:space="preserve">ongoing. However, as the benefits would be limited to non-equities, the problems</w:t>
      </w:r>
      <w:r>
        <w:t xml:space="preserve"> </w:t>
      </w:r>
      <w:r>
        <w:t xml:space="preserve">identified would remain for equity securities, limiting the potential benefits for</w:t>
      </w:r>
      <w:r>
        <w:t xml:space="preserve"> </w:t>
      </w:r>
      <w:r>
        <w:t xml:space="preserve">issuers.</w:t>
      </w:r>
      <w:r>
        <w:br/>
      </w:r>
      <w:r>
        <w:t xml:space="preserve"> Investors: Investors would be positively impacted as it would increase cross-border</w:t>
      </w:r>
      <w:r>
        <w:t xml:space="preserve"> </w:t>
      </w:r>
      <w:r>
        <w:t xml:space="preserve">activities for non-equity securities, e.g. bonds. It would therefore mean more choice</w:t>
      </w:r>
      <w:r>
        <w:t xml:space="preserve"> </w:t>
      </w:r>
      <w:r>
        <w:t xml:space="preserve">and competition between CSDs. This benefit would be ongoing.</w:t>
      </w:r>
      <w:r>
        <w:br/>
      </w:r>
      <w:r>
        <w:t xml:space="preserve"> ESMA: No impact identified.</w:t>
      </w:r>
      <w:r>
        <w:t xml:space="preserve"> </w:t>
      </w:r>
      <w:r>
        <w:t xml:space="preserve"> NCAs: NCAs of host Member states would not have a clear overview on the services</w:t>
      </w:r>
      <w:r>
        <w:t xml:space="preserve"> </w:t>
      </w:r>
      <w:r>
        <w:t xml:space="preserve">provided for non-equity instruments by CSDs established outside their jurisdiction</w:t>
      </w:r>
      <w:r>
        <w:t xml:space="preserve"> </w:t>
      </w:r>
      <w:r>
        <w:t xml:space="preserve">and the risks that they may or may not entail. This cost would be ongoing.</w:t>
      </w:r>
      <w:r>
        <w:t xml:space="preserve"> </w:t>
      </w:r>
      <w:r>
        <w:t xml:space="preserve">1.2. Option 3 - Clarify the role and powers of competent authorities and</w:t>
      </w:r>
      <w:r>
        <w:t xml:space="preserve"> </w:t>
      </w:r>
      <w:r>
        <w:t xml:space="preserve">requirements related to national laws</w:t>
      </w:r>
      <w:r>
        <w:br/>
      </w:r>
      <w:r>
        <w:t xml:space="preserve">Cost-benefit analysis</w:t>
      </w:r>
      <w:r>
        <w:br/>
      </w:r>
      <w:r>
        <w:t xml:space="preserve">CSDs: CSDs could have a clearer view on the passporting requirements, hence</w:t>
      </w:r>
      <w:r>
        <w:t xml:space="preserve"> </w:t>
      </w:r>
      <w:r>
        <w:t xml:space="preserve">accelerating the passporting process and spending less time and costs on</w:t>
      </w:r>
      <w:r>
        <w:t xml:space="preserve"> </w:t>
      </w:r>
      <w:r>
        <w:t xml:space="preserve">understanding the different requirements. This benefit would be ongoing.</w:t>
      </w:r>
      <w:r>
        <w:t xml:space="preserve"> </w:t>
      </w:r>
      <w:r>
        <w:t xml:space="preserve">Clarifications could therefore lead to some improvements in cross-border activities.</w:t>
      </w:r>
      <w:r>
        <w:t xml:space="preserve"> </w:t>
      </w:r>
      <w:r>
        <w:t xml:space="preserve">However, the burden of requesting an approval from the host Member State regarding</w:t>
      </w:r>
      <w:r>
        <w:t xml:space="preserve"> </w:t>
      </w:r>
      <w:r>
        <w:t xml:space="preserve">the analysis of the measures to be taken by the CSD to allow its participants to</w:t>
      </w:r>
      <w:r>
        <w:t xml:space="preserve"> </w:t>
      </w:r>
      <w:r>
        <w:t xml:space="preserve">comply with the requirements related to national laws would still remain even if</w:t>
      </w:r>
      <w:r>
        <w:t xml:space="preserve"> </w:t>
      </w:r>
      <w:r>
        <w:t xml:space="preserve">clarified. Should a CSD wish to passport in 26 Member States to be able to provide</w:t>
      </w:r>
      <w:r>
        <w:t xml:space="preserve"> </w:t>
      </w:r>
      <w:r>
        <w:t xml:space="preserve">services throughout the EU, it is estimated that it would cost on average at least</w:t>
      </w:r>
      <w:r>
        <w:t xml:space="preserve"> </w:t>
      </w:r>
      <w:r>
        <w:t xml:space="preserve">EUR 780 000 for the CSD (see section 2.3.1). Should the simplified passporting</w:t>
      </w:r>
      <w:r>
        <w:t xml:space="preserve"> </w:t>
      </w:r>
      <w:r>
        <w:t xml:space="preserve">process reduce by 15% the costs of passporting, this CSD would be saving, on</w:t>
      </w:r>
      <w:r>
        <w:t xml:space="preserve"> </w:t>
      </w:r>
      <w:r>
        <w:t xml:space="preserve">average, EUR 117 000. Currently 15 CSDs are providing services cross border in at</w:t>
      </w:r>
      <w:r>
        <w:t xml:space="preserve"> </w:t>
      </w:r>
      <w:r>
        <w:t xml:space="preserve">least one Member State. If the notification process enables at least 10 other CSDs to</w:t>
      </w:r>
      <w:r>
        <w:t xml:space="preserve"> </w:t>
      </w:r>
      <w:r>
        <w:t xml:space="preserve">passport in 26 Member States this would help to save on average EUR 1 170 000 for</w:t>
      </w:r>
    </w:p>
    <w:p>
      <w:pPr>
        <w:pStyle w:val="BodyText"/>
      </w:pPr>
      <w:r>
        <w:t xml:space="preserve">CSDs. This would be a one-off benefit for CSDs.439 Ongoing costs of monitoring</w:t>
      </w:r>
      <w:r>
        <w:t xml:space="preserve"> </w:t>
      </w:r>
      <w:r>
        <w:t xml:space="preserve">compliance with the passport would also be slightly reduced. Should a CSD had</w:t>
      </w:r>
      <w:r>
        <w:t xml:space="preserve"> </w:t>
      </w:r>
      <w:r>
        <w:t xml:space="preserve">passported in 26 Member States to be able to provide services throughout the EU, it</w:t>
      </w:r>
      <w:r>
        <w:t xml:space="preserve"> </w:t>
      </w:r>
      <w:r>
        <w:t xml:space="preserve">is estimated that it would cost on average at least EUR 52 000 (see section 2.3.1).</w:t>
      </w:r>
      <w:r>
        <w:t xml:space="preserve"> </w:t>
      </w:r>
      <w:r>
        <w:t xml:space="preserve">Should the simplified process reduce by 15% the costs of passporting, this CSD</w:t>
      </w:r>
      <w:r>
        <w:t xml:space="preserve"> </w:t>
      </w:r>
      <w:r>
        <w:t xml:space="preserve">would be saving, on average, EUR 7 800. Currently 15 CSDs are providing services</w:t>
      </w:r>
      <w:r>
        <w:t xml:space="preserve"> </w:t>
      </w:r>
      <w:r>
        <w:t xml:space="preserve">cross border in at least one Member State. If the simplified process enable at least 10</w:t>
      </w:r>
      <w:r>
        <w:t xml:space="preserve"> </w:t>
      </w:r>
      <w:r>
        <w:t xml:space="preserve">other CSDs to passport in 26 Member States this would help to save on average</w:t>
      </w:r>
      <w:r>
        <w:t xml:space="preserve"> </w:t>
      </w:r>
      <w:r>
        <w:t xml:space="preserve">EUR 78 000 for CSDs per year. This would be ongoing benefit for CSDs.</w:t>
      </w:r>
      <w:r>
        <w:t xml:space="preserve"> </w:t>
      </w:r>
      <w:r>
        <w:t xml:space="preserve"> Issuers: If the simplification of the passporting requirements leads to some</w:t>
      </w:r>
      <w:r>
        <w:t xml:space="preserve"> </w:t>
      </w:r>
      <w:r>
        <w:t xml:space="preserve">improvements in cross-border activities, issuers can benefit from a more diversified</w:t>
      </w:r>
      <w:r>
        <w:t xml:space="preserve"> </w:t>
      </w:r>
      <w:r>
        <w:t xml:space="preserve">offer from CSDs. This benefit would be ongoing.</w:t>
      </w:r>
      <w:r>
        <w:br/>
      </w:r>
      <w:r>
        <w:t xml:space="preserve"> Investors: If the simplification of the passporting requirements leads to some</w:t>
      </w:r>
      <w:r>
        <w:t xml:space="preserve"> </w:t>
      </w:r>
      <w:r>
        <w:t xml:space="preserve">improvements in cross-border activities, investors can benefit from more competition</w:t>
      </w:r>
      <w:r>
        <w:t xml:space="preserve"> </w:t>
      </w:r>
      <w:r>
        <w:t xml:space="preserve">between CSDs. This benefit would be ongoing.</w:t>
      </w:r>
      <w:r>
        <w:t xml:space="preserve"> </w:t>
      </w:r>
      <w:r>
        <w:t xml:space="preserve"> ESMA: ESMA would have a clearer view on the passporting requirements, and</w:t>
      </w:r>
      <w:r>
        <w:t xml:space="preserve"> </w:t>
      </w:r>
      <w:r>
        <w:t xml:space="preserve">therefore would spend less time to clarify them. This benefit would be ongoing.</w:t>
      </w:r>
      <w:r>
        <w:br/>
      </w:r>
      <w:r>
        <w:t xml:space="preserve"> NCAs: NCAs would have a clearer view on the passporting requirements, hence</w:t>
      </w:r>
      <w:r>
        <w:t xml:space="preserve"> </w:t>
      </w:r>
      <w:r>
        <w:t xml:space="preserve">spending less time on understanding them. In addition, it would remove the</w:t>
      </w:r>
      <w:r>
        <w:t xml:space="preserve"> </w:t>
      </w:r>
      <w:r>
        <w:t xml:space="preserve">uncertainty as regards the role of the host NCA. This benefit would be ongoing.</w:t>
      </w:r>
      <w:r>
        <w:t xml:space="preserve"> </w:t>
      </w:r>
      <w:r>
        <w:t xml:space="preserve">However, the burden of requesting an approval from the host Member State regarding</w:t>
      </w:r>
      <w:r>
        <w:t xml:space="preserve"> </w:t>
      </w:r>
      <w:r>
        <w:t xml:space="preserve">the analysis of the measures to be taken by the CSD to allow its participants to</w:t>
      </w:r>
      <w:r>
        <w:t xml:space="preserve"> </w:t>
      </w:r>
      <w:r>
        <w:t xml:space="preserve">comply with the requirements related to national laws would still remain even if</w:t>
      </w:r>
      <w:r>
        <w:t xml:space="preserve"> </w:t>
      </w:r>
      <w:r>
        <w:t xml:space="preserve">clarified.</w:t>
      </w:r>
      <w:r>
        <w:t xml:space="preserve"> </w:t>
      </w:r>
      <w:r>
        <w:t xml:space="preserve">Should a CSD wish to passport in 26 Member States to be able to provide services</w:t>
      </w:r>
      <w:r>
        <w:t xml:space="preserve"> </w:t>
      </w:r>
      <w:r>
        <w:t xml:space="preserve">throughout the EU, it is estimated that it would cost to national authorities altogether</w:t>
      </w:r>
      <w:r>
        <w:t xml:space="preserve"> </w:t>
      </w:r>
      <w:r>
        <w:t xml:space="preserve">at least EUR 79 000 (see section 2.3.5). Should the simplified process reduce by 15%</w:t>
      </w:r>
      <w:r>
        <w:t xml:space="preserve"> </w:t>
      </w:r>
      <w:r>
        <w:t xml:space="preserve">the costs of passporting, the 26 national authorities would be saving all together, on</w:t>
      </w:r>
      <w:r>
        <w:t xml:space="preserve"> </w:t>
      </w:r>
      <w:r>
        <w:t xml:space="preserve">average, ca. EUR 11 800. Currently, 15 CSDs are providing services cross border in</w:t>
      </w:r>
      <w:r>
        <w:t xml:space="preserve"> </w:t>
      </w:r>
      <w:r>
        <w:t xml:space="preserve">at least one Member State. If the simplified process enables at least 10 other CSDs to</w:t>
      </w:r>
      <w:r>
        <w:t xml:space="preserve"> </w:t>
      </w:r>
      <w:r>
        <w:t xml:space="preserve">passport in 26 Member States this would help to save ca. EUR 118 000 for 27</w:t>
      </w:r>
      <w:r>
        <w:t xml:space="preserve"> </w:t>
      </w:r>
      <w:r>
        <w:t xml:space="preserve">national authorities. This would be a one-off benefit for NCAs.</w:t>
      </w:r>
      <w:r>
        <w:br/>
      </w:r>
      <w:r>
        <w:t xml:space="preserve">1.3. Option 4 - Replace the passporting procedure at the level of the host Member</w:t>
      </w:r>
      <w:r>
        <w:t xml:space="preserve"> </w:t>
      </w:r>
      <w:r>
        <w:t xml:space="preserve">State with a simple notification</w:t>
      </w:r>
      <w:r>
        <w:t xml:space="preserve"> </w:t>
      </w:r>
      <w:r>
        <w:t xml:space="preserve">Cost-benefit analysis</w:t>
      </w:r>
      <w:r>
        <w:br/>
      </w:r>
      <w:r>
        <w:t xml:space="preserve"> CSDs: The passporting requirements related to national laws and the role of NCAs</w:t>
      </w:r>
      <w:r>
        <w:t xml:space="preserve"> </w:t>
      </w:r>
      <w:r>
        <w:t xml:space="preserve">are the ones that raised most issues. Removing the possibility for the host Member</w:t>
      </w:r>
      <w:r>
        <w:t xml:space="preserve"> </w:t>
      </w:r>
      <w:r>
        <w:t xml:space="preserve">State competent authorities to refuse a passporting request would alleviate, clarify</w:t>
      </w:r>
      <w:r>
        <w:t xml:space="preserve"> </w:t>
      </w:r>
      <w:r>
        <w:t xml:space="preserve">and speed up the passporting process. This benefit would be ongoing.</w:t>
      </w:r>
      <w:r>
        <w:t xml:space="preserve"> </w:t>
      </w:r>
      <w:r>
        <w:t xml:space="preserve">Should a CSD wish to passport in 26 Member States to be able to provide services</w:t>
      </w:r>
      <w:r>
        <w:t xml:space="preserve"> </w:t>
      </w:r>
      <w:r>
        <w:t xml:space="preserve">throughout the EU, it is estimated that it would cost on average at least EUR 780 000</w:t>
      </w:r>
      <w:r>
        <w:t xml:space="preserve"> </w:t>
      </w:r>
      <w:r>
        <w:t xml:space="preserve">per CSD (see section 2.3.1). Should the simplified process reduce by 75% the costs of</w:t>
      </w:r>
      <w:r>
        <w:t xml:space="preserve"> </w:t>
      </w:r>
      <w:r>
        <w:t xml:space="preserve">passporting, this CSD would be saving, on average, EUR 585 000. Currently 15</w:t>
      </w:r>
    </w:p>
    <w:p>
      <w:pPr>
        <w:pStyle w:val="BodyText"/>
      </w:pPr>
      <w:r>
        <w:t xml:space="preserve">439 Commission estimates based on confidential information provided to DG FISMA services.</w:t>
      </w:r>
    </w:p>
    <w:p>
      <w:pPr>
        <w:pStyle w:val="BodyText"/>
      </w:pPr>
      <w:r>
        <w:t xml:space="preserve">CSDs are providing services cross border in at least one Member State. If the</w:t>
      </w:r>
      <w:r>
        <w:t xml:space="preserve"> </w:t>
      </w:r>
      <w:r>
        <w:t xml:space="preserve">simolified process enables at least 10 other CSDs to passport in 26 Member States</w:t>
      </w:r>
      <w:r>
        <w:t xml:space="preserve"> </w:t>
      </w:r>
      <w:r>
        <w:t xml:space="preserve">this would help to save ca. EUR 5 850 000 for CSDs. This would be a one-off benefit</w:t>
      </w:r>
      <w:r>
        <w:t xml:space="preserve"> </w:t>
      </w:r>
      <w:r>
        <w:t xml:space="preserve">for CSDs.440</w:t>
      </w:r>
      <w:r>
        <w:br/>
      </w:r>
      <w:r>
        <w:t xml:space="preserve">Ongoing costs of monitoring compliance with the passport would also be</w:t>
      </w:r>
      <w:r>
        <w:t xml:space="preserve"> </w:t>
      </w:r>
      <w:r>
        <w:t xml:space="preserve">significantly. Should a CSD had passported in 26 Member States to be able to</w:t>
      </w:r>
      <w:r>
        <w:t xml:space="preserve"> </w:t>
      </w:r>
      <w:r>
        <w:t xml:space="preserve">provide services throughout the EU, it is estimated that it would cost on average at</w:t>
      </w:r>
      <w:r>
        <w:t xml:space="preserve"> </w:t>
      </w:r>
      <w:r>
        <w:t xml:space="preserve">least EUR 52 000 (see section 2.3.1). Should the simplified process reduce by 75%</w:t>
      </w:r>
      <w:r>
        <w:t xml:space="preserve"> </w:t>
      </w:r>
      <w:r>
        <w:t xml:space="preserve">the costs of passporting, this CSD would be saving, on average, EUR 39 000.</w:t>
      </w:r>
      <w:r>
        <w:t xml:space="preserve"> </w:t>
      </w:r>
      <w:r>
        <w:t xml:space="preserve">Currently 15 CSDs are providing services cross border in at least one Member State.</w:t>
      </w:r>
      <w:r>
        <w:t xml:space="preserve"> </w:t>
      </w:r>
      <w:r>
        <w:t xml:space="preserve">If the simplified process enables at least 10 other CSDs to passport in 26 Member</w:t>
      </w:r>
      <w:r>
        <w:t xml:space="preserve"> </w:t>
      </w:r>
      <w:r>
        <w:t xml:space="preserve">States this would help to save ca. EUR 390 000 for CSDs per year. This would be</w:t>
      </w:r>
      <w:r>
        <w:t xml:space="preserve"> </w:t>
      </w:r>
      <w:r>
        <w:t xml:space="preserve">ongoing benefit for CSDs.</w:t>
      </w:r>
      <w:r>
        <w:t xml:space="preserve"> </w:t>
      </w:r>
      <w:r>
        <w:t xml:space="preserve"> Issuers: Issuers could be positively impacted as it would increase cross-border</w:t>
      </w:r>
      <w:r>
        <w:t xml:space="preserve"> </w:t>
      </w:r>
      <w:r>
        <w:t xml:space="preserve">activities. It would therefore mean more choice and competition between CSDs and</w:t>
      </w:r>
      <w:r>
        <w:t xml:space="preserve"> </w:t>
      </w:r>
      <w:r>
        <w:t xml:space="preserve">more offers for issuers. This benefit would be ongoing.</w:t>
      </w:r>
      <w:r>
        <w:br/>
      </w:r>
      <w:r>
        <w:t xml:space="preserve"> Investors: If the simplification of the passporting requirements leads to some</w:t>
      </w:r>
      <w:r>
        <w:t xml:space="preserve"> </w:t>
      </w:r>
      <w:r>
        <w:t xml:space="preserve">improvements in cross-border activities, investors can benefit from more competition</w:t>
      </w:r>
      <w:r>
        <w:t xml:space="preserve"> </w:t>
      </w:r>
      <w:r>
        <w:t xml:space="preserve">between CSDs. This benefit would be ongoing.</w:t>
      </w:r>
      <w:r>
        <w:t xml:space="preserve"> </w:t>
      </w:r>
      <w:r>
        <w:t xml:space="preserve"> ESMA: The simplified process would alleviate their costs as the passporting</w:t>
      </w:r>
      <w:r>
        <w:t xml:space="preserve"> </w:t>
      </w:r>
      <w:r>
        <w:t xml:space="preserve">requirements would be streamlined and clearer.</w:t>
      </w:r>
      <w:r>
        <w:br/>
      </w:r>
      <w:r>
        <w:t xml:space="preserve"> NCAs: By replacing the passporting procedure at the level of the host Member State</w:t>
      </w:r>
      <w:r>
        <w:t xml:space="preserve"> </w:t>
      </w:r>
      <w:r>
        <w:t xml:space="preserve">by a notification, NCAs will alleviate the costs and time spent on passporting;</w:t>
      </w:r>
      <w:r>
        <w:t xml:space="preserve"> </w:t>
      </w:r>
      <w:r>
        <w:t xml:space="preserve">however, at the same time, NCAs would have less oversight on the measures taken</w:t>
      </w:r>
      <w:r>
        <w:t xml:space="preserve"> </w:t>
      </w:r>
      <w:r>
        <w:t xml:space="preserve">by the CSDs to allow their users to comply with the national law referred to in Article</w:t>
      </w:r>
      <w:r>
        <w:t xml:space="preserve"> </w:t>
      </w:r>
      <w:r>
        <w:t xml:space="preserve">49(1) and also no power to oppose the passporting. At the same time, the simple fact</w:t>
      </w:r>
      <w:r>
        <w:t xml:space="preserve"> </w:t>
      </w:r>
      <w:r>
        <w:t xml:space="preserve">that NCAs would have less oversight does not mean that CSDs would not have to</w:t>
      </w:r>
      <w:r>
        <w:t xml:space="preserve"> </w:t>
      </w:r>
      <w:r>
        <w:t xml:space="preserve">continue applying national laws. In addition, as a notification procedure would still</w:t>
      </w:r>
      <w:r>
        <w:t xml:space="preserve"> </w:t>
      </w:r>
      <w:r>
        <w:t xml:space="preserve">remain in place, it would ensure adequate information to monitor risks for the</w:t>
      </w:r>
      <w:r>
        <w:t xml:space="preserve"> </w:t>
      </w:r>
      <w:r>
        <w:t xml:space="preserve">authorities.</w:t>
      </w:r>
      <w:r>
        <w:t xml:space="preserve"> </w:t>
      </w:r>
      <w:r>
        <w:t xml:space="preserve">Should a CSD wish to passport in 26 Member States to be able to provide services</w:t>
      </w:r>
      <w:r>
        <w:t xml:space="preserve"> </w:t>
      </w:r>
      <w:r>
        <w:t xml:space="preserve">throughout the EU, it is estimated that it would cost to national authorities altogether</w:t>
      </w:r>
      <w:r>
        <w:t xml:space="preserve"> </w:t>
      </w:r>
      <w:r>
        <w:t xml:space="preserve">at least EUR 79 000 (see section 2.3.5). Should the simplified process reduce by 75%</w:t>
      </w:r>
      <w:r>
        <w:t xml:space="preserve"> </w:t>
      </w:r>
      <w:r>
        <w:t xml:space="preserve">the costs of passporting, the 26 national authorities would be saving all together, on</w:t>
      </w:r>
      <w:r>
        <w:t xml:space="preserve"> </w:t>
      </w:r>
      <w:r>
        <w:t xml:space="preserve">average, ca. EUR 59 000. Currently, 15 CSDs are providing services cross border in</w:t>
      </w:r>
      <w:r>
        <w:t xml:space="preserve"> </w:t>
      </w:r>
      <w:r>
        <w:t xml:space="preserve">at least one Member State. If the simplified process enables at least 10 other CSDs to</w:t>
      </w:r>
      <w:r>
        <w:t xml:space="preserve"> </w:t>
      </w:r>
      <w:r>
        <w:t xml:space="preserve">passport in 26 Member States this would help to save on average EUR 590 000 for 27</w:t>
      </w:r>
      <w:r>
        <w:t xml:space="preserve"> </w:t>
      </w:r>
      <w:r>
        <w:t xml:space="preserve">national authorities. This would be a one-off benefit for NCAs.</w:t>
      </w:r>
      <w:r>
        <w:br/>
      </w:r>
      <w:r>
        <w:t xml:space="preserve">1.4. Combination of Option 3 and Option 4</w:t>
      </w:r>
      <w:r>
        <w:t xml:space="preserve"> </w:t>
      </w:r>
      <w:r>
        <w:t xml:space="preserve">Cost-benefit analysis</w:t>
      </w:r>
      <w:r>
        <w:br/>
      </w:r>
      <w:r>
        <w:t xml:space="preserve">CSDs: CSDs could have a clearer view on the passporting requirements, hence</w:t>
      </w:r>
      <w:r>
        <w:t xml:space="preserve"> </w:t>
      </w:r>
      <w:r>
        <w:t xml:space="preserve">accelerating the passporting process and spending less time and costs on</w:t>
      </w:r>
      <w:r>
        <w:t xml:space="preserve"> </w:t>
      </w:r>
      <w:r>
        <w:t xml:space="preserve">understanding the different requirements. This benefit would be ongoing.</w:t>
      </w:r>
    </w:p>
    <w:p>
      <w:pPr>
        <w:pStyle w:val="BodyText"/>
      </w:pPr>
      <w:r>
        <w:t xml:space="preserve">440 Commission estimates based on confidential information provided to DG FISMA services.</w:t>
      </w:r>
    </w:p>
    <w:p>
      <w:pPr>
        <w:pStyle w:val="BodyText"/>
      </w:pPr>
      <w:r>
        <w:t xml:space="preserve">Clarifications could therefore lead to some improvements in cross-border activities.</w:t>
      </w:r>
      <w:r>
        <w:t xml:space="preserve"> </w:t>
      </w:r>
      <w:r>
        <w:t xml:space="preserve">Further, the burden of requesting an approval from the host Member State would be</w:t>
      </w:r>
      <w:r>
        <w:t xml:space="preserve"> </w:t>
      </w:r>
      <w:r>
        <w:t xml:space="preserve">removed. This would be a one-off benefit for CSDs, although ongoing costs of</w:t>
      </w:r>
      <w:r>
        <w:t xml:space="preserve"> </w:t>
      </w:r>
      <w:r>
        <w:t xml:space="preserve">monitoring compliance with the passport would also be slightly reduced.</w:t>
      </w:r>
      <w:r>
        <w:br/>
      </w:r>
      <w:r>
        <w:t xml:space="preserve">More details on the quantified costs and benefits are included in Section 1.2 and 1.3</w:t>
      </w:r>
      <w:r>
        <w:t xml:space="preserve"> </w:t>
      </w:r>
      <w:r>
        <w:t xml:space="preserve">of this Annex, regarding options 3 and 4.</w:t>
      </w:r>
      <w:r>
        <w:br/>
      </w:r>
      <w:r>
        <w:t xml:space="preserve"> Issuers: If the simplification of the passporting requirements leads to some</w:t>
      </w:r>
      <w:r>
        <w:t xml:space="preserve"> </w:t>
      </w:r>
      <w:r>
        <w:t xml:space="preserve">improvements in cross-border activities, issuers can benefit from a more diversified</w:t>
      </w:r>
      <w:r>
        <w:t xml:space="preserve"> </w:t>
      </w:r>
      <w:r>
        <w:t xml:space="preserve">offer from CSDs. This benefit would be ongoing.</w:t>
      </w:r>
      <w:r>
        <w:br/>
      </w:r>
      <w:r>
        <w:t xml:space="preserve"> Investors: If the simplification of the passporting requirements leads to some</w:t>
      </w:r>
      <w:r>
        <w:t xml:space="preserve"> </w:t>
      </w:r>
      <w:r>
        <w:t xml:space="preserve">improvements in cross-border activities, investors can benefit from more competition</w:t>
      </w:r>
      <w:r>
        <w:t xml:space="preserve"> </w:t>
      </w:r>
      <w:r>
        <w:t xml:space="preserve">between CSDs. This benefit would be ongoing.</w:t>
      </w:r>
      <w:r>
        <w:t xml:space="preserve"> </w:t>
      </w:r>
      <w:r>
        <w:t xml:space="preserve"> ESMA: ESMA would have a clearer view on the passporting requirements, and</w:t>
      </w:r>
      <w:r>
        <w:t xml:space="preserve"> </w:t>
      </w:r>
      <w:r>
        <w:t xml:space="preserve">therefore would spend less time to clarify them. The simplified process would also</w:t>
      </w:r>
      <w:r>
        <w:t xml:space="preserve"> </w:t>
      </w:r>
      <w:r>
        <w:t xml:space="preserve">alleviate their costs as the passporting requirements would be streamlined and clearer.</w:t>
      </w:r>
      <w:r>
        <w:t xml:space="preserve"> </w:t>
      </w:r>
      <w:r>
        <w:t xml:space="preserve">This benefit would be ongoing.</w:t>
      </w:r>
      <w:r>
        <w:br/>
      </w:r>
      <w:r>
        <w:t xml:space="preserve"> NCAs: NCAs would have a clearer view on the passporting requirements, hence</w:t>
      </w:r>
      <w:r>
        <w:t xml:space="preserve"> </w:t>
      </w:r>
      <w:r>
        <w:t xml:space="preserve">spending less time on understanding them. In addition, it would remove the</w:t>
      </w:r>
      <w:r>
        <w:t xml:space="preserve"> </w:t>
      </w:r>
      <w:r>
        <w:t xml:space="preserve">uncertainty as regards the role of the host NCA. This benefit would be ongoing.</w:t>
      </w:r>
      <w:r>
        <w:t xml:space="preserve"> </w:t>
      </w:r>
      <w:r>
        <w:t xml:space="preserve">Further, the burden of requesting an approval from the host Member State would be</w:t>
      </w:r>
      <w:r>
        <w:t xml:space="preserve"> </w:t>
      </w:r>
      <w:r>
        <w:t xml:space="preserve">removed, which will alleviate the costs and time spent on passporting. This would be</w:t>
      </w:r>
      <w:r>
        <w:t xml:space="preserve"> </w:t>
      </w:r>
      <w:r>
        <w:t xml:space="preserve">a one-off benefit for NCAs.</w:t>
      </w:r>
      <w:r>
        <w:br/>
      </w:r>
      <w:r>
        <w:t xml:space="preserve">However, NCAs would have less decision making powers on the measures taken by</w:t>
      </w:r>
      <w:r>
        <w:t xml:space="preserve"> </w:t>
      </w:r>
      <w:r>
        <w:t xml:space="preserve">the CSDs to allow their users to comply with the national law referred to in Article</w:t>
      </w:r>
      <w:r>
        <w:t xml:space="preserve"> </w:t>
      </w:r>
      <w:r>
        <w:t xml:space="preserve">49(1) and also no power to oppose the passporting. At the same time, the simple fact</w:t>
      </w:r>
      <w:r>
        <w:t xml:space="preserve"> </w:t>
      </w:r>
      <w:r>
        <w:t xml:space="preserve">that NCAs would have less oversight does not mean that CSDs would not have to</w:t>
      </w:r>
      <w:r>
        <w:t xml:space="preserve"> </w:t>
      </w:r>
      <w:r>
        <w:t xml:space="preserve">continue applying national laws. In addition, as a notification procedure would still</w:t>
      </w:r>
      <w:r>
        <w:t xml:space="preserve"> </w:t>
      </w:r>
      <w:r>
        <w:t xml:space="preserve">remain in place, it would ensure adequate information to monitor risks for the</w:t>
      </w:r>
      <w:r>
        <w:t xml:space="preserve"> </w:t>
      </w:r>
      <w:r>
        <w:t xml:space="preserve">authorities. Finally, NCAs could benefit for a compensatory increase of oversight on</w:t>
      </w:r>
      <w:r>
        <w:t xml:space="preserve"> </w:t>
      </w:r>
      <w:r>
        <w:t xml:space="preserve">passported CSDs through the establishment of mandatory colleges, which would</w:t>
      </w:r>
      <w:r>
        <w:t xml:space="preserve"> </w:t>
      </w:r>
      <w:r>
        <w:t xml:space="preserve">allow them to have an ongoing oversight rather than a one off possibility to refuse a</w:t>
      </w:r>
      <w:r>
        <w:t xml:space="preserve"> </w:t>
      </w:r>
      <w:r>
        <w:t xml:space="preserve">passport.</w:t>
      </w:r>
      <w:r>
        <w:br/>
      </w:r>
      <w:r>
        <w:t xml:space="preserve">2. 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</w:t>
      </w:r>
      <w:r>
        <w:br/>
      </w:r>
      <w:r>
        <w:t xml:space="preserve">2.1. Option 2: Enhance the existing CSDR rules for cooperation arrangements</w:t>
      </w:r>
      <w:r>
        <w:t xml:space="preserve"> </w:t>
      </w:r>
      <w:r>
        <w:t xml:space="preserve">Cost-benefit analysis</w:t>
      </w:r>
      <w:r>
        <w:br/>
      </w:r>
      <w:r>
        <w:t xml:space="preserve"> CSDs: CSDs benefit from a reduction of costs as a result of addressing partly the</w:t>
      </w:r>
      <w:r>
        <w:t xml:space="preserve"> </w:t>
      </w:r>
      <w:r>
        <w:t xml:space="preserve">barriers to cross-border settlement and the lack of supervisory convergence. This</w:t>
      </w:r>
      <w:r>
        <w:t xml:space="preserve"> </w:t>
      </w:r>
      <w:r>
        <w:t xml:space="preserve">benefit would be ongoing.</w:t>
      </w:r>
      <w:r>
        <w:t xml:space="preserve"> </w:t>
      </w:r>
      <w:r>
        <w:t xml:space="preserve"> Issuers: Issuers would benefit from the partly improved cross-border provision of</w:t>
      </w:r>
      <w:r>
        <w:t xml:space="preserve"> </w:t>
      </w:r>
      <w:r>
        <w:t xml:space="preserve">services and supervisory convergence as well as from increased financial stability.</w:t>
      </w:r>
      <w:r>
        <w:t xml:space="preserve"> </w:t>
      </w:r>
      <w:r>
        <w:t xml:space="preserve">This benefit would be ongoing.</w:t>
      </w:r>
      <w:r>
        <w:t xml:space="preserve"> </w:t>
      </w:r>
      <w:r>
        <w:t xml:space="preserve"> Investors: Investors would benefit from the partly improved cross-border provision of</w:t>
      </w:r>
      <w:r>
        <w:t xml:space="preserve"> </w:t>
      </w:r>
      <w:r>
        <w:t xml:space="preserve">services and supervisory convergence as well as from increased financial stability.</w:t>
      </w:r>
      <w:r>
        <w:t xml:space="preserve"> </w:t>
      </w:r>
      <w:r>
        <w:t xml:space="preserve">This benefit would be ongoing.</w:t>
      </w:r>
    </w:p>
    <w:p>
      <w:pPr>
        <w:pStyle w:val="BodyText"/>
      </w:pPr>
      <w:r>
        <w:t xml:space="preserve"> NCAs: NCAs may incur limited additional costs arising from their participation to the</w:t>
      </w:r>
      <w:r>
        <w:t xml:space="preserve"> </w:t>
      </w:r>
      <w:r>
        <w:t xml:space="preserve">cooperation arrangements. Nonetheless, they will benefit from slightly increased</w:t>
      </w:r>
      <w:r>
        <w:t xml:space="preserve"> </w:t>
      </w:r>
      <w:r>
        <w:t xml:space="preserve">access to information and powers to monitor risks compared to today. This benefit</w:t>
      </w:r>
      <w:r>
        <w:t xml:space="preserve"> </w:t>
      </w:r>
      <w:r>
        <w:t xml:space="preserve">would be ongoing.</w:t>
      </w:r>
      <w:r>
        <w:t xml:space="preserve"> </w:t>
      </w:r>
      <w:r>
        <w:t xml:space="preserve"> ESMA: No impacts for ESMA or, in case the framework is amended to provide for</w:t>
      </w:r>
      <w:r>
        <w:t xml:space="preserve"> </w:t>
      </w:r>
      <w:r>
        <w:t xml:space="preserve">ESMA participation to the cooperation arrangements, limited additional [ongoing]</w:t>
      </w:r>
      <w:r>
        <w:t xml:space="preserve"> </w:t>
      </w:r>
      <w:r>
        <w:t xml:space="preserve">costs.</w:t>
      </w:r>
      <w:r>
        <w:t xml:space="preserve"> </w:t>
      </w:r>
      <w:r>
        <w:t xml:space="preserve"> Banks: no impact identified.</w:t>
      </w:r>
      <w:r>
        <w:t xml:space="preserve"> </w:t>
      </w:r>
      <w:r>
        <w:t xml:space="preserve">2.2. Option 3: Introduce mandatory supervisory colleges</w:t>
      </w:r>
      <w:r>
        <w:t xml:space="preserve"> </w:t>
      </w:r>
      <w:r>
        <w:t xml:space="preserve">Cost-benefit analysis</w:t>
      </w:r>
      <w:r>
        <w:br/>
      </w:r>
      <w:r>
        <w:t xml:space="preserve"> CSDs: By addressing, even partly, the barriers to cross-border settlement and the</w:t>
      </w:r>
      <w:r>
        <w:t xml:space="preserve"> </w:t>
      </w:r>
      <w:r>
        <w:t xml:space="preserve">absence of supervisory convergence, CSDs would benefit (to a greater extent when</w:t>
      </w:r>
      <w:r>
        <w:t xml:space="preserve"> </w:t>
      </w:r>
      <w:r>
        <w:t xml:space="preserve">compared to option 1) from a reduction of costs when operating in the EU. This</w:t>
      </w:r>
      <w:r>
        <w:t xml:space="preserve"> </w:t>
      </w:r>
      <w:r>
        <w:t xml:space="preserve">benefit would be ongoing.</w:t>
      </w:r>
      <w:r>
        <w:t xml:space="preserve"> </w:t>
      </w:r>
      <w:r>
        <w:t xml:space="preserve"> Issuers: would benefit (to a greater extent when compared to option 1) from the</w:t>
      </w:r>
      <w:r>
        <w:t xml:space="preserve"> </w:t>
      </w:r>
      <w:r>
        <w:t xml:space="preserve">partly improved framework for the cross-border provision of services, the increased</w:t>
      </w:r>
      <w:r>
        <w:t xml:space="preserve"> </w:t>
      </w:r>
      <w:r>
        <w:t xml:space="preserve">supervisory convergence and financial stability. This benefit would be ongoing.</w:t>
      </w:r>
      <w:r>
        <w:t xml:space="preserve"> </w:t>
      </w:r>
      <w:r>
        <w:t xml:space="preserve"> Investors: would benefit (to a greater extent when compared to option 1) from the</w:t>
      </w:r>
      <w:r>
        <w:t xml:space="preserve"> </w:t>
      </w:r>
      <w:r>
        <w:t xml:space="preserve">partly improved framework for the cross-border provision of services, the increased</w:t>
      </w:r>
      <w:r>
        <w:t xml:space="preserve"> </w:t>
      </w:r>
      <w:r>
        <w:t xml:space="preserve">supervisory convergence and financial stability. This benefit would be ongoing.</w:t>
      </w:r>
      <w:r>
        <w:t xml:space="preserve"> </w:t>
      </w:r>
      <w:r>
        <w:t xml:space="preserve"> NCAs: NCAs may incur limited additional ongoing costs arising from their</w:t>
      </w:r>
      <w:r>
        <w:t xml:space="preserve"> </w:t>
      </w:r>
      <w:r>
        <w:t xml:space="preserve">participation to colleges. Nonetheless, at the same time, their ongoing costs will be</w:t>
      </w:r>
      <w:r>
        <w:t xml:space="preserve"> </w:t>
      </w:r>
      <w:r>
        <w:t xml:space="preserve">reduced due to the streamlined cooperation of authorities and their increased access</w:t>
      </w:r>
      <w:r>
        <w:t xml:space="preserve"> </w:t>
      </w:r>
      <w:r>
        <w:t xml:space="preserve">to information and powers to monitor risks compared to today.</w:t>
      </w:r>
      <w:r>
        <w:t xml:space="preserve"> </w:t>
      </w:r>
      <w:r>
        <w:t xml:space="preserve"> ESMA: ESMA may incur additional costs from its participation to colleges. It is</w:t>
      </w:r>
      <w:r>
        <w:t xml:space="preserve"> </w:t>
      </w:r>
      <w:r>
        <w:t xml:space="preserve">estimated that such additional costs may range from about EUR 130 000 to</w:t>
      </w:r>
      <w:r>
        <w:t xml:space="preserve"> </w:t>
      </w:r>
      <w:r>
        <w:t xml:space="preserve">EUR 260 000 per annum depending on the number of CSDs for which colleges could</w:t>
      </w:r>
      <w:r>
        <w:t xml:space="preserve"> </w:t>
      </w:r>
      <w:r>
        <w:t xml:space="preserve">be established and their powers.441 However, ESMA would be able to benefit from</w:t>
      </w:r>
      <w:r>
        <w:t xml:space="preserve"> </w:t>
      </w:r>
      <w:r>
        <w:t xml:space="preserve">the experience it has already acquired in the field of colleges under EMIR, and</w:t>
      </w:r>
      <w:r>
        <w:t xml:space="preserve"> </w:t>
      </w:r>
      <w:r>
        <w:t xml:space="preserve">therefore very limited, if any, one-off operational costs are envisaged.</w:t>
      </w:r>
      <w:r>
        <w:t xml:space="preserve"> </w:t>
      </w:r>
      <w:r>
        <w:t xml:space="preserve"> Banks: no impact identified.</w:t>
      </w:r>
      <w:r>
        <w:br/>
      </w:r>
      <w:r>
        <w:t xml:space="preserve">2.3. Option 4: More supervision of CSDs at EU level</w:t>
      </w:r>
      <w:r>
        <w:t xml:space="preserve"> </w:t>
      </w:r>
      <w:r>
        <w:t xml:space="preserve">Cost-benefit analysis</w:t>
      </w:r>
      <w:r>
        <w:br/>
      </w:r>
      <w:r>
        <w:t xml:space="preserve"> CSDs: By removing the barriers to cross-border settlement and the absence of</w:t>
      </w:r>
      <w:r>
        <w:t xml:space="preserve"> </w:t>
      </w:r>
      <w:r>
        <w:t xml:space="preserve">supervisory convergence, CSDs would benefit from a significant reduction of costs</w:t>
      </w:r>
      <w:r>
        <w:t xml:space="preserve"> </w:t>
      </w:r>
      <w:r>
        <w:t xml:space="preserve">when operating in the EU. This benefit would be ongoing. Nevertheless, if the costs</w:t>
      </w:r>
      <w:r>
        <w:t xml:space="preserve"> </w:t>
      </w:r>
      <w:r>
        <w:t xml:space="preserve">of EU supervision were passed to CSDs, they would face higher costs.</w:t>
      </w:r>
      <w:r>
        <w:t xml:space="preserve"> </w:t>
      </w:r>
      <w:r>
        <w:t xml:space="preserve"> Issuers: Issuers would benefit from the free provision of cross-border services, the</w:t>
      </w:r>
      <w:r>
        <w:t xml:space="preserve"> </w:t>
      </w:r>
      <w:r>
        <w:t xml:space="preserve">increased supervisory convergence and financial stability. This benefit would be</w:t>
      </w:r>
      <w:r>
        <w:t xml:space="preserve"> </w:t>
      </w:r>
      <w:r>
        <w:t xml:space="preserve">ongoing.</w:t>
      </w:r>
    </w:p>
    <w:p>
      <w:pPr>
        <w:pStyle w:val="BodyText"/>
      </w:pPr>
      <w:r>
        <w:t xml:space="preserve">441 Commission estimates based on confidential data provided to DG FISMA services.</w:t>
      </w:r>
    </w:p>
    <w:p>
      <w:pPr>
        <w:pStyle w:val="BodyText"/>
      </w:pPr>
      <w:r>
        <w:t xml:space="preserve"> Investors: Investors would benefit from the free provision of cross-border services,</w:t>
      </w:r>
      <w:r>
        <w:t xml:space="preserve"> </w:t>
      </w:r>
      <w:r>
        <w:t xml:space="preserve">the increased supervisory convergence and financial stability. This benefit would be</w:t>
      </w:r>
      <w:r>
        <w:t xml:space="preserve"> </w:t>
      </w:r>
      <w:r>
        <w:t xml:space="preserve">ongoing.</w:t>
      </w:r>
      <w:r>
        <w:t xml:space="preserve"> </w:t>
      </w:r>
      <w:r>
        <w:t xml:space="preserve"> NCAs: NCAs ongoing costs would be significantly reduced (depending on the model</w:t>
      </w:r>
      <w:r>
        <w:t xml:space="preserve"> </w:t>
      </w:r>
      <w:r>
        <w:t xml:space="preserve">of single supervision to be chosen), as authorisation and supervisory powers would be</w:t>
      </w:r>
      <w:r>
        <w:t xml:space="preserve"> </w:t>
      </w:r>
      <w:r>
        <w:t xml:space="preserve">moved at EU level.</w:t>
      </w:r>
      <w:r>
        <w:t xml:space="preserve"> </w:t>
      </w:r>
      <w:r>
        <w:t xml:space="preserve"> ESMA: This would require a significant extension of supervisory capacity inside</w:t>
      </w:r>
      <w:r>
        <w:t xml:space="preserve"> </w:t>
      </w:r>
      <w:r>
        <w:t xml:space="preserve">ESMA (should ESMA be retained as the single supervisor) or the creation from</w:t>
      </w:r>
      <w:r>
        <w:t xml:space="preserve"> </w:t>
      </w:r>
      <w:r>
        <w:t xml:space="preserve">scratch of a single supervisor and would therefore have major budgetary</w:t>
      </w:r>
      <w:r>
        <w:t xml:space="preserve"> </w:t>
      </w:r>
      <w:r>
        <w:t xml:space="preserve">consequences for the EU. According to some estimates, depending on the exact</w:t>
      </w:r>
      <w:r>
        <w:t xml:space="preserve"> </w:t>
      </w:r>
      <w:r>
        <w:t xml:space="preserve">nature of ESMA’s powers and the CSDs over which ESMA would exercise such</w:t>
      </w:r>
      <w:r>
        <w:t xml:space="preserve"> </w:t>
      </w:r>
      <w:r>
        <w:t xml:space="preserve">powers, the budgetary implications of this option could potentially range from</w:t>
      </w:r>
      <w:r>
        <w:t xml:space="preserve"> </w:t>
      </w:r>
      <w:r>
        <w:t xml:space="preserve">EUR 0.5 million to EUR 4 million per annum depending on the design.442 These</w:t>
      </w:r>
      <w:r>
        <w:t xml:space="preserve"> </w:t>
      </w:r>
      <w:r>
        <w:t xml:space="preserve">costs would be ongoing. One option would be to cover the costs via fees to EU CSDs</w:t>
      </w:r>
      <w:r>
        <w:t xml:space="preserve"> </w:t>
      </w:r>
      <w:r>
        <w:t xml:space="preserve">subject to ESMA’s supervision.</w:t>
      </w:r>
      <w:r>
        <w:t xml:space="preserve"> </w:t>
      </w:r>
      <w:r>
        <w:t xml:space="preserve"> Banks: no impact identified.</w:t>
      </w:r>
      <w:r>
        <w:t xml:space="preserve"> </w:t>
      </w:r>
      <w:r>
        <w:t xml:space="preserve">3. IMPACT OF THE POLICY OPTIONS REGARDING PROVISION OF BANKING SERVICES</w:t>
      </w:r>
      <w:r>
        <w:t xml:space="preserve"> </w:t>
      </w:r>
      <w:r>
        <w:t xml:space="preserve">RELATED TO SETTLEMENT IN FOREIGN CURRENCIES</w:t>
      </w:r>
      <w:r>
        <w:t xml:space="preserve"> </w:t>
      </w:r>
      <w:r>
        <w:t xml:space="preserve">3.1. Option 2: Introduce targeted amendments for designated credit institutions</w:t>
      </w:r>
      <w:r>
        <w:t xml:space="preserve"> </w:t>
      </w:r>
      <w:r>
        <w:t xml:space="preserve">Cost-benefit analysis</w:t>
      </w:r>
      <w:r>
        <w:br/>
      </w:r>
      <w:r>
        <w:t xml:space="preserve">In terms of specific stakeholders, the effects are estimated to be the following:</w:t>
      </w:r>
      <w:r>
        <w:t xml:space="preserve"> </w:t>
      </w:r>
      <w:r>
        <w:t xml:space="preserve"> CSDs: Benefit from increased opportunities for cross-border transactions as</w:t>
      </w:r>
      <w:r>
        <w:t xml:space="preserve"> </w:t>
      </w:r>
      <w:r>
        <w:t xml:space="preserve">settlement in foreign currencies would become easier. Financial stability risks,</w:t>
      </w:r>
      <w:r>
        <w:t xml:space="preserve"> </w:t>
      </w:r>
      <w:r>
        <w:t xml:space="preserve">however, in terms of credit and liquidity risks and concentration risks will increase</w:t>
      </w:r>
      <w:r>
        <w:t xml:space="preserve"> </w:t>
      </w:r>
      <w:r>
        <w:t xml:space="preserve">depending on the relative increase in foreign currency settlement. It also could reduce</w:t>
      </w:r>
      <w:r>
        <w:t xml:space="preserve"> </w:t>
      </w:r>
      <w:r>
        <w:t xml:space="preserve">the incentives to use central bank money, one of the principles of CSDR. Option 2a:</w:t>
      </w:r>
      <w:r>
        <w:t xml:space="preserve"> </w:t>
      </w:r>
      <w:r>
        <w:t xml:space="preserve">broad access to foreign currencies for CSDs as all banks can step in. Option 2b:</w:t>
      </w:r>
      <w:r>
        <w:t xml:space="preserve"> </w:t>
      </w:r>
      <w:r>
        <w:t xml:space="preserve">existing banking CSDs can immediately start, no establishment needed, risk</w:t>
      </w:r>
      <w:r>
        <w:t xml:space="preserve"> </w:t>
      </w:r>
      <w:r>
        <w:t xml:space="preserve">management arrangements in place, greater concentration risks within these groups</w:t>
      </w:r>
      <w:r>
        <w:t xml:space="preserve"> </w:t>
      </w:r>
      <w:r>
        <w:t xml:space="preserve">and risks to competitiveness for smaller non-banking CSDs vis-a-vis the usually</w:t>
      </w:r>
      <w:r>
        <w:t xml:space="preserve"> </w:t>
      </w:r>
      <w:r>
        <w:t xml:space="preserve">larger banking CSDs.</w:t>
      </w:r>
      <w:r>
        <w:t xml:space="preserve"> </w:t>
      </w:r>
      <w:r>
        <w:t xml:space="preserve"> Investors: Investors will benefit from the increased competition and greater choice in</w:t>
      </w:r>
      <w:r>
        <w:t xml:space="preserve"> </w:t>
      </w:r>
      <w:r>
        <w:t xml:space="preserve">issuance and also in terms of risk diversification. This contributes to enhanced EU</w:t>
      </w:r>
      <w:r>
        <w:t xml:space="preserve"> </w:t>
      </w:r>
      <w:r>
        <w:t xml:space="preserve">capital markets through increased cross border provision of services.</w:t>
      </w:r>
      <w:r>
        <w:t xml:space="preserve"> </w:t>
      </w:r>
      <w:r>
        <w:t xml:space="preserve"> Issuers: Issuers will benefit from the increased competition, mainly in the area of</w:t>
      </w:r>
      <w:r>
        <w:t xml:space="preserve"> </w:t>
      </w:r>
      <w:r>
        <w:t xml:space="preserve">foreign currency settlement, and also in terms of risk diversification. This contributes</w:t>
      </w:r>
      <w:r>
        <w:t xml:space="preserve"> </w:t>
      </w:r>
      <w:r>
        <w:t xml:space="preserve">to enhanced EU capital markets through increased cross border provision of services.</w:t>
      </w:r>
      <w:r>
        <w:t xml:space="preserve"> </w:t>
      </w:r>
      <w:r>
        <w:t xml:space="preserve"> NCAs/supervisory authorities: Increase of potential financial stability risks for both</w:t>
      </w:r>
      <w:r>
        <w:t xml:space="preserve"> </w:t>
      </w:r>
      <w:r>
        <w:t xml:space="preserve">options, requiring more intensive and costly monitoring by supervisory authorities.</w:t>
      </w:r>
      <w:r>
        <w:br/>
      </w:r>
      <w:r>
        <w:t xml:space="preserve"> Banks/competition vs other CSDs: potential for unlevel playing field against banks</w:t>
      </w:r>
      <w:r>
        <w:t xml:space="preserve"> </w:t>
      </w:r>
      <w:r>
        <w:t xml:space="preserve">since ancillary services will move into CSDs where the settlement takes place.</w:t>
      </w:r>
    </w:p>
    <w:p>
      <w:pPr>
        <w:pStyle w:val="BodyText"/>
      </w:pPr>
      <w:r>
        <w:t xml:space="preserve">442 Commission estimates based on confidential data provided to DG FISMA services.</w:t>
      </w:r>
    </w:p>
    <w:p>
      <w:pPr>
        <w:pStyle w:val="BodyText"/>
      </w:pPr>
      <w:r>
        <w:t xml:space="preserve">3.2. Option 3: Amend the thresholds under which CSDs can use a commercial bank</w:t>
      </w:r>
      <w:r>
        <w:t xml:space="preserve"> </w:t>
      </w:r>
      <w:r>
        <w:t xml:space="preserve">for banking-type ancillary services.</w:t>
      </w:r>
      <w:r>
        <w:t xml:space="preserve"> </w:t>
      </w:r>
      <w:r>
        <w:t xml:space="preserve">Cost-benefit analysis</w:t>
      </w:r>
      <w:r>
        <w:br/>
      </w:r>
      <w:r>
        <w:t xml:space="preserve">Option 3 leaves the structure of CSDR intact (and for example CSDs risk management</w:t>
      </w:r>
      <w:r>
        <w:t xml:space="preserve"> </w:t>
      </w:r>
      <w:r>
        <w:t xml:space="preserve">policies can for a large part remain in place and as such, the risks to financial stability</w:t>
      </w:r>
      <w:r>
        <w:t xml:space="preserve"> </w:t>
      </w:r>
      <w:r>
        <w:t xml:space="preserve">should be minimal; credit and liquidity risks will remain limited and possibly mitigated</w:t>
      </w:r>
      <w:r>
        <w:t xml:space="preserve"> </w:t>
      </w:r>
      <w:r>
        <w:t xml:space="preserve">by accommodating risk mitigating conditions. Although, there would be a potential</w:t>
      </w:r>
      <w:r>
        <w:t xml:space="preserve"> </w:t>
      </w:r>
      <w:r>
        <w:t xml:space="preserve">increase in exposures to credit institutions, that could be mitigated by limiting the</w:t>
      </w:r>
      <w:r>
        <w:t xml:space="preserve"> </w:t>
      </w:r>
      <w:r>
        <w:t xml:space="preserve">increase of the threshold. The calibration of the level of the thresholds could prove</w:t>
      </w:r>
      <w:r>
        <w:t xml:space="preserve"> </w:t>
      </w:r>
      <w:r>
        <w:t xml:space="preserve">challenging however as only limited qualitative information is available. Broadly</w:t>
      </w:r>
      <w:r>
        <w:t xml:space="preserve"> </w:t>
      </w:r>
      <w:r>
        <w:t xml:space="preserve">speaking an increase of the threshold to 5% would be sufficient to cater for expected</w:t>
      </w:r>
      <w:r>
        <w:t xml:space="preserve"> </w:t>
      </w:r>
      <w:r>
        <w:t xml:space="preserve">foreign currency settlement over a time horizon of the next years, although one CSD</w:t>
      </w:r>
      <w:r>
        <w:t xml:space="preserve"> </w:t>
      </w:r>
      <w:r>
        <w:t xml:space="preserve">would see a raise to 10% desirable.443 In addition to amending the threshold,</w:t>
      </w:r>
      <w:r>
        <w:t xml:space="preserve"> </w:t>
      </w:r>
      <w:r>
        <w:t xml:space="preserve">accompanying risk requirements may be set, such as minimum risk mitigation standards</w:t>
      </w:r>
      <w:r>
        <w:t xml:space="preserve"> </w:t>
      </w:r>
      <w:r>
        <w:t xml:space="preserve">(e.g. creditworthiness, concentration limits) or ongoing monitoring by supervisors. These</w:t>
      </w:r>
      <w:r>
        <w:t xml:space="preserve"> </w:t>
      </w:r>
      <w:r>
        <w:t xml:space="preserve">could be set via level 1 or level 2 legislation, which would provide different degrees of</w:t>
      </w:r>
      <w:r>
        <w:t xml:space="preserve"> </w:t>
      </w:r>
      <w:r>
        <w:t xml:space="preserve">flexibility; level 2 could make the threshold more sustainable, flexible and adaptable as</w:t>
      </w:r>
      <w:r>
        <w:t xml:space="preserve"> </w:t>
      </w:r>
      <w:r>
        <w:t xml:space="preserve">new increased thresholds could be quickly reached.</w:t>
      </w:r>
      <w:r>
        <w:br/>
      </w:r>
      <w:r>
        <w:t xml:space="preserve">In terms of specific stakeholders, the effects are estimated to be the following:</w:t>
      </w:r>
      <w:r>
        <w:t xml:space="preserve"> </w:t>
      </w:r>
      <w:r>
        <w:t xml:space="preserve"> CSDs: Increasing the threshold could enable at least some CSDs to develop their</w:t>
      </w:r>
      <w:r>
        <w:t xml:space="preserve"> </w:t>
      </w:r>
      <w:r>
        <w:t xml:space="preserve">services to investors both domestically and cross-border and thus obtain appropriate</w:t>
      </w:r>
      <w:r>
        <w:t xml:space="preserve"> </w:t>
      </w:r>
      <w:r>
        <w:t xml:space="preserve">economies of scale to cover authorisation costs to provide banking services</w:t>
      </w:r>
      <w:r>
        <w:t xml:space="preserve"> </w:t>
      </w:r>
      <w:r>
        <w:t xml:space="preserve">themselves.</w:t>
      </w:r>
      <w:r>
        <w:br/>
      </w:r>
      <w:r>
        <w:t xml:space="preserve">From available confidential information from stakeholders, 5 non-banking CSDs</w:t>
      </w:r>
      <w:r>
        <w:t xml:space="preserve"> </w:t>
      </w:r>
      <w:r>
        <w:t xml:space="preserve">indicate that, if thresholds are amended, in total, EUR 16 billion additional settlement</w:t>
      </w:r>
      <w:r>
        <w:t xml:space="preserve"> </w:t>
      </w:r>
      <w:r>
        <w:t xml:space="preserve">in foreign currencies is expected on an annual basis444 and if we extrapolate that</w:t>
      </w:r>
      <w:r>
        <w:t xml:space="preserve"> </w:t>
      </w:r>
      <w:r>
        <w:t xml:space="preserve">number to the total number of EEA non-banking CSDs (ca. 25) we arrive at an</w:t>
      </w:r>
      <w:r>
        <w:t xml:space="preserve"> </w:t>
      </w:r>
      <w:r>
        <w:t xml:space="preserve">additional annual possible offering of at least EUR 80 billion of settlement in foreign</w:t>
      </w:r>
      <w:r>
        <w:t xml:space="preserve"> </w:t>
      </w:r>
      <w:r>
        <w:t xml:space="preserve">currencies, without taking into account if this additional settlement would affect</w:t>
      </w:r>
      <w:r>
        <w:t xml:space="preserve"> </w:t>
      </w:r>
      <w:r>
        <w:t xml:space="preserve">existing settlement in foreign currencies undertaken by CSDs already authorised to</w:t>
      </w:r>
      <w:r>
        <w:t xml:space="preserve"> </w:t>
      </w:r>
      <w:r>
        <w:t xml:space="preserve">provide ancillary banking services. The additional offering of settlement in foreign</w:t>
      </w:r>
      <w:r>
        <w:t xml:space="preserve"> </w:t>
      </w:r>
      <w:r>
        <w:t xml:space="preserve">currencies would tap in the identified demand, mostly in the area of bonds where a</w:t>
      </w:r>
      <w:r>
        <w:t xml:space="preserve"> </w:t>
      </w:r>
      <w:r>
        <w:t xml:space="preserve">lack of offering is holding back multi-currency bond issuance.445 Increased</w:t>
      </w:r>
      <w:r>
        <w:t xml:space="preserve"> </w:t>
      </w:r>
      <w:r>
        <w:t xml:space="preserve">competition between CSDs would benefit investors in terms of pricing, possibly</w:t>
      </w:r>
      <w:r>
        <w:t xml:space="preserve"> </w:t>
      </w:r>
      <w:r>
        <w:t xml:space="preserve">contributing to further enhancing demand.</w:t>
      </w:r>
      <w:r>
        <w:t xml:space="preserve"> </w:t>
      </w:r>
      <w:r>
        <w:t xml:space="preserve">An unlikely negative effect could be the possible contagion effects on settlements</w:t>
      </w:r>
      <w:r>
        <w:t xml:space="preserve"> </w:t>
      </w:r>
      <w:r>
        <w:t xml:space="preserve">through defaults of settlement agents in foreign currencies.446 One-off costs</w:t>
      </w:r>
    </w:p>
    <w:p>
      <w:pPr>
        <w:pStyle w:val="BodyText"/>
      </w:pPr>
      <w:r>
        <w:t xml:space="preserve">443 ESCB input based on the anonymised and consolidated outcome of a survey conducted among CSDs</w:t>
      </w:r>
      <w:r>
        <w:t xml:space="preserve"> </w:t>
      </w:r>
      <w:r>
        <w:t xml:space="preserve">provided by the ESCB.</w:t>
      </w:r>
      <w:r>
        <w:t xml:space="preserve"> </w:t>
      </w:r>
      <w:r>
        <w:t xml:space="preserve">444 Current total absolute value of settlement of the CSDs and applied the growth percentages mentioned by</w:t>
      </w:r>
      <w:r>
        <w:t xml:space="preserve"> </w:t>
      </w:r>
      <w:r>
        <w:t xml:space="preserve">the CSDs themselves. This gives an anticipated total of settlement in foreign currencies (settlement +</w:t>
      </w:r>
      <w:r>
        <w:t xml:space="preserve"> </w:t>
      </w:r>
      <w:r>
        <w:t xml:space="preserve">corporate actions). The current absolute values in foreign currencies are then subtracted, which gives the</w:t>
      </w:r>
      <w:r>
        <w:t xml:space="preserve"> </w:t>
      </w:r>
      <w:r>
        <w:t xml:space="preserve">anticipated total net gain from the proposed CSDR changes.</w:t>
      </w:r>
      <w:r>
        <w:t xml:space="preserve"> </w:t>
      </w:r>
      <w:r>
        <w:t xml:space="preserve">445 European Post-Trade Forum Report, 15 May 2017, p. 117; https://ec.europa.eu/info/publications/170515-</w:t>
      </w:r>
      <w:r>
        <w:t xml:space="preserve"> </w:t>
      </w:r>
      <w:r>
        <w:t xml:space="preserve">eptf-report_en</w:t>
      </w:r>
      <w:r>
        <w:t xml:space="preserve"> </w:t>
      </w:r>
      <w:r>
        <w:t xml:space="preserve">446 Based on confidential information provided to DG FISMA services.</w:t>
      </w:r>
    </w:p>
    <w:p>
      <w:pPr>
        <w:pStyle w:val="BodyText"/>
      </w:pPr>
      <w:r>
        <w:t xml:space="preserve">(authorisations or setting up the operational capacity) could be covered by longer</w:t>
      </w:r>
      <w:r>
        <w:t xml:space="preserve"> </w:t>
      </w:r>
      <w:r>
        <w:t xml:space="preserve">term providing of the service.</w:t>
      </w:r>
      <w:r>
        <w:t xml:space="preserve"> </w:t>
      </w:r>
      <w:r>
        <w:t xml:space="preserve"> Investors: Investors will benefit from the increased competition, a greater choice in</w:t>
      </w:r>
      <w:r>
        <w:t xml:space="preserve"> </w:t>
      </w:r>
      <w:r>
        <w:t xml:space="preserve">issuance and currency diversification in their cross-border investments.</w:t>
      </w:r>
      <w:r>
        <w:br/>
      </w:r>
      <w:r>
        <w:t xml:space="preserve"> Issuers: Issuers will have more choice in terms of financing arrangements and will be</w:t>
      </w:r>
      <w:r>
        <w:t xml:space="preserve"> </w:t>
      </w:r>
      <w:r>
        <w:t xml:space="preserve">able to offer a broader range of products, mainly in the area of foreign currency</w:t>
      </w:r>
      <w:r>
        <w:t xml:space="preserve"> </w:t>
      </w:r>
      <w:r>
        <w:t xml:space="preserve">settlement.</w:t>
      </w:r>
      <w:r>
        <w:t xml:space="preserve"> </w:t>
      </w:r>
      <w:r>
        <w:t xml:space="preserve"> NCAs/supervisory authorities: Depending on the increase of the threshold and</w:t>
      </w:r>
      <w:r>
        <w:t xml:space="preserve"> </w:t>
      </w:r>
      <w:r>
        <w:t xml:space="preserve">consequent financial stability risks, limited additional supervisory activity would be</w:t>
      </w:r>
      <w:r>
        <w:t xml:space="preserve"> </w:t>
      </w:r>
      <w:r>
        <w:t xml:space="preserve">needed to monitor ongoing risks, such as credit and liquidity risks. As supervisory</w:t>
      </w:r>
      <w:r>
        <w:t xml:space="preserve"> </w:t>
      </w:r>
      <w:r>
        <w:t xml:space="preserve">arrangements will remain the same, this will likely be more in terms of intensity and</w:t>
      </w:r>
      <w:r>
        <w:t xml:space="preserve"> </w:t>
      </w:r>
      <w:r>
        <w:t xml:space="preserve">not scope of the supervision or costs.</w:t>
      </w:r>
      <w:r>
        <w:br/>
      </w:r>
      <w:r>
        <w:t xml:space="preserve"> ESMA: No substantial impact. Depending on how the requirements were to be</w:t>
      </w:r>
      <w:r>
        <w:t xml:space="preserve"> </w:t>
      </w:r>
      <w:r>
        <w:t xml:space="preserve">introduced, ESMA may have to develop new regulatory technical standards, possibly</w:t>
      </w:r>
      <w:r>
        <w:t xml:space="preserve"> </w:t>
      </w:r>
      <w:r>
        <w:t xml:space="preserve">in cooperation with EBA and /or ECB or take further action.</w:t>
      </w:r>
      <w:r>
        <w:t xml:space="preserve"> </w:t>
      </w:r>
      <w:r>
        <w:t xml:space="preserve">3.3. Option 4: Combine amending the thresholds (option 2(b)) with allowing</w:t>
      </w:r>
      <w:r>
        <w:t xml:space="preserve"> </w:t>
      </w:r>
      <w:r>
        <w:t xml:space="preserve">banking CSDs to offer banking-type ancillary services.</w:t>
      </w:r>
      <w:r>
        <w:t xml:space="preserve"> </w:t>
      </w:r>
      <w:r>
        <w:t xml:space="preserve">Cost-benefit analysis</w:t>
      </w:r>
      <w:r>
        <w:br/>
      </w:r>
      <w:r>
        <w:t xml:space="preserve">When combining the options 2(b) and 3 into option 4 the costs and benefits of the</w:t>
      </w:r>
      <w:r>
        <w:t xml:space="preserve"> </w:t>
      </w:r>
      <w:r>
        <w:t xml:space="preserve">respective options remain in place. However, one additional benefit would emerge.</w:t>
      </w:r>
      <w:r>
        <w:t xml:space="preserve"> </w:t>
      </w:r>
      <w:r>
        <w:t xml:space="preserve">While raising the threshold for banking services to increase the notional amounts</w:t>
      </w:r>
      <w:r>
        <w:t xml:space="preserve"> </w:t>
      </w:r>
      <w:r>
        <w:t xml:space="preserve">available for banking services (including foreign currency settlement) in EU settlement</w:t>
      </w:r>
      <w:r>
        <w:t xml:space="preserve"> </w:t>
      </w:r>
      <w:r>
        <w:t xml:space="preserve">markets, the inclusion of banking CSDs into the potential providers of these services</w:t>
      </w:r>
      <w:r>
        <w:t xml:space="preserve"> </w:t>
      </w:r>
      <w:r>
        <w:t xml:space="preserve">would increase potential notional amounts available for foreign currency settlement even</w:t>
      </w:r>
      <w:r>
        <w:t xml:space="preserve"> </w:t>
      </w:r>
      <w:r>
        <w:t xml:space="preserve">further through broadening of the range of providers.</w:t>
      </w:r>
      <w:r>
        <w:t xml:space="preserve"> </w:t>
      </w:r>
      <w:r>
        <w:t xml:space="preserve">This would further enhance the impact on the CMU as this could positively impact</w:t>
      </w:r>
      <w:r>
        <w:t xml:space="preserve"> </w:t>
      </w:r>
      <w:r>
        <w:t xml:space="preserve">capital markets and financing across borders and with other currency areas.</w:t>
      </w:r>
      <w:r>
        <w:t xml:space="preserve"> </w:t>
      </w:r>
      <w:r>
        <w:t xml:space="preserve">In terms of specific stakeholders, the effects are estimated to be the following, relative to</w:t>
      </w:r>
      <w:r>
        <w:t xml:space="preserve"> </w:t>
      </w:r>
      <w:r>
        <w:t xml:space="preserve">the options 2 and 3:</w:t>
      </w:r>
      <w:r>
        <w:t xml:space="preserve"> </w:t>
      </w:r>
      <w:r>
        <w:t xml:space="preserve"> CSDs: Increased availability of banking services, including foreign currency services</w:t>
      </w:r>
      <w:r>
        <w:t xml:space="preserve"> </w:t>
      </w:r>
      <w:r>
        <w:t xml:space="preserve">due to combined increase of availability of for example foreign currency settlement</w:t>
      </w:r>
      <w:r>
        <w:t xml:space="preserve"> </w:t>
      </w:r>
      <w:r>
        <w:t xml:space="preserve">and broadening of the provider base.</w:t>
      </w:r>
      <w:r>
        <w:br/>
      </w:r>
      <w:r>
        <w:t xml:space="preserve"> Investors: Investors will benefit from the further increased competition, a greater</w:t>
      </w:r>
      <w:r>
        <w:t xml:space="preserve"> </w:t>
      </w:r>
      <w:r>
        <w:t xml:space="preserve">choice in issuance and currency diversification in their cross-border investments.</w:t>
      </w:r>
      <w:r>
        <w:br/>
      </w:r>
      <w:r>
        <w:t xml:space="preserve"> Issuers: Issuers will have more choice in terms of financing arrangements and will be</w:t>
      </w:r>
      <w:r>
        <w:t xml:space="preserve"> </w:t>
      </w:r>
      <w:r>
        <w:t xml:space="preserve">able to offer a broader range of products, mainly in the area of foreign currency</w:t>
      </w:r>
      <w:r>
        <w:t xml:space="preserve"> </w:t>
      </w:r>
      <w:r>
        <w:t xml:space="preserve">settlement.</w:t>
      </w:r>
      <w:r>
        <w:t xml:space="preserve"> </w:t>
      </w:r>
      <w:r>
        <w:t xml:space="preserve"> NCAs/supervisory authorities: -</w:t>
      </w:r>
      <w:r>
        <w:br/>
      </w:r>
      <w:r>
        <w:t xml:space="preserve"> ESMA: No impact.</w:t>
      </w:r>
    </w:p>
    <w:p>
      <w:pPr>
        <w:pStyle w:val="Compact"/>
        <w:numPr>
          <w:ilvl w:val="0"/>
          <w:numId w:val="1006"/>
        </w:numPr>
      </w:pPr>
      <w:r>
        <w:t xml:space="preserve">IMPACT OF THE POLICY OPTIONS REGARDING SETTLEMENT DISCIPLINE</w:t>
      </w:r>
      <w:r>
        <w:t xml:space="preserve"> </w:t>
      </w:r>
      <w:r>
        <w:t xml:space="preserve">The objective of this option is to minimise the burden and compliance costs of the</w:t>
      </w:r>
      <w:r>
        <w:t xml:space="preserve"> </w:t>
      </w:r>
      <w:r>
        <w:t xml:space="preserve">settlement discipline regime, avoid negative impacts on EU capital markets, while</w:t>
      </w:r>
      <w:r>
        <w:t xml:space="preserve"> </w:t>
      </w:r>
      <w:r>
        <w:t xml:space="preserve">ensuring a high degree of settlement efficiency.</w:t>
      </w:r>
      <w:r>
        <w:t xml:space="preserve"> </w:t>
      </w:r>
      <w:r>
        <w:t xml:space="preserve">4.1. Option 2 – Introduce targeted amendments for cash penalties and mandatory</w:t>
      </w:r>
      <w:r>
        <w:t xml:space="preserve"> </w:t>
      </w:r>
      <w:r>
        <w:t xml:space="preserve">buy-ins</w:t>
      </w:r>
      <w:r>
        <w:br/>
      </w:r>
      <w:r>
        <w:t xml:space="preserve">Cost-benefit analysis</w:t>
      </w:r>
      <w:r>
        <w:br/>
      </w:r>
      <w:r>
        <w:t xml:space="preserve"> CSDs/CCPs: CSDs would benefit from the introduction of a single process for the</w:t>
      </w:r>
      <w:r>
        <w:t xml:space="preserve"> </w:t>
      </w:r>
      <w:r>
        <w:t xml:space="preserve">treatment of penalties as well as clarifications with regards to in-scope transactions. A</w:t>
      </w:r>
      <w:r>
        <w:t xml:space="preserve"> </w:t>
      </w:r>
      <w:r>
        <w:t xml:space="preserve">duplicative operational process could create new cross-border risks.</w:t>
      </w:r>
      <w:r>
        <w:br/>
      </w:r>
      <w:r>
        <w:t xml:space="preserve"> Investors: Benefits from amendments to the pass-on mechanism would be permanent,</w:t>
      </w:r>
      <w:r>
        <w:t xml:space="preserve"> </w:t>
      </w:r>
      <w:r>
        <w:t xml:space="preserve">as they would reduce the number of buy-ins required to remedy settlement fails. It</w:t>
      </w:r>
      <w:r>
        <w:t xml:space="preserve"> </w:t>
      </w:r>
      <w:r>
        <w:t xml:space="preserve">would also create greater flexibility and increases the possibility that the buy-in can</w:t>
      </w:r>
      <w:r>
        <w:t xml:space="preserve"> </w:t>
      </w:r>
      <w:r>
        <w:t xml:space="preserve">be actioned. According to one estimate the introduction of a pass-on mechanism</w:t>
      </w:r>
      <w:r>
        <w:t xml:space="preserve"> </w:t>
      </w:r>
      <w:r>
        <w:t xml:space="preserve">would reduce costs by 37.5%447. Furthermore, market participants will benefit from a</w:t>
      </w:r>
      <w:r>
        <w:t xml:space="preserve"> </w:t>
      </w:r>
      <w:r>
        <w:t xml:space="preserve">clear identification of in-scope transactions reducing the number of transactions that</w:t>
      </w:r>
      <w:r>
        <w:t xml:space="preserve"> </w:t>
      </w:r>
      <w:r>
        <w:t xml:space="preserve">cannot be resolved (i.e. transactions outside the participants or primary market</w:t>
      </w:r>
      <w:r>
        <w:t xml:space="preserve"> </w:t>
      </w:r>
      <w:r>
        <w:t xml:space="preserve">transactions for Exchange Traded Funds).</w:t>
      </w:r>
      <w:r>
        <w:br/>
      </w:r>
      <w:r>
        <w:t xml:space="preserve">Sunk cost related to the setting up of a buy-in agent offering, although only one</w:t>
      </w:r>
      <w:r>
        <w:t xml:space="preserve"> </w:t>
      </w:r>
      <w:r>
        <w:t xml:space="preserve">service provided has emerged so far. The total costs include setting up the</w:t>
      </w:r>
      <w:r>
        <w:t xml:space="preserve"> </w:t>
      </w:r>
      <w:r>
        <w:t xml:space="preserve">infrastructure and personnel costs.</w:t>
      </w:r>
      <w:r>
        <w:t xml:space="preserve"> </w:t>
      </w:r>
      <w:r>
        <w:t xml:space="preserve">To comply with the buy-in requirements, with IT, HR and consulting costs, it is</w:t>
      </w:r>
      <w:r>
        <w:t xml:space="preserve"> </w:t>
      </w:r>
      <w:r>
        <w:t xml:space="preserve">estimated that the average cost per market participant to set up a connection to a buy-</w:t>
      </w:r>
      <w:r>
        <w:t xml:space="preserve"> </w:t>
      </w:r>
      <w:r>
        <w:t xml:space="preserve">in agent would be around EUR 1 million over 4 years, amounting to EUR 1.5 billion</w:t>
      </w:r>
      <w:r>
        <w:t xml:space="preserve"> </w:t>
      </w:r>
      <w:r>
        <w:t xml:space="preserve">for all in-scope market participants in the EU448. Although Option 2 will offer savings</w:t>
      </w:r>
      <w:r>
        <w:t xml:space="preserve"> </w:t>
      </w:r>
      <w:r>
        <w:t xml:space="preserve">to market participants as it will allow for alternative solutions, it is likely that some</w:t>
      </w:r>
      <w:r>
        <w:t xml:space="preserve"> </w:t>
      </w:r>
      <w:r>
        <w:t xml:space="preserve">market participants will still choose to have access to a buy-in agent and will incur</w:t>
      </w:r>
      <w:r>
        <w:t xml:space="preserve"> </w:t>
      </w:r>
      <w:r>
        <w:t xml:space="preserve">the additional costs. This would be a one-off cost.</w:t>
      </w:r>
      <w:r>
        <w:br/>
      </w:r>
      <w:r>
        <w:t xml:space="preserve"> Issuers: Issuers will in particular benefit from the removal of certain corporate</w:t>
      </w:r>
      <w:r>
        <w:t xml:space="preserve"> </w:t>
      </w:r>
      <w:r>
        <w:t xml:space="preserve">actions on stock (e.g. initial creation transactions and redemptions) or primary market</w:t>
      </w:r>
      <w:r>
        <w:t xml:space="preserve"> </w:t>
      </w:r>
      <w:r>
        <w:t xml:space="preserve">operations449 from the scope of the settlement discipline regime. These changes</w:t>
      </w:r>
      <w:r>
        <w:t xml:space="preserve"> </w:t>
      </w:r>
      <w:r>
        <w:t xml:space="preserve">would permanently reduce the compliance burden on market participants by</w:t>
      </w:r>
      <w:r>
        <w:t xml:space="preserve"> </w:t>
      </w:r>
      <w:r>
        <w:t xml:space="preserve">removing transactions that do not form part of market turnover.</w:t>
      </w:r>
      <w:r>
        <w:t xml:space="preserve"> </w:t>
      </w:r>
      <w:r>
        <w:t xml:space="preserve"> NCAs/ ESMA: Amendments to the pass-on mechanism would be beneficial as fewer</w:t>
      </w:r>
      <w:r>
        <w:t xml:space="preserve"> </w:t>
      </w:r>
      <w:r>
        <w:t xml:space="preserve">buy-ins would contribute to market stability. A clear determination of in-scope</w:t>
      </w:r>
      <w:r>
        <w:t xml:space="preserve"> </w:t>
      </w:r>
      <w:r>
        <w:t xml:space="preserve">transactions would also lessen the administrative burden on ESMA related to replying</w:t>
      </w:r>
      <w:r>
        <w:t xml:space="preserve"> </w:t>
      </w:r>
      <w:r>
        <w:t xml:space="preserve">to Q&amp;A’s. Nevertheless, such modifications are also likely to require a revision of the</w:t>
      </w:r>
      <w:r>
        <w:t xml:space="preserve"> </w:t>
      </w:r>
      <w:r>
        <w:t xml:space="preserve">corresponding level 2 standards relating to settlement discipline by ESMA.</w:t>
      </w:r>
      <w:r>
        <w:t xml:space="preserve"> </w:t>
      </w:r>
      <w:r>
        <w:t xml:space="preserve">4.2. Option 3 – Introduce a two-step approach</w:t>
      </w:r>
      <w:r>
        <w:t xml:space="preserve"> </w:t>
      </w:r>
      <w:r>
        <w:t xml:space="preserve">Cost-benefit analysis</w:t>
      </w:r>
    </w:p>
    <w:p>
      <w:pPr>
        <w:pStyle w:val="FirstParagraph"/>
      </w:pPr>
      <w:r>
        <w:t xml:space="preserve">447 For explanation and calculation of costs savings see J.P. Morgan public consultation reply, Q. 34.1</w:t>
      </w:r>
      <w:r>
        <w:t xml:space="preserve"> </w:t>
      </w:r>
      <w:r>
        <w:t xml:space="preserve">448 Based on confidential information provided to DG FISMA services.</w:t>
      </w:r>
      <w:r>
        <w:br/>
      </w:r>
      <w:r>
        <w:t xml:space="preserve">449 Meaning the process of initial creation of securities, whereby the securities are created, but they are not yet</w:t>
      </w:r>
      <w:r>
        <w:t xml:space="preserve"> </w:t>
      </w:r>
      <w:r>
        <w:t xml:space="preserve">been subscribed for, so no capital has been raised. See AFME reply to CSDR public consultation, p.32</w:t>
      </w:r>
    </w:p>
    <w:p>
      <w:pPr>
        <w:pStyle w:val="BodyText"/>
      </w:pPr>
      <w:r>
        <w:t xml:space="preserve"> CSDs: CSDs affected directly by the suspension of the buy-in framework, although</w:t>
      </w:r>
      <w:r>
        <w:t xml:space="preserve"> </w:t>
      </w:r>
      <w:r>
        <w:t xml:space="preserve">there may be some sunk costs. Costs associated with the implementation of the</w:t>
      </w:r>
      <w:r>
        <w:t xml:space="preserve"> </w:t>
      </w:r>
      <w:r>
        <w:t xml:space="preserve">penalty regime, although it is broadly prepared throughout the infrastructure. Likely</w:t>
      </w:r>
      <w:r>
        <w:t xml:space="preserve"> </w:t>
      </w:r>
      <w:r>
        <w:t xml:space="preserve">higher reporting requirements as CSDs will need to provide accurate data as to the</w:t>
      </w:r>
      <w:r>
        <w:t xml:space="preserve"> </w:t>
      </w:r>
      <w:r>
        <w:t xml:space="preserve">evolution of settlement efficiency to inform ESMA/ EC decision about the need to</w:t>
      </w:r>
      <w:r>
        <w:t xml:space="preserve"> </w:t>
      </w:r>
      <w:r>
        <w:t xml:space="preserve">implement a mandatory buy-in. The costs associated with increased reporting</w:t>
      </w:r>
      <w:r>
        <w:t xml:space="preserve"> </w:t>
      </w:r>
      <w:r>
        <w:t xml:space="preserve">requirements should not be significant as CSDs already report settlement efficiency</w:t>
      </w:r>
      <w:r>
        <w:t xml:space="preserve"> </w:t>
      </w:r>
      <w:r>
        <w:t xml:space="preserve">rates regularly to ESMA.</w:t>
      </w:r>
      <w:r>
        <w:t xml:space="preserve"> </w:t>
      </w:r>
      <w:r>
        <w:t xml:space="preserve"> Investors: One-off costs to prepare the introduction of cash penalties, related to</w:t>
      </w:r>
      <w:r>
        <w:t xml:space="preserve"> </w:t>
      </w:r>
      <w:r>
        <w:t xml:space="preserve">capacity improvements in terms of IT systems and staffing in the affected enterprises.</w:t>
      </w:r>
      <w:r>
        <w:t xml:space="preserve"> </w:t>
      </w:r>
      <w:r>
        <w:t xml:space="preserve">However, the implementation of the penalty regime is already broadly prepared</w:t>
      </w:r>
      <w:r>
        <w:t xml:space="preserve"> </w:t>
      </w:r>
      <w:r>
        <w:t xml:space="preserve">throughout the infrastructure and concerns about the effects are modest compared to</w:t>
      </w:r>
      <w:r>
        <w:t xml:space="preserve"> </w:t>
      </w:r>
      <w:r>
        <w:t xml:space="preserve">the disadvantages of combining the penalty regime with mandatory buy-in450. Cash</w:t>
      </w:r>
      <w:r>
        <w:t xml:space="preserve"> </w:t>
      </w:r>
      <w:r>
        <w:t xml:space="preserve">penalties will cover all unresolved trades irrespective of size. Hence the capacity</w:t>
      </w:r>
      <w:r>
        <w:t xml:space="preserve"> </w:t>
      </w:r>
      <w:r>
        <w:t xml:space="preserve">improvements they will trigger will benefit both professional and retail investors.</w:t>
      </w:r>
      <w:r>
        <w:t xml:space="preserve"> </w:t>
      </w:r>
      <w:r>
        <w:t xml:space="preserve">These incentives will be reinforced by the fact that mandatory buy-ins are suspended,</w:t>
      </w:r>
      <w:r>
        <w:t xml:space="preserve"> </w:t>
      </w:r>
      <w:r>
        <w:t xml:space="preserve">not cancelled, so post-trade processing of smaller transactions carried out by retail</w:t>
      </w:r>
      <w:r>
        <w:t xml:space="preserve"> </w:t>
      </w:r>
      <w:r>
        <w:t xml:space="preserve">investors will also improve. Deferred, one-off, repapering costs for market</w:t>
      </w:r>
      <w:r>
        <w:t xml:space="preserve"> </w:t>
      </w:r>
      <w:r>
        <w:t xml:space="preserve">participants upon the potential introduction of mandatory buy-ins. Costs of potential</w:t>
      </w:r>
      <w:r>
        <w:t xml:space="preserve"> </w:t>
      </w:r>
      <w:r>
        <w:t xml:space="preserve">duplicative repapering (i.e. repapering related to entry into force of the buy-in regime</w:t>
      </w:r>
      <w:r>
        <w:t xml:space="preserve"> </w:t>
      </w:r>
      <w:r>
        <w:t xml:space="preserve">as from February 2022 and potential additional repapering due to potential</w:t>
      </w:r>
      <w:r>
        <w:t xml:space="preserve"> </w:t>
      </w:r>
      <w:r>
        <w:t xml:space="preserve">clarifications introduced under Option 2) would be avoided.</w:t>
      </w:r>
      <w:r>
        <w:br/>
      </w:r>
      <w:r>
        <w:t xml:space="preserve">The major negative impacts in terms of liquidity and market stability caused by</w:t>
      </w:r>
      <w:r>
        <w:t xml:space="preserve"> </w:t>
      </w:r>
      <w:r>
        <w:t xml:space="preserve">mandatory buy-ins would be, at least temporarily, avoided. Cost of settlement fail in</w:t>
      </w:r>
      <w:r>
        <w:t xml:space="preserve"> </w:t>
      </w:r>
      <w:r>
        <w:t xml:space="preserve">the form of penalties on the failing party, which is currently avoided as the settlement</w:t>
      </w:r>
      <w:r>
        <w:t xml:space="preserve"> </w:t>
      </w:r>
      <w:r>
        <w:t xml:space="preserve">discipline regime is not yet implemented.</w:t>
      </w:r>
      <w:r>
        <w:br/>
      </w:r>
      <w:r>
        <w:t xml:space="preserve">The proposed two-step approach would result in deferred cost related to the setting up</w:t>
      </w:r>
      <w:r>
        <w:t xml:space="preserve"> </w:t>
      </w:r>
      <w:r>
        <w:t xml:space="preserve">of a buy-in agent service451. In addition the average cost per market participant to set</w:t>
      </w:r>
      <w:r>
        <w:t xml:space="preserve"> </w:t>
      </w:r>
      <w:r>
        <w:t xml:space="preserve">up a connection to a buy-in agent would be around EUR 1 million, as described in</w:t>
      </w:r>
      <w:r>
        <w:t xml:space="preserve"> </w:t>
      </w:r>
      <w:r>
        <w:t xml:space="preserve">Option 2. Depending on the potential targeted changes to be made to the buy-in</w:t>
      </w:r>
      <w:r>
        <w:t xml:space="preserve"> </w:t>
      </w:r>
      <w:r>
        <w:t xml:space="preserve">regime, such costs savings could either be temporary (i.e. until the buy-in regime</w:t>
      </w:r>
      <w:r>
        <w:t xml:space="preserve"> </w:t>
      </w:r>
      <w:r>
        <w:t xml:space="preserve">enters into force) or permanent (e.g. if the changes allow for a simplified approach</w:t>
      </w:r>
      <w:r>
        <w:t xml:space="preserve"> </w:t>
      </w:r>
      <w:r>
        <w:t xml:space="preserve">regarding the requirements related to buy-in agents).</w:t>
      </w:r>
      <w:r>
        <w:t xml:space="preserve"> </w:t>
      </w:r>
      <w:r>
        <w:t xml:space="preserve"> Issuers: The benefits will be limited to certain primary market transactions and</w:t>
      </w:r>
      <w:r>
        <w:t xml:space="preserve"> </w:t>
      </w:r>
      <w:r>
        <w:t xml:space="preserve">accrue only as long as mandatory buy-ins are deferred.</w:t>
      </w:r>
      <w:r>
        <w:br/>
      </w:r>
      <w:r>
        <w:t xml:space="preserve"> NCAs and ESMA: Ongoing monitoring cost for settlement efficiency rates in national</w:t>
      </w:r>
      <w:r>
        <w:t xml:space="preserve"> </w:t>
      </w:r>
      <w:r>
        <w:t xml:space="preserve">markets (NCAs) and EU (ESMA) as well as ongoing costs related to defining the</w:t>
      </w:r>
      <w:r>
        <w:t xml:space="preserve"> </w:t>
      </w:r>
      <w:r>
        <w:t xml:space="preserve">appropriate terms or scope in terms of type of instrument or transaction size for the</w:t>
      </w:r>
      <w:r>
        <w:t xml:space="preserve"> </w:t>
      </w:r>
      <w:r>
        <w:t xml:space="preserve">potential introduction of a mandatory buy-in.</w:t>
      </w:r>
      <w:r>
        <w:br/>
      </w:r>
      <w:r>
        <w:t xml:space="preserve">4.3. Option 4 – Introduce voluntary buy-ins</w:t>
      </w:r>
      <w:r>
        <w:t xml:space="preserve"> </w:t>
      </w:r>
      <w:r>
        <w:t xml:space="preserve">Cost-benefit analysis</w:t>
      </w:r>
      <w:r>
        <w:br/>
      </w:r>
      <w:r>
        <w:t xml:space="preserve"> CSDs: CSDs likely not affected, although ongoing reporting costs may increase</w:t>
      </w:r>
      <w:r>
        <w:t xml:space="preserve"> </w:t>
      </w:r>
      <w:r>
        <w:t xml:space="preserve">as companies report buy-in irregularly. Sunk costs related to the setting up of a</w:t>
      </w:r>
    </w:p>
    <w:p>
      <w:pPr>
        <w:pStyle w:val="BodyText"/>
      </w:pPr>
      <w:r>
        <w:t xml:space="preserve">450 EBF public consultation reply, Q. 34.1</w:t>
      </w:r>
      <w:r>
        <w:t xml:space="preserve"> </w:t>
      </w:r>
      <w:r>
        <w:t xml:space="preserve">451 Supported by confidential information provided to DG FISMA services.</w:t>
      </w:r>
    </w:p>
    <w:p>
      <w:pPr>
        <w:pStyle w:val="BodyText"/>
      </w:pPr>
      <w:r>
        <w:t xml:space="preserve">buy-in service in the affected CSDs, although with the voluntary nature of buy-</w:t>
      </w:r>
      <w:r>
        <w:t xml:space="preserve"> </w:t>
      </w:r>
      <w:r>
        <w:t xml:space="preserve">ins demand for their service will materialize.</w:t>
      </w:r>
      <w:r>
        <w:br/>
      </w:r>
      <w:r>
        <w:t xml:space="preserve"> Investors: Negative impacts across asset classes similar to option 1, although the</w:t>
      </w:r>
      <w:r>
        <w:t xml:space="preserve"> </w:t>
      </w:r>
      <w:r>
        <w:t xml:space="preserve">extent of the negative effect will depend on practical use of voluntary buy-ins by</w:t>
      </w:r>
      <w:r>
        <w:t xml:space="preserve"> </w:t>
      </w:r>
      <w:r>
        <w:t xml:space="preserve">the purchasing party. Cost saving will also be limited as companies will need to</w:t>
      </w:r>
      <w:r>
        <w:t xml:space="preserve"> </w:t>
      </w:r>
      <w:r>
        <w:t xml:space="preserve">maintain buy-in processes in case a counterparty demands their application.</w:t>
      </w:r>
      <w:r>
        <w:br/>
      </w:r>
      <w:r>
        <w:t xml:space="preserve">Market makers will find price-setting even more complicated in less liquid/</w:t>
      </w:r>
      <w:r>
        <w:t xml:space="preserve"> </w:t>
      </w:r>
      <w:r>
        <w:t xml:space="preserve">peripheral instruments as it is unclear whether the trade will be subject to buy-in.</w:t>
      </w:r>
      <w:r>
        <w:t xml:space="preserve"> </w:t>
      </w:r>
      <w:r>
        <w:t xml:space="preserve">Voluntary buy-ins would allow investors greater flexibility in making investment</w:t>
      </w:r>
      <w:r>
        <w:t xml:space="preserve"> </w:t>
      </w:r>
      <w:r>
        <w:t xml:space="preserve">choices that suit their own investment strategy and risk appetite, although</w:t>
      </w:r>
      <w:r>
        <w:t xml:space="preserve"> </w:t>
      </w:r>
      <w:r>
        <w:t xml:space="preserve">evidence suggests that investors tend not to choose currently available</w:t>
      </w:r>
      <w:r>
        <w:t xml:space="preserve"> </w:t>
      </w:r>
      <w:r>
        <w:t xml:space="preserve">instruments to resolve unsettled transactions.</w:t>
      </w:r>
      <w:r>
        <w:br/>
      </w:r>
      <w:r>
        <w:t xml:space="preserve"> Issuers: Negative impacts related to the inconsistent application of mandatory</w:t>
      </w:r>
      <w:r>
        <w:t xml:space="preserve"> </w:t>
      </w:r>
      <w:r>
        <w:t xml:space="preserve">buy-ins, leading potentially to a decrease in primary market issuance activity.</w:t>
      </w:r>
      <w:r>
        <w:t xml:space="preserve"> </w:t>
      </w:r>
      <w:r>
        <w:t xml:space="preserve"> NCAs and ESMA: Potentially higher monitoring costs related to market</w:t>
      </w:r>
      <w:r>
        <w:t xml:space="preserve"> </w:t>
      </w:r>
      <w:r>
        <w:t xml:space="preserve">supervision and prevention of abusive market behaviour with respect to voluntary</w:t>
      </w:r>
      <w:r>
        <w:t xml:space="preserve"> </w:t>
      </w:r>
      <w:r>
        <w:t xml:space="preserve">buy-ins. To incentivise the use of voluntary buy-ins as an investor’s right could</w:t>
      </w:r>
      <w:r>
        <w:t xml:space="preserve"> </w:t>
      </w:r>
      <w:r>
        <w:t xml:space="preserve">be enshrined in to law together with guiding principles. This would likely</w:t>
      </w:r>
      <w:r>
        <w:t xml:space="preserve"> </w:t>
      </w:r>
      <w:r>
        <w:t xml:space="preserve">increase compliance costs for ESMA as market participants will regardless</w:t>
      </w:r>
      <w:r>
        <w:t xml:space="preserve"> </w:t>
      </w:r>
      <w:r>
        <w:t xml:space="preserve">demand clarifications regarding the guiding principles.</w:t>
      </w:r>
      <w:r>
        <w:t xml:space="preserve"> </w:t>
      </w:r>
      <w:r>
        <w:t xml:space="preserve">4.4. Option 5 – Combining targeted amendments to settlement discipline regime</w:t>
      </w:r>
      <w:r>
        <w:t xml:space="preserve"> </w:t>
      </w:r>
      <w:r>
        <w:t xml:space="preserve">with a two-step approach</w:t>
      </w:r>
      <w:r>
        <w:t xml:space="preserve"> </w:t>
      </w:r>
      <w:r>
        <w:t xml:space="preserve">Cost-benefit analysis</w:t>
      </w:r>
      <w:r>
        <w:br/>
      </w:r>
      <w:r>
        <w:t xml:space="preserve"> CSDs: Similar benefits and costs to the ones described under Option 2 and Option 3.</w:t>
      </w:r>
      <w:r>
        <w:t xml:space="preserve"> </w:t>
      </w:r>
      <w:r>
        <w:t xml:space="preserve">In general CSDs will benefit from the suspension of the buy-in framework, although</w:t>
      </w:r>
      <w:r>
        <w:t xml:space="preserve"> </w:t>
      </w:r>
      <w:r>
        <w:t xml:space="preserve">there may be potentially some sunk costs. The penalty regime, is broadly prepared</w:t>
      </w:r>
      <w:r>
        <w:t xml:space="preserve"> </w:t>
      </w:r>
      <w:r>
        <w:t xml:space="preserve">throughout the infrastructure. Likely higher reporting requirements as CSDs will need</w:t>
      </w:r>
      <w:r>
        <w:t xml:space="preserve"> </w:t>
      </w:r>
      <w:r>
        <w:t xml:space="preserve">to provide accurate data as to the evolution of settlement efficiency to inform ESMA/</w:t>
      </w:r>
      <w:r>
        <w:t xml:space="preserve"> </w:t>
      </w:r>
      <w:r>
        <w:t xml:space="preserve">EC decision about the need to implement a mandatory buy-in. CSDs would benefit</w:t>
      </w:r>
      <w:r>
        <w:t xml:space="preserve"> </w:t>
      </w:r>
      <w:r>
        <w:t xml:space="preserve">from the introduction of a single process for the treatment of penalties as well as</w:t>
      </w:r>
      <w:r>
        <w:t xml:space="preserve"> </w:t>
      </w:r>
      <w:r>
        <w:t xml:space="preserve">clarifications with regards to in-scope transactions.</w:t>
      </w:r>
      <w:r>
        <w:t xml:space="preserve"> </w:t>
      </w:r>
      <w:r>
        <w:t xml:space="preserve"> Investors: The benefits and costs will be similar to the ones described under Option 3,</w:t>
      </w:r>
      <w:r>
        <w:t xml:space="preserve"> </w:t>
      </w:r>
      <w:r>
        <w:t xml:space="preserve">although their magnitude will be increased (benefits) or decreased (costs) thanks to</w:t>
      </w:r>
      <w:r>
        <w:t xml:space="preserve"> </w:t>
      </w:r>
      <w:r>
        <w:t xml:space="preserve">the clarifications contained in Option 2. In particular costs will be comparatively</w:t>
      </w:r>
      <w:r>
        <w:t xml:space="preserve"> </w:t>
      </w:r>
      <w:r>
        <w:t xml:space="preserve">lower thanks to the clarifications regarding in-scope transactions, pass-on mechanism</w:t>
      </w:r>
      <w:r>
        <w:t xml:space="preserve"> </w:t>
      </w:r>
      <w:r>
        <w:t xml:space="preserve">or the use of buy-in agents contained in Option 2.</w:t>
      </w:r>
      <w:r>
        <w:t xml:space="preserve"> </w:t>
      </w:r>
      <w:r>
        <w:t xml:space="preserve">The major negative impacts in terms of liquidity and market stability caused by</w:t>
      </w:r>
      <w:r>
        <w:t xml:space="preserve"> </w:t>
      </w:r>
      <w:r>
        <w:t xml:space="preserve">mandatory buy-ins would be, at least temporarily, avoided.</w:t>
      </w:r>
      <w:r>
        <w:br/>
      </w:r>
      <w:r>
        <w:t xml:space="preserve"> Issuers: The benefits will be limited to certain primary market transactions and</w:t>
      </w:r>
      <w:r>
        <w:t xml:space="preserve"> </w:t>
      </w:r>
      <w:r>
        <w:t xml:space="preserve">accrue only as long as mandatory buy-ins are deferred.</w:t>
      </w:r>
      <w:r>
        <w:br/>
      </w:r>
      <w:r>
        <w:t xml:space="preserve"> NCAs and ESMA: Ongoing monitoring cost for settlement efficiency rates in national</w:t>
      </w:r>
      <w:r>
        <w:t xml:space="preserve"> </w:t>
      </w:r>
      <w:r>
        <w:t xml:space="preserve">markets (NCAs) and EU (ESMA) as well as ongoing costs related to defining the</w:t>
      </w:r>
      <w:r>
        <w:t xml:space="preserve"> </w:t>
      </w:r>
      <w:r>
        <w:t xml:space="preserve">appropriate terms or scope in terms of type of instrument or transaction size for the</w:t>
      </w:r>
      <w:r>
        <w:t xml:space="preserve"> </w:t>
      </w:r>
      <w:r>
        <w:t xml:space="preserve">potential introduction of a mandatory buy-in.</w:t>
      </w:r>
    </w:p>
    <w:p>
      <w:pPr>
        <w:pStyle w:val="Compact"/>
        <w:numPr>
          <w:ilvl w:val="0"/>
          <w:numId w:val="1007"/>
        </w:numPr>
      </w:pPr>
      <w:r>
        <w:t xml:space="preserve">IMPACT OF THE POLICY OPTIONS REGARDING THIRD-COUNTRY CSDS</w:t>
      </w:r>
      <w:r>
        <w:br/>
      </w:r>
      <w:r>
        <w:t xml:space="preserve">5.1. Option 2 - Introduce an end-date to the grandfathering clause</w:t>
      </w:r>
      <w:r>
        <w:t xml:space="preserve"> </w:t>
      </w:r>
      <w:r>
        <w:t xml:space="preserve">Cost-benefit analysis</w:t>
      </w:r>
      <w:r>
        <w:br/>
      </w:r>
      <w:r>
        <w:t xml:space="preserve"> EU CSDs452: this would indirectly positively impact EU CSDs on an ongoing basis as</w:t>
      </w:r>
      <w:r>
        <w:t xml:space="preserve"> </w:t>
      </w:r>
      <w:r>
        <w:t xml:space="preserve">it would contribute to the level playing field between EU authorised CSDs and third-</w:t>
      </w:r>
      <w:r>
        <w:t xml:space="preserve"> </w:t>
      </w:r>
      <w:r>
        <w:t xml:space="preserve">country CSDs which would have to comply with equivalent CSDR rules. In addition,</w:t>
      </w:r>
      <w:r>
        <w:t xml:space="preserve"> </w:t>
      </w:r>
      <w:r>
        <w:t xml:space="preserve">CSDs of one Member State and one EEA country are still operating under the grand-</w:t>
      </w:r>
      <w:r>
        <w:t xml:space="preserve"> </w:t>
      </w:r>
      <w:r>
        <w:t xml:space="preserve">fathering clause and are still not authorised under CSDR. These CSDs have already</w:t>
      </w:r>
      <w:r>
        <w:t xml:space="preserve"> </w:t>
      </w:r>
      <w:r>
        <w:t xml:space="preserve">started the authorisation process and therefore no additional costs need to be</w:t>
      </w:r>
      <w:r>
        <w:t xml:space="preserve"> </w:t>
      </w:r>
      <w:r>
        <w:t xml:space="preserve">considered.453</w:t>
      </w:r>
      <w:r>
        <w:t xml:space="preserve"> </w:t>
      </w:r>
      <w:r>
        <w:t xml:space="preserve"> Issuers: it could positively affect issuers on an ongoing basis in those cases where the</w:t>
      </w:r>
      <w:r>
        <w:t xml:space="preserve"> </w:t>
      </w:r>
      <w:r>
        <w:t xml:space="preserve">legislation governing third-country CSDs does not offer the same level of protection</w:t>
      </w:r>
      <w:r>
        <w:t xml:space="preserve"> </w:t>
      </w:r>
      <w:r>
        <w:t xml:space="preserve">than EU legislation would. However, as very little information is available on how</w:t>
      </w:r>
      <w:r>
        <w:t xml:space="preserve"> </w:t>
      </w:r>
      <w:r>
        <w:t xml:space="preserve">many third-country CSDs operate in the EU, this option, when it enters into place,</w:t>
      </w:r>
      <w:r>
        <w:t xml:space="preserve"> </w:t>
      </w:r>
      <w:r>
        <w:t xml:space="preserve">may reduce the number of services offered by third-country CSDs in the EU.</w:t>
      </w:r>
      <w:r>
        <w:t xml:space="preserve"> </w:t>
      </w:r>
      <w:r>
        <w:t xml:space="preserve"> Investors: it could positively affect investors on an ongoing basis in those cases</w:t>
      </w:r>
      <w:r>
        <w:t xml:space="preserve"> </w:t>
      </w:r>
      <w:r>
        <w:t xml:space="preserve">where the legislation governing third-country CSDs does not offer the same level of</w:t>
      </w:r>
      <w:r>
        <w:t xml:space="preserve"> </w:t>
      </w:r>
      <w:r>
        <w:t xml:space="preserve">protection than EU legislation would. However, as very little information is available</w:t>
      </w:r>
      <w:r>
        <w:t xml:space="preserve"> </w:t>
      </w:r>
      <w:r>
        <w:t xml:space="preserve">on how many third-country CSDs operate in the EU, this option, when it enters into</w:t>
      </w:r>
      <w:r>
        <w:t xml:space="preserve"> </w:t>
      </w:r>
      <w:r>
        <w:t xml:space="preserve">place, may reduce the number of services offered by third-country CSDs in the EU.</w:t>
      </w:r>
      <w:r>
        <w:t xml:space="preserve"> </w:t>
      </w:r>
      <w:r>
        <w:t xml:space="preserve"> ESMA: It is currently unknown how many third-country CSDs are using the</w:t>
      </w:r>
      <w:r>
        <w:t xml:space="preserve"> </w:t>
      </w:r>
      <w:r>
        <w:t xml:space="preserve">grandfathering clause and would apply for recognition to ESMA. In the 2014 impact</w:t>
      </w:r>
      <w:r>
        <w:t xml:space="preserve"> </w:t>
      </w:r>
      <w:r>
        <w:t xml:space="preserve">assessment, it was assumed that ESMA could carry out its permanent tasks, in</w:t>
      </w:r>
      <w:r>
        <w:t xml:space="preserve"> </w:t>
      </w:r>
      <w:r>
        <w:t xml:space="preserve">relation to non-EU CSD recognition with its existing staff.454 Given that the task</w:t>
      </w:r>
      <w:r>
        <w:t xml:space="preserve"> </w:t>
      </w:r>
      <w:r>
        <w:t xml:space="preserve">itself is unchanged, it is assume that there is no impact to the introduction of an end-</w:t>
      </w:r>
      <w:r>
        <w:t xml:space="preserve"> </w:t>
      </w:r>
      <w:r>
        <w:t xml:space="preserve">date for the grandfathering clause.</w:t>
      </w:r>
      <w:r>
        <w:t xml:space="preserve"> </w:t>
      </w:r>
      <w:r>
        <w:t xml:space="preserve"> NCAs: no major impact identified. In case third-country CSDs benefiting from the</w:t>
      </w:r>
      <w:r>
        <w:t xml:space="preserve"> </w:t>
      </w:r>
      <w:r>
        <w:t xml:space="preserve">grandfathering clause seek recognition, ESMA would consult NCAs which can</w:t>
      </w:r>
      <w:r>
        <w:t xml:space="preserve"> </w:t>
      </w:r>
      <w:r>
        <w:t xml:space="preserve">slightly increase their costs.</w:t>
      </w:r>
      <w:r>
        <w:t xml:space="preserve"> </w:t>
      </w:r>
      <w:r>
        <w:t xml:space="preserve">5.2. Option 3 - Introduce a notification requirement for third-country CSDs</w:t>
      </w:r>
      <w:r>
        <w:t xml:space="preserve"> </w:t>
      </w:r>
      <w:r>
        <w:t xml:space="preserve">Cost-benefit analysis</w:t>
      </w:r>
      <w:r>
        <w:br/>
      </w:r>
      <w:r>
        <w:t xml:space="preserve"> CSDs455: As there is very limited information, if any, available on third-country</w:t>
      </w:r>
      <w:r>
        <w:t xml:space="preserve"> </w:t>
      </w:r>
      <w:r>
        <w:t xml:space="preserve">CSDs’ activities operating in the EEA, this option would help to identify which third-</w:t>
      </w:r>
      <w:r>
        <w:t xml:space="preserve"> </w:t>
      </w:r>
      <w:r>
        <w:t xml:space="preserve">country CSDs provide services and for which volumes, thus increasing transparency</w:t>
      </w:r>
      <w:r>
        <w:t xml:space="preserve"> </w:t>
      </w:r>
      <w:r>
        <w:t xml:space="preserve">in the market for EU CSDs. This benefit would be ongoing.</w:t>
      </w:r>
      <w:r>
        <w:t xml:space="preserve"> </w:t>
      </w:r>
      <w:r>
        <w:t xml:space="preserve"> Issuers: Option 3 would have a positive impact on issuers as it would increase</w:t>
      </w:r>
      <w:r>
        <w:t xml:space="preserve"> </w:t>
      </w:r>
      <w:r>
        <w:t xml:space="preserve">transparency in the market. This information would help to identify any potential</w:t>
      </w:r>
    </w:p>
    <w:p>
      <w:pPr>
        <w:pStyle w:val="FirstParagraph"/>
      </w:pPr>
      <w:r>
        <w:t xml:space="preserve">452 The cost benefit analysis mainly focuses on the costs and benefits for EEA entities and therefore the impact</w:t>
      </w:r>
      <w:r>
        <w:t xml:space="preserve"> </w:t>
      </w:r>
      <w:r>
        <w:t xml:space="preserve">on third-country CSDs themselves is not included.</w:t>
      </w:r>
      <w:r>
        <w:t xml:space="preserve"> </w:t>
      </w:r>
      <w:r>
        <w:t xml:space="preserve">453 Based on confidential information provided to DG FISMA services.</w:t>
      </w:r>
      <w:r>
        <w:br/>
      </w:r>
      <w:r>
        <w:t xml:space="preserve">454 .The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content/EN/TXT/PDF/?uri=CELEX:52012SC0022&amp;from=EN.</w:t>
      </w:r>
      <w:r>
        <w:t xml:space="preserve"> </w:t>
      </w:r>
      <w:r>
        <w:t xml:space="preserve">455 The cost benefit analysis mainly focuses on the costs and benefits for EEA entities and therefore the impact</w:t>
      </w:r>
      <w:r>
        <w:t xml:space="preserve"> </w:t>
      </w:r>
      <w:r>
        <w:t xml:space="preserve">on third-country CSDs themselves is not included.</w:t>
      </w:r>
    </w:p>
    <w:p>
      <w:pPr>
        <w:pStyle w:val="BodyText"/>
      </w:pPr>
      <w:r>
        <w:t xml:space="preserve">risks, in particular on financial stability and, in turn, for. This benefit would be</w:t>
      </w:r>
      <w:r>
        <w:t xml:space="preserve"> </w:t>
      </w:r>
      <w:r>
        <w:t xml:space="preserve">ongoing, sustainable.</w:t>
      </w:r>
      <w:r>
        <w:t xml:space="preserve"> </w:t>
      </w:r>
      <w:r>
        <w:t xml:space="preserve"> Investors: Option 3 would also have a positive impact on investors as it would</w:t>
      </w:r>
      <w:r>
        <w:t xml:space="preserve"> </w:t>
      </w:r>
      <w:r>
        <w:t xml:space="preserve">increase transparency in the market. This information would help to identify any</w:t>
      </w:r>
      <w:r>
        <w:t xml:space="preserve"> </w:t>
      </w:r>
      <w:r>
        <w:t xml:space="preserve">potential risks, in particular on financial stability and, in turn, for investors. This</w:t>
      </w:r>
      <w:r>
        <w:t xml:space="preserve"> </w:t>
      </w:r>
      <w:r>
        <w:t xml:space="preserve">benefit would be ongoing, sustainable.</w:t>
      </w:r>
      <w:r>
        <w:t xml:space="preserve"> </w:t>
      </w:r>
      <w:r>
        <w:t xml:space="preserve"> ESMA: Option 3 would directly positively impact ESMA as it would give the</w:t>
      </w:r>
      <w:r>
        <w:t xml:space="preserve"> </w:t>
      </w:r>
      <w:r>
        <w:t xml:space="preserve">European authority more information and help it to identify and monitor risks. ESMA</w:t>
      </w:r>
      <w:r>
        <w:t xml:space="preserve"> </w:t>
      </w:r>
      <w:r>
        <w:t xml:space="preserve">being at the centre of the notification process, it could also slightly increased</w:t>
      </w:r>
      <w:r>
        <w:t xml:space="preserve"> </w:t>
      </w:r>
      <w:r>
        <w:t xml:space="preserve">operational. costs</w:t>
      </w:r>
      <w:r>
        <w:t xml:space="preserve"> </w:t>
      </w:r>
      <w:r>
        <w:t xml:space="preserve">Based on Commission estimates following the submission of confidential data456,</w:t>
      </w:r>
      <w:r>
        <w:t xml:space="preserve"> </w:t>
      </w:r>
      <w:r>
        <w:t xml:space="preserve">ESMA estimated costs for one third-country CSD notification would amount to ca.</w:t>
      </w:r>
      <w:r>
        <w:t xml:space="preserve"> </w:t>
      </w:r>
      <w:r>
        <w:t xml:space="preserve">EUR 2 600 per notification. Assuming that 5 third-country CSDs would notified, the</w:t>
      </w:r>
      <w:r>
        <w:t xml:space="preserve"> </w:t>
      </w:r>
      <w:r>
        <w:t xml:space="preserve">costs would be estimated around ca. EUR 13 000 for ESMA. This would be one-off</w:t>
      </w:r>
      <w:r>
        <w:t xml:space="preserve"> </w:t>
      </w:r>
      <w:r>
        <w:t xml:space="preserve">cost that could potentially be covered by a notification fee to be paid by each third-</w:t>
      </w:r>
      <w:r>
        <w:t xml:space="preserve"> </w:t>
      </w:r>
      <w:r>
        <w:t xml:space="preserve">country CSD.</w:t>
      </w:r>
      <w:r>
        <w:br/>
      </w:r>
      <w:r>
        <w:t xml:space="preserve"> NCAs: It would indirectly impact NCAs as they would get information on third-</w:t>
      </w:r>
      <w:r>
        <w:t xml:space="preserve"> </w:t>
      </w:r>
      <w:r>
        <w:t xml:space="preserve">country CSDs activities through ESMA, helping them to identify and monitor risks.</w:t>
      </w:r>
      <w:r>
        <w:t xml:space="preserve"> </w:t>
      </w:r>
      <w:r>
        <w:t xml:space="preserve">This benefit would be ongoing.</w:t>
      </w:r>
      <w:r>
        <w:t xml:space="preserve"> </w:t>
      </w:r>
      <w:r>
        <w:t xml:space="preserve">5.3. Option 4 – Enhance the regime for third-country CSDs providing services in</w:t>
      </w:r>
      <w:r>
        <w:t xml:space="preserve"> </w:t>
      </w:r>
      <w:r>
        <w:t xml:space="preserve">the EEA</w:t>
      </w:r>
      <w:r>
        <w:t xml:space="preserve"> </w:t>
      </w:r>
      <w:r>
        <w:t xml:space="preserve">Cost-benefit analysis</w:t>
      </w:r>
      <w:r>
        <w:br/>
      </w:r>
      <w:r>
        <w:t xml:space="preserve"> EU CSDs457: This option would have no direct impact on EU CSDs as it would only</w:t>
      </w:r>
      <w:r>
        <w:t xml:space="preserve"> </w:t>
      </w:r>
      <w:r>
        <w:t xml:space="preserve">require third-country CSDs to be subject to a new enhanced third-country regime. As</w:t>
      </w:r>
      <w:r>
        <w:t xml:space="preserve"> </w:t>
      </w:r>
      <w:r>
        <w:t xml:space="preserve">there is very limited information, if any, available on third-country CSDs’ activities</w:t>
      </w:r>
      <w:r>
        <w:t xml:space="preserve"> </w:t>
      </w:r>
      <w:r>
        <w:t xml:space="preserve">operating in the EEA, this option would help to identify which third-country CSDs</w:t>
      </w:r>
      <w:r>
        <w:t xml:space="preserve"> </w:t>
      </w:r>
      <w:r>
        <w:t xml:space="preserve">provide services and for which volumes, thereby increasing transparency in the</w:t>
      </w:r>
      <w:r>
        <w:t xml:space="preserve"> </w:t>
      </w:r>
      <w:r>
        <w:t xml:space="preserve">market for EU CSDs. This benefit would be ongoing.</w:t>
      </w:r>
      <w:r>
        <w:t xml:space="preserve"> </w:t>
      </w:r>
      <w:r>
        <w:t xml:space="preserve"> Issuers: It would benefit issuers in those cases where the legislation governing third-</w:t>
      </w:r>
      <w:r>
        <w:t xml:space="preserve"> </w:t>
      </w:r>
      <w:r>
        <w:t xml:space="preserve">country CSDs does not offer the same level of protection than EU legislation would.</w:t>
      </w:r>
      <w:r>
        <w:t xml:space="preserve"> </w:t>
      </w:r>
      <w:r>
        <w:t xml:space="preserve">It would also have a positive impact on issuers as it would increase transparency in</w:t>
      </w:r>
      <w:r>
        <w:t xml:space="preserve"> </w:t>
      </w:r>
      <w:r>
        <w:t xml:space="preserve">the market. This benefit would be ongoing. However, it could also have a negative</w:t>
      </w:r>
      <w:r>
        <w:t xml:space="preserve"> </w:t>
      </w:r>
      <w:r>
        <w:t xml:space="preserve">impact for issuers that use services of third-country CSDs. In case of enhancement of</w:t>
      </w:r>
      <w:r>
        <w:t xml:space="preserve"> </w:t>
      </w:r>
      <w:r>
        <w:t xml:space="preserve">the regime, such issuers could lose access to the services of third-country CSDs.</w:t>
      </w:r>
      <w:r>
        <w:br/>
      </w:r>
      <w:r>
        <w:t xml:space="preserve"> Investors: Similarly to the case for issuers, this option would benefit investors in</w:t>
      </w:r>
      <w:r>
        <w:t xml:space="preserve"> </w:t>
      </w:r>
      <w:r>
        <w:t xml:space="preserve">those cases where the legislation governing third-country CSDs does not offer the</w:t>
      </w:r>
      <w:r>
        <w:t xml:space="preserve"> </w:t>
      </w:r>
      <w:r>
        <w:t xml:space="preserve">same level of protection than EU legislation would, as well as by increasing</w:t>
      </w:r>
      <w:r>
        <w:t xml:space="preserve"> </w:t>
      </w:r>
      <w:r>
        <w:t xml:space="preserve">transparency in the market. This benefit would be ongoing. However, it could also</w:t>
      </w:r>
      <w:r>
        <w:t xml:space="preserve"> </w:t>
      </w:r>
      <w:r>
        <w:t xml:space="preserve">have a negative impact for investors that use settlement services of third-country</w:t>
      </w:r>
      <w:r>
        <w:t xml:space="preserve"> </w:t>
      </w:r>
      <w:r>
        <w:t xml:space="preserve">CSDs which are not subject to recognition requirements for the moment. In case of</w:t>
      </w:r>
      <w:r>
        <w:t xml:space="preserve"> </w:t>
      </w:r>
      <w:r>
        <w:t xml:space="preserve">enhancement of the regime, such investors could lose access to the services of third-</w:t>
      </w:r>
      <w:r>
        <w:t xml:space="preserve"> </w:t>
      </w:r>
      <w:r>
        <w:t xml:space="preserve">country CSDs.</w:t>
      </w:r>
    </w:p>
    <w:p>
      <w:pPr>
        <w:pStyle w:val="BodyText"/>
      </w:pPr>
      <w:r>
        <w:t xml:space="preserve">456 Based on confidential information provided to DG FISMA services.</w:t>
      </w:r>
      <w:r>
        <w:br/>
      </w:r>
      <w:r>
        <w:t xml:space="preserve">457 The cost benefit analysis mainly focuses on the costs and benefits for EEA entities and therefore the impact</w:t>
      </w:r>
      <w:r>
        <w:t xml:space="preserve"> </w:t>
      </w:r>
      <w:r>
        <w:t xml:space="preserve">of on third-country CSDs themselves is not included.</w:t>
      </w:r>
    </w:p>
    <w:p>
      <w:pPr>
        <w:pStyle w:val="BodyText"/>
      </w:pPr>
      <w:r>
        <w:t xml:space="preserve"> ESMA: the new powers given to ESMA would ensure that an EU authority has the</w:t>
      </w:r>
      <w:r>
        <w:t xml:space="preserve"> </w:t>
      </w:r>
      <w:r>
        <w:t xml:space="preserve">overview of the activities of third-country CSDs, therefore increasing information</w:t>
      </w:r>
      <w:r>
        <w:t xml:space="preserve"> </w:t>
      </w:r>
      <w:r>
        <w:t xml:space="preserve">helping to identify and monitor risks. However, an enhanced third-country regime,</w:t>
      </w:r>
      <w:r>
        <w:t xml:space="preserve"> </w:t>
      </w:r>
      <w:r>
        <w:t xml:space="preserve">depending on its exact features, could generate significant costs for ESMA</w:t>
      </w:r>
      <w:r>
        <w:t xml:space="preserve"> </w:t>
      </w:r>
      <w:r>
        <w:t xml:space="preserve">potentially in the three main following areas: (1) initial recognition of third-country</w:t>
      </w:r>
      <w:r>
        <w:t xml:space="preserve"> </w:t>
      </w:r>
      <w:r>
        <w:t xml:space="preserve">CSDs, (2) ongoing monitoring and (3) exercise of ESMA supervisory powers.</w:t>
      </w:r>
      <w:r>
        <w:br/>
      </w:r>
      <w:r>
        <w:t xml:space="preserve">Based on Commission estimates following the submission of confidential data458: (1)</w:t>
      </w:r>
      <w:r>
        <w:t xml:space="preserve"> </w:t>
      </w:r>
      <w:r>
        <w:t xml:space="preserve">ESMA estimated costs for the initial recognition of third-country CSDs based on a</w:t>
      </w:r>
      <w:r>
        <w:t xml:space="preserve"> </w:t>
      </w:r>
      <w:r>
        <w:t xml:space="preserve">broad scope (i.e. notary service, maintenance services and settlement services) is ca.</w:t>
      </w:r>
      <w:r>
        <w:t xml:space="preserve"> </w:t>
      </w:r>
      <w:r>
        <w:t xml:space="preserve">52 000 per third-country CSD (one off cost); (2) ESMA estimated costs for the</w:t>
      </w:r>
      <w:r>
        <w:t xml:space="preserve"> </w:t>
      </w:r>
      <w:r>
        <w:t xml:space="preserve">ongoing monitoring of a third CSD based on a broad scope is ca. EUR 31 000 per</w:t>
      </w:r>
      <w:r>
        <w:t xml:space="preserve"> </w:t>
      </w:r>
      <w:r>
        <w:t xml:space="preserve">third-country per year (ongoing costs); (3) ESMA estimated costs to exercise</w:t>
      </w:r>
      <w:r>
        <w:t xml:space="preserve"> </w:t>
      </w:r>
      <w:r>
        <w:t xml:space="preserve">supervisory powers based on a broad scope would amount to ca. EUR 78 000 per</w:t>
      </w:r>
      <w:r>
        <w:t xml:space="preserve"> </w:t>
      </w:r>
      <w:r>
        <w:t xml:space="preserve">third-country CSD per year (ongoing costs).</w:t>
      </w:r>
      <w:r>
        <w:t xml:space="preserve"> </w:t>
      </w:r>
      <w:r>
        <w:t xml:space="preserve">Based on the assumption that 5 third-country CSDs would seek recognition, it would</w:t>
      </w:r>
      <w:r>
        <w:t xml:space="preserve"> </w:t>
      </w:r>
      <w:r>
        <w:t xml:space="preserve">potentially generate costs for ESMA, i.e.: (1) ESMA estimated costs for the initial</w:t>
      </w:r>
      <w:r>
        <w:t xml:space="preserve"> </w:t>
      </w:r>
      <w:r>
        <w:t xml:space="preserve">recognition of third-country CSDs would amount to ca. EUR 260 000 (one off cost);</w:t>
      </w:r>
      <w:r>
        <w:t xml:space="preserve"> </w:t>
      </w:r>
      <w:r>
        <w:t xml:space="preserve">(2) ESMA estimated costs for the ongoing monitoring on such CSD would amount to</w:t>
      </w:r>
      <w:r>
        <w:t xml:space="preserve"> </w:t>
      </w:r>
      <w:r>
        <w:t xml:space="preserve">ca. EUR 155 000 per year (ongoing costs); (3) ESMA estimated costs to exercise</w:t>
      </w:r>
      <w:r>
        <w:t xml:space="preserve"> </w:t>
      </w:r>
      <w:r>
        <w:t xml:space="preserve">supervisory powers would amount to ca. EUR 390 000 per year (ongoing costs).</w:t>
      </w:r>
      <w:r>
        <w:t xml:space="preserve"> </w:t>
      </w:r>
      <w:r>
        <w:t xml:space="preserve">These costs would therefore be significant and it should be seen how and whether it</w:t>
      </w:r>
      <w:r>
        <w:t xml:space="preserve"> </w:t>
      </w:r>
      <w:r>
        <w:t xml:space="preserve">could potentially be covered by a fee to be paid by each third-country CSD.</w:t>
      </w:r>
      <w:r>
        <w:t xml:space="preserve"> </w:t>
      </w:r>
      <w:r>
        <w:t xml:space="preserve">Taking into account that the number of third-country CSDs potentially affected by</w:t>
      </w:r>
      <w:r>
        <w:t xml:space="preserve"> </w:t>
      </w:r>
      <w:r>
        <w:t xml:space="preserve">such an option is not currently identified and that there is no indication that the</w:t>
      </w:r>
      <w:r>
        <w:t xml:space="preserve"> </w:t>
      </w:r>
      <w:r>
        <w:t xml:space="preserve">activities of third-country CSDs may pose a risk for the financial stability of the EU</w:t>
      </w:r>
      <w:r>
        <w:t xml:space="preserve"> </w:t>
      </w:r>
      <w:r>
        <w:t xml:space="preserve">or its Member States, this Option could be seen as premature and disproportionate.</w:t>
      </w:r>
      <w:r>
        <w:br/>
      </w:r>
      <w:r>
        <w:t xml:space="preserve"> NCAs: No major impact identified. It would indirectly impact NCAs as they would</w:t>
      </w:r>
      <w:r>
        <w:t xml:space="preserve"> </w:t>
      </w:r>
      <w:r>
        <w:t xml:space="preserve">get more information on third-country CSDs activities through ESMA, helping them</w:t>
      </w:r>
      <w:r>
        <w:t xml:space="preserve"> </w:t>
      </w:r>
      <w:r>
        <w:t xml:space="preserve">to identify and monitor risks. This benefit would be ongoing. In addition, ESMA</w:t>
      </w:r>
      <w:r>
        <w:t xml:space="preserve"> </w:t>
      </w:r>
      <w:r>
        <w:t xml:space="preserve">would consult NCAs for third-country CSDs recognition which can slightly increase</w:t>
      </w:r>
      <w:r>
        <w:t xml:space="preserve"> </w:t>
      </w:r>
      <w:r>
        <w:t xml:space="preserve">their costs.</w:t>
      </w:r>
      <w:r>
        <w:t xml:space="preserve"> </w:t>
      </w:r>
      <w:r>
        <w:t xml:space="preserve">5.4. Option 5: Combination of Options 2 and 3</w:t>
      </w:r>
      <w:r>
        <w:t xml:space="preserve"> </w:t>
      </w:r>
      <w:r>
        <w:t xml:space="preserve"> EU CSDs459: the introduction of an end-date to the grandfathering clause would</w:t>
      </w:r>
      <w:r>
        <w:t xml:space="preserve"> </w:t>
      </w:r>
      <w:r>
        <w:t xml:space="preserve">indirectly positively impact EU CSDs on an ongoing basis as it would contribute to</w:t>
      </w:r>
      <w:r>
        <w:t xml:space="preserve"> </w:t>
      </w:r>
      <w:r>
        <w:t xml:space="preserve">the level playing field between EU authorised CSDs and third-country CSDs which</w:t>
      </w:r>
      <w:r>
        <w:t xml:space="preserve"> </w:t>
      </w:r>
      <w:r>
        <w:t xml:space="preserve">would have to comply with equivalent CSDR rules. In addition, the introduction of</w:t>
      </w:r>
      <w:r>
        <w:t xml:space="preserve"> </w:t>
      </w:r>
      <w:r>
        <w:t xml:space="preserve">an end-date to the grandfathering clause for EEA CSDs would not lead to additional</w:t>
      </w:r>
      <w:r>
        <w:t xml:space="preserve"> </w:t>
      </w:r>
      <w:r>
        <w:t xml:space="preserve">costs as any EEA CSDs not yet authorised have already started the authorisation</w:t>
      </w:r>
      <w:r>
        <w:t xml:space="preserve"> </w:t>
      </w:r>
      <w:r>
        <w:t xml:space="preserve">process.460 The introduction of the notification requirement for third-country CSDs</w:t>
      </w:r>
      <w:r>
        <w:t xml:space="preserve"> </w:t>
      </w:r>
      <w:r>
        <w:t xml:space="preserve">would also increase transparency in the market, benefitting also EU CSDs.</w:t>
      </w:r>
    </w:p>
    <w:p>
      <w:pPr>
        <w:pStyle w:val="BodyText"/>
      </w:pPr>
      <w:r>
        <w:t xml:space="preserve">458 Based on confidential information provided to DG FISMA services.</w:t>
      </w:r>
      <w:r>
        <w:br/>
      </w:r>
      <w:r>
        <w:t xml:space="preserve">459 The cost benefit analysis mainly focuses on the costs and benefits for EEA entities and therefore the impact</w:t>
      </w:r>
      <w:r>
        <w:t xml:space="preserve"> </w:t>
      </w:r>
      <w:r>
        <w:t xml:space="preserve">on third-country CSDs themselves is not included.</w:t>
      </w:r>
      <w:r>
        <w:t xml:space="preserve"> </w:t>
      </w:r>
      <w:r>
        <w:t xml:space="preserve">460 Based on confidential information provided to DG FISMA services.</w:t>
      </w:r>
    </w:p>
    <w:p>
      <w:pPr>
        <w:pStyle w:val="BodyText"/>
      </w:pPr>
      <w:r>
        <w:t xml:space="preserve"> Issuers: the combination of Options 2 and 3 would positively affect issuers on an</w:t>
      </w:r>
      <w:r>
        <w:t xml:space="preserve"> </w:t>
      </w:r>
      <w:r>
        <w:t xml:space="preserve">ongoing basis in those cases where the legislation governing third-country CSDs</w:t>
      </w:r>
      <w:r>
        <w:t xml:space="preserve"> </w:t>
      </w:r>
      <w:r>
        <w:t xml:space="preserve">does not offer the same level of protection than EU legislation would while</w:t>
      </w:r>
      <w:r>
        <w:t xml:space="preserve"> </w:t>
      </w:r>
      <w:r>
        <w:t xml:space="preserve">increasing transparency in the market. However, as very little information is</w:t>
      </w:r>
      <w:r>
        <w:t xml:space="preserve"> </w:t>
      </w:r>
      <w:r>
        <w:t xml:space="preserve">available on how many third-country CSDs operate in the EU, the introduction of</w:t>
      </w:r>
      <w:r>
        <w:t xml:space="preserve"> </w:t>
      </w:r>
      <w:r>
        <w:t xml:space="preserve">an end-date to the grandfathering clause, when it applies, may reduce the number</w:t>
      </w:r>
      <w:r>
        <w:t xml:space="preserve"> </w:t>
      </w:r>
      <w:r>
        <w:t xml:space="preserve">of third-country CSDs offering services in the EU.</w:t>
      </w:r>
      <w:r>
        <w:t xml:space="preserve"> </w:t>
      </w:r>
      <w:r>
        <w:t xml:space="preserve"> Investors: the combination of Options 2 and 3 would positively affect investors</w:t>
      </w:r>
      <w:r>
        <w:t xml:space="preserve"> </w:t>
      </w:r>
      <w:r>
        <w:t xml:space="preserve">on an ongoing basis in those cases where the legislation governing third-country</w:t>
      </w:r>
      <w:r>
        <w:t xml:space="preserve"> </w:t>
      </w:r>
      <w:r>
        <w:t xml:space="preserve">CSDs does not offer the same level of protection than EU legislation would while</w:t>
      </w:r>
      <w:r>
        <w:t xml:space="preserve"> </w:t>
      </w:r>
      <w:r>
        <w:t xml:space="preserve">increasing transparency in the market. However, as very little information is</w:t>
      </w:r>
      <w:r>
        <w:t xml:space="preserve"> </w:t>
      </w:r>
      <w:r>
        <w:t xml:space="preserve">available on how many third-country CSDs operate in the EU, the introduction of</w:t>
      </w:r>
      <w:r>
        <w:t xml:space="preserve"> </w:t>
      </w:r>
      <w:r>
        <w:t xml:space="preserve">an end-date to the grandfathering clause, when it applies, may reduce the number</w:t>
      </w:r>
      <w:r>
        <w:t xml:space="preserve"> </w:t>
      </w:r>
      <w:r>
        <w:t xml:space="preserve">of by third-country CSDs offering services in the EU.</w:t>
      </w:r>
      <w:r>
        <w:t xml:space="preserve"> </w:t>
      </w:r>
      <w:r>
        <w:t xml:space="preserve"> ESMA: The introduction of a notification requirement for third-country CSDs</w:t>
      </w:r>
      <w:r>
        <w:t xml:space="preserve"> </w:t>
      </w:r>
      <w:r>
        <w:t xml:space="preserve">would directly positively impact ESMA as it would give the European authority</w:t>
      </w:r>
      <w:r>
        <w:t xml:space="preserve"> </w:t>
      </w:r>
      <w:r>
        <w:t xml:space="preserve">more information and help it to identify and monitor risks. ESMA being at the</w:t>
      </w:r>
      <w:r>
        <w:t xml:space="preserve"> </w:t>
      </w:r>
      <w:r>
        <w:t xml:space="preserve">centre of the notification process, could also face slightly increased operational</w:t>
      </w:r>
      <w:r>
        <w:t xml:space="preserve"> </w:t>
      </w:r>
      <w:r>
        <w:t xml:space="preserve">costs. Based on Commission estimates following the submission of confidential</w:t>
      </w:r>
      <w:r>
        <w:t xml:space="preserve"> </w:t>
      </w:r>
      <w:r>
        <w:t xml:space="preserve">data461, ESMA estimated costs for one third-country CSD notification would</w:t>
      </w:r>
      <w:r>
        <w:t xml:space="preserve"> </w:t>
      </w:r>
      <w:r>
        <w:t xml:space="preserve">amount to ca. EUR 2 600 per notification. Assuming that 5 third-country CSDs</w:t>
      </w:r>
      <w:r>
        <w:t xml:space="preserve"> </w:t>
      </w:r>
      <w:r>
        <w:t xml:space="preserve">would notified, the costs would be estimated around ca. EUR 13 000 for ESMA.</w:t>
      </w:r>
      <w:r>
        <w:t xml:space="preserve"> </w:t>
      </w:r>
      <w:r>
        <w:t xml:space="preserve">This would be one-off cost that could potentially be covered by a notification fee</w:t>
      </w:r>
      <w:r>
        <w:t xml:space="preserve"> </w:t>
      </w:r>
      <w:r>
        <w:t xml:space="preserve">to be paid by each third-country CSD. The introduction of the end-date for the</w:t>
      </w:r>
      <w:r>
        <w:t xml:space="preserve"> </w:t>
      </w:r>
      <w:r>
        <w:t xml:space="preserve">grandfathering clause will mean that ESMA may adopt some recognition</w:t>
      </w:r>
      <w:r>
        <w:t xml:space="preserve"> </w:t>
      </w:r>
      <w:r>
        <w:t xml:space="preserve">decisions, however this is a task that already lies with ESMA.</w:t>
      </w:r>
      <w:r>
        <w:t xml:space="preserve"> </w:t>
      </w:r>
      <w:r>
        <w:t xml:space="preserve"> NCAs: NCAs may be consulted when ESMA assesses an application for</w:t>
      </w:r>
      <w:r>
        <w:t xml:space="preserve"> </w:t>
      </w:r>
      <w:r>
        <w:t xml:space="preserve">recognition by third-country CSDs which may marginally increase their</w:t>
      </w:r>
      <w:r>
        <w:t xml:space="preserve"> </w:t>
      </w:r>
      <w:r>
        <w:t xml:space="preserve">operational costs; in addition, NCAs will have access to increased information</w:t>
      </w:r>
      <w:r>
        <w:t xml:space="preserve"> </w:t>
      </w:r>
      <w:r>
        <w:t xml:space="preserve">regarding the activities of third-country CSDs which will help them to identify</w:t>
      </w:r>
      <w:r>
        <w:t xml:space="preserve"> </w:t>
      </w:r>
      <w:r>
        <w:t xml:space="preserve">and monitor risks.</w:t>
      </w:r>
    </w:p>
    <w:p>
      <w:pPr>
        <w:pStyle w:val="BodyText"/>
      </w:pPr>
      <w:r>
        <w:t xml:space="preserve">461 Based on confidential information provided to DG FISMA services.</w:t>
      </w:r>
    </w:p>
    <w:p>
      <w:pPr>
        <w:pStyle w:val="BodyText"/>
      </w:pPr>
      <w:r>
        <w:t xml:space="preserve">ANNEX 8: GRAPHS AND FIGURES</w:t>
      </w:r>
      <w:r>
        <w:br/>
      </w:r>
      <w:r>
        <w:t xml:space="preserve">Figure I: Passporting of CSD services in the EU462</w:t>
      </w:r>
    </w:p>
    <w:p>
      <w:pPr>
        <w:pStyle w:val="BodyText"/>
      </w:pPr>
      <w:r>
        <w:t xml:space="preserve">EEA</w:t>
      </w:r>
      <w:r>
        <w:t xml:space="preserve"> </w:t>
      </w:r>
      <w:r>
        <w:t xml:space="preserve">countries</w:t>
      </w:r>
      <w:r>
        <w:t xml:space="preserve"> </w:t>
      </w:r>
      <w:r>
        <w:t xml:space="preserve">were</w:t>
      </w:r>
      <w:r>
        <w:t xml:space="preserve"> </w:t>
      </w:r>
      <w:r>
        <w:t xml:space="preserve">passport is sought/obtained</w:t>
      </w:r>
      <w:r>
        <w:t xml:space="preserve"> </w:t>
      </w:r>
      <w:r>
        <w:t xml:space="preserve">EEA countries where CSD is of</w:t>
      </w:r>
      <w:r>
        <w:t xml:space="preserve"> </w:t>
      </w:r>
      <w:r>
        <w:t xml:space="preserve">substantial importance</w:t>
      </w:r>
      <w:r>
        <w:t xml:space="preserve"> </w:t>
      </w:r>
      <w:r>
        <w:t xml:space="preserve">ATHEXCSD</w:t>
      </w:r>
      <w:r>
        <w:t xml:space="preserve"> </w:t>
      </w:r>
      <w:r>
        <w:t xml:space="preserve">1 (CY)</w:t>
      </w:r>
      <w:r>
        <w:t xml:space="preserve"> </w:t>
      </w:r>
      <w:r>
        <w:t xml:space="preserve">0</w:t>
      </w:r>
      <w:r>
        <w:t xml:space="preserve"> </w:t>
      </w:r>
      <w:r>
        <w:t xml:space="preserve">Lux CSD</w:t>
      </w:r>
      <w:r>
        <w:t xml:space="preserve"> </w:t>
      </w:r>
      <w:r>
        <w:t xml:space="preserve">3 (DK, FR, NL)</w:t>
      </w:r>
      <w:r>
        <w:t xml:space="preserve"> </w:t>
      </w:r>
      <w:r>
        <w:t xml:space="preserve">0</w:t>
      </w:r>
      <w:r>
        <w:t xml:space="preserve"> </w:t>
      </w:r>
      <w:r>
        <w:t xml:space="preserve">Clearstream Banking AG</w:t>
      </w:r>
      <w:r>
        <w:t xml:space="preserve"> </w:t>
      </w:r>
      <w:r>
        <w:t xml:space="preserve">8 (AT, FI, FR, IE, LU, NL, ES</w:t>
      </w:r>
      <w:r>
        <w:t xml:space="preserve"> </w:t>
      </w:r>
      <w:r>
        <w:t xml:space="preserve">and LI).</w:t>
      </w:r>
      <w:r>
        <w:t xml:space="preserve"> </w:t>
      </w:r>
      <w:r>
        <w:t xml:space="preserve">6 (BE, IE, LI, LU, SK, SI)</w:t>
      </w:r>
      <w:r>
        <w:t xml:space="preserve"> </w:t>
      </w:r>
      <w:r>
        <w:t xml:space="preserve">Clearstream</w:t>
      </w:r>
      <w:r>
        <w:t xml:space="preserve"> </w:t>
      </w:r>
      <w:r>
        <w:t xml:space="preserve">Banking</w:t>
      </w:r>
      <w:r>
        <w:t xml:space="preserve"> </w:t>
      </w:r>
      <w:r>
        <w:t xml:space="preserve">SA</w:t>
      </w:r>
      <w:r>
        <w:t xml:space="preserve"> </w:t>
      </w:r>
      <w:r>
        <w:t xml:space="preserve">(ICSD)</w:t>
      </w:r>
      <w:r>
        <w:t xml:space="preserve"> </w:t>
      </w:r>
      <w:r>
        <w:t xml:space="preserve">28 (AT, BG, CY, CZ, DK,</w:t>
      </w:r>
      <w:r>
        <w:t xml:space="preserve"> </w:t>
      </w:r>
      <w:r>
        <w:t xml:space="preserve">EE, FI, FR, DE, EL, HU, IS,</w:t>
      </w:r>
      <w:r>
        <w:t xml:space="preserve"> </w:t>
      </w:r>
      <w:r>
        <w:t xml:space="preserve">IE, LV, LT, MT, NL, NO. PL,</w:t>
      </w:r>
      <w:r>
        <w:t xml:space="preserve"> </w:t>
      </w:r>
      <w:r>
        <w:t xml:space="preserve">PT, RO, SK, SI, ES, SE ;</w:t>
      </w:r>
      <w:r>
        <w:t xml:space="preserve"> </w:t>
      </w:r>
      <w:r>
        <w:t xml:space="preserve">process ongoing in BE, HR,</w:t>
      </w:r>
      <w:r>
        <w:t xml:space="preserve"> </w:t>
      </w:r>
      <w:r>
        <w:t xml:space="preserve">IT)</w:t>
      </w:r>
      <w:r>
        <w:t xml:space="preserve"> </w:t>
      </w:r>
      <w:r>
        <w:t xml:space="preserve">19 (AT, BG, HR, CY, EE, FI, DE, IS,</w:t>
      </w:r>
      <w:r>
        <w:t xml:space="preserve"> </w:t>
      </w:r>
      <w:r>
        <w:t xml:space="preserve">IE, LV, LI, LT, MT, NL, NO, PT, RO,</w:t>
      </w:r>
      <w:r>
        <w:t xml:space="preserve"> </w:t>
      </w:r>
      <w:r>
        <w:t xml:space="preserve">SK, SI)</w:t>
      </w:r>
      <w:r>
        <w:t xml:space="preserve"> </w:t>
      </w:r>
      <w:r>
        <w:t xml:space="preserve">Euroclear Bank (ICSD)</w:t>
      </w:r>
      <w:r>
        <w:t xml:space="preserve"> </w:t>
      </w:r>
      <w:r>
        <w:t xml:space="preserve">27 (AT, BG, HR, CY, CZ,</w:t>
      </w:r>
      <w:r>
        <w:t xml:space="preserve"> </w:t>
      </w:r>
      <w:r>
        <w:t xml:space="preserve">DK, EE, FI, FR, DE, EL, HU,</w:t>
      </w:r>
      <w:r>
        <w:t xml:space="preserve"> </w:t>
      </w:r>
      <w:r>
        <w:t xml:space="preserve">IS, IE, IT, LV, LT, LU, MT,</w:t>
      </w:r>
      <w:r>
        <w:t xml:space="preserve"> </w:t>
      </w:r>
      <w:r>
        <w:t xml:space="preserve">NL, PL, PT, RO, SK, SI, ES,</w:t>
      </w:r>
      <w:r>
        <w:t xml:space="preserve"> </w:t>
      </w:r>
      <w:r>
        <w:t xml:space="preserve">SE)</w:t>
      </w:r>
    </w:p>
    <w:p>
      <w:pPr>
        <w:pStyle w:val="BodyText"/>
      </w:pPr>
      <w:r>
        <w:t xml:space="preserve">23 (AT, BG, HR, CY, DK, EE, FI, FR,</w:t>
      </w:r>
      <w:r>
        <w:t xml:space="preserve"> </w:t>
      </w:r>
      <w:r>
        <w:t xml:space="preserve">DE, EL, IS, IE, LV, LI, LT, LU, MT,</w:t>
      </w:r>
      <w:r>
        <w:t xml:space="preserve"> </w:t>
      </w:r>
      <w:r>
        <w:t xml:space="preserve">NL, NO, PT, RO, SK, SI)</w:t>
      </w:r>
      <w:r>
        <w:t xml:space="preserve"> </w:t>
      </w:r>
      <w:r>
        <w:t xml:space="preserve">Euroclear Belgium</w:t>
      </w:r>
      <w:r>
        <w:br/>
      </w:r>
      <w:r>
        <w:t xml:space="preserve">25 (AT, BG, CY, CZ, DK,</w:t>
      </w:r>
      <w:r>
        <w:t xml:space="preserve"> </w:t>
      </w:r>
      <w:r>
        <w:t xml:space="preserve">EE, FI, FR, DE, EL, HU, IE,</w:t>
      </w:r>
      <w:r>
        <w:t xml:space="preserve"> </w:t>
      </w:r>
      <w:r>
        <w:t xml:space="preserve">IT, LV, LT, LU, MT, NL, PL,</w:t>
      </w:r>
      <w:r>
        <w:t xml:space="preserve"> </w:t>
      </w:r>
      <w:r>
        <w:t xml:space="preserve">PT, RO, SK, SI, ES, SE)</w:t>
      </w:r>
      <w:r>
        <w:t xml:space="preserve"> </w:t>
      </w:r>
      <w:r>
        <w:t xml:space="preserve">0</w:t>
      </w:r>
      <w:r>
        <w:t xml:space="preserve"> </w:t>
      </w:r>
      <w:r>
        <w:t xml:space="preserve">Euroclear France</w:t>
      </w:r>
      <w:r>
        <w:t xml:space="preserve"> </w:t>
      </w:r>
      <w:r>
        <w:t xml:space="preserve">27 (AT, BE, BG, CY, CZ,</w:t>
      </w:r>
      <w:r>
        <w:t xml:space="preserve"> </w:t>
      </w:r>
      <w:r>
        <w:t xml:space="preserve">DK, EE, FI, DE, EL, HU, IE,</w:t>
      </w:r>
      <w:r>
        <w:t xml:space="preserve"> </w:t>
      </w:r>
      <w:r>
        <w:t xml:space="preserve">IT, LV, LT, LU, MT, NL, PT,</w:t>
      </w:r>
      <w:r>
        <w:t xml:space="preserve"> </w:t>
      </w:r>
      <w:r>
        <w:t xml:space="preserve">RO, SK, SI, ES, SE; process</w:t>
      </w:r>
      <w:r>
        <w:t xml:space="preserve"> </w:t>
      </w:r>
      <w:r>
        <w:t xml:space="preserve">ongoing in IS, LI, PL)</w:t>
      </w:r>
      <w:r>
        <w:t xml:space="preserve"> </w:t>
      </w:r>
      <w:r>
        <w:t xml:space="preserve">3 (BE, IE, NL)</w:t>
      </w:r>
      <w:r>
        <w:t xml:space="preserve"> </w:t>
      </w:r>
      <w:r>
        <w:t xml:space="preserve">Euroclear Netherlands</w:t>
      </w:r>
      <w:r>
        <w:t xml:space="preserve"> </w:t>
      </w:r>
      <w:r>
        <w:t xml:space="preserve">26 (AT, BE, BG, CY, CZ, DE,</w:t>
      </w:r>
      <w:r>
        <w:t xml:space="preserve"> </w:t>
      </w:r>
      <w:r>
        <w:t xml:space="preserve">DK, EE, FI, FR, EL, HU, IE,</w:t>
      </w:r>
      <w:r>
        <w:t xml:space="preserve"> </w:t>
      </w:r>
      <w:r>
        <w:t xml:space="preserve">IT, LU, LV, LT, MT, PT, RO,</w:t>
      </w:r>
      <w:r>
        <w:t xml:space="preserve"> </w:t>
      </w:r>
      <w:r>
        <w:t xml:space="preserve">SK, SI, ES, SE; process</w:t>
      </w:r>
      <w:r>
        <w:t xml:space="preserve"> </w:t>
      </w:r>
      <w:r>
        <w:t xml:space="preserve">ongoing in IS, LI)</w:t>
      </w:r>
      <w:r>
        <w:t xml:space="preserve"> </w:t>
      </w:r>
      <w:r>
        <w:t xml:space="preserve">0</w:t>
      </w:r>
      <w:r>
        <w:t xml:space="preserve"> </w:t>
      </w:r>
      <w:r>
        <w:t xml:space="preserve">Euroclear Sweden</w:t>
      </w:r>
      <w:r>
        <w:t xml:space="preserve"> </w:t>
      </w:r>
      <w:r>
        <w:t xml:space="preserve">4 (DE, DK, FR, FI)</w:t>
      </w:r>
      <w:r>
        <w:t xml:space="preserve"> </w:t>
      </w:r>
      <w:r>
        <w:t xml:space="preserve">3 (DK, FI, MT)</w:t>
      </w:r>
      <w:r>
        <w:t xml:space="preserve"> </w:t>
      </w:r>
      <w:r>
        <w:t xml:space="preserve">Euroclear Finland</w:t>
      </w:r>
      <w:r>
        <w:br/>
      </w:r>
      <w:r>
        <w:t xml:space="preserve">4 (BE, DK, DE, SE)</w:t>
      </w:r>
      <w:r>
        <w:t xml:space="preserve"> </w:t>
      </w:r>
      <w:r>
        <w:t xml:space="preserve">0</w:t>
      </w:r>
      <w:r>
        <w:t xml:space="preserve"> </w:t>
      </w:r>
      <w:r>
        <w:t xml:space="preserve">Iberclear Spain</w:t>
      </w:r>
      <w:r>
        <w:t xml:space="preserve"> </w:t>
      </w:r>
      <w:r>
        <w:t xml:space="preserve">1 (DE)</w:t>
      </w:r>
      <w:r>
        <w:t xml:space="preserve"> </w:t>
      </w:r>
      <w:r>
        <w:t xml:space="preserve">1 (IE)</w:t>
      </w:r>
      <w:r>
        <w:t xml:space="preserve"> </w:t>
      </w:r>
      <w:r>
        <w:t xml:space="preserve">ID2S</w:t>
      </w:r>
      <w:r>
        <w:t xml:space="preserve"> </w:t>
      </w:r>
      <w:r>
        <w:t xml:space="preserve">1 (IE)</w:t>
      </w:r>
      <w:r>
        <w:t xml:space="preserve"> </w:t>
      </w:r>
      <w:r>
        <w:t xml:space="preserve">0</w:t>
      </w:r>
      <w:r>
        <w:t xml:space="preserve"> </w:t>
      </w:r>
      <w:r>
        <w:t xml:space="preserve">KDD Slovenia</w:t>
      </w:r>
      <w:r>
        <w:br/>
      </w:r>
      <w:r>
        <w:t xml:space="preserve">1 (BG)</w:t>
      </w:r>
      <w:r>
        <w:t xml:space="preserve"> </w:t>
      </w:r>
      <w:r>
        <w:t xml:space="preserve">0</w:t>
      </w:r>
      <w:r>
        <w:t xml:space="preserve"> </w:t>
      </w:r>
      <w:r>
        <w:t xml:space="preserve">KDPW Poland</w:t>
      </w:r>
      <w:r>
        <w:t xml:space="preserve"> </w:t>
      </w:r>
      <w:r>
        <w:t xml:space="preserve">3 (CY, LU, NL)</w:t>
      </w:r>
      <w:r>
        <w:br/>
      </w:r>
      <w:r>
        <w:t xml:space="preserve">0</w:t>
      </w:r>
      <w:r>
        <w:t xml:space="preserve"> </w:t>
      </w:r>
      <w:r>
        <w:t xml:space="preserve">Nasdaq Latvia</w:t>
      </w:r>
      <w:r>
        <w:t xml:space="preserve"> </w:t>
      </w:r>
      <w:r>
        <w:t xml:space="preserve">3 (EE, IS, LT)</w:t>
      </w:r>
      <w:r>
        <w:t xml:space="preserve"> </w:t>
      </w:r>
      <w:r>
        <w:t xml:space="preserve">3 (EE, IS, LT)</w:t>
      </w:r>
      <w:r>
        <w:t xml:space="preserve"> </w:t>
      </w:r>
      <w:r>
        <w:t xml:space="preserve">OeKB CSD Austria</w:t>
      </w:r>
      <w:r>
        <w:t xml:space="preserve"> </w:t>
      </w:r>
      <w:r>
        <w:t xml:space="preserve">1 (DE)</w:t>
      </w:r>
      <w:r>
        <w:t xml:space="preserve"> </w:t>
      </w:r>
      <w:r>
        <w:t xml:space="preserve">1 (LI)</w:t>
      </w:r>
      <w:r>
        <w:t xml:space="preserve"> </w:t>
      </w:r>
      <w:r>
        <w:t xml:space="preserve">Monte Titoli</w:t>
      </w:r>
      <w:r>
        <w:t xml:space="preserve"> </w:t>
      </w:r>
      <w:r>
        <w:t xml:space="preserve">7 (AT, DE, EL, FR, IE, LU,</w:t>
      </w:r>
      <w:r>
        <w:t xml:space="preserve"> </w:t>
      </w:r>
      <w:r>
        <w:t xml:space="preserve">MT, NL)</w:t>
      </w:r>
      <w:r>
        <w:t xml:space="preserve"> </w:t>
      </w:r>
      <w:r>
        <w:t xml:space="preserve">1 (IE)</w:t>
      </w:r>
      <w:r>
        <w:t xml:space="preserve"> </w:t>
      </w:r>
      <w:r>
        <w:t xml:space="preserve">VP Securities A/S Denmark</w:t>
      </w:r>
      <w:r>
        <w:br/>
      </w:r>
      <w:r>
        <w:t xml:space="preserve">1 (process ongoing in MT)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Note: The table shows the extent of cross-border service provision by individual CSDs (left column) and in</w:t>
      </w:r>
      <w:r>
        <w:t xml:space="preserve"> </w:t>
      </w:r>
      <w:r>
        <w:t xml:space="preserve">what Member States a given CSD is systemically important (right column). Although a growing number of</w:t>
      </w:r>
      <w:r>
        <w:t xml:space="preserve"> </w:t>
      </w:r>
      <w:r>
        <w:t xml:space="preserve">CSDs provide service on a cross-border basis (15 CSDs have obtained or applied for a passport in at least</w:t>
      </w:r>
      <w:r>
        <w:t xml:space="preserve"> </w:t>
      </w:r>
      <w:r>
        <w:t xml:space="preserve">one host Member State), only a small number has expanded their offering in non-domestic markets</w:t>
      </w:r>
      <w:r>
        <w:t xml:space="preserve"> </w:t>
      </w:r>
      <w:r>
        <w:t xml:space="preserve">sufficiently to become systemically important (9). Source: ESMA CSD Register.</w:t>
      </w:r>
    </w:p>
    <w:p>
      <w:pPr>
        <w:pStyle w:val="BodyText"/>
      </w:pPr>
      <w:r>
        <w:t xml:space="preserve">462 ESMA CSD Register (see note 26).</w:t>
      </w:r>
    </w:p>
    <w:p>
      <w:pPr>
        <w:pStyle w:val="BodyText"/>
      </w:pPr>
      <w:r>
        <w:t xml:space="preserve">Figure II: Settlement efficiency on EU capital markets (Total and separately for</w:t>
      </w:r>
      <w:r>
        <w:t xml:space="preserve"> </w:t>
      </w:r>
      <w:r>
        <w:t xml:space="preserve">debt and equity instrument)</w:t>
      </w:r>
    </w:p>
    <w:p>
      <w:pPr>
        <w:pStyle w:val="BodyText"/>
      </w:pPr>
      <w:r>
        <w:t xml:space="preserve">Note: The graphs show the evolution of settlement fails for all in-scope financial instruments (both equity</w:t>
      </w:r>
      <w:r>
        <w:t xml:space="preserve"> </w:t>
      </w:r>
      <w:r>
        <w:t xml:space="preserve">and debt) in terms of % of turnover (left graph) and total number of instructions (right graph). The left</w:t>
      </w:r>
      <w:r>
        <w:t xml:space="preserve"> </w:t>
      </w:r>
      <w:r>
        <w:t xml:space="preserve">graph shows that following a spike in spring 2020 settlement fails returned to pre-crisis levels, while the</w:t>
      </w:r>
      <w:r>
        <w:t xml:space="preserve"> </w:t>
      </w:r>
      <w:r>
        <w:t xml:space="preserve">values in the right hand graph remained elevated, indicating potentially that a higher number of small-</w:t>
      </w:r>
      <w:r>
        <w:t xml:space="preserve"> </w:t>
      </w:r>
      <w:r>
        <w:t xml:space="preserve">value transactions fail.</w:t>
      </w:r>
    </w:p>
    <w:p>
      <w:pPr>
        <w:pStyle w:val="BodyText"/>
      </w:pPr>
      <w:r>
        <w:t xml:space="preserve">Note: The graphs show the evolution of settlement fails for debt instruments (corporate and government</w:t>
      </w:r>
      <w:r>
        <w:t xml:space="preserve"> </w:t>
      </w:r>
      <w:r>
        <w:t xml:space="preserve">bonds) in terms of % of turnover (left graph) and total number of transactions (right graph). The graphs</w:t>
      </w:r>
      <w:r>
        <w:t xml:space="preserve"> </w:t>
      </w:r>
      <w:r>
        <w:t xml:space="preserve">show a stable settlement fail rate for corporate bonds in terms of value (left graph), while the number of</w:t>
      </w:r>
      <w:r>
        <w:t xml:space="preserve"> </w:t>
      </w:r>
      <w:r>
        <w:t xml:space="preserve">failing corporate bonds instructions continues to fall, indicating an increasing number of high value bond</w:t>
      </w:r>
      <w:r>
        <w:t xml:space="preserve"> </w:t>
      </w:r>
      <w:r>
        <w:t xml:space="preserve">transactions failing. In the case of government bonds this evolution is even more pronounced.</w:t>
      </w:r>
    </w:p>
    <w:p>
      <w:pPr>
        <w:pStyle w:val="BodyText"/>
      </w:pPr>
      <w:r>
        <w:t xml:space="preserve">Note: The graphs show the evolution of settlement fails for equity instruments (exchange-traded funds</w:t>
      </w:r>
      <w:r>
        <w:t xml:space="preserve"> </w:t>
      </w:r>
      <w:r>
        <w:t xml:space="preserve">(ETFs) and equities) in terms of % of turnover (left graph) and total number of transactions (right graph).</w:t>
      </w:r>
      <w:r>
        <w:t xml:space="preserve"> </w:t>
      </w:r>
      <w:r>
        <w:t xml:space="preserve">The graphs show a stable settlement fail rate for ETFs in terms of value and number of transactions. The</w:t>
      </w:r>
      <w:r>
        <w:t xml:space="preserve"> </w:t>
      </w:r>
      <w:r>
        <w:t xml:space="preserve">values for equities show that most recently both the value and number of failed equities transactions has</w:t>
      </w:r>
      <w:r>
        <w:t xml:space="preserve"> </w:t>
      </w:r>
      <w:r>
        <w:t xml:space="preserve">increased.</w:t>
      </w:r>
    </w:p>
    <w:p>
      <w:pPr>
        <w:pStyle w:val="BodyText"/>
      </w:pPr>
      <w:r>
        <w:t xml:space="preserve">Figure III463: Euroclear governance structure</w:t>
      </w:r>
    </w:p>
    <w:p>
      <w:pPr>
        <w:pStyle w:val="BodyText"/>
      </w:pPr>
      <w:r>
        <w:t xml:space="preserve">Note: Euroclear is one of the biggest groups of CSDs in the EU. Euroclear SA is the parent company for</w:t>
      </w:r>
      <w:r>
        <w:t xml:space="preserve"> </w:t>
      </w:r>
      <w:r>
        <w:t xml:space="preserve">six domestic CSDs and an ICSD, Euroclear Bank. Risk management is carried out at both group level and</w:t>
      </w:r>
      <w:r>
        <w:t xml:space="preserve"> </w:t>
      </w:r>
      <w:r>
        <w:t xml:space="preserve">at the level of each daughter-company (CSD) to identify local risks. Three domestic CSDs (France,</w:t>
      </w:r>
      <w:r>
        <w:t xml:space="preserve"> </w:t>
      </w:r>
      <w:r>
        <w:t xml:space="preserve">Belgium and the Netherlands) use a common settlement platform (ESES).</w:t>
      </w:r>
    </w:p>
    <w:p>
      <w:pPr>
        <w:pStyle w:val="BodyText"/>
      </w:pPr>
      <w:r>
        <w:t xml:space="preserve">Figure IV464: Estimates of the expected increase in mandatory buy-in bid/offer</w:t>
      </w:r>
      <w:r>
        <w:t xml:space="preserve"> </w:t>
      </w:r>
      <w:r>
        <w:t xml:space="preserve">spread</w:t>
      </w:r>
    </w:p>
    <w:p>
      <w:pPr>
        <w:pStyle w:val="BodyText"/>
      </w:pPr>
      <w:r>
        <w:t xml:space="preserve">463 https://www.euroclear.com/about/en/ourgovernancestructure.html</w:t>
      </w:r>
      <w:r>
        <w:t xml:space="preserve"> </w:t>
      </w:r>
      <w:r>
        <w:t xml:space="preserve">464 Based on confidential information provided to DG FISMA services.</w:t>
      </w:r>
    </w:p>
    <w:p>
      <w:pPr>
        <w:pStyle w:val="BodyText"/>
      </w:pPr>
      <w:r>
        <w:t xml:space="preserve">Note: The table shows the estimated465 impact of mandatory buy-in (MBI) on European government bonds</w:t>
      </w:r>
      <w:r>
        <w:t xml:space="preserve"> </w:t>
      </w:r>
      <w:r>
        <w:t xml:space="preserve">(EGB) with a 10-year maturity in basis points (bp) for a financial institution. The pricing data is taken</w:t>
      </w:r>
      <w:r>
        <w:t xml:space="preserve"> </w:t>
      </w:r>
      <w:r>
        <w:t xml:space="preserve">from an inter-dealer electronic platform (MTS). Taking account current liquidity conditions (Spring 2021),</w:t>
      </w:r>
      <w:r>
        <w:t xml:space="preserve"> </w:t>
      </w:r>
      <w:r>
        <w:t xml:space="preserve">the application of MBI to EGBs would lead to a 50% to 100% increase in bid-offer spread (B/O spread)</w:t>
      </w:r>
      <w:r>
        <w:t xml:space="preserve"> </w:t>
      </w:r>
      <w:r>
        <w:t xml:space="preserve">depending on the size and the status of the markets to a complete drop of activity (off).</w:t>
      </w:r>
      <w:r>
        <w:t xml:space="preserve"> </w:t>
      </w:r>
      <w:r>
        <w:t xml:space="preserve">ANNEX 9: DESCRIPTION OF THE BUY-IN PROCESS</w:t>
      </w:r>
      <w:r>
        <w:t xml:space="preserve"> </w:t>
      </w:r>
      <w:r>
        <w:t xml:space="preserve">When the seller fails to deliver the securities within a predetermined extension period</w:t>
      </w:r>
      <w:r>
        <w:t xml:space="preserve"> </w:t>
      </w:r>
      <w:r>
        <w:t xml:space="preserve">following the ISD, a mandatory buy-in process is set in motion. A buy-in provides the</w:t>
      </w:r>
      <w:r>
        <w:t xml:space="preserve"> </w:t>
      </w:r>
      <w:r>
        <w:t xml:space="preserve">buyer of securities – in case of a settlement fail – with the right to obtain the securities</w:t>
      </w:r>
      <w:r>
        <w:t xml:space="preserve"> </w:t>
      </w:r>
      <w:r>
        <w:t xml:space="preserve">elsewhere, cancel the original transaction and settle the costs of the buy-in, as well as any</w:t>
      </w:r>
      <w:r>
        <w:t xml:space="preserve"> </w:t>
      </w:r>
      <w:r>
        <w:t xml:space="preserve">price difference, with the original seller.</w:t>
      </w:r>
      <w:r>
        <w:t xml:space="preserve"> </w:t>
      </w:r>
      <w:r>
        <w:t xml:space="preserve">The extension period, following which the mandatory buy-in must be triggered, varies</w:t>
      </w:r>
      <w:r>
        <w:t xml:space="preserve"> </w:t>
      </w:r>
      <w:r>
        <w:t xml:space="preserve">depending on the type of security and its liquidity466, as does the timeframe during which</w:t>
      </w:r>
      <w:r>
        <w:t xml:space="preserve"> </w:t>
      </w:r>
      <w:r>
        <w:t xml:space="preserve">the execution of the buy-in must be completed. Once the extension period has ended, a</w:t>
      </w:r>
      <w:r>
        <w:t xml:space="preserve"> </w:t>
      </w:r>
      <w:r>
        <w:t xml:space="preserve">buy-in agent must be appointed in order to execute the buy-in. This buy-in agent must act</w:t>
      </w:r>
      <w:r>
        <w:t xml:space="preserve"> </w:t>
      </w:r>
      <w:r>
        <w:t xml:space="preserve">in accordance with best execution requirements when executing the buy-in. If the buy-in</w:t>
      </w:r>
      <w:r>
        <w:t xml:space="preserve"> </w:t>
      </w:r>
      <w:r>
        <w:t xml:space="preserve">process fails or where a buy-in is not possible, the failing seller is required to pay cash</w:t>
      </w:r>
      <w:r>
        <w:t xml:space="preserve"> </w:t>
      </w:r>
      <w:r>
        <w:t xml:space="preserve">compensation to the buyer. The buyer can, however, prior to this cash compensation,</w:t>
      </w:r>
      <w:r>
        <w:t xml:space="preserve"> </w:t>
      </w:r>
      <w:r>
        <w:t xml:space="preserve">defer the buy-in for an additional timeframe, which is equal to the timeframe originally</w:t>
      </w:r>
      <w:r>
        <w:t xml:space="preserve"> </w:t>
      </w:r>
      <w:r>
        <w:t xml:space="preserve">provided for the completion of the buy-in process.</w:t>
      </w:r>
      <w:r>
        <w:t xml:space="preserve"> </w:t>
      </w:r>
      <w:r>
        <w:t xml:space="preserve">In addition to bearing the costs related to the buy-in, the failing seller will also be</w:t>
      </w:r>
      <w:r>
        <w:t xml:space="preserve"> </w:t>
      </w:r>
      <w:r>
        <w:t xml:space="preserve">required to pay the price difference between the buy-in price and the price originally</w:t>
      </w:r>
      <w:r>
        <w:t xml:space="preserve"> </w:t>
      </w:r>
      <w:r>
        <w:t xml:space="preserve">agreed at the time of the transaction, if the latter is lower than the price effectively paid at</w:t>
      </w:r>
      <w:r>
        <w:t xml:space="preserve"> </w:t>
      </w:r>
      <w:r>
        <w:t xml:space="preserve">the buy-in execution. On the other hand, if the original price agreed at the time of the</w:t>
      </w:r>
    </w:p>
    <w:p>
      <w:pPr>
        <w:pStyle w:val="BodyText"/>
      </w:pPr>
      <w:r>
        <w:t xml:space="preserve">465 Initial year and without taking into account the buy-in agent nor the increase in funding costs.</w:t>
      </w:r>
      <w:r>
        <w:br/>
      </w:r>
      <w:r>
        <w:t xml:space="preserve">466 Four business days for financial instruments other than those traded on an SME growth market. Based on</w:t>
      </w:r>
      <w:r>
        <w:t xml:space="preserve"> </w:t>
      </w:r>
      <w:r>
        <w:t xml:space="preserve">asset type and liquidity of the financial instruments concerned, the extension period may be increased from</w:t>
      </w:r>
      <w:r>
        <w:t xml:space="preserve"> </w:t>
      </w:r>
      <w:r>
        <w:t xml:space="preserve">four business days up to a maximum of seven business days where a shorter extension period would affect</w:t>
      </w:r>
      <w:r>
        <w:t xml:space="preserve"> </w:t>
      </w:r>
      <w:r>
        <w:t xml:space="preserve">the smooth and orderly functioning of the financial markets concerned. For operations composed of several</w:t>
      </w:r>
      <w:r>
        <w:t xml:space="preserve"> </w:t>
      </w:r>
      <w:r>
        <w:t xml:space="preserve">transactions including securities repurchase or lending agreements, the buy-in process referred to in</w:t>
      </w:r>
      <w:r>
        <w:t xml:space="preserve"> </w:t>
      </w:r>
      <w:r>
        <w:t xml:space="preserve">paragraph 3 shall not apply where the timeframe of those operations is sufficiently short and renders the</w:t>
      </w:r>
      <w:r>
        <w:t xml:space="preserve"> </w:t>
      </w:r>
      <w:r>
        <w:t xml:space="preserve">buy-in process ineffective. It should be noted that such exemptions mentioned above shall not apply in</w:t>
      </w:r>
      <w:r>
        <w:t xml:space="preserve"> </w:t>
      </w:r>
      <w:r>
        <w:t xml:space="preserve">relation to transactions for shares where those transactions are cleared by a CCP. Finally, for financial</w:t>
      </w:r>
      <w:r>
        <w:t xml:space="preserve"> </w:t>
      </w:r>
      <w:r>
        <w:t xml:space="preserve">instruments traded on an SME growth market the extension period is of 15 business days (unless the SME</w:t>
      </w:r>
      <w:r>
        <w:t xml:space="preserve"> </w:t>
      </w:r>
      <w:r>
        <w:t xml:space="preserve">growth market decides to apply a shorter period).</w:t>
      </w:r>
    </w:p>
    <w:p>
      <w:pPr>
        <w:pStyle w:val="BodyText"/>
      </w:pPr>
      <w:r>
        <w:t xml:space="preserve">original transaction is higher than the price effectively paid at the buy-in execution, the</w:t>
      </w:r>
      <w:r>
        <w:t xml:space="preserve"> </w:t>
      </w:r>
      <w:r>
        <w:t xml:space="preserve">price difference will be “deemed paid”, which means that the failing seller will not be</w:t>
      </w:r>
      <w:r>
        <w:t xml:space="preserve"> </w:t>
      </w:r>
      <w:r>
        <w:t xml:space="preserve">entitled to payment of the difference by the buyer.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2026-07-31T16:47:42Z</dcterms:created>
  <dcterms:modified xsi:type="dcterms:W3CDTF">2026-07-31T16:47:42Z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