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30.3.2022</w:t>
      </w:r>
      <w:r>
        <w:br/>
      </w:r>
      <w:r>
        <w:t xml:space="preserve">SWD(2022) 88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[…]</w:t>
      </w:r>
      <w:r>
        <w:t xml:space="preserve"> </w:t>
      </w: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br/>
      </w:r>
      <w:r>
        <w:t xml:space="preserve">laying down harmonised conditions for the marketing of construction products, ,</w:t>
      </w:r>
      <w:r>
        <w:t xml:space="preserve"> </w:t>
      </w:r>
      <w:r>
        <w:t xml:space="preserve">amending Regulation (EU) 2019/1020 and repealing Regulation (EU) 305/2011</w:t>
      </w:r>
    </w:p>
    <w:p>
      <w:pPr>
        <w:pStyle w:val="BodyText"/>
      </w:pPr>
      <w:r>
        <w:t xml:space="preserve">{COM(2022) 144 final} - {SEC(2022) 167 final} - {SWD(2022) 87 final} -</w:t>
      </w:r>
      <w:r>
        <w:t xml:space="preserve"> </w:t>
      </w:r>
      <w:r>
        <w:t xml:space="preserve">{SWD(2022) 89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 ……………………………………………………… 1</w:t>
      </w:r>
    </w:p>
    <w:p>
      <w:pPr>
        <w:pStyle w:val="Compact"/>
        <w:numPr>
          <w:ilvl w:val="0"/>
          <w:numId w:val="1001"/>
        </w:numPr>
      </w:pPr>
      <w:r>
        <w:t xml:space="preserve">PROBLEM DEFINITION …………………………………………………………………………………………………….. 4</w:t>
      </w:r>
      <w:r>
        <w:t xml:space="preserve"> </w:t>
      </w:r>
      <w:r>
        <w:t xml:space="preserve">2.1. What are the problems? …………………………………………………………………………. 4</w:t>
      </w:r>
    </w:p>
    <w:p>
      <w:pPr>
        <w:pStyle w:val="Compact"/>
        <w:numPr>
          <w:ilvl w:val="0"/>
          <w:numId w:val="1001"/>
        </w:numPr>
      </w:pPr>
      <w:r>
        <w:t xml:space="preserve">WHAT ARE THE PROBLEM DRIVERS? …………………………………………………………………………… 12</w:t>
      </w:r>
      <w:r>
        <w:t xml:space="preserve"> </w:t>
      </w:r>
      <w:r>
        <w:t xml:space="preserve">3.1. Problem drivers ………………………………………………………………………………….. 12</w:t>
      </w:r>
      <w:r>
        <w:t xml:space="preserve"> </w:t>
      </w:r>
      <w:r>
        <w:t xml:space="preserve">3.2. How will the problems evolve? …………………………………………………………….. 15</w:t>
      </w:r>
    </w:p>
    <w:p>
      <w:pPr>
        <w:pStyle w:val="Compact"/>
        <w:numPr>
          <w:ilvl w:val="0"/>
          <w:numId w:val="1001"/>
        </w:numPr>
      </w:pPr>
      <w:r>
        <w:t xml:space="preserve">WHY SHOULD THE EU ACT? ………………………………………………………………………………………….. 19</w:t>
      </w:r>
      <w:r>
        <w:t xml:space="preserve"> </w:t>
      </w:r>
      <w:r>
        <w:t xml:space="preserve">4.1. Legal basis …………………………………………………………………………………………. 19</w:t>
      </w:r>
      <w:r>
        <w:t xml:space="preserve"> </w:t>
      </w:r>
      <w:r>
        <w:t xml:space="preserve">4.2. Subsidiarity: Necessity of EU action ……………………………………………………… 20</w:t>
      </w:r>
      <w:r>
        <w:t xml:space="preserve"> </w:t>
      </w:r>
      <w:r>
        <w:t xml:space="preserve">4.3. Subsidiarity: Added value of EU action …………………………………………………. 20</w:t>
      </w:r>
    </w:p>
    <w:p>
      <w:pPr>
        <w:pStyle w:val="Compact"/>
        <w:numPr>
          <w:ilvl w:val="0"/>
          <w:numId w:val="1001"/>
        </w:numPr>
      </w:pPr>
      <w:r>
        <w:t xml:space="preserve">OBJECTIVES: WHAT IS TO BE ACHIEVED? ……………………………………………………………………. 21</w:t>
      </w:r>
    </w:p>
    <w:p>
      <w:pPr>
        <w:pStyle w:val="Compact"/>
        <w:numPr>
          <w:ilvl w:val="0"/>
          <w:numId w:val="1001"/>
        </w:numPr>
      </w:pPr>
      <w:r>
        <w:t xml:space="preserve">WHAT ARE THE AVAILABLE POLICY OPTIONS? ………………………………………………………….. 22</w:t>
      </w:r>
      <w:r>
        <w:t xml:space="preserve"> </w:t>
      </w:r>
      <w:r>
        <w:t xml:space="preserve">6.1. What is the baseline from which options are assessed? ……………………………. 23</w:t>
      </w:r>
      <w:r>
        <w:t xml:space="preserve"> </w:t>
      </w:r>
      <w:r>
        <w:t xml:space="preserve">6.2. Description of the policy options ………………………………………………………….. 24</w:t>
      </w:r>
      <w:r>
        <w:t xml:space="preserve"> </w:t>
      </w:r>
      <w:r>
        <w:t xml:space="preserve">6.3. Options discarded at an early stage ……………………………………………………….. 39</w:t>
      </w:r>
    </w:p>
    <w:p>
      <w:pPr>
        <w:pStyle w:val="Compact"/>
        <w:numPr>
          <w:ilvl w:val="0"/>
          <w:numId w:val="1001"/>
        </w:numPr>
      </w:pPr>
      <w:r>
        <w:t xml:space="preserve">WHAT ARE THE IMPACTS OF THE POLICY OPTIONS? ………………………………………………….. 39</w:t>
      </w:r>
      <w:r>
        <w:t xml:space="preserve"> </w:t>
      </w:r>
      <w:r>
        <w:t xml:space="preserve">7.1. Option A – baseline (no revision) …………………………………………………………. 40</w:t>
      </w:r>
      <w:r>
        <w:t xml:space="preserve"> </w:t>
      </w:r>
      <w:r>
        <w:t xml:space="preserve">7.2. Option B - Repairing the CPR ………………………………………………………………. 42</w:t>
      </w:r>
      <w:r>
        <w:t xml:space="preserve"> </w:t>
      </w:r>
      <w:r>
        <w:t xml:space="preserve">7.3. Option C - Focusing the CPR ……………………………………………………………….. 45</w:t>
      </w:r>
      <w:r>
        <w:t xml:space="preserve"> </w:t>
      </w:r>
      <w:r>
        <w:t xml:space="preserve">7.4. Option D - Enhancing the CPR …………………………………………………………….. 48</w:t>
      </w:r>
      <w:r>
        <w:t xml:space="preserve"> </w:t>
      </w:r>
      <w:r>
        <w:t xml:space="preserve">7.5. Option E – Repealing the CPR ……………………………………………………………… 50</w:t>
      </w:r>
    </w:p>
    <w:p>
      <w:pPr>
        <w:pStyle w:val="Compact"/>
        <w:numPr>
          <w:ilvl w:val="0"/>
          <w:numId w:val="1001"/>
        </w:numPr>
      </w:pPr>
      <w:r>
        <w:t xml:space="preserve">HOW DO THE OPTIONS COMPARE? ……………………………………………………………………………….. 53</w:t>
      </w:r>
      <w:r>
        <w:t xml:space="preserve"> </w:t>
      </w:r>
      <w:r>
        <w:t xml:space="preserve">8.1. Comparison of the options ……………………………………………………………………. 53</w:t>
      </w:r>
      <w:r>
        <w:t xml:space="preserve"> </w:t>
      </w:r>
      <w:r>
        <w:t xml:space="preserve">8.2. Preferred option ………………………………………………………………………………….. 56</w:t>
      </w:r>
    </w:p>
    <w:p>
      <w:pPr>
        <w:pStyle w:val="Compact"/>
        <w:numPr>
          <w:ilvl w:val="0"/>
          <w:numId w:val="1001"/>
        </w:numPr>
      </w:pPr>
      <w:r>
        <w:t xml:space="preserve">REFIT (SIMPLIFICATION AND IMPROVED EFFICIENCY) ………………………………………………. 56</w:t>
      </w:r>
    </w:p>
    <w:p>
      <w:pPr>
        <w:pStyle w:val="Compact"/>
        <w:numPr>
          <w:ilvl w:val="0"/>
          <w:numId w:val="1001"/>
        </w:numPr>
      </w:pPr>
      <w:r>
        <w:t xml:space="preserve">HOW WILL ACTUAL IMPACTS BE MONITORED AND EVALUATED? ……………………………. 57</w:t>
      </w:r>
      <w:r>
        <w:t xml:space="preserve"> </w:t>
      </w:r>
      <w:r>
        <w:t xml:space="preserve">ANNEX 1: PROCEDURAL INFORMATION ……………………………………………………………………………….. 60</w:t>
      </w:r>
      <w:r>
        <w:t xml:space="preserve"> </w:t>
      </w:r>
      <w:r>
        <w:t xml:space="preserve">ANNEX 2: STAKEHOLDER CONSULTATION …………………………………………………………………………… 70</w:t>
      </w:r>
      <w:r>
        <w:t xml:space="preserve"> </w:t>
      </w:r>
      <w:r>
        <w:t xml:space="preserve">ANNEX 3: WHO IS AFFECTED AND HOW? ……………………………………………………………………………… 81</w:t>
      </w:r>
      <w:r>
        <w:t xml:space="preserve"> </w:t>
      </w:r>
      <w:r>
        <w:t xml:space="preserve">ANNEX 4: ANALYTICAL METHODS ……………………………………………………………………………………….. 86</w:t>
      </w:r>
      <w:r>
        <w:t xml:space="preserve"> </w:t>
      </w:r>
      <w:r>
        <w:t xml:space="preserve">ANNEX 5: THE SME TEST – SUMMARY OF RESULTS …………………………………………………………….. 90</w:t>
      </w:r>
      <w:r>
        <w:t xml:space="preserve"> </w:t>
      </w:r>
      <w:r>
        <w:t xml:space="preserve">ANNEX 6: DESCRIPTION OF THE CPR FRAMEWORK …………………………………………………………….. 96</w:t>
      </w:r>
      <w:r>
        <w:t xml:space="preserve"> </w:t>
      </w:r>
      <w:r>
        <w:t xml:space="preserve">ANNEX 7: THE EUROPEAN TECHNICAL ASSESSMENT (ETA) SYSTEM (THE EOTA</w:t>
      </w:r>
      <w:r>
        <w:t xml:space="preserve"> </w:t>
      </w:r>
      <w:r>
        <w:t xml:space="preserve">ROUTE) ………………………………………………………………………………………………………………………….. 101</w:t>
      </w:r>
      <w:r>
        <w:t xml:space="preserve"> </w:t>
      </w:r>
      <w:r>
        <w:t xml:space="preserve">ANNEX 8: SIMPLIFICATION PROVISIONS UNDER THE CURRENT CPR ……………………………….. 104</w:t>
      </w:r>
    </w:p>
    <w:p>
      <w:pPr>
        <w:pStyle w:val="FirstParagraph"/>
      </w:pPr>
      <w:r>
        <w:t xml:space="preserve">2</w:t>
      </w:r>
    </w:p>
    <w:p>
      <w:pPr>
        <w:pStyle w:val="BodyText"/>
      </w:pPr>
      <w:r>
        <w:t xml:space="preserve">ANNEX 9: THE ENVIRONMENTAL AND CLIMATE IMPACT OF CONSTRUCTION</w:t>
      </w:r>
      <w:r>
        <w:t xml:space="preserve"> </w:t>
      </w:r>
      <w:r>
        <w:t xml:space="preserve">PRODUCTS …………………………………………………………………………………………………………………….. 106</w:t>
      </w:r>
      <w:r>
        <w:t xml:space="preserve"> </w:t>
      </w:r>
      <w:r>
        <w:t xml:space="preserve">ANNEX 10: ARTICULATION WITH OTHER EXISTING EU LEGISLATION AND OTHER</w:t>
      </w:r>
      <w:r>
        <w:t xml:space="preserve"> </w:t>
      </w:r>
      <w:r>
        <w:t xml:space="preserve">INITIATIVES ………………………………………………………………………………………………………………….. 108</w:t>
      </w:r>
      <w:r>
        <w:t xml:space="preserve"> </w:t>
      </w:r>
      <w:r>
        <w:t xml:space="preserve">ANNEX 11: INTERACTION BETWEEN THE FUTURE CPR AND THE SPI ……………………………….. 112</w:t>
      </w:r>
      <w:r>
        <w:t xml:space="preserve"> </w:t>
      </w:r>
      <w:r>
        <w:t xml:space="preserve">ANNEX 12: REFINED INDICATIVE OPTIONS PAPER, APRIL 2020 …………………………………………. 119</w:t>
      </w:r>
      <w:r>
        <w:t xml:space="preserve"> </w:t>
      </w:r>
      <w:r>
        <w:t xml:space="preserve">ANNEX 13: OPTIONS AND ELEMENTS DISCARDED …………………………………………………………….. 156</w:t>
      </w:r>
      <w:r>
        <w:t xml:space="preserve"> </w:t>
      </w:r>
      <w:r>
        <w:t xml:space="preserve">ANNEX 14: JAMES ELLIOTT JUDGMENT (C-613/14) ……………………………………………………………… 158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AVCP</w:t>
      </w:r>
      <w:r>
        <w:t xml:space="preserve"> </w:t>
      </w:r>
      <w:r>
        <w:t xml:space="preserve">Assessment and verification of constancy of performance</w:t>
      </w:r>
      <w:r>
        <w:t xml:space="preserve"> </w:t>
      </w:r>
      <w:r>
        <w:t xml:space="preserve">BWRs</w:t>
      </w:r>
      <w:r>
        <w:t xml:space="preserve"> </w:t>
      </w:r>
      <w:r>
        <w:t xml:space="preserve">Basic requirements for construction works or Basic Work Requirements</w:t>
      </w:r>
      <w:r>
        <w:t xml:space="preserve"> </w:t>
      </w:r>
      <w:r>
        <w:t xml:space="preserve">CEN</w:t>
      </w:r>
      <w:r>
        <w:t xml:space="preserve"> </w:t>
      </w:r>
      <w:r>
        <w:t xml:space="preserve">European Committee for Standardisation (Comité européen de Normalisation)</w:t>
      </w:r>
      <w:r>
        <w:t xml:space="preserve"> </w:t>
      </w:r>
      <w:r>
        <w:t xml:space="preserve">Cenelec</w:t>
      </w:r>
      <w:r>
        <w:t xml:space="preserve"> </w:t>
      </w:r>
      <w:r>
        <w:t xml:space="preserve">European Committee for Electrotechnical Standardisation (Comité européen de</w:t>
      </w:r>
      <w:r>
        <w:t xml:space="preserve"> </w:t>
      </w:r>
      <w:r>
        <w:t xml:space="preserve">normalisation en électronique et en électrotechnique)</w:t>
      </w:r>
      <w:r>
        <w:t xml:space="preserve"> </w:t>
      </w:r>
      <w:r>
        <w:t xml:space="preserve">CPD</w:t>
      </w:r>
      <w:r>
        <w:t xml:space="preserve"> </w:t>
      </w:r>
      <w:r>
        <w:t xml:space="preserve">Construction Products Directive (repealed)</w:t>
      </w:r>
      <w:r>
        <w:t xml:space="preserve"> </w:t>
      </w:r>
      <w:r>
        <w:t xml:space="preserve">CPR</w:t>
      </w:r>
      <w:r>
        <w:t xml:space="preserve"> </w:t>
      </w:r>
      <w:r>
        <w:t xml:space="preserve">Construction Products Regulation</w:t>
      </w:r>
      <w:r>
        <w:t xml:space="preserve"> </w:t>
      </w:r>
      <w:r>
        <w:t xml:space="preserve">DoP</w:t>
      </w:r>
      <w:r>
        <w:t xml:space="preserve"> </w:t>
      </w:r>
      <w:r>
        <w:t xml:space="preserve">Declaration of performance</w:t>
      </w:r>
      <w:r>
        <w:t xml:space="preserve"> </w:t>
      </w:r>
      <w:r>
        <w:t xml:space="preserve">EAD</w:t>
      </w:r>
      <w:r>
        <w:t xml:space="preserve"> </w:t>
      </w:r>
      <w:r>
        <w:t xml:space="preserve">European Assessment Document</w:t>
      </w:r>
      <w:r>
        <w:t xml:space="preserve"> </w:t>
      </w:r>
      <w:r>
        <w:t xml:space="preserve">EDD</w:t>
      </w:r>
      <w:r>
        <w:t xml:space="preserve"> </w:t>
      </w:r>
      <w:r>
        <w:t xml:space="preserve">Ecodesign Directive</w:t>
      </w:r>
      <w:r>
        <w:t xml:space="preserve"> </w:t>
      </w:r>
      <w:r>
        <w:t xml:space="preserve">EGD</w:t>
      </w:r>
      <w:r>
        <w:t xml:space="preserve"> </w:t>
      </w:r>
      <w:r>
        <w:t xml:space="preserve">European Green Deal</w:t>
      </w:r>
      <w:r>
        <w:t xml:space="preserve"> </w:t>
      </w:r>
      <w:r>
        <w:t xml:space="preserve">ELD</w:t>
      </w:r>
      <w:r>
        <w:t xml:space="preserve"> </w:t>
      </w:r>
      <w:r>
        <w:t xml:space="preserve">Energy Labelling Directive</w:t>
      </w:r>
      <w:r>
        <w:t xml:space="preserve"> </w:t>
      </w:r>
      <w:r>
        <w:t xml:space="preserve">EOTA</w:t>
      </w:r>
      <w:r>
        <w:t xml:space="preserve"> </w:t>
      </w:r>
      <w:r>
        <w:t xml:space="preserve">European Organisation for Technical Assessment</w:t>
      </w:r>
      <w:r>
        <w:t xml:space="preserve"> </w:t>
      </w:r>
      <w:r>
        <w:t xml:space="preserve">EPBD</w:t>
      </w:r>
      <w:r>
        <w:t xml:space="preserve"> </w:t>
      </w:r>
      <w:r>
        <w:t xml:space="preserve">Energy Performance of Buildings Directive</w:t>
      </w:r>
      <w:r>
        <w:t xml:space="preserve"> </w:t>
      </w:r>
      <w:r>
        <w:t xml:space="preserve">ETA</w:t>
      </w:r>
      <w:r>
        <w:t xml:space="preserve"> </w:t>
      </w:r>
      <w:r>
        <w:t xml:space="preserve">European Technical Assessment</w:t>
      </w:r>
      <w:r>
        <w:t xml:space="preserve"> </w:t>
      </w:r>
      <w:r>
        <w:t xml:space="preserve">ETAG</w:t>
      </w:r>
      <w:r>
        <w:t xml:space="preserve"> </w:t>
      </w:r>
      <w:r>
        <w:t xml:space="preserve">Guidelines for European technical approval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NB/NBs</w:t>
      </w:r>
      <w:r>
        <w:t xml:space="preserve"> </w:t>
      </w:r>
      <w:r>
        <w:t xml:space="preserve">Notified body/Notified Bodies</w:t>
      </w:r>
      <w:r>
        <w:t xml:space="preserve"> </w:t>
      </w:r>
      <w:r>
        <w:t xml:space="preserve">NGO</w:t>
      </w:r>
      <w:r>
        <w:t xml:space="preserve"> </w:t>
      </w:r>
      <w:r>
        <w:t xml:space="preserve">Non-governmental organisation</w:t>
      </w:r>
      <w:r>
        <w:t xml:space="preserve"> </w:t>
      </w:r>
      <w:r>
        <w:t xml:space="preserve">NLF</w:t>
      </w:r>
      <w:r>
        <w:t xml:space="preserve"> </w:t>
      </w:r>
      <w:r>
        <w:t xml:space="preserve">New Legislative Framework, formerly New Approach</w:t>
      </w:r>
      <w:r>
        <w:t xml:space="preserve"> </w:t>
      </w:r>
      <w:r>
        <w:t xml:space="preserve">OIOO</w:t>
      </w:r>
      <w:r>
        <w:t xml:space="preserve"> </w:t>
      </w:r>
      <w:r>
        <w:t xml:space="preserve">one in, one out approach</w:t>
      </w:r>
      <w:r>
        <w:t xml:space="preserve"> </w:t>
      </w:r>
      <w:r>
        <w:t xml:space="preserve">OJEU</w:t>
      </w:r>
      <w:r>
        <w:t xml:space="preserve"> </w:t>
      </w:r>
      <w:r>
        <w:t xml:space="preserve">Official Journal of the European Union</w:t>
      </w:r>
      <w:r>
        <w:t xml:space="preserve"> </w:t>
      </w:r>
      <w:r>
        <w:t xml:space="preserve">PCPC</w:t>
      </w:r>
      <w:r>
        <w:t xml:space="preserve"> </w:t>
      </w:r>
      <w:r>
        <w:t xml:space="preserve">Product Contact Point for Construction</w:t>
      </w:r>
      <w:r>
        <w:t xml:space="preserve"> </w:t>
      </w:r>
      <w:r>
        <w:t xml:space="preserve">REACH</w:t>
      </w:r>
      <w:r>
        <w:t xml:space="preserve"> </w:t>
      </w:r>
      <w:r>
        <w:t xml:space="preserve">Regulation concerning the Registration, Evaluation, Authorisation and Restriction of</w:t>
      </w:r>
      <w:r>
        <w:t xml:space="preserve"> </w:t>
      </w:r>
      <w:r>
        <w:t xml:space="preserve">Chemicals</w:t>
      </w:r>
      <w:r>
        <w:t xml:space="preserve"> </w:t>
      </w:r>
      <w:r>
        <w:t xml:space="preserve">REFIT</w:t>
      </w:r>
      <w:r>
        <w:t xml:space="preserve"> </w:t>
      </w:r>
      <w:r>
        <w:t xml:space="preserve">Regulatory fitness and performance programme</w:t>
      </w:r>
      <w:r>
        <w:t xml:space="preserve"> </w:t>
      </w:r>
      <w:r>
        <w:t xml:space="preserve">RSB</w:t>
      </w:r>
      <w:r>
        <w:t xml:space="preserve"> </w:t>
      </w:r>
      <w:r>
        <w:t xml:space="preserve">Regulatory Scrutiny Board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medium-sized enterprise</w:t>
      </w:r>
      <w:r>
        <w:t xml:space="preserve"> </w:t>
      </w:r>
      <w:r>
        <w:t xml:space="preserve">SPI</w:t>
      </w:r>
      <w:r>
        <w:t xml:space="preserve"> </w:t>
      </w:r>
      <w:r>
        <w:t xml:space="preserve">Sustainable Products Initiative</w:t>
      </w:r>
      <w:r>
        <w:t xml:space="preserve"> </w:t>
      </w:r>
      <w:r>
        <w:t xml:space="preserve">TAB</w:t>
      </w:r>
      <w:r>
        <w:t xml:space="preserve"> </w:t>
      </w:r>
      <w:r>
        <w:t xml:space="preserve">Technical Assessment Body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2"/>
        </w:numPr>
      </w:pPr>
      <w:r>
        <w:t xml:space="preserve">INTRODUCTION: POLITICAL AND LEGAL CONTEXT</w:t>
      </w:r>
      <w:r>
        <w:t xml:space="preserve"> </w:t>
      </w:r>
      <w:r>
        <w:t xml:space="preserve">The construction products industry encompasses around 430,000 companies with a</w:t>
      </w:r>
      <w:r>
        <w:t xml:space="preserve"> </w:t>
      </w:r>
      <w:r>
        <w:t xml:space="preserve">turnover of around 800 billion Euros and a gross value added of around 240 billion</w:t>
      </w:r>
      <w:r>
        <w:t xml:space="preserve"> </w:t>
      </w:r>
      <w:r>
        <w:t xml:space="preserve">Euros.1 It mainly serves the construction industry, which is one of the 14 industrial</w:t>
      </w:r>
      <w:r>
        <w:t xml:space="preserve"> </w:t>
      </w:r>
      <w:r>
        <w:t xml:space="preserve">ecosystems identified in the updated industrial strategy2, with a significant contribution</w:t>
      </w:r>
      <w:r>
        <w:t xml:space="preserve"> </w:t>
      </w:r>
      <w:r>
        <w:t xml:space="preserve">to the EU economy, accounting for 1,200 billion Euros gross value added (10 % of total</w:t>
      </w:r>
      <w:r>
        <w:t xml:space="preserve"> </w:t>
      </w:r>
      <w:r>
        <w:t xml:space="preserve">value added) and 25 million people employed. Both sectors, the producers of</w:t>
      </w:r>
      <w:r>
        <w:t xml:space="preserve"> </w:t>
      </w:r>
      <w:r>
        <w:t xml:space="preserve">construction products and the construction ecosystem as principal user of the products</w:t>
      </w:r>
      <w:r>
        <w:t xml:space="preserve"> </w:t>
      </w:r>
      <w:r>
        <w:t xml:space="preserve">mainly consist of micro-enterprises.</w:t>
      </w:r>
      <w:r>
        <w:br/>
      </w:r>
      <w:r>
        <w:t xml:space="preserve">Regulation (EU) No 305/2011 of the European Parliament and of the Council laying</w:t>
      </w:r>
      <w:r>
        <w:t xml:space="preserve"> </w:t>
      </w:r>
      <w:r>
        <w:t xml:space="preserve">down harmonised conditions for the marketing of construction products3 (the</w:t>
      </w:r>
      <w:r>
        <w:t xml:space="preserve"> </w:t>
      </w:r>
      <w:r>
        <w:t xml:space="preserve">‘Construction Products Regulation’ or CPR) was adopted in 2011 and has applied in full</w:t>
      </w:r>
      <w:r>
        <w:t xml:space="preserve"> </w:t>
      </w:r>
      <w:r>
        <w:t xml:space="preserve">since July 2013. The Regulation’s main objective, like that of the earlier Construction</w:t>
      </w:r>
      <w:r>
        <w:t xml:space="preserve"> </w:t>
      </w:r>
      <w:r>
        <w:t xml:space="preserve">Products Directive4 (‘CPD’), is to improve the functioning of the single market and the</w:t>
      </w:r>
      <w:r>
        <w:t xml:space="preserve"> </w:t>
      </w:r>
      <w:r>
        <w:t xml:space="preserve">free movement of construction products in the EU by laying down harmonised conditions</w:t>
      </w:r>
      <w:r>
        <w:t xml:space="preserve"> </w:t>
      </w:r>
      <w:r>
        <w:t xml:space="preserve">for their marketing.</w:t>
      </w:r>
      <w:r>
        <w:t xml:space="preserve"> </w:t>
      </w:r>
      <w:r>
        <w:t xml:space="preserve">Unlike most internal market legislation, the CPR does hardly set any product</w:t>
      </w:r>
      <w:r>
        <w:t xml:space="preserve"> </w:t>
      </w:r>
      <w:r>
        <w:t xml:space="preserve">requirements that construction products would be required to meet. Instead, it mainly sets</w:t>
      </w:r>
      <w:r>
        <w:t xml:space="preserve"> </w:t>
      </w:r>
      <w:r>
        <w:t xml:space="preserve">harmonised rules on how to express their performance in relation to their essential</w:t>
      </w:r>
      <w:r>
        <w:t xml:space="preserve"> </w:t>
      </w:r>
      <w:r>
        <w:t xml:space="preserve">characteristics5 (e.g. reaction to fire, thermal conductivity or sound insulation) and</w:t>
      </w:r>
      <w:r>
        <w:t xml:space="preserve"> </w:t>
      </w:r>
      <w:r>
        <w:t xml:space="preserve">provides harmonised rules on the CE marking6 of these products. Since the construction</w:t>
      </w:r>
      <w:r>
        <w:t xml:space="preserve"> </w:t>
      </w:r>
      <w:r>
        <w:t xml:space="preserve">products merely contribute to the construction works7 – these latter falling within the</w:t>
      </w:r>
      <w:r>
        <w:t xml:space="preserve"> </w:t>
      </w:r>
      <w:r>
        <w:t xml:space="preserve">remit of national competences – the Member States remain fully responsible for the</w:t>
      </w:r>
      <w:r>
        <w:t xml:space="preserve"> </w:t>
      </w:r>
      <w:r>
        <w:t xml:space="preserve">safety, environmental and energy requirements applicable to buildings and civil</w:t>
      </w:r>
      <w:r>
        <w:t xml:space="preserve"> </w:t>
      </w:r>
      <w:r>
        <w:t xml:space="preserve">engineering works.</w:t>
      </w:r>
      <w:r>
        <w:br/>
      </w:r>
      <w:r>
        <w:t xml:space="preserve">The Commission’s July 2016 implementation report on the CPR8 identified certain</w:t>
      </w:r>
      <w:r>
        <w:t xml:space="preserve"> </w:t>
      </w:r>
      <w:r>
        <w:t xml:space="preserve">shortcomings in its implementation. The report also identified a significant number of</w:t>
      </w:r>
    </w:p>
    <w:p>
      <w:pPr>
        <w:pStyle w:val="FirstParagraph"/>
      </w:pPr>
      <w:r>
        <w:t xml:space="preserve">1</w:t>
      </w:r>
      <w:r>
        <w:t xml:space="preserve"> </w:t>
      </w:r>
      <w:r>
        <w:t xml:space="preserve">Data source: Eurostat, figures for 2018, Classification of economic activities - NACE Rev.2: C162,</w:t>
      </w:r>
      <w:r>
        <w:t xml:space="preserve"> </w:t>
      </w:r>
      <w:r>
        <w:t xml:space="preserve">C222, C231, C232, C233, C234, C235, C236, C237, C242, C251, C259.</w:t>
      </w:r>
      <w:r>
        <w:t xml:space="preserve"> </w:t>
      </w:r>
      <w:r>
        <w:t xml:space="preserve">2</w:t>
      </w:r>
      <w:r>
        <w:t xml:space="preserve"> </w:t>
      </w:r>
      <w:r>
        <w:t xml:space="preserve">Communication</w:t>
      </w:r>
      <w:r>
        <w:t xml:space="preserve"> </w:t>
      </w:r>
      <w:r>
        <w:t xml:space="preserve">“Updating the 2020 New Industrial Strategy: Building a stronger Single Market for</w:t>
      </w:r>
      <w:r>
        <w:t xml:space="preserve"> </w:t>
      </w:r>
      <w:r>
        <w:t xml:space="preserve">Europe’s recovery”</w:t>
      </w:r>
      <w:r>
        <w:t xml:space="preserve">, COM(2021)350 final, adopted by the Commission on 5 May 2021. See also</w:t>
      </w:r>
      <w:r>
        <w:t xml:space="preserve"> </w:t>
      </w:r>
      <w:r>
        <w:t xml:space="preserve">Annual Single Market Report 2021, SWD(2021) 351.</w:t>
      </w:r>
      <w:r>
        <w:t xml:space="preserve"> </w:t>
      </w:r>
      <w:r>
        <w:t xml:space="preserve">3</w:t>
      </w:r>
      <w:r>
        <w:t xml:space="preserve"> </w:t>
      </w:r>
      <w:r>
        <w:t xml:space="preserve">Regulation (EU) No 305/2011 of the European Parliament and of the Council of 9 March 2011 laying</w:t>
      </w:r>
      <w:r>
        <w:t xml:space="preserve"> </w:t>
      </w:r>
      <w:r>
        <w:t xml:space="preserve">down harmonised conditions for the marketing of construction products and repealing Council</w:t>
      </w:r>
      <w:r>
        <w:t xml:space="preserve"> </w:t>
      </w:r>
      <w:r>
        <w:t xml:space="preserve">Directive 89/106/EEC, OJ L 88, 4.4.2011, p. 5-43.</w:t>
      </w:r>
      <w:r>
        <w:t xml:space="preserve"> </w:t>
      </w:r>
      <w:r>
        <w:t xml:space="preserve">4</w:t>
      </w:r>
      <w:r>
        <w:t xml:space="preserve"> </w:t>
      </w:r>
      <w:r>
        <w:t xml:space="preserve">Council Directive 89/106/EEC of 21 December 1988 on the approximation of laws, regulations and</w:t>
      </w:r>
      <w:r>
        <w:t xml:space="preserve"> </w:t>
      </w:r>
      <w:r>
        <w:t xml:space="preserve">administrative provisions of the Member States relating to construction products, OJ L 40, 11.2.1989, p. </w:t>
      </w:r>
      <w:r>
        <w:t xml:space="preserve"> </w:t>
      </w:r>
      <w:r>
        <w:t xml:space="preserve">12-26.</w:t>
      </w:r>
      <w:r>
        <w:t xml:space="preserve"> </w:t>
      </w:r>
      <w:r>
        <w:t xml:space="preserve">5 ‘Essential characteristics’ are set in harmonised technical specifications in relation to the basic</w:t>
      </w:r>
      <w:r>
        <w:t xml:space="preserve"> </w:t>
      </w:r>
      <w:r>
        <w:t xml:space="preserve">requirements for construction works (Basic Work Requirements or BWRs), defined in Annex I to the</w:t>
      </w:r>
      <w:r>
        <w:t xml:space="preserve"> </w:t>
      </w:r>
      <w:r>
        <w:t xml:space="preserve">CPR.</w:t>
      </w:r>
      <w:r>
        <w:t xml:space="preserve"> </w:t>
      </w:r>
      <w:r>
        <w:t xml:space="preserve">6</w:t>
      </w:r>
      <w:r>
        <w:t xml:space="preserve"> </w:t>
      </w:r>
      <w:r>
        <w:t xml:space="preserve">CE Marking of Construction Products Step by Step,</w:t>
      </w:r>
      <w:r>
        <w:t xml:space="preserve"> </w:t>
      </w:r>
      <w:r>
        <w:t xml:space="preserve">https://ec.europa.eu/docsroom/documents/12308?locale=en.</w:t>
      </w:r>
      <w:r>
        <w:t xml:space="preserve"> </w:t>
      </w:r>
      <w:r>
        <w:t xml:space="preserve">7 Construction works means buildings and civil engineering works, as defined in Article 2(3) of the CPR.</w:t>
      </w:r>
      <w:r>
        <w:t xml:space="preserve"> </w:t>
      </w:r>
      <w:r>
        <w:t xml:space="preserve">8</w:t>
      </w:r>
      <w:r>
        <w:t xml:space="preserve"> </w:t>
      </w:r>
      <w:r>
        <w:t xml:space="preserve">Report from the Commission to the European Parliament and the Council on the implementation of</w:t>
      </w:r>
      <w:r>
        <w:t xml:space="preserve"> </w:t>
      </w:r>
      <w:r>
        <w:t xml:space="preserve">Regulation (EU) No 305/2011 of the European Parliament and of the Council of 9 March 2011 laying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challenges going beyond mere implementation and deserving further serious examination</w:t>
      </w:r>
      <w:r>
        <w:t xml:space="preserve"> </w:t>
      </w:r>
      <w:r>
        <w:t xml:space="preserve">and discussion, including issues linked to standardisation, market surveillance and</w:t>
      </w:r>
      <w:r>
        <w:t xml:space="preserve"> </w:t>
      </w:r>
      <w:r>
        <w:t xml:space="preserve">enforcement, and simplification provisions for micro-enterprises.</w:t>
      </w:r>
      <w:r>
        <w:br/>
      </w:r>
      <w:r>
        <w:t xml:space="preserve">The November 2016 Clean Energy for all Europeans9 Communication mentioned the</w:t>
      </w:r>
      <w:r>
        <w:t xml:space="preserve"> </w:t>
      </w:r>
      <w:r>
        <w:t xml:space="preserve">need to unlock the construction sector’s growth and jobs potential by improving the</w:t>
      </w:r>
      <w:r>
        <w:t xml:space="preserve"> </w:t>
      </w:r>
      <w:r>
        <w:t xml:space="preserve">functioning of markets, in particular the still fragmented internal market for construction</w:t>
      </w:r>
      <w:r>
        <w:t xml:space="preserve"> </w:t>
      </w:r>
      <w:r>
        <w:t xml:space="preserve">products. The Communication also highlighted the need to reinforce the focus of the</w:t>
      </w:r>
      <w:r>
        <w:t xml:space="preserve"> </w:t>
      </w:r>
      <w:r>
        <w:t xml:space="preserve">policy on products with the highest savings potential in terms of energy and circular</w:t>
      </w:r>
      <w:r>
        <w:t xml:space="preserve"> </w:t>
      </w:r>
      <w:r>
        <w:t xml:space="preserve">economy. It referred to the consultation process that followed the 2016 implementation</w:t>
      </w:r>
      <w:r>
        <w:t xml:space="preserve"> </w:t>
      </w:r>
      <w:r>
        <w:t xml:space="preserve">report, mentioning that this could lead to a revision of the Construction Products</w:t>
      </w:r>
      <w:r>
        <w:t xml:space="preserve"> </w:t>
      </w:r>
      <w:r>
        <w:t xml:space="preserve">Regulation within the mandate of the 2014-2019 Commission.</w:t>
      </w:r>
      <w:r>
        <w:t xml:space="preserve"> </w:t>
      </w:r>
      <w:r>
        <w:t xml:space="preserve">To meet this timetable, the Commission initiated a back-to-back evaluation and impact</w:t>
      </w:r>
      <w:r>
        <w:t xml:space="preserve"> </w:t>
      </w:r>
      <w:r>
        <w:t xml:space="preserve">assessment to provide a solid basis for any possible future adaptation. The approach was</w:t>
      </w:r>
      <w:r>
        <w:t xml:space="preserve"> </w:t>
      </w:r>
      <w:r>
        <w:t xml:space="preserve">presented in the inception impact assessment10 published in June 2017. However,</w:t>
      </w:r>
      <w:r>
        <w:t xml:space="preserve"> </w:t>
      </w:r>
      <w:r>
        <w:t xml:space="preserve">considering the evidence collected through the supporting studies and public</w:t>
      </w:r>
      <w:r>
        <w:t xml:space="preserve"> </w:t>
      </w:r>
      <w:r>
        <w:t xml:space="preserve">consultation, the Commission decided to decouple the retrospective and prospective</w:t>
      </w:r>
      <w:r>
        <w:t xml:space="preserve"> </w:t>
      </w:r>
      <w:r>
        <w:t xml:space="preserve">assessments. The assessment proved to be more complicated than expected: partly due to</w:t>
      </w:r>
      <w:r>
        <w:t xml:space="preserve"> </w:t>
      </w:r>
      <w:r>
        <w:t xml:space="preserve">the complexity of the CPR itself, but also due to the high expectations expressed by the</w:t>
      </w:r>
      <w:r>
        <w:t xml:space="preserve"> </w:t>
      </w:r>
      <w:r>
        <w:t xml:space="preserve">stakeholders and Member States. These combined factors made clear that it was</w:t>
      </w:r>
      <w:r>
        <w:t xml:space="preserve"> </w:t>
      </w:r>
      <w:r>
        <w:t xml:space="preserve">necessary to establish a clear and comprehensive picture of the present situation before</w:t>
      </w:r>
      <w:r>
        <w:t xml:space="preserve"> </w:t>
      </w:r>
      <w:r>
        <w:t xml:space="preserve">identifying all of the key horizontal issues and the assessment of potential options for the</w:t>
      </w:r>
      <w:r>
        <w:t xml:space="preserve"> </w:t>
      </w:r>
      <w:r>
        <w:t xml:space="preserve">future.</w:t>
      </w:r>
      <w:r>
        <w:t xml:space="preserve"> </w:t>
      </w:r>
      <w:r>
        <w:t xml:space="preserve">Hence, the evaluation of the CPR11 was published on 24 October 201912.</w:t>
      </w:r>
      <w:r>
        <w:br/>
      </w:r>
      <w:r>
        <w:t xml:space="preserve">In the meantime, several new policy initiatives with direct impacts on the CPR were</w:t>
      </w:r>
      <w:r>
        <w:t xml:space="preserve"> </w:t>
      </w:r>
      <w:r>
        <w:t xml:space="preserve">adopted by the Commission. In December 2019, the European Green Deal (EGD)</w:t>
      </w:r>
      <w:r>
        <w:t xml:space="preserve"> </w:t>
      </w:r>
      <w:r>
        <w:t xml:space="preserve">Communication13 mentioned the review of the CPR as part of the efforts towards</w:t>
      </w:r>
      <w:r>
        <w:t xml:space="preserve"> </w:t>
      </w:r>
      <w:r>
        <w:t xml:space="preserve">building and renovating in an energy- and resource-efficient way.</w:t>
      </w:r>
      <w:r>
        <w:br/>
      </w:r>
      <w:r>
        <w:t xml:space="preserve">Later in March 2020, in the Circular Economy Action Plan (CEAP)14, the Commission</w:t>
      </w:r>
      <w:r>
        <w:t xml:space="preserve"> </w:t>
      </w:r>
      <w:r>
        <w:t xml:space="preserve">underlined the objective of addressing the sustainability performance of construction</w:t>
      </w:r>
    </w:p>
    <w:p>
      <w:pPr>
        <w:pStyle w:val="BodyText"/>
      </w:pPr>
      <w:r>
        <w:t xml:space="preserve">down harmonised conditions for the marketing of construction products and repealing Council</w:t>
      </w:r>
      <w:r>
        <w:t xml:space="preserve"> </w:t>
      </w:r>
      <w:r>
        <w:t xml:space="preserve">Directive 89/106/EEC, COM/2016/0445 final, 7.7.2016.</w:t>
      </w:r>
      <w:r>
        <w:t xml:space="preserve"> </w:t>
      </w:r>
      <w:r>
        <w:t xml:space="preserve">9</w:t>
      </w:r>
      <w:r>
        <w:t xml:space="preserve"> </w:t>
      </w:r>
      <w:r>
        <w:t xml:space="preserve">Communication from the Commission to the European Parliament, the Council, the European</w:t>
      </w:r>
      <w:r>
        <w:t xml:space="preserve"> </w:t>
      </w:r>
      <w:r>
        <w:t xml:space="preserve">Economic and Social Committee, the Committee of the Regions and the European Investment Bank,</w:t>
      </w:r>
      <w:r>
        <w:t xml:space="preserve"> </w:t>
      </w:r>
      <w:r>
        <w:t xml:space="preserve">Clean Energy For All Europeans, COM(2016) 860 final, 30.11.2016, Annex 1, p. 9.</w:t>
      </w:r>
      <w:r>
        <w:br/>
      </w:r>
      <w:r>
        <w:t xml:space="preserve">10 https://ec.europa.eu/info/law/better-regulation/initiatives/ares-2017-3070078_en.</w:t>
      </w:r>
      <w:r>
        <w:t xml:space="preserve"> </w:t>
      </w:r>
      <w:r>
        <w:t xml:space="preserve">11 Evaluation of Regulation (EU) No 305/2011 laying down harmonised conditions for the marketing of</w:t>
      </w:r>
      <w:r>
        <w:t xml:space="preserve"> </w:t>
      </w:r>
      <w:r>
        <w:t xml:space="preserve">construction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repealing</w:t>
      </w:r>
      <w:r>
        <w:t xml:space="preserve"> </w:t>
      </w:r>
      <w:r>
        <w:t xml:space="preserve">Council</w:t>
      </w:r>
      <w:r>
        <w:t xml:space="preserve"> </w:t>
      </w:r>
      <w:r>
        <w:t xml:space="preserve">Directive</w:t>
      </w:r>
      <w:r>
        <w:t xml:space="preserve"> </w:t>
      </w:r>
      <w:r>
        <w:t xml:space="preserve">89/106/EEC,</w:t>
      </w:r>
      <w:r>
        <w:t xml:space="preserve"> </w:t>
      </w:r>
      <w:r>
        <w:t xml:space="preserve">SWD(2019)1770,</w:t>
      </w:r>
      <w:r>
        <w:t xml:space="preserve"> </w:t>
      </w:r>
      <w:r>
        <w:t xml:space="preserve">https://ec.europa.eu/docsroom/documents/37827.</w:t>
      </w:r>
      <w:r>
        <w:t xml:space="preserve"> </w:t>
      </w:r>
      <w:r>
        <w:t xml:space="preserve">12 The report was accompanied by a Report on the relevance of the tasks of the European Organisation for</w:t>
      </w:r>
      <w:r>
        <w:t xml:space="preserve"> </w:t>
      </w:r>
      <w:r>
        <w:t xml:space="preserve">Technical Assessment (EOTA): Report from the Commission to the European Parliament and the</w:t>
      </w:r>
      <w:r>
        <w:t xml:space="preserve"> </w:t>
      </w:r>
      <w:r>
        <w:t xml:space="preserve">Council on the outcome of the evaluation of the relevance of the tasks set out in Article 31(4) that</w:t>
      </w:r>
      <w:r>
        <w:t xml:space="preserve"> </w:t>
      </w:r>
      <w:r>
        <w:t xml:space="preserve">receive Union financing pursuant to Article 34(2) of Regulation (EU) No 305/2011COM/2019/800</w:t>
      </w:r>
      <w:r>
        <w:t xml:space="preserve"> </w:t>
      </w:r>
      <w:r>
        <w:t xml:space="preserve">final, https://eur-lex.europa.eu/legal-content/EN/TXT/?qid=1571917158693&amp;uri=COM:2019:800:FIN.</w:t>
      </w:r>
      <w:r>
        <w:t xml:space="preserve"> </w:t>
      </w:r>
      <w:r>
        <w:t xml:space="preserve">13 Communication from the Commission to the European Parliament, the European Council, the Council,</w:t>
      </w:r>
      <w:r>
        <w:t xml:space="preserve"> </w:t>
      </w:r>
      <w:r>
        <w:t xml:space="preserve">the European Economic and Social Committee and the Committee of the Regions, the European Green</w:t>
      </w:r>
      <w:r>
        <w:t xml:space="preserve"> </w:t>
      </w:r>
      <w:r>
        <w:t xml:space="preserve">Deal,</w:t>
      </w:r>
      <w:r>
        <w:t xml:space="preserve"> </w:t>
      </w:r>
      <w:r>
        <w:t xml:space="preserve">COM(2019)</w:t>
      </w:r>
      <w:r>
        <w:t xml:space="preserve"> </w:t>
      </w:r>
      <w:r>
        <w:t xml:space="preserve">640,</w:t>
      </w:r>
      <w:r>
        <w:t xml:space="preserve"> </w:t>
      </w:r>
      <w:r>
        <w:t xml:space="preserve">11.12.2019,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content/EN/TXT/?uri=COM%3A2019%3A640%3AFIN.</w:t>
      </w:r>
      <w:r>
        <w:t xml:space="preserve"> </w:t>
      </w:r>
      <w:r>
        <w:t xml:space="preserve">14 Communication from the Commission to the European Parliament, the Council, the European</w:t>
      </w:r>
      <w:r>
        <w:t xml:space="preserve"> </w:t>
      </w:r>
      <w:r>
        <w:t xml:space="preserve">Economic and Social Committee and the Committee of the Regions, A new Circular Economy Action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products in the context of the revision of the CPR, including the possible introduction of</w:t>
      </w:r>
      <w:r>
        <w:t xml:space="preserve"> </w:t>
      </w:r>
      <w:r>
        <w:t xml:space="preserve">recycled content requirements for certain construction products, taking into account their</w:t>
      </w:r>
      <w:r>
        <w:t xml:space="preserve"> </w:t>
      </w:r>
      <w:r>
        <w:t xml:space="preserve">safety and functionality.</w:t>
      </w:r>
      <w:r>
        <w:t xml:space="preserve"> </w:t>
      </w:r>
      <w:r>
        <w:t xml:space="preserve">A similar concept was also included in the Renovation Wave15, where revision of the</w:t>
      </w:r>
      <w:r>
        <w:t xml:space="preserve"> </w:t>
      </w:r>
      <w:r>
        <w:t xml:space="preserve">CPR was mentioned as one of the areas of interventions addressing the sustainability</w:t>
      </w:r>
      <w:r>
        <w:t xml:space="preserve"> </w:t>
      </w:r>
      <w:r>
        <w:t xml:space="preserve">performance of construction products. It was announced that the Commission will</w:t>
      </w:r>
      <w:r>
        <w:t xml:space="preserve"> </w:t>
      </w:r>
      <w:r>
        <w:t xml:space="preserve">consider, in the framework of the CPR revision, how sustainability criteria could support</w:t>
      </w:r>
      <w:r>
        <w:t xml:space="preserve"> </w:t>
      </w:r>
      <w:r>
        <w:t xml:space="preserve">the uptake of more sustainable construction products in construction works and foster the</w:t>
      </w:r>
      <w:r>
        <w:t xml:space="preserve"> </w:t>
      </w:r>
      <w:r>
        <w:t xml:space="preserve">uptake of the latest technologies. The Renovation Wave also recognised the need for</w:t>
      </w:r>
      <w:r>
        <w:t xml:space="preserve"> </w:t>
      </w:r>
      <w:r>
        <w:t xml:space="preserve">using low-carbon materials in order to render buildings more climate-friendly.</w:t>
      </w:r>
      <w:r>
        <w:t xml:space="preserve"> </w:t>
      </w:r>
      <w:r>
        <w:t xml:space="preserve">As announced in CEAP, a Sustainable Products Initiative (SPI)16 is currently under</w:t>
      </w:r>
      <w:r>
        <w:t xml:space="preserve"> </w:t>
      </w:r>
      <w:r>
        <w:t xml:space="preserve">preparation with the aim of making products fit for a climate-neutral, resource-efficient</w:t>
      </w:r>
      <w:r>
        <w:t xml:space="preserve"> </w:t>
      </w:r>
      <w:r>
        <w:t xml:space="preserve">and circular economy. The initiative will widen the scope of the Ecodesign Directive</w:t>
      </w:r>
      <w:r>
        <w:t xml:space="preserve"> </w:t>
      </w:r>
      <w:r>
        <w:t xml:space="preserve">(EDD) to all products and to provide for the setting of specific requirements linked to a</w:t>
      </w:r>
      <w:r>
        <w:t xml:space="preserve"> </w:t>
      </w:r>
      <w:r>
        <w:t xml:space="preserve">list of aspects set out in the CEAP. These include durability, reusability, the presence of</w:t>
      </w:r>
      <w:r>
        <w:t xml:space="preserve"> </w:t>
      </w:r>
      <w:r>
        <w:t xml:space="preserve">hazardous chemicals, energy and resource efficiency; carbon and environmental</w:t>
      </w:r>
      <w:r>
        <w:t xml:space="preserve"> </w:t>
      </w:r>
      <w:r>
        <w:t xml:space="preserve">footprints, as well as recycled content, while ensuring products’ performance and safety.</w:t>
      </w:r>
      <w:r>
        <w:t xml:space="preserve"> </w:t>
      </w:r>
      <w:r>
        <w:t xml:space="preserve">It will aim to improve products sustainability, to give access to sustainability information</w:t>
      </w:r>
      <w:r>
        <w:t xml:space="preserve"> </w:t>
      </w:r>
      <w:r>
        <w:t xml:space="preserve">along the supply chain, to incentivise more sustainable products and business models.</w:t>
      </w:r>
      <w:r>
        <w:t xml:space="preserve"> </w:t>
      </w:r>
      <w:r>
        <w:t xml:space="preserve">For construction products, SPI goals shall be mainly realised by means of the</w:t>
      </w:r>
      <w:r>
        <w:t xml:space="preserve"> </w:t>
      </w:r>
      <w:r>
        <w:t xml:space="preserve">Construction Products Regulation (CPR) also to avoid double burden. The CPR shall be</w:t>
      </w:r>
      <w:r>
        <w:t xml:space="preserve"> </w:t>
      </w:r>
      <w:r>
        <w:t xml:space="preserve">able to mirror all obligations and requirements able to be set through the SPI, but for</w:t>
      </w:r>
      <w:r>
        <w:t xml:space="preserve"> </w:t>
      </w:r>
      <w:r>
        <w:t xml:space="preserve">construction products.</w:t>
      </w:r>
      <w:r>
        <w:t xml:space="preserve"> </w:t>
      </w:r>
      <w:r>
        <w:t xml:space="preserve">By aiming to improve safety, sustainability and circularity of construction products, the</w:t>
      </w:r>
      <w:r>
        <w:t xml:space="preserve"> </w:t>
      </w:r>
      <w:r>
        <w:t xml:space="preserve">CPR would also support the objectives of the New European Bauhaus17 initiative,</w:t>
      </w:r>
      <w:r>
        <w:t xml:space="preserve"> </w:t>
      </w:r>
      <w:r>
        <w:t xml:space="preserve">namely a healthy and safe living environment as well as sustainability and circularity. As</w:t>
      </w:r>
      <w:r>
        <w:t xml:space="preserve"> </w:t>
      </w:r>
      <w:r>
        <w:t xml:space="preserve">announced in the Communication, and following the Communication on the update of</w:t>
      </w:r>
      <w:r>
        <w:t xml:space="preserve"> </w:t>
      </w:r>
      <w:r>
        <w:t xml:space="preserve">the 2020 New Industrial Strategy18, the Commission is in the process of co-creating a</w:t>
      </w:r>
      <w:r>
        <w:t xml:space="preserve"> </w:t>
      </w:r>
      <w:r>
        <w:t xml:space="preserve">transition pathway for a green, digital and resilient construction ecosystem19.</w:t>
      </w:r>
      <w:r>
        <w:br/>
      </w:r>
      <w:r>
        <w:t xml:space="preserve">The Council, in its conclusions on</w:t>
      </w:r>
      <w:r>
        <w:t xml:space="preserve"> </w:t>
      </w:r>
      <w:r>
        <w:t xml:space="preserve">“Circular Economy in the Construction Sector”</w:t>
      </w:r>
      <w:r>
        <w:t xml:space="preserve"> </w:t>
      </w:r>
      <w:r>
        <w:t xml:space="preserve">of</w:t>
      </w:r>
      <w:r>
        <w:t xml:space="preserve"> </w:t>
      </w:r>
      <w:r>
        <w:t xml:space="preserve">28 November 2019 acknowledged the potential of circular economy in construction</w:t>
      </w:r>
      <w:r>
        <w:t xml:space="preserve"> </w:t>
      </w:r>
      <w:r>
        <w:t xml:space="preserve">activities from an environmental and economic viewpoint and urged the Commission to</w:t>
      </w:r>
      <w:r>
        <w:t xml:space="preserve"> </w:t>
      </w:r>
      <w:r>
        <w:t xml:space="preserve">undertake action to promote circularity further20. In December 2020 the German Council</w:t>
      </w:r>
      <w:r>
        <w:t xml:space="preserve"> </w:t>
      </w:r>
      <w:r>
        <w:t xml:space="preserve">Presidency presented suggestions on the Future of the Construction Products Regulation</w:t>
      </w:r>
      <w:r>
        <w:t xml:space="preserve"> </w:t>
      </w:r>
      <w:r>
        <w:t xml:space="preserve">regarding the further development of the current CPR and regarding a revised CPR21.</w:t>
      </w:r>
      <w:r>
        <w:t xml:space="preserve"> </w:t>
      </w:r>
      <w:r>
        <w:t xml:space="preserve">In March 2021 the European Parliament adopted an own initiative report prepared by the</w:t>
      </w:r>
      <w:r>
        <w:t xml:space="preserve"> </w:t>
      </w:r>
      <w:r>
        <w:t xml:space="preserve">Committee on Internal Market and Consumer Protection on the Implementation of the</w:t>
      </w:r>
    </w:p>
    <w:p>
      <w:pPr>
        <w:pStyle w:val="BodyText"/>
      </w:pPr>
      <w:r>
        <w:t xml:space="preserve">Plan For a cleaner and more competitive Europe, COM/2020/98 final, https://eur-lex.europa.eu/legal-</w:t>
      </w:r>
      <w:r>
        <w:t xml:space="preserve"> </w:t>
      </w:r>
      <w:r>
        <w:t xml:space="preserve">content/EN/TXT/?qid=1583933814386&amp;uri=COM:2020:98:FIN.</w:t>
      </w:r>
      <w:r>
        <w:t xml:space="preserve"> </w:t>
      </w:r>
      <w:r>
        <w:t xml:space="preserve">15 COM(2020) 662 final.</w:t>
      </w:r>
      <w:r>
        <w:t xml:space="preserve"> </w:t>
      </w:r>
      <w:r>
        <w:t xml:space="preserve">16 See Annex 11. https://ec.europa.eu/info/law/better-regulation/have-your-say/initiatives/12567-</w:t>
      </w:r>
      <w:r>
        <w:t xml:space="preserve"> </w:t>
      </w:r>
      <w:r>
        <w:t xml:space="preserve">Sustainable-products-initiative_en.</w:t>
      </w:r>
      <w:r>
        <w:t xml:space="preserve"> </w:t>
      </w:r>
      <w:r>
        <w:t xml:space="preserve">17 COM(2021) 573 final, COM(2021)_573_EN_ACT.pdf (europa.eu)</w:t>
      </w:r>
      <w:r>
        <w:t xml:space="preserve"> </w:t>
      </w:r>
      <w:r>
        <w:t xml:space="preserve">18 COM(2021) 350 final, communication-new-industrial-strategy.pdf (europa.eu)</w:t>
      </w:r>
      <w:r>
        <w:t xml:space="preserve"> </w:t>
      </w:r>
      <w:r>
        <w:t xml:space="preserve">19 SWD(2021) 419 final, https://ec.europa.eu/docsroom/documents/47996</w:t>
      </w:r>
      <w:r>
        <w:br/>
      </w:r>
      <w:r>
        <w:t xml:space="preserve">20 https://www.consilium.europa.eu/media/41508/st14523-en19.pdf.</w:t>
      </w:r>
      <w:r>
        <w:t xml:space="preserve"> </w:t>
      </w:r>
      <w:r>
        <w:t xml:space="preserve">21 https://data.consilium.europa.eu/doc/document/ST-13596-2020-INIT/en/pdf.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Construction Products Regulation22. The Parliament welcomed the revision of the CPR</w:t>
      </w:r>
      <w:r>
        <w:t xml:space="preserve"> </w:t>
      </w:r>
      <w:r>
        <w:t xml:space="preserve">with a view to further addressing barriers in the internal market for construction products</w:t>
      </w:r>
      <w:r>
        <w:t xml:space="preserve"> </w:t>
      </w:r>
      <w:r>
        <w:t xml:space="preserve">and contributing to the objectives of the EGD and CEAP.</w:t>
      </w:r>
    </w:p>
    <w:p>
      <w:pPr>
        <w:pStyle w:val="Compact"/>
        <w:numPr>
          <w:ilvl w:val="0"/>
          <w:numId w:val="1003"/>
        </w:numPr>
      </w:pP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The main objective of the Construction Products Regulation23 has been to foster a</w:t>
      </w:r>
      <w:r>
        <w:t xml:space="preserve"> </w:t>
      </w:r>
      <w:r>
        <w:t xml:space="preserve">smooth functioning of the internal market for construction products, through providing</w:t>
      </w:r>
      <w:r>
        <w:t xml:space="preserve"> </w:t>
      </w:r>
      <w:r>
        <w:t xml:space="preserve">for a common technical language, based predominantly on harmonised standards. The</w:t>
      </w:r>
      <w:r>
        <w:t xml:space="preserve"> </w:t>
      </w:r>
      <w:r>
        <w:t xml:space="preserve">CPR ensures that reliable information is available to professionals, public authorities, and</w:t>
      </w:r>
      <w:r>
        <w:t xml:space="preserve"> </w:t>
      </w:r>
      <w:r>
        <w:t xml:space="preserve">consumers, so they can compare the performance of construction products from different</w:t>
      </w:r>
      <w:r>
        <w:t xml:space="preserve"> </w:t>
      </w:r>
      <w:r>
        <w:t xml:space="preserve">manufacturers in different EU Member States. Standards provide a common basis for</w:t>
      </w:r>
      <w:r>
        <w:t xml:space="preserve"> </w:t>
      </w:r>
      <w:r>
        <w:t xml:space="preserve">testing and communicating the performance of construction products, allowing</w:t>
      </w:r>
      <w:r>
        <w:t xml:space="preserve"> </w:t>
      </w:r>
      <w:r>
        <w:t xml:space="preserve">manufacturers to prepare a single declaration of performance (DoP) for their products,</w:t>
      </w:r>
      <w:r>
        <w:t xml:space="preserve"> </w:t>
      </w:r>
      <w:r>
        <w:t xml:space="preserve">affix the CE mark and eventually put their products on the EU internal market.</w:t>
      </w:r>
      <w:r>
        <w:br/>
      </w:r>
      <w:r>
        <w:t xml:space="preserve">The evaluation of the CPR, as well as feedback received from the Member States and</w:t>
      </w:r>
      <w:r>
        <w:t xml:space="preserve"> </w:t>
      </w:r>
      <w:r>
        <w:t xml:space="preserve">stakeholders point clearly to the underperformance of the framework, hindering the</w:t>
      </w:r>
      <w:r>
        <w:t xml:space="preserve"> </w:t>
      </w:r>
      <w:r>
        <w:t xml:space="preserve">functioning of the single market for the construction products, and so failing to achieve</w:t>
      </w:r>
      <w:r>
        <w:t xml:space="preserve"> </w:t>
      </w:r>
      <w:r>
        <w:t xml:space="preserve">the CPR’s objectives24. This, together with the need for the construction sector to</w:t>
      </w:r>
      <w:r>
        <w:t xml:space="preserve"> </w:t>
      </w:r>
      <w:r>
        <w:t xml:space="preserve">contribute to the European Green Deal objectives of transforming towards a modern,</w:t>
      </w:r>
      <w:r>
        <w:t xml:space="preserve"> </w:t>
      </w:r>
      <w:r>
        <w:t xml:space="preserve">resource-efficient and competitive economy, are the main underlying reasons for the</w:t>
      </w:r>
      <w:r>
        <w:t xml:space="preserve"> </w:t>
      </w:r>
      <w:r>
        <w:t xml:space="preserve">Commission to consider a revision of the framework.</w:t>
      </w:r>
      <w:r>
        <w:t xml:space="preserve"> </w:t>
      </w:r>
      <w:r>
        <w:t xml:space="preserve">The framework’s underperformance is due to a number of overarching issues with regard</w:t>
      </w:r>
      <w:r>
        <w:t xml:space="preserve"> </w:t>
      </w:r>
      <w:r>
        <w:t xml:space="preserve">to the functioning of the CPR, as identified in the evaluation. The main problems are:</w:t>
      </w:r>
      <w:r>
        <w:t xml:space="preserve"> </w:t>
      </w:r>
      <w:r>
        <w:t xml:space="preserve">Problem 1: Internal market for construction products not achieved</w:t>
      </w:r>
      <w:r>
        <w:t xml:space="preserve"> </w:t>
      </w:r>
      <w:r>
        <w:t xml:space="preserve">The product performance information system under the CPR requires uniform</w:t>
      </w:r>
      <w:r>
        <w:t xml:space="preserve"> </w:t>
      </w:r>
      <w:r>
        <w:t xml:space="preserve">application in order to be efficient. Hence the crucial role of harmonised standards as</w:t>
      </w:r>
      <w:r>
        <w:t xml:space="preserve"> </w:t>
      </w:r>
      <w:r>
        <w:t xml:space="preserve">essential element of the common technical language. The use of standards in support of</w:t>
      </w:r>
      <w:r>
        <w:t xml:space="preserve"> </w:t>
      </w:r>
      <w:r>
        <w:t xml:space="preserve">the CPR is mandatory if they are cited in the Official Journal of the European Union</w:t>
      </w:r>
      <w:r>
        <w:t xml:space="preserve"> </w:t>
      </w:r>
      <w:r>
        <w:t xml:space="preserve">(OJEU). Such harmonised standards, developed by the European Standardisation</w:t>
      </w:r>
      <w:r>
        <w:t xml:space="preserve"> </w:t>
      </w:r>
      <w:r>
        <w:t xml:space="preserve">Organisations25 (ESOs), are necessary for testing and communicating the performance of</w:t>
      </w:r>
      <w:r>
        <w:t xml:space="preserve"> </w:t>
      </w:r>
      <w:r>
        <w:t xml:space="preserve">construction products. As such, harmonised standards in support of the CPR form a</w:t>
      </w:r>
      <w:r>
        <w:t xml:space="preserve"> </w:t>
      </w:r>
      <w:r>
        <w:t xml:space="preserve">common technical language that acts as a link between the performance of construction</w:t>
      </w:r>
      <w:r>
        <w:t xml:space="preserve"> </w:t>
      </w:r>
      <w:r>
        <w:t xml:space="preserve">products and the basic requirements for construction works (also called Basic Work</w:t>
      </w:r>
      <w:r>
        <w:t xml:space="preserve"> </w:t>
      </w:r>
      <w:r>
        <w:t xml:space="preserve">Requirements or BWRs) set out in Annex I of the CPR, depending on their essential</w:t>
      </w:r>
      <w:r>
        <w:t xml:space="preserve"> </w:t>
      </w:r>
      <w:r>
        <w:t xml:space="preserve">characteristics and intended use.</w:t>
      </w:r>
    </w:p>
    <w:p>
      <w:pPr>
        <w:pStyle w:val="FirstParagraph"/>
      </w:pPr>
      <w:r>
        <w:t xml:space="preserve">22 Implementation of Regulation (EU) No 305/2011 laying down harmonised conditions for the marketing</w:t>
      </w:r>
      <w:r>
        <w:t xml:space="preserve"> </w:t>
      </w:r>
      <w:r>
        <w:t xml:space="preserve">of construction products (the Construction Products Regulation), 2020/2028(INI).</w:t>
      </w:r>
      <w:r>
        <w:t xml:space="preserve"> </w:t>
      </w:r>
      <w:r>
        <w:t xml:space="preserve">23 See Annex 6 Description of the CPR for more details.</w:t>
      </w:r>
      <w:r>
        <w:t xml:space="preserve"> </w:t>
      </w:r>
      <w:r>
        <w:t xml:space="preserve">24 See Annex 6 Description of the CPR for more details.</w:t>
      </w:r>
      <w:r>
        <w:t xml:space="preserve"> </w:t>
      </w:r>
      <w:r>
        <w:t xml:space="preserve">25 Predominantly by the European Committee for Standardisation (CEN), recognised as one of the three</w:t>
      </w:r>
      <w:r>
        <w:t xml:space="preserve"> </w:t>
      </w:r>
      <w:r>
        <w:t xml:space="preserve">European Standardisation Organisations pursuant to Regulation (EU) No 1025/2012 (Standardisation</w:t>
      </w:r>
      <w:r>
        <w:t xml:space="preserve"> </w:t>
      </w:r>
      <w:r>
        <w:t xml:space="preserve">Regulation).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When harmonised standards in support of the CPR are cited in the OJEU, products</w:t>
      </w:r>
      <w:r>
        <w:t xml:space="preserve"> </w:t>
      </w:r>
      <w:r>
        <w:t xml:space="preserve">covered by such standards have to be CE marked – this indicates that they have been</w:t>
      </w:r>
      <w:r>
        <w:t xml:space="preserve"> </w:t>
      </w:r>
      <w:r>
        <w:t xml:space="preserve">assessed to be in conformity with their declared performance26. The Member States are</w:t>
      </w:r>
      <w:r>
        <w:t xml:space="preserve"> </w:t>
      </w:r>
      <w:r>
        <w:t xml:space="preserve">then obliged to allow the marketing of CE marked construction products, without</w:t>
      </w:r>
      <w:r>
        <w:t xml:space="preserve"> </w:t>
      </w:r>
      <w:r>
        <w:t xml:space="preserve">requiring any additional marks, certificates or testing27. Up-to-date and comprehensive</w:t>
      </w:r>
      <w:r>
        <w:t xml:space="preserve"> </w:t>
      </w:r>
      <w:r>
        <w:t xml:space="preserve">harmonised standards cited in the OJEU are therefore essential for the functioning of</w:t>
      </w:r>
      <w:r>
        <w:t xml:space="preserve"> </w:t>
      </w:r>
      <w:r>
        <w:t xml:space="preserve">the internal market, as they provide the manufacturers with a single framework for</w:t>
      </w:r>
      <w:r>
        <w:t xml:space="preserve"> </w:t>
      </w:r>
      <w:r>
        <w:t xml:space="preserve">testing their products, thereby facilitating market access and creating a level-playing</w:t>
      </w:r>
      <w:r>
        <w:t xml:space="preserve"> </w:t>
      </w:r>
      <w:r>
        <w:t xml:space="preserve">field.</w:t>
      </w:r>
      <w:r>
        <w:br/>
      </w:r>
      <w:r>
        <w:t xml:space="preserve">In fact, while at the time of the 2008 Impact Assessment, it was expected that the (then)</w:t>
      </w:r>
      <w:r>
        <w:t xml:space="preserve"> </w:t>
      </w:r>
      <w:r>
        <w:t xml:space="preserve">new CPR would lead to increased levels of competition28, the statistical analysis could</w:t>
      </w:r>
      <w:r>
        <w:t xml:space="preserve"> </w:t>
      </w:r>
      <w:r>
        <w:t xml:space="preserve">not demonstrate any overall impact of the CPR on cross-border trade for construction</w:t>
      </w:r>
      <w:r>
        <w:t xml:space="preserve"> </w:t>
      </w:r>
      <w:r>
        <w:t xml:space="preserve">products29.</w:t>
      </w:r>
      <w:r>
        <w:t xml:space="preserve"> </w:t>
      </w:r>
      <w:r>
        <w:t xml:space="preserve">To date, the standardisation process at the core of the CPR has been underperforming.</w:t>
      </w:r>
      <w:r>
        <w:t xml:space="preserve"> </w:t>
      </w:r>
      <w:r>
        <w:t xml:space="preserve">In the recent years, draft harmonised standards developed by the ESOs have rarely been</w:t>
      </w:r>
      <w:r>
        <w:t xml:space="preserve"> </w:t>
      </w:r>
      <w:r>
        <w:t xml:space="preserve">cited in the Official Journal (OJEU) mainly due to legal issues, such as contradiction with</w:t>
      </w:r>
      <w:r>
        <w:t xml:space="preserve"> </w:t>
      </w:r>
      <w:r>
        <w:t xml:space="preserve">the requirements of the CPR or trespassing the scope of the mandate/standardisation</w:t>
      </w:r>
      <w:r>
        <w:t xml:space="preserve"> </w:t>
      </w:r>
      <w:r>
        <w:t xml:space="preserve">request. Since early 2019, despite multiple efforts, not a single standard in support of the</w:t>
      </w:r>
      <w:r>
        <w:t xml:space="preserve"> </w:t>
      </w:r>
      <w:r>
        <w:t xml:space="preserve">CPR has been cited in the Official Journal (OJEU). The lack of citation of up-to-date</w:t>
      </w:r>
      <w:r>
        <w:t xml:space="preserve"> </w:t>
      </w:r>
      <w:r>
        <w:t xml:space="preserve">harmonised standards for construction products is considered a key factor undermining</w:t>
      </w:r>
      <w:r>
        <w:t xml:space="preserve"> </w:t>
      </w:r>
      <w:r>
        <w:t xml:space="preserve">the internal market, with outdated harmonised standards causing direct or indirect costs</w:t>
      </w:r>
      <w:r>
        <w:t xml:space="preserve"> </w:t>
      </w:r>
      <w:r>
        <w:t xml:space="preserve">for the businesses, particularly SMEs30. This problem was frequently underlined by the</w:t>
      </w:r>
      <w:r>
        <w:t xml:space="preserve"> </w:t>
      </w:r>
      <w:r>
        <w:t xml:space="preserve">stakeholders who observed that the lengthiness of the standardisation process has serious</w:t>
      </w:r>
      <w:r>
        <w:t xml:space="preserve"> </w:t>
      </w:r>
      <w:r>
        <w:t xml:space="preserve">consequences for the realisation of the internal market31. The process is too slow to keep</w:t>
      </w:r>
      <w:r>
        <w:t xml:space="preserve"> </w:t>
      </w:r>
      <w:r>
        <w:t xml:space="preserve">pace with the developments in the sector. The resulting standards may then not always be</w:t>
      </w:r>
      <w:r>
        <w:t xml:space="preserve"> </w:t>
      </w:r>
      <w:r>
        <w:t xml:space="preserve">market-relevant32 as well as do not fulfil the regulatory needs of Member States. Five</w:t>
      </w:r>
      <w:r>
        <w:t xml:space="preserve"> </w:t>
      </w:r>
      <w:r>
        <w:t xml:space="preserve">technical bodies, four business representatives, three public authorities, and one SME</w:t>
      </w:r>
    </w:p>
    <w:p>
      <w:pPr>
        <w:pStyle w:val="BodyText"/>
      </w:pPr>
      <w:r>
        <w:t xml:space="preserve">26 European Commission (2017) Declaration of Performance (DoP) and CE marking, Available at:</w:t>
      </w:r>
      <w:r>
        <w:br/>
      </w:r>
      <w:r>
        <w:t xml:space="preserve">https://ec.europa.eu/growth/sectors/construction/product-regulation/performance-declaration_en.</w:t>
      </w:r>
      <w:r>
        <w:t xml:space="preserve"> </w:t>
      </w:r>
      <w:r>
        <w:t xml:space="preserve">27 European Commission, CE marking of construction products step by step. Available at:</w:t>
      </w:r>
      <w:r>
        <w:br/>
      </w:r>
      <w:r>
        <w:t xml:space="preserve">http://ec.europa.eu/DocsRoom/documents?tags=ce-guide.</w:t>
      </w:r>
      <w:r>
        <w:t xml:space="preserve"> </w:t>
      </w:r>
      <w:r>
        <w:t xml:space="preserve">28 COM(2008)1900, p. 15, https://eur-lex.europa.eu/legal-</w:t>
      </w:r>
      <w:r>
        <w:t xml:space="preserve"> </w:t>
      </w:r>
      <w:r>
        <w:t xml:space="preserve">content/EN/TXT/PDF/?uri=CELEX:52008SC1900&amp;from=EN.</w:t>
      </w:r>
      <w:r>
        <w:t xml:space="preserve"> </w:t>
      </w:r>
      <w:r>
        <w:t xml:space="preserve">29 VVA Economics &amp; Policy, Joint Institute for Innovation Policy (JIIP), Danish Technological Institute</w:t>
      </w:r>
      <w:r>
        <w:t xml:space="preserve"> </w:t>
      </w:r>
      <w:r>
        <w:t xml:space="preserve">(DTI), Global Data Collection Company (2018). Supporting study for the Review of the Construction</w:t>
      </w:r>
      <w:r>
        <w:t xml:space="preserve"> </w:t>
      </w:r>
      <w:r>
        <w:t xml:space="preserve">Products Regulation: Evaluation, p. 70.</w:t>
      </w:r>
      <w:r>
        <w:t xml:space="preserve"> </w:t>
      </w:r>
      <w:r>
        <w:t xml:space="preserve">30 Evaluation of Regulation (EU) No 305/2011 laying down harmonised conditions for the marketing of</w:t>
      </w:r>
      <w:r>
        <w:t xml:space="preserve"> </w:t>
      </w:r>
      <w:r>
        <w:t xml:space="preserve">construction products and repealing Council Directive 89/106/EEC, SWD(2019)1770, Page 46,</w:t>
      </w:r>
      <w:r>
        <w:t xml:space="preserve"> </w:t>
      </w:r>
      <w:r>
        <w:t xml:space="preserve">https://ec.europa.eu/docsroom/documents/37827.</w:t>
      </w:r>
      <w:r>
        <w:t xml:space="preserve"> </w:t>
      </w:r>
      <w:r>
        <w:t xml:space="preserve">Report on the implementation of Regulation (EU) No 305/2011 laying down harmonised conditions for</w:t>
      </w:r>
      <w:r>
        <w:t xml:space="preserve"> </w:t>
      </w:r>
      <w:r>
        <w:t xml:space="preserve">the marketing of construction products (the Construction Products Regulation) (2020/2028(INI))</w:t>
      </w:r>
      <w:r>
        <w:t xml:space="preserve"> </w:t>
      </w:r>
      <w:r>
        <w:t xml:space="preserve">https://www.europarl.europa.eu/doceo/document/A-9-2021-0012_EN.pdf.</w:t>
      </w:r>
      <w:r>
        <w:t xml:space="preserve"> </w:t>
      </w:r>
      <w:r>
        <w:t xml:space="preserve">31 See e.g. Discussion Paper “The future of the standardisation system within the CPR” of 7 September</w:t>
      </w:r>
      <w:r>
        <w:t xml:space="preserve"> </w:t>
      </w:r>
      <w:r>
        <w:t xml:space="preserve">2020, by European Builders Confederation (EBC), the European Construction Industry Federation (FIEC),</w:t>
      </w:r>
      <w:r>
        <w:t xml:space="preserve"> </w:t>
      </w:r>
      <w:r>
        <w:t xml:space="preserve">Construction Products Europe and Small Business Standards (SBS),</w:t>
      </w:r>
      <w:r>
        <w:t xml:space="preserve"> </w:t>
      </w:r>
      <w:r>
        <w:t xml:space="preserve">https://www.fiec.eu/application/files/6516/0015/6944/2020-09-</w:t>
      </w:r>
      <w:r>
        <w:t xml:space="preserve"> </w:t>
      </w:r>
      <w:r>
        <w:t xml:space="preserve">07_Discussion_Paper_on_the_Revision_of_the_CPR.pdf.</w:t>
      </w:r>
      <w:r>
        <w:t xml:space="preserve"> </w:t>
      </w:r>
      <w:r>
        <w:t xml:space="preserve">32 VVA Economics &amp; Policy, Joint Institute for Innovation Policy (JIIP), Danish Technological Institute</w:t>
      </w:r>
      <w:r>
        <w:t xml:space="preserve"> </w:t>
      </w:r>
      <w:r>
        <w:t xml:space="preserve">(DTI), Global Data Collection Company (2018). Supporting study for the Review of the Construction</w:t>
      </w:r>
      <w:r>
        <w:t xml:space="preserve"> </w:t>
      </w:r>
      <w:r>
        <w:t xml:space="preserve">Products Regulation: Impact Assessment, p.26.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representative participated in the semi-structured interviews stressed the need to address</w:t>
      </w:r>
      <w:r>
        <w:t xml:space="preserve"> </w:t>
      </w:r>
      <w:r>
        <w:t xml:space="preserve">the problem of the slow citation of harmonised standards under the CPR.33</w:t>
      </w:r>
      <w:r>
        <w:br/>
      </w:r>
      <w:r>
        <w:t xml:space="preserve">The CPR provides for an alternative route for CE marking for construction products not</w:t>
      </w:r>
      <w:r>
        <w:t xml:space="preserve"> </w:t>
      </w:r>
      <w:r>
        <w:t xml:space="preserve">covered or not fully covered by harmonised standards – the EOTA route – by providing</w:t>
      </w:r>
      <w:r>
        <w:t xml:space="preserve"> </w:t>
      </w:r>
      <w:r>
        <w:t xml:space="preserve">the possibility for manufacturers to request a European Technical Assessment (ETA).</w:t>
      </w:r>
      <w:r>
        <w:t xml:space="preserve"> </w:t>
      </w:r>
      <w:r>
        <w:t xml:space="preserve">The manufacturer may issue a Declaration of Performance and affix the CE marking on</w:t>
      </w:r>
      <w:r>
        <w:t xml:space="preserve"> </w:t>
      </w:r>
      <w:r>
        <w:t xml:space="preserve">the basis of an ETA. ETAs are issued by Technical Assessment Bodies on the basis of</w:t>
      </w:r>
      <w:r>
        <w:t xml:space="preserve"> </w:t>
      </w:r>
      <w:r>
        <w:t xml:space="preserve">European Assessment Documents (EADs), developed by European Organisation for</w:t>
      </w:r>
      <w:r>
        <w:t xml:space="preserve"> </w:t>
      </w:r>
      <w:r>
        <w:t xml:space="preserve">Technical Assessment (EOTA) and cited by the Commission in the OJEU (see Annex 7</w:t>
      </w:r>
      <w:r>
        <w:t xml:space="preserve"> </w:t>
      </w:r>
      <w:r>
        <w:t xml:space="preserve">on the functioning of the EOTA route). The underperformance of the standardisation</w:t>
      </w:r>
      <w:r>
        <w:t xml:space="preserve"> </w:t>
      </w:r>
      <w:r>
        <w:t xml:space="preserve">system leads also to putting the EOTA route under strain. More details on this are further</w:t>
      </w:r>
      <w:r>
        <w:t xml:space="preserve"> </w:t>
      </w:r>
      <w:r>
        <w:t xml:space="preserve">developed in section “3.2 How will the problems evolve?”</w:t>
      </w:r>
      <w:r>
        <w:t xml:space="preserve"> </w:t>
      </w:r>
      <w:r>
        <w:t xml:space="preserve">Furthermore, while the CPR lays down no specific, direct requirements in terms of</w:t>
      </w:r>
      <w:r>
        <w:t xml:space="preserve"> </w:t>
      </w:r>
      <w:r>
        <w:t xml:space="preserve">product safety, manufacturers declare the performance of products with regard to their</w:t>
      </w:r>
      <w:r>
        <w:t xml:space="preserve"> </w:t>
      </w:r>
      <w:r>
        <w:t xml:space="preserve">essential characteristics, which include safety. However, this is not in all cases</w:t>
      </w:r>
      <w:r>
        <w:t xml:space="preserve"> </w:t>
      </w:r>
      <w:r>
        <w:t xml:space="preserve">appropriate. Product safety related requirements are often hidden as product</w:t>
      </w:r>
      <w:r>
        <w:t xml:space="preserve"> </w:t>
      </w:r>
      <w:r>
        <w:t xml:space="preserve">“description” in the mandatory standards and may not cover inherent safety risks.</w:t>
      </w:r>
      <w:r>
        <w:t xml:space="preserve"> </w:t>
      </w:r>
      <w:r>
        <w:t xml:space="preserve">Examples of inherent safety risks for construction products are mechanical risks</w:t>
      </w:r>
      <w:r>
        <w:t xml:space="preserve"> </w:t>
      </w:r>
      <w:r>
        <w:t xml:space="preserve">(squeezing, cutting, slipping), mechanical failure (e.g. locks of escape doors not</w:t>
      </w:r>
      <w:r>
        <w:t xml:space="preserve"> </w:t>
      </w:r>
      <w:r>
        <w:t xml:space="preserve">opening), physical failure (e.g. too wet/too dry wood installed), risks of electric failure</w:t>
      </w:r>
      <w:r>
        <w:t xml:space="preserve"> </w:t>
      </w:r>
      <w:r>
        <w:t xml:space="preserve">(sensibility of fire detectors, risk of short-cuts and thus fire) or risks of incompatibility of</w:t>
      </w:r>
      <w:r>
        <w:t xml:space="preserve"> </w:t>
      </w:r>
      <w:r>
        <w:t xml:space="preserve">substances/materials (glues for floorings and flooring materials)34. All in all, inherent</w:t>
      </w:r>
      <w:r>
        <w:t xml:space="preserve"> </w:t>
      </w:r>
      <w:r>
        <w:t xml:space="preserve">product safety (safety aspects not related to the safety of construction works), is not dealt</w:t>
      </w:r>
      <w:r>
        <w:t xml:space="preserve"> </w:t>
      </w:r>
      <w:r>
        <w:t xml:space="preserve">with in a consistent manner for construction products and is largely left to the Member</w:t>
      </w:r>
      <w:r>
        <w:t xml:space="preserve"> </w:t>
      </w:r>
      <w:r>
        <w:t xml:space="preserve">States, despite Article 114 TFEU (the legal basis for the current CPR) requiring to strive</w:t>
      </w:r>
      <w:r>
        <w:t xml:space="preserve"> </w:t>
      </w:r>
      <w:r>
        <w:t xml:space="preserve">for a high level of protection of safety and consumers. Requirements linked to inherent</w:t>
      </w:r>
      <w:r>
        <w:t xml:space="preserve"> </w:t>
      </w:r>
      <w:r>
        <w:t xml:space="preserve">safety defined at national level risk adding to the trade barriers within the internal</w:t>
      </w:r>
      <w:r>
        <w:t xml:space="preserve"> </w:t>
      </w:r>
      <w:r>
        <w:t xml:space="preserve">market for construction products.</w:t>
      </w:r>
      <w:r>
        <w:br/>
      </w:r>
      <w:r>
        <w:t xml:space="preserve">Further obstacles to the internal market remain, among others, in the form of continued</w:t>
      </w:r>
      <w:r>
        <w:t xml:space="preserve"> </w:t>
      </w:r>
      <w:r>
        <w:t xml:space="preserve">existence of the national marks, certifications and approvals.35 This creates additional</w:t>
      </w:r>
      <w:r>
        <w:t xml:space="preserve"> </w:t>
      </w:r>
      <w:r>
        <w:t xml:space="preserve">barriers, e.g. through national requirements for additional testing or national product</w:t>
      </w:r>
      <w:r>
        <w:t xml:space="preserve"> </w:t>
      </w:r>
      <w:r>
        <w:t xml:space="preserve">approval for a product to be marketed/used in a given Member States, and leads to</w:t>
      </w:r>
      <w:r>
        <w:t xml:space="preserve"> </w:t>
      </w:r>
      <w:r>
        <w:t xml:space="preserve">additional costs. The existence of national marks, certifications and approvals is clearly</w:t>
      </w:r>
      <w:r>
        <w:t xml:space="preserve"> </w:t>
      </w:r>
      <w:r>
        <w:t xml:space="preserve">linked to the incomplete character of harmonisation under the CPR, the latter not</w:t>
      </w:r>
      <w:r>
        <w:t xml:space="preserve"> </w:t>
      </w:r>
      <w:r>
        <w:t xml:space="preserve">including a possibility for standards to cover environmental nor safety requirements for</w:t>
      </w:r>
      <w:r>
        <w:t xml:space="preserve"> </w:t>
      </w:r>
      <w:r>
        <w:t xml:space="preserve">products.</w:t>
      </w:r>
    </w:p>
    <w:p>
      <w:pPr>
        <w:pStyle w:val="BodyText"/>
      </w:pPr>
      <w:r>
        <w:t xml:space="preserve">33 VVA Economics &amp; Policy, Joint Institute for Innovation Policy (JIIP), Danish Technological Institute</w:t>
      </w:r>
      <w:r>
        <w:t xml:space="preserve"> </w:t>
      </w:r>
      <w:r>
        <w:t xml:space="preserve">(DTI), Global Data Collection Company (2018). Supporting study for the Review of the Construction</w:t>
      </w:r>
      <w:r>
        <w:t xml:space="preserve"> </w:t>
      </w:r>
      <w:r>
        <w:t xml:space="preserve">Products Regulation: Impact Assessment, p. 54.</w:t>
      </w:r>
      <w:r>
        <w:t xml:space="preserve"> </w:t>
      </w:r>
      <w:r>
        <w:t xml:space="preserve">34 Crucial to acknowledge is that data on safety incidents and other data needed for a quantification of risks</w:t>
      </w:r>
      <w:r>
        <w:t xml:space="preserve"> </w:t>
      </w:r>
      <w:r>
        <w:t xml:space="preserve">on health and safety with regard to construction products is missing. In general, quantified evidence on</w:t>
      </w:r>
      <w:r>
        <w:t xml:space="preserve"> </w:t>
      </w:r>
      <w:r>
        <w:t xml:space="preserve">health and safety incidents resulting from construction products is scarce, particularly since it is also of</w:t>
      </w:r>
      <w:r>
        <w:t xml:space="preserve"> </w:t>
      </w:r>
      <w:r>
        <w:t xml:space="preserve">importance to take into account the way that construction products are used/put in place/combined with</w:t>
      </w:r>
      <w:r>
        <w:t xml:space="preserve"> </w:t>
      </w:r>
      <w:r>
        <w:t xml:space="preserve">other products.</w:t>
      </w:r>
      <w:r>
        <w:t xml:space="preserve"> </w:t>
      </w:r>
      <w:r>
        <w:t xml:space="preserve">35 https://wayback.archive-it.org/12090/20200221170910/https://ec.europa.eu/info/law/law-making-</w:t>
      </w:r>
      <w:r>
        <w:t xml:space="preserve"> </w:t>
      </w:r>
      <w:r>
        <w:t xml:space="preserve">process/evaluating-and-improving-existing-laws/refit-making-eu-law-simpler-and-less-costly/refit-</w:t>
      </w:r>
      <w:r>
        <w:t xml:space="preserve"> </w:t>
      </w:r>
      <w:r>
        <w:t xml:space="preserve">platform/refit-platform-recommendations-and-other-work_en.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In a nutshell, if the CPR remained unrevised, there would be no significant changes to</w:t>
      </w:r>
      <w:r>
        <w:t xml:space="preserve"> </w:t>
      </w:r>
      <w:r>
        <w:t xml:space="preserve">market opportunities as a result of the CPR, thus leaving the potential for European</w:t>
      </w:r>
      <w:r>
        <w:t xml:space="preserve"> </w:t>
      </w:r>
      <w:r>
        <w:t xml:space="preserve">legislation on construction products to stimulate further growth in cross-border trade in</w:t>
      </w:r>
      <w:r>
        <w:t xml:space="preserve"> </w:t>
      </w:r>
      <w:r>
        <w:t xml:space="preserve">the sector unexploited36.</w:t>
      </w:r>
      <w:r>
        <w:br/>
      </w:r>
      <w:r>
        <w:t xml:space="preserve">Problem 2: Implementation challenges at national level</w:t>
      </w:r>
      <w:r>
        <w:br/>
      </w:r>
      <w:r>
        <w:t xml:space="preserve">Despite improved cooperation among market surveillance authorities, it became apparent</w:t>
      </w:r>
      <w:r>
        <w:t xml:space="preserve"> </w:t>
      </w:r>
      <w:r>
        <w:t xml:space="preserve">during the implementation of the CPR that market surveillance activities are broadly</w:t>
      </w:r>
      <w:r>
        <w:t xml:space="preserve"> </w:t>
      </w:r>
      <w:r>
        <w:t xml:space="preserve">seen as ineffective and widely varying in quality and effectiveness from one Member</w:t>
      </w:r>
      <w:r>
        <w:t xml:space="preserve"> </w:t>
      </w:r>
      <w:r>
        <w:t xml:space="preserve">State to another37. Ineffective market surveillance nurtures limited trust in the regulatory</w:t>
      </w:r>
      <w:r>
        <w:t xml:space="preserve"> </w:t>
      </w:r>
      <w:r>
        <w:t xml:space="preserve">framework and is thus a disincentive for companies to comply with the legislation, either</w:t>
      </w:r>
      <w:r>
        <w:t xml:space="preserve"> </w:t>
      </w:r>
      <w:r>
        <w:t xml:space="preserve">because there is little risk of getting caught, and/or because companies feel that they are</w:t>
      </w:r>
      <w:r>
        <w:t xml:space="preserve"> </w:t>
      </w:r>
      <w:r>
        <w:t xml:space="preserve">exposed to unfair competition38. Insufficient market surveillance and enforcement</w:t>
      </w:r>
      <w:r>
        <w:t xml:space="preserve"> </w:t>
      </w:r>
      <w:r>
        <w:t xml:space="preserve">prevents benefits in terms of opening up markets and levelling the playing field for</w:t>
      </w:r>
      <w:r>
        <w:t xml:space="preserve"> </w:t>
      </w:r>
      <w:r>
        <w:t xml:space="preserve">competitors from materialising fully39.</w:t>
      </w:r>
      <w:r>
        <w:br/>
      </w:r>
      <w:r>
        <w:t xml:space="preserve">Furthermore, some drawbacks with regard to the functioning of Notified Bodies (NBs)</w:t>
      </w:r>
      <w:r>
        <w:t xml:space="preserve"> </w:t>
      </w:r>
      <w:r>
        <w:t xml:space="preserve">and Notifying Authorities were identified in the report on the implementation of the</w:t>
      </w:r>
      <w:r>
        <w:t xml:space="preserve"> </w:t>
      </w:r>
      <w:r>
        <w:t xml:space="preserve">CPR, indicating that relevant CPR provisions would benefit from more accuracy, e.g. on</w:t>
      </w:r>
      <w:r>
        <w:t xml:space="preserve"> </w:t>
      </w:r>
      <w:r>
        <w:t xml:space="preserve">requirements for NBs (Article 43), on operational obligations for NBs (Article 52) and on</w:t>
      </w:r>
      <w:r>
        <w:t xml:space="preserve"> </w:t>
      </w:r>
      <w:r>
        <w:t xml:space="preserve">coordination of NBs (Article 55).</w:t>
      </w:r>
      <w:r>
        <w:br/>
      </w:r>
      <w:r>
        <w:t xml:space="preserve">Problem 3: Complexity of the legal framework /simplification not achieved</w:t>
      </w:r>
      <w:r>
        <w:t xml:space="preserve"> </w:t>
      </w:r>
      <w:r>
        <w:t xml:space="preserve">Certain features of the CPR differ from the ones used in most internal market legislation.</w:t>
      </w:r>
      <w:r>
        <w:t xml:space="preserve"> </w:t>
      </w:r>
      <w:r>
        <w:t xml:space="preserve">Particularly, the meaning of the CE marking refers to assessing the performance of a</w:t>
      </w:r>
      <w:r>
        <w:t xml:space="preserve"> </w:t>
      </w:r>
      <w:r>
        <w:t xml:space="preserve">construction product instead of its conformity with product requirements. However, it is</w:t>
      </w:r>
      <w:r>
        <w:t xml:space="preserve"> </w:t>
      </w:r>
      <w:r>
        <w:t xml:space="preserve">not clear to several stakeholders (even manufacturers, distributors, importers,</w:t>
      </w:r>
      <w:r>
        <w:t xml:space="preserve"> </w:t>
      </w:r>
      <w:r>
        <w:t xml:space="preserve">professional end users and raw material suppliers) that the CE marking under the CPR is</w:t>
      </w:r>
      <w:r>
        <w:t xml:space="preserve"> </w:t>
      </w:r>
      <w:r>
        <w:t xml:space="preserve">not a quality mark and does not indicate product safety or that a product complies with</w:t>
      </w:r>
      <w:r>
        <w:t xml:space="preserve"> </w:t>
      </w:r>
      <w:r>
        <w:t xml:space="preserve">national building requirements. The confusion created by the misunderstanding or</w:t>
      </w:r>
      <w:r>
        <w:t xml:space="preserve"> </w:t>
      </w:r>
      <w:r>
        <w:t xml:space="preserve">misinterpretation of the CE marking creates significant legal uncertainty40 .</w:t>
      </w:r>
      <w:r>
        <w:t xml:space="preserve"> </w:t>
      </w:r>
      <w:r>
        <w:t xml:space="preserve">The simplification provisions (see Annex 8 for details) within the CPR are aimed</w:t>
      </w:r>
      <w:r>
        <w:t xml:space="preserve"> </w:t>
      </w:r>
      <w:r>
        <w:t xml:space="preserve">predominantly at SMEs and include Article 5 (derogations from drawing up a</w:t>
      </w:r>
    </w:p>
    <w:p>
      <w:pPr>
        <w:pStyle w:val="BodyText"/>
      </w:pPr>
      <w:r>
        <w:t xml:space="preserve">36 VVA Economics &amp; Policy, Joint Institute for Innovation Policy (JIIP), Danish Technological Institute</w:t>
      </w:r>
      <w:r>
        <w:t xml:space="preserve"> </w:t>
      </w:r>
      <w:r>
        <w:t xml:space="preserve">(DTI), Global Data Collection Company (2018). Supporting study for the Review of the Construction</w:t>
      </w:r>
      <w:r>
        <w:t xml:space="preserve"> </w:t>
      </w:r>
      <w:r>
        <w:t xml:space="preserve">Products Regulation: Impact Assessment, p. 49.</w:t>
      </w:r>
      <w:r>
        <w:t xml:space="preserve"> </w:t>
      </w:r>
      <w:r>
        <w:t xml:space="preserve">37 Evaluation of Regulation (EU) No 305/2011 laying down harmonised conditions for the marketing of</w:t>
      </w:r>
      <w:r>
        <w:t xml:space="preserve"> </w:t>
      </w:r>
      <w:r>
        <w:t xml:space="preserve">construction products and repealing Council Directive 89/106/EEC, SWD(2019)1770, page 23,</w:t>
      </w:r>
      <w:r>
        <w:t xml:space="preserve"> </w:t>
      </w:r>
      <w:r>
        <w:t xml:space="preserve">https://ec.europa.eu/docsroom/documents/37827.</w:t>
      </w:r>
      <w:r>
        <w:t xml:space="preserve"> </w:t>
      </w:r>
      <w:r>
        <w:t xml:space="preserve">See Annex 2 on consultation activities.</w:t>
      </w:r>
      <w:r>
        <w:t xml:space="preserve"> </w:t>
      </w:r>
      <w:r>
        <w:t xml:space="preserve">38 This due to “all the others are doing it” behaviour; see also p.62 of Supporting study for the review of the</w:t>
      </w:r>
      <w:r>
        <w:t xml:space="preserve"> </w:t>
      </w:r>
      <w:r>
        <w:t xml:space="preserve">Construction Products Regulation: Evaluation, final report, 2018,</w:t>
      </w:r>
      <w:r>
        <w:br/>
      </w:r>
      <w:r>
        <w:t xml:space="preserve">https://op.europa.eu/en/publication-detail/-/publication/e0ead9bc-ed3f-11e8-b690-</w:t>
      </w:r>
      <w:r>
        <w:t xml:space="preserve"> </w:t>
      </w:r>
      <w:r>
        <w:t xml:space="preserve">01aa75ed71a1/language-en/format-PDF/source-195168178.</w:t>
      </w:r>
      <w:r>
        <w:t xml:space="preserve"> </w:t>
      </w:r>
      <w:r>
        <w:t xml:space="preserve">39 VVA Economics &amp; Policy, Joint Institute for Innovation Policy (JIIP), Danish Technological Institute</w:t>
      </w:r>
      <w:r>
        <w:t xml:space="preserve"> </w:t>
      </w:r>
      <w:r>
        <w:t xml:space="preserve">(DTI), Global Data Collection Company (2018). Supporting study for the Review of the Construction</w:t>
      </w:r>
      <w:r>
        <w:t xml:space="preserve"> </w:t>
      </w:r>
      <w:r>
        <w:t xml:space="preserve">Products Regulation: Evaluation, p.73.</w:t>
      </w:r>
      <w:r>
        <w:t xml:space="preserve"> </w:t>
      </w:r>
      <w:r>
        <w:t xml:space="preserve">40 VVA Economics &amp; Policy, Joint Institute for Innovation Policy (JIIP), Danish Technological Institute</w:t>
      </w:r>
      <w:r>
        <w:t xml:space="preserve"> </w:t>
      </w:r>
      <w:r>
        <w:t xml:space="preserve">(DTI), Global Data Collection Company (2018). Supporting study for the Review of the Construction</w:t>
      </w:r>
      <w:r>
        <w:t xml:space="preserve"> </w:t>
      </w:r>
      <w:r>
        <w:t xml:space="preserve">Products Regulation: Evaluation, p. 52, 55.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Declaration of Performance - DoP), Article 36 (intended to avoid unnecessary repetition</w:t>
      </w:r>
      <w:r>
        <w:t xml:space="preserve"> </w:t>
      </w:r>
      <w:r>
        <w:t xml:space="preserve">of testing), Article 37 (simplified procedures for micro-enterprises) and Article 38</w:t>
      </w:r>
      <w:r>
        <w:t xml:space="preserve"> </w:t>
      </w:r>
      <w:r>
        <w:t xml:space="preserve">(simplified procedures for products individually manufactured or custom-made in a non-</w:t>
      </w:r>
      <w:r>
        <w:t xml:space="preserve"> </w:t>
      </w:r>
      <w:r>
        <w:t xml:space="preserve">series process). The uptake of these Articles, with the exception of Article 36, remains</w:t>
      </w:r>
      <w:r>
        <w:t xml:space="preserve"> </w:t>
      </w:r>
      <w:r>
        <w:t xml:space="preserve">very limited. These provisions were expected to lead to a simplification effect, reducing</w:t>
      </w:r>
      <w:r>
        <w:t xml:space="preserve"> </w:t>
      </w:r>
      <w:r>
        <w:t xml:space="preserve">the administrative cost of placing the construction products on the market without</w:t>
      </w:r>
      <w:r>
        <w:t xml:space="preserve"> </w:t>
      </w:r>
      <w:r>
        <w:t xml:space="preserve">compromising the level of safety of construction works. However, various assessments</w:t>
      </w:r>
      <w:r>
        <w:t xml:space="preserve"> </w:t>
      </w:r>
      <w:r>
        <w:t xml:space="preserve">and feedback from the stakeholders41 show a low uptake of these simplification</w:t>
      </w:r>
      <w:r>
        <w:t xml:space="preserve"> </w:t>
      </w:r>
      <w:r>
        <w:t xml:space="preserve">provisions mainly due to low awareness and lack of clarity of the provisions, particularly</w:t>
      </w:r>
      <w:r>
        <w:t xml:space="preserve"> </w:t>
      </w:r>
      <w:r>
        <w:t xml:space="preserve">with respect to what actually constitutes “equivalent” documentation. The attempt to “level</w:t>
      </w:r>
      <w:r>
        <w:t xml:space="preserve"> </w:t>
      </w:r>
      <w:r>
        <w:t xml:space="preserve">the playing field” for the smaller companies particularly through Article 37 has not been</w:t>
      </w:r>
      <w:r>
        <w:t xml:space="preserve"> </w:t>
      </w:r>
      <w:r>
        <w:t xml:space="preserve">successful. Furthermore, the justification of measures that allow some manufacturers to</w:t>
      </w:r>
      <w:r>
        <w:t xml:space="preserve"> </w:t>
      </w:r>
      <w:r>
        <w:t xml:space="preserve">implement such “lighter” procedures are called into question, considering that this</w:t>
      </w:r>
      <w:r>
        <w:t xml:space="preserve"> </w:t>
      </w:r>
      <w:r>
        <w:t xml:space="preserve">creates uncertainty for end-users, who may justifiably expect that all products bearing the</w:t>
      </w:r>
      <w:r>
        <w:t xml:space="preserve"> </w:t>
      </w:r>
      <w:r>
        <w:t xml:space="preserve">CE mark are subject to the same procedural requirements.42 The evaluation showed that</w:t>
      </w:r>
      <w:r>
        <w:t xml:space="preserve"> </w:t>
      </w:r>
      <w:r>
        <w:t xml:space="preserve">while some simplification has been achieved by the CPR, this has been less than</w:t>
      </w:r>
      <w:r>
        <w:t xml:space="preserve"> </w:t>
      </w:r>
      <w:r>
        <w:t xml:space="preserve">expected.</w:t>
      </w:r>
      <w:r>
        <w:br/>
      </w:r>
      <w:r>
        <w:t xml:space="preserve">While the expectation for the CPR was a reduction in costs and administrative</w:t>
      </w:r>
      <w:r>
        <w:t xml:space="preserve"> </w:t>
      </w:r>
      <w:r>
        <w:t xml:space="preserve">burdens, the result is in fact increased costs.43 Moreover, the estimate provided by the</w:t>
      </w:r>
      <w:r>
        <w:t xml:space="preserve"> </w:t>
      </w:r>
      <w:r>
        <w:t xml:space="preserve">Study on the economic impacts of the CPR44, indicates that the smallest companies bear</w:t>
      </w:r>
      <w:r>
        <w:t xml:space="preserve"> </w:t>
      </w:r>
      <w:r>
        <w:t xml:space="preserve">the largest administrative burden.</w:t>
      </w:r>
      <w:r>
        <w:t xml:space="preserve"> </w:t>
      </w:r>
      <w:r>
        <w:t xml:space="preserve">Furthermore, some CPR provisions are insufficiently clear or create overlaps, either</w:t>
      </w:r>
      <w:r>
        <w:t xml:space="preserve"> </w:t>
      </w:r>
      <w:r>
        <w:t xml:space="preserve">within the CPR framework itself, or between the CPR and other EU legislation. As an</w:t>
      </w:r>
      <w:r>
        <w:t xml:space="preserve"> </w:t>
      </w:r>
      <w:r>
        <w:t xml:space="preserve">example, Article 9(2) of the CPR includes a list of information that has to accompany the</w:t>
      </w:r>
      <w:r>
        <w:t xml:space="preserve"> </w:t>
      </w:r>
      <w:r>
        <w:t xml:space="preserve">CE marking45, most of which the manufacturer has already presented in the Declaration</w:t>
      </w:r>
      <w:r>
        <w:t xml:space="preserve"> </w:t>
      </w:r>
      <w:r>
        <w:t xml:space="preserve">of Performance (DoP). This situation has been subject to heavy criticism since the</w:t>
      </w:r>
      <w:r>
        <w:t xml:space="preserve"> </w:t>
      </w:r>
      <w:r>
        <w:t xml:space="preserve">beginning of the CPR implementation. The overlap between the information required in</w:t>
      </w:r>
      <w:r>
        <w:t xml:space="preserve"> </w:t>
      </w:r>
      <w:r>
        <w:t xml:space="preserve">the DoP and in the CE marking generates redundant administrative and financial burdens</w:t>
      </w:r>
      <w:r>
        <w:t xml:space="preserve"> </w:t>
      </w:r>
      <w:r>
        <w:t xml:space="preserve">and constitutes a clear inefficiency46.</w:t>
      </w:r>
    </w:p>
    <w:p>
      <w:pPr>
        <w:pStyle w:val="BodyText"/>
      </w:pPr>
      <w:r>
        <w:t xml:space="preserve">41 As indicated in the 2016 Implementation report, in the 2016 Supporting study for the fitness check on the</w:t>
      </w:r>
      <w:r>
        <w:t xml:space="preserve"> </w:t>
      </w:r>
      <w:r>
        <w:t xml:space="preserve">construction sector and in the 2018 Evaluation supporting study.</w:t>
      </w:r>
      <w:r>
        <w:t xml:space="preserve"> </w:t>
      </w:r>
      <w:r>
        <w:t xml:space="preserve">42 VVA Economics &amp; Policy, Joint Institute for Innovation Policy (JIIP), Danish Technological Institute</w:t>
      </w:r>
      <w:r>
        <w:t xml:space="preserve"> </w:t>
      </w:r>
      <w:r>
        <w:t xml:space="preserve">(DTI), Global Data Collection Company (2018). Supporting study for the Review of the Construction</w:t>
      </w:r>
      <w:r>
        <w:t xml:space="preserve"> </w:t>
      </w:r>
      <w:r>
        <w:t xml:space="preserve">Products Regulation: Evaluation, p. 70.</w:t>
      </w:r>
      <w:r>
        <w:t xml:space="preserve"> </w:t>
      </w:r>
      <w:r>
        <w:t xml:space="preserve">43 As shown by the results of the two studies (the Supporting study for the fitness check of the construction</w:t>
      </w:r>
      <w:r>
        <w:t xml:space="preserve"> </w:t>
      </w:r>
      <w:r>
        <w:t xml:space="preserve">sector and the study on Economic Impacts of the Construction Products Regulation), these were mainly</w:t>
      </w:r>
      <w:r>
        <w:t xml:space="preserve"> </w:t>
      </w:r>
      <w:r>
        <w:t xml:space="preserve">due to administrative costs.</w:t>
      </w:r>
      <w:r>
        <w:t xml:space="preserve"> </w:t>
      </w:r>
      <w:r>
        <w:t xml:space="preserve">44 VVA Europe, the Danish Technological Institute (DTI) &amp; the Netherlands Organisation for applied</w:t>
      </w:r>
      <w:r>
        <w:t xml:space="preserve"> </w:t>
      </w:r>
      <w:r>
        <w:t xml:space="preserve">scientific research (TNO) (2016). Final Report: Economic Impacts of the Construction Products</w:t>
      </w:r>
      <w:r>
        <w:t xml:space="preserve"> </w:t>
      </w:r>
      <w:r>
        <w:t xml:space="preserve">Regulation.</w:t>
      </w:r>
      <w:r>
        <w:t xml:space="preserve"> </w:t>
      </w:r>
      <w:r>
        <w:t xml:space="preserve">45 I.e. the two last digits of the year in which it was first affixed, the name and the registered address of the</w:t>
      </w:r>
      <w:r>
        <w:t xml:space="preserve"> </w:t>
      </w:r>
      <w:r>
        <w:t xml:space="preserve">manufacturer, or the identifying mark allowing identification of the name and address of the</w:t>
      </w:r>
      <w:r>
        <w:t xml:space="preserve"> </w:t>
      </w:r>
      <w:r>
        <w:t xml:space="preserve">manufacturer easily and without any ambiguity, the unique identification code of the product-type, the</w:t>
      </w:r>
      <w:r>
        <w:t xml:space="preserve"> </w:t>
      </w:r>
      <w:r>
        <w:t xml:space="preserve">reference number of the declaration of performance, the level or class of the performance declared, the</w:t>
      </w:r>
      <w:r>
        <w:t xml:space="preserve"> </w:t>
      </w:r>
      <w:r>
        <w:t xml:space="preserve">reference to the harmonised technical specification applied, the identification number of the notified</w:t>
      </w:r>
      <w:r>
        <w:t xml:space="preserve"> </w:t>
      </w:r>
      <w:r>
        <w:t xml:space="preserve">body, if applicable, and the intended use as laid down in the harmonised technical specification applied.</w:t>
      </w:r>
      <w:r>
        <w:t xml:space="preserve"> </w:t>
      </w:r>
      <w:r>
        <w:t xml:space="preserve">46 While there is no information available on the cost of this overlap, the analysis confirmed that it</w:t>
      </w:r>
      <w:r>
        <w:t xml:space="preserve"> </w:t>
      </w:r>
      <w:r>
        <w:t xml:space="preserve">constitutes a clear inefficiency. The results of the study, conducted in 2015, show that these overlaps</w:t>
      </w:r>
      <w:r>
        <w:t xml:space="preserve"> </w:t>
      </w:r>
      <w:r>
        <w:t xml:space="preserve">have resulted in various impacts, including the legal value of the CE marking being unclear for</w:t>
      </w:r>
      <w:r>
        <w:t xml:space="preserve"> </w:t>
      </w:r>
      <w:r>
        <w:t xml:space="preserve">stakeholders, problems in affixing the CE marking (either to the construction product itself or to the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With respect to clarity and coherence between the CPR and other pieces of EU</w:t>
      </w:r>
      <w:r>
        <w:t xml:space="preserve"> </w:t>
      </w:r>
      <w:r>
        <w:t xml:space="preserve">legislation, there are a number of areas where they overlap and/or are in conflict with</w:t>
      </w:r>
      <w:r>
        <w:t xml:space="preserve"> </w:t>
      </w:r>
      <w:r>
        <w:t xml:space="preserve">each other, including the Ecodesign Directive47 (EDD) and several other</w:t>
      </w:r>
      <w:r>
        <w:t xml:space="preserve"> </w:t>
      </w:r>
      <w:r>
        <w:t xml:space="preserve">product/technical directives48. This creates potential overlaps with respect to the</w:t>
      </w:r>
      <w:r>
        <w:t xml:space="preserve"> </w:t>
      </w:r>
      <w:r>
        <w:t xml:space="preserve">procedures established for construction products, in particular regarding parallel routes</w:t>
      </w:r>
      <w:r>
        <w:t xml:space="preserve"> </w:t>
      </w:r>
      <w:r>
        <w:t xml:space="preserve">for CE marking.</w:t>
      </w:r>
      <w:r>
        <w:br/>
      </w:r>
      <w:r>
        <w:t xml:space="preserve">The supporting study for the fitness check49 carried out an analysis of the coherence of</w:t>
      </w:r>
      <w:r>
        <w:t xml:space="preserve"> </w:t>
      </w:r>
      <w:r>
        <w:t xml:space="preserve">selected EU acts applying to the construction sector. The study considered the legal</w:t>
      </w:r>
      <w:r>
        <w:t xml:space="preserve"> </w:t>
      </w:r>
      <w:r>
        <w:t xml:space="preserve">overlaps between the CPR and EDD (2009), and Energy Labelling Directive50 (ELD),</w:t>
      </w:r>
      <w:r>
        <w:t xml:space="preserve"> </w:t>
      </w:r>
      <w:r>
        <w:t xml:space="preserve">which may also apply to construction products, and confirmed the inconsistencies in</w:t>
      </w:r>
      <w:r>
        <w:t xml:space="preserve"> </w:t>
      </w:r>
      <w:r>
        <w:t xml:space="preserve">definitions, lack of cross-references and overlaps between the three pieces of legislation.</w:t>
      </w:r>
      <w:r>
        <w:t xml:space="preserve"> </w:t>
      </w:r>
      <w:r>
        <w:t xml:space="preserve">The precise costs of these legal overlaps could not be quantified but may be significant</w:t>
      </w:r>
      <w:r>
        <w:t xml:space="preserve"> </w:t>
      </w:r>
      <w:r>
        <w:t xml:space="preserve">for manufacturers of those specific products. Existing overlaps between the EDD and</w:t>
      </w:r>
      <w:r>
        <w:t xml:space="preserve"> </w:t>
      </w:r>
      <w:r>
        <w:t xml:space="preserve">CPR for specific product categories currently relate to five product categories, namely</w:t>
      </w:r>
      <w:r>
        <w:t xml:space="preserve"> </w:t>
      </w:r>
      <w:r>
        <w:t xml:space="preserve">solid fuel boilers, (solid fuel) local space heaters and space/water heaters, as regulated by</w:t>
      </w:r>
      <w:r>
        <w:t xml:space="preserve"> </w:t>
      </w:r>
      <w:r>
        <w:t xml:space="preserve">Commission Regulations (EU) 2015/1185, 2015/1188, 2015/1189, 813/2013, and</w:t>
      </w:r>
      <w:r>
        <w:t xml:space="preserve"> </w:t>
      </w:r>
      <w:r>
        <w:t xml:space="preserve">814/201351. In its opinion XII.8.a52, the REFIT platform also recommended that the</w:t>
      </w:r>
      <w:r>
        <w:t xml:space="preserve"> </w:t>
      </w:r>
      <w:r>
        <w:t xml:space="preserve">Commission gives priority to addressing the problems of overlapping and repetitive</w:t>
      </w:r>
      <w:r>
        <w:t xml:space="preserve"> </w:t>
      </w:r>
      <w:r>
        <w:t xml:space="preserve">requirements.</w:t>
      </w:r>
      <w:r>
        <w:t xml:space="preserve"> </w:t>
      </w:r>
      <w:r>
        <w:t xml:space="preserve">Problem 4: Inability of the current CPR to deliver on broader policy priorities,</w:t>
      </w:r>
      <w:r>
        <w:t xml:space="preserve"> </w:t>
      </w:r>
      <w:r>
        <w:t xml:space="preserve">particularly the green and digital53 transition</w:t>
      </w:r>
      <w:r>
        <w:t xml:space="preserve"> </w:t>
      </w:r>
      <w:r>
        <w:t xml:space="preserve">With a view to reducing emissions and reaching climate neutrality by 2050, there is a</w:t>
      </w:r>
      <w:r>
        <w:t xml:space="preserve"> </w:t>
      </w:r>
      <w:r>
        <w:t xml:space="preserve">need to mobilise industry to move towards a climate-neutral and circular economy,</w:t>
      </w:r>
      <w:r>
        <w:t xml:space="preserve"> </w:t>
      </w:r>
      <w:r>
        <w:t xml:space="preserve">particularly in resource-intensive sectors such as construction. The building stock,</w:t>
      </w:r>
      <w:r>
        <w:t xml:space="preserve"> </w:t>
      </w:r>
      <w:r>
        <w:t xml:space="preserve">currently responsible for 40% of final energy and 36% of greenhouse gas emissions in</w:t>
      </w:r>
      <w:r>
        <w:t xml:space="preserve"> </w:t>
      </w:r>
      <w:r>
        <w:t xml:space="preserve">the EU, has a large cost-effective potential to reduce emissions. The European Climate</w:t>
      </w:r>
      <w:r>
        <w:t xml:space="preserve"> </w:t>
      </w:r>
      <w:r>
        <w:t xml:space="preserve">Pact recognised the need for using low-carbon materials in order to render buildings</w:t>
      </w:r>
      <w:r>
        <w:t xml:space="preserve"> </w:t>
      </w:r>
      <w:r>
        <w:t xml:space="preserve">more climate-friendly. The analysis underpinning the European Climate Pact has</w:t>
      </w:r>
      <w:r>
        <w:t xml:space="preserve"> </w:t>
      </w:r>
      <w:r>
        <w:t xml:space="preserve">identified that in order to achieve the proposed 55% climate target by 2030, around</w:t>
      </w:r>
    </w:p>
    <w:p>
      <w:pPr>
        <w:pStyle w:val="BodyText"/>
      </w:pPr>
      <w:r>
        <w:t xml:space="preserve">accompanying packaging) and costs to industry (See RPA (2015). Analysis of the implementation of the</w:t>
      </w:r>
      <w:r>
        <w:t xml:space="preserve"> </w:t>
      </w:r>
      <w:r>
        <w:t xml:space="preserve">Construction Products Regulation, p. 151). These findings were confirmed by the evaluation study (see</w:t>
      </w:r>
      <w:r>
        <w:t xml:space="preserve"> </w:t>
      </w:r>
      <w:r>
        <w:t xml:space="preserve">VVA Economics &amp; Policy, Joint Institute for Innovation Policy (JIIP), Danish Technological Institute</w:t>
      </w:r>
      <w:r>
        <w:t xml:space="preserve"> </w:t>
      </w:r>
      <w:r>
        <w:t xml:space="preserve">(DTI), Global Data Collection Company (2018). Supporting study for the Review of the Construction</w:t>
      </w:r>
      <w:r>
        <w:t xml:space="preserve"> </w:t>
      </w:r>
      <w:r>
        <w:t xml:space="preserve">Products Regulation: Evaluation, p. 85).</w:t>
      </w:r>
      <w:r>
        <w:t xml:space="preserve"> </w:t>
      </w:r>
      <w:r>
        <w:t xml:space="preserve">47 Directive 2009/125/EC.</w:t>
      </w:r>
      <w:r>
        <w:t xml:space="preserve"> </w:t>
      </w:r>
      <w:r>
        <w:t xml:space="preserve">48 VVA Economics &amp; Policy, Joint Institute for Innovation Policy (JIIP), Danish Technological Institute</w:t>
      </w:r>
      <w:r>
        <w:t xml:space="preserve"> </w:t>
      </w:r>
      <w:r>
        <w:t xml:space="preserve">(DTI), Global Data Collection Company (2018). Supporting study for the Review of the Construction</w:t>
      </w:r>
      <w:r>
        <w:t xml:space="preserve"> </w:t>
      </w:r>
      <w:r>
        <w:t xml:space="preserve">Products Regulation: Evaluation, p.115.</w:t>
      </w:r>
      <w:r>
        <w:t xml:space="preserve"> </w:t>
      </w:r>
      <w:r>
        <w:t xml:space="preserve">49 Economisti Associati, Milieu &amp; CEPS (2016). Supporting study for the Fitness Check on the</w:t>
      </w:r>
      <w:r>
        <w:t xml:space="preserve"> </w:t>
      </w:r>
      <w:r>
        <w:t xml:space="preserve">construction sector: EU internal market and energy efficiency legislation.</w:t>
      </w:r>
      <w:r>
        <w:t xml:space="preserve"> </w:t>
      </w:r>
      <w:r>
        <w:t xml:space="preserve">50 Directive 2010/30/EU.</w:t>
      </w:r>
      <w:r>
        <w:t xml:space="preserve"> </w:t>
      </w:r>
      <w:r>
        <w:t xml:space="preserve">51 Economisti Associati, Milieu &amp; CEPS (2016). Supporting study for the Fitness Check on the</w:t>
      </w:r>
      <w:r>
        <w:t xml:space="preserve"> </w:t>
      </w:r>
      <w:r>
        <w:t xml:space="preserve">construction sector: EU internal market and energy efficiency legislation, p. 92.</w:t>
      </w:r>
      <w:r>
        <w:t xml:space="preserve"> </w:t>
      </w:r>
      <w:r>
        <w:t xml:space="preserve">52 https://wayback.archive-it.org/12090/20200221170910/https://ec.europa.eu/info/law/law-making-</w:t>
      </w:r>
      <w:r>
        <w:t xml:space="preserve"> </w:t>
      </w:r>
      <w:r>
        <w:t xml:space="preserve">process/evaluating-and-improving-existing-laws/refit-making-eu-law-simpler-and-less-costly/refit-</w:t>
      </w:r>
      <w:r>
        <w:t xml:space="preserve"> </w:t>
      </w:r>
      <w:r>
        <w:t xml:space="preserve">platform/refit-platform-recommendations-and-other-work_en</w:t>
      </w:r>
      <w:r>
        <w:br/>
      </w:r>
      <w:r>
        <w:t xml:space="preserve">53 Digital transition in the form of digitalisation of information via digital solutions/tools e.g. digital</w:t>
      </w:r>
      <w:r>
        <w:t xml:space="preserve"> </w:t>
      </w:r>
      <w:r>
        <w:t xml:space="preserve">database.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275 billion EUR of additional investments are needed per year in buildings renovation54.</w:t>
      </w:r>
      <w:r>
        <w:t xml:space="preserve"> </w:t>
      </w:r>
      <w:r>
        <w:t xml:space="preserve">Construction products will constitute a substantial part of these additional investments,</w:t>
      </w:r>
      <w:r>
        <w:t xml:space="preserve"> </w:t>
      </w:r>
      <w:r>
        <w:t xml:space="preserve">especially as in renovation the share of the construction products (such as insulation</w:t>
      </w:r>
      <w:r>
        <w:t xml:space="preserve"> </w:t>
      </w:r>
      <w:r>
        <w:t xml:space="preserve">materials, wooden engineered boards, metal structures or glass) on the turnover of</w:t>
      </w:r>
      <w:r>
        <w:t xml:space="preserve"> </w:t>
      </w:r>
      <w:r>
        <w:t xml:space="preserve">projects is higher than in new construction. Therefore, a substantially rising demand for</w:t>
      </w:r>
      <w:r>
        <w:t xml:space="preserve"> </w:t>
      </w:r>
      <w:r>
        <w:t xml:space="preserve">construction products can be expected in the next years. Underperformance of the CPR</w:t>
      </w:r>
      <w:r>
        <w:t xml:space="preserve"> </w:t>
      </w:r>
      <w:r>
        <w:t xml:space="preserve">framework could affect the implementation of the renovation wave, highlighting the need</w:t>
      </w:r>
      <w:r>
        <w:t xml:space="preserve"> </w:t>
      </w:r>
      <w:r>
        <w:t xml:space="preserve">for a frictionless and innovative internal market for construction products to fulfil the</w:t>
      </w:r>
      <w:r>
        <w:t xml:space="preserve"> </w:t>
      </w:r>
      <w:r>
        <w:t xml:space="preserve">targets of the EGD and especially for the renovation wave.</w:t>
      </w:r>
      <w:r>
        <w:br/>
      </w:r>
      <w:r>
        <w:t xml:space="preserve">Minimising the climate footprint of buildings requires, among others, resource efficiency</w:t>
      </w:r>
      <w:r>
        <w:t xml:space="preserve"> </w:t>
      </w:r>
      <w:r>
        <w:t xml:space="preserve">and circularity. It also requires shifting the focus from the environmental impacts55</w:t>
      </w:r>
      <w:r>
        <w:t xml:space="preserve"> </w:t>
      </w:r>
      <w:r>
        <w:t xml:space="preserve">during the use phase to the entire life cycle of the building. In such a holistic approach,</w:t>
      </w:r>
      <w:r>
        <w:t xml:space="preserve"> </w:t>
      </w:r>
      <w:r>
        <w:t xml:space="preserve">the choice of construction products will play a key role. However, so far it is difficult to</w:t>
      </w:r>
      <w:r>
        <w:t xml:space="preserve"> </w:t>
      </w:r>
      <w:r>
        <w:t xml:space="preserve">compare performance of construction products and materials across various circular</w:t>
      </w:r>
      <w:r>
        <w:t xml:space="preserve"> </w:t>
      </w:r>
      <w:r>
        <w:t xml:space="preserve">design related aspects, such as ease of disassembly, future reuse potential, maximum</w:t>
      </w:r>
      <w:r>
        <w:t xml:space="preserve"> </w:t>
      </w:r>
      <w:r>
        <w:t xml:space="preserve">technical service life, whole life cycle cost/carbon, material intensity/waste and</w:t>
      </w:r>
      <w:r>
        <w:t xml:space="preserve"> </w:t>
      </w:r>
      <w:r>
        <w:t xml:space="preserve">reparability56.</w:t>
      </w:r>
      <w:r>
        <w:br/>
      </w:r>
      <w:r>
        <w:t xml:space="preserve">The climate resilience of specific infrastructure, buildings and civil engineering works is</w:t>
      </w:r>
      <w:r>
        <w:t xml:space="preserve"> </w:t>
      </w:r>
      <w:r>
        <w:t xml:space="preserve">determined by local circumstances and building codes in the Member States, and where</w:t>
      </w:r>
      <w:r>
        <w:t xml:space="preserve"> </w:t>
      </w:r>
      <w:r>
        <w:t xml:space="preserve">relevant other EU legislation. This is therefore outside the scope of the CPR. But in order</w:t>
      </w:r>
      <w:r>
        <w:t xml:space="preserve"> </w:t>
      </w:r>
      <w:r>
        <w:t xml:space="preserve">to properly design, maintain and renovate the construction works also under the changing</w:t>
      </w:r>
      <w:r>
        <w:t xml:space="preserve"> </w:t>
      </w:r>
      <w:r>
        <w:t xml:space="preserve">climate conditions, there is a need to provide accurate information on the performance of</w:t>
      </w:r>
      <w:r>
        <w:t xml:space="preserve"> </w:t>
      </w:r>
      <w:r>
        <w:t xml:space="preserve">construction products.</w:t>
      </w:r>
      <w:r>
        <w:br/>
      </w:r>
      <w:r>
        <w:t xml:space="preserve">There is significant mitigation potential to be achieved in the manufacturing of</w:t>
      </w:r>
      <w:r>
        <w:t xml:space="preserve"> </w:t>
      </w:r>
      <w:r>
        <w:t xml:space="preserve">construction products.57 For instance, for steel the shift away from blast furnace (BF) to</w:t>
      </w:r>
      <w:r>
        <w:t xml:space="preserve"> </w:t>
      </w:r>
      <w:r>
        <w:t xml:space="preserve">electric arc furnace (EAF) (using scrap metal) can lead to sector emissions reduction of</w:t>
      </w:r>
      <w:r>
        <w:t xml:space="preserve"> </w:t>
      </w:r>
      <w:r>
        <w:t xml:space="preserve">around 25-30% compared to 2010. In the cases of hydrogen, electrolysis or CCS and</w:t>
      </w:r>
      <w:r>
        <w:t xml:space="preserve"> </w:t>
      </w:r>
      <w:r>
        <w:t xml:space="preserve">CCU, the reductions can be much higher. If the direct reduced iron is produced via either</w:t>
      </w:r>
      <w:r>
        <w:t xml:space="preserve"> </w:t>
      </w:r>
      <w:r>
        <w:t xml:space="preserve">hydrogen or electrolysis iron ore reduction, it allows for electrification of the most</w:t>
      </w:r>
      <w:r>
        <w:t xml:space="preserve"> </w:t>
      </w:r>
      <w:r>
        <w:t xml:space="preserve">energy-intense step in iron making , leading to reductions up to 85-95%.58 Similarly, also</w:t>
      </w:r>
      <w:r>
        <w:t xml:space="preserve"> </w:t>
      </w:r>
      <w:r>
        <w:t xml:space="preserve">for the chemicals and cement sector, large emission reduction potential exist.</w:t>
      </w:r>
      <w:r>
        <w:t xml:space="preserve"> </w:t>
      </w:r>
      <w:r>
        <w:t xml:space="preserve">Other products can even have net-negative CO2 emissions and thus store CO2 in</w:t>
      </w:r>
      <w:r>
        <w:t xml:space="preserve"> </w:t>
      </w:r>
      <w:r>
        <w:t xml:space="preserve">construction. To stimulate the incentives and demand for low-carbon construction</w:t>
      </w:r>
    </w:p>
    <w:p>
      <w:pPr>
        <w:pStyle w:val="BodyText"/>
      </w:pPr>
      <w:r>
        <w:t xml:space="preserve">54 Commission Staff Working Document, Preliminary analysis of the long-term renovation strategies of</w:t>
      </w:r>
      <w:r>
        <w:t xml:space="preserve"> </w:t>
      </w:r>
      <w:r>
        <w:t xml:space="preserve">13 Member States, 2021,</w:t>
      </w:r>
      <w:r>
        <w:t xml:space="preserve"> </w:t>
      </w:r>
      <w:r>
        <w:t xml:space="preserve">https://ec.europa.eu/energy/sites/default/files/swd_commission_preliminary_analysis_of_member_state</w:t>
      </w:r>
      <w:r>
        <w:t xml:space="preserve"> </w:t>
      </w:r>
      <w:r>
        <w:t xml:space="preserve">_ltrss.pdf.</w:t>
      </w:r>
      <w:r>
        <w:t xml:space="preserve"> </w:t>
      </w:r>
      <w:r>
        <w:t xml:space="preserve">55 See annex Annex 9 on the environmental impact of construction products for further details.</w:t>
      </w:r>
      <w:r>
        <w:t xml:space="preserve"> </w:t>
      </w:r>
      <w:r>
        <w:t xml:space="preserve">56 Deloitte, Building Research Establishment, In Extenso Innovation Croissance (2021), Study on circular</w:t>
      </w:r>
      <w:r>
        <w:t xml:space="preserve"> </w:t>
      </w:r>
      <w:r>
        <w:t xml:space="preserve">economy principles for buildings’ design, p.60.</w:t>
      </w:r>
      <w:r>
        <w:t xml:space="preserve"> </w:t>
      </w:r>
      <w:r>
        <w:t xml:space="preserve">57 IN-DEPTH ANALYSIS IN SUPPORT OF THE COMMISSION COMMUNICATION COM(2018)</w:t>
      </w:r>
      <w:r>
        <w:t xml:space="preserve"> </w:t>
      </w:r>
      <w:r>
        <w:t xml:space="preserve">773: A Clean Planet for all A European long-term strategic vision for a prosperous, modern, competitive</w:t>
      </w:r>
      <w:r>
        <w:t xml:space="preserve"> </w:t>
      </w:r>
      <w:r>
        <w:t xml:space="preserve">and climate neutral economy; https://ec.europa.eu/clima/system/files/2018-</w:t>
      </w:r>
      <w:r>
        <w:t xml:space="preserve"> </w:t>
      </w:r>
      <w:r>
        <w:t xml:space="preserve">11/com_2018_733_analysis_in_support_en.pdf, section 7.6</w:t>
      </w:r>
      <w:r>
        <w:t xml:space="preserve"> </w:t>
      </w:r>
      <w:r>
        <w:t xml:space="preserve">58 EUROFER (2014), A Steel Roadmap for a low carbon Europe 2050,</w:t>
      </w:r>
      <w:r>
        <w:t xml:space="preserve"> </w:t>
      </w:r>
      <w:r>
        <w:t xml:space="preserve">http://www.nocarbonnation.net/docs/roadmaps/2013-Steel_Roadmap.pdf ; ECOFYS &amp; Fraunhofer ISI</w:t>
      </w:r>
      <w:r>
        <w:t xml:space="preserve"> </w:t>
      </w:r>
      <w:r>
        <w:t xml:space="preserve">(2018), Impact on the Environment and the Economy of Technological Innovations for the Innovation</w:t>
      </w:r>
      <w:r>
        <w:t xml:space="preserve"> </w:t>
      </w:r>
      <w:r>
        <w:t xml:space="preserve">Fund (IF), https://publications.europa.eu/en/publication-detail/-/publication/669226c7-b6ff-11e8-99ee-</w:t>
      </w:r>
      <w:r>
        <w:t xml:space="preserve"> </w:t>
      </w:r>
      <w:r>
        <w:t xml:space="preserve">01aa75ed71a1/language-en/format-PDF/source-77120765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products at the construction works level, coherent and transparent information on the</w:t>
      </w:r>
      <w:r>
        <w:t xml:space="preserve"> </w:t>
      </w:r>
      <w:r>
        <w:t xml:space="preserve">climate, environmental and sustainability performance of the construction products</w:t>
      </w:r>
      <w:r>
        <w:t xml:space="preserve"> </w:t>
      </w:r>
      <w:r>
        <w:t xml:space="preserve">is needed, but currently not covered by the harmonised system under the CPR.</w:t>
      </w:r>
      <w:r>
        <w:t xml:space="preserve"> </w:t>
      </w:r>
      <w:r>
        <w:t xml:space="preserve">In this context, Annex I to the current CPR provides for basic requirements for</w:t>
      </w:r>
      <w:r>
        <w:t xml:space="preserve"> </w:t>
      </w:r>
      <w:r>
        <w:t xml:space="preserve">construction works (BWRs), among which BWR3 already refers to the environmental</w:t>
      </w:r>
      <w:r>
        <w:t xml:space="preserve"> </w:t>
      </w:r>
      <w:r>
        <w:t xml:space="preserve">impacts, and BWR7 refers to sustainable use of natural resources. However, the current</w:t>
      </w:r>
      <w:r>
        <w:t xml:space="preserve"> </w:t>
      </w:r>
      <w:r>
        <w:t xml:space="preserve">harmonised standards under the CPR cover only some elements of BWR3 (e.g. emissions</w:t>
      </w:r>
      <w:r>
        <w:t xml:space="preserve"> </w:t>
      </w:r>
      <w:r>
        <w:t xml:space="preserve">of dangerous substances into the air, emissions into soil or ground water) and none of</w:t>
      </w:r>
      <w:r>
        <w:t xml:space="preserve"> </w:t>
      </w:r>
      <w:r>
        <w:t xml:space="preserve">BWR7. This is because there was a lack of agreement among the standardisers about how</w:t>
      </w:r>
      <w:r>
        <w:t xml:space="preserve"> </w:t>
      </w:r>
      <w:r>
        <w:t xml:space="preserve">to apply these BWRs across different construction products. Additionally, it has not been</w:t>
      </w:r>
      <w:r>
        <w:t xml:space="preserve"> </w:t>
      </w:r>
      <w:r>
        <w:t xml:space="preserve">prioritised, especially as in the past the regulatory needs of the Member States were less</w:t>
      </w:r>
      <w:r>
        <w:t xml:space="preserve"> </w:t>
      </w:r>
      <w:r>
        <w:t xml:space="preserve">obvious when it came to environmental aspects, as opposed to e.g. fire safety or</w:t>
      </w:r>
      <w:r>
        <w:t xml:space="preserve"> </w:t>
      </w:r>
      <w:r>
        <w:t xml:space="preserve">structural stability. The amount of energy consumed, the CO2 emissions and other</w:t>
      </w:r>
      <w:r>
        <w:t xml:space="preserve"> </w:t>
      </w:r>
      <w:r>
        <w:t xml:space="preserve">negative environmental impacts are mostly significant in the process of the production of</w:t>
      </w:r>
      <w:r>
        <w:t xml:space="preserve"> </w:t>
      </w:r>
      <w:r>
        <w:t xml:space="preserve">construction products59. In this view, the performance approach can at best indirectly</w:t>
      </w:r>
      <w:r>
        <w:t xml:space="preserve"> </w:t>
      </w:r>
      <w:r>
        <w:t xml:space="preserve">regulate the production stage. Therefore, the harmonisation provided by the CPR and the</w:t>
      </w:r>
      <w:r>
        <w:t xml:space="preserve"> </w:t>
      </w:r>
      <w:r>
        <w:t xml:space="preserve">legal instruments adopted under it fall short of covering these elements. The construction</w:t>
      </w:r>
      <w:r>
        <w:t xml:space="preserve"> </w:t>
      </w:r>
      <w:r>
        <w:t xml:space="preserve">products are thus not yet subject to harmonised assessment and verification of the</w:t>
      </w:r>
      <w:r>
        <w:t xml:space="preserve"> </w:t>
      </w:r>
      <w:r>
        <w:t xml:space="preserve">constancy of performance in this area. This significantly limits the possibilities for the</w:t>
      </w:r>
      <w:r>
        <w:t xml:space="preserve"> </w:t>
      </w:r>
      <w:r>
        <w:t xml:space="preserve">sector to declare, in a consistent and harmonised way, the performance of their</w:t>
      </w:r>
      <w:r>
        <w:t xml:space="preserve"> </w:t>
      </w:r>
      <w:r>
        <w:t xml:space="preserve">products and to differentiate the products with regard to climate, environment and</w:t>
      </w:r>
      <w:r>
        <w:t xml:space="preserve"> </w:t>
      </w:r>
      <w:r>
        <w:t xml:space="preserve">sustainability performances. It also significantly limits the possibilities for Member</w:t>
      </w:r>
      <w:r>
        <w:t xml:space="preserve"> </w:t>
      </w:r>
      <w:r>
        <w:t xml:space="preserve">States to define national requirements or to include criteria in public procurement for the</w:t>
      </w:r>
      <w:r>
        <w:t xml:space="preserve"> </w:t>
      </w:r>
      <w:r>
        <w:t xml:space="preserve">purposes of sustainability objectives without putting at risk the functioning of the internal</w:t>
      </w:r>
      <w:r>
        <w:t xml:space="preserve"> </w:t>
      </w:r>
      <w:r>
        <w:t xml:space="preserve">market.</w:t>
      </w:r>
      <w:r>
        <w:br/>
      </w:r>
      <w:r>
        <w:t xml:space="preserve">The CPR is also not fit to take account of the new business models stemming from the</w:t>
      </w:r>
      <w:r>
        <w:t xml:space="preserve"> </w:t>
      </w:r>
      <w:r>
        <w:t xml:space="preserve">progressing digitisation of the sector, such as e.g. 3D printing. Moreover, without a</w:t>
      </w:r>
      <w:r>
        <w:t xml:space="preserve"> </w:t>
      </w:r>
      <w:r>
        <w:t xml:space="preserve">transition of the construction sector towards more digitalised approach to data</w:t>
      </w:r>
      <w:r>
        <w:t xml:space="preserve"> </w:t>
      </w:r>
      <w:r>
        <w:t xml:space="preserve">registration, storage and sharing, the objectives of the European Green Deal risk being</w:t>
      </w:r>
      <w:r>
        <w:t xml:space="preserve"> </w:t>
      </w:r>
      <w:r>
        <w:t xml:space="preserve">undermined as gaps may occur when it comes to the product information, rendering the</w:t>
      </w:r>
      <w:r>
        <w:t xml:space="preserve"> </w:t>
      </w:r>
      <w:r>
        <w:t xml:space="preserve">information available along the supply chain incoherent and not transparent. Under the</w:t>
      </w:r>
      <w:r>
        <w:t xml:space="preserve"> </w:t>
      </w:r>
      <w:r>
        <w:t xml:space="preserve">current CPR, digital information is not available. This will become a challenge</w:t>
      </w:r>
      <w:r>
        <w:t xml:space="preserve"> </w:t>
      </w:r>
      <w:r>
        <w:t xml:space="preserve">particularly as reliable product information, from manufacturing to the installation in the</w:t>
      </w:r>
      <w:r>
        <w:t xml:space="preserve"> </w:t>
      </w:r>
      <w:r>
        <w:t xml:space="preserve">building and demolition will be necessary to live up to the goals of circularity and</w:t>
      </w:r>
      <w:r>
        <w:t xml:space="preserve"> </w:t>
      </w:r>
      <w:r>
        <w:t xml:space="preserve">sustainability, and will be required by other linked legislation (e.g. Energy Performance</w:t>
      </w:r>
      <w:r>
        <w:t xml:space="preserve"> </w:t>
      </w:r>
      <w:r>
        <w:t xml:space="preserve">of Buildings or SPI). Similarly, the current CPR does not encompass the application of a</w:t>
      </w:r>
      <w:r>
        <w:t xml:space="preserve"> </w:t>
      </w:r>
      <w:r>
        <w:t xml:space="preserve">Digital Product Passport60, which could be used in digital building logbooks61, Level(s)62</w:t>
      </w:r>
      <w:r>
        <w:t xml:space="preserve"> </w:t>
      </w:r>
      <w:r>
        <w:t xml:space="preserve">or other tools for assessing and reporting on the sustainability performance of buildings.</w:t>
      </w:r>
    </w:p>
    <w:p>
      <w:pPr>
        <w:pStyle w:val="BodyText"/>
      </w:pPr>
      <w:r>
        <w:t xml:space="preserve">59 Material Economics, ‘Circular Economy – A Powerful Force for Climate Mitigation’, 2018, p.12.</w:t>
      </w:r>
      <w:r>
        <w:t xml:space="preserve"> </w:t>
      </w:r>
      <w:r>
        <w:t xml:space="preserve">60 A Digital Product Passport (DPP) is a method of digitally recording information about a product. The</w:t>
      </w:r>
      <w:r>
        <w:t xml:space="preserve"> </w:t>
      </w:r>
      <w:r>
        <w:t xml:space="preserve">main purpose of this is to provide an easy to access, centralized bank of information. https://www.re-</w:t>
      </w:r>
      <w:r>
        <w:t xml:space="preserve"> </w:t>
      </w:r>
      <w:r>
        <w:t xml:space="preserve">tek.co.uk/re-tek-news/digital-product-passports/.</w:t>
      </w:r>
      <w:r>
        <w:t xml:space="preserve"> </w:t>
      </w:r>
      <w:r>
        <w:t xml:space="preserve">61 A digital building logbook is a dynamic tool that allows a variety of data, information and documents to</w:t>
      </w:r>
      <w:r>
        <w:t xml:space="preserve"> </w:t>
      </w:r>
      <w:r>
        <w:t xml:space="preserve">be recorded, accessed, enriched and organised under specific categories. It represents a record of major</w:t>
      </w:r>
      <w:r>
        <w:t xml:space="preserve"> </w:t>
      </w:r>
      <w:r>
        <w:t xml:space="preserve">events and changes over a building’s life cycle, such as change of ownership, tenure or use,</w:t>
      </w:r>
      <w:r>
        <w:t xml:space="preserve"> </w:t>
      </w:r>
      <w:r>
        <w:t xml:space="preserve">maintenance, refurbishment and other interventions. Definition of the digital building logbook -</w:t>
      </w:r>
      <w:r>
        <w:t xml:space="preserve"> </w:t>
      </w:r>
      <w:r>
        <w:t xml:space="preserve">Publications Office of the EU (europa.eu).</w:t>
      </w:r>
      <w:r>
        <w:t xml:space="preserve"> </w:t>
      </w:r>
      <w:r>
        <w:t xml:space="preserve">62 Level(s) is an assessment and reporting tool, developed by the European Commission, for sustainability</w:t>
      </w:r>
      <w:r>
        <w:t xml:space="preserve"> </w:t>
      </w:r>
      <w:r>
        <w:t xml:space="preserve">performance of buildings, firmly based on circularity: Level(s) (europa.eu)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Other issues not linked with the four problems presented above</w:t>
      </w:r>
      <w:r>
        <w:t xml:space="preserve"> </w:t>
      </w:r>
      <w:r>
        <w:t xml:space="preserve">The following issue has been also identified as important to be addressed in the revision,</w:t>
      </w:r>
      <w:r>
        <w:t xml:space="preserve"> </w:t>
      </w:r>
      <w:r>
        <w:t xml:space="preserve">while not explicitly covered in the evaluation:</w:t>
      </w:r>
      <w:r>
        <w:t xml:space="preserve"> </w:t>
      </w:r>
      <w:r>
        <w:t xml:space="preserve">As the price of construction materials and output price index have increased, the</w:t>
      </w:r>
      <w:r>
        <w:t xml:space="preserve"> </w:t>
      </w:r>
      <w:r>
        <w:t xml:space="preserve">construction sector is challenged by increasing building costs. At the same time housing</w:t>
      </w:r>
      <w:r>
        <w:t xml:space="preserve"> </w:t>
      </w:r>
      <w:r>
        <w:t xml:space="preserve">affordability and energy poverty are a challenge for many European citizens, as house</w:t>
      </w:r>
      <w:r>
        <w:t xml:space="preserve"> </w:t>
      </w:r>
      <w:r>
        <w:t xml:space="preserve">prices have risen faster than the incomes in most Member States.63 Overall, these</w:t>
      </w:r>
      <w:r>
        <w:t xml:space="preserve"> </w:t>
      </w:r>
      <w:r>
        <w:t xml:space="preserve">increasing costs make it challenging for the construction industry to build affordable</w:t>
      </w:r>
      <w:r>
        <w:t xml:space="preserve"> </w:t>
      </w:r>
      <w:r>
        <w:t xml:space="preserve">houses for low-income households64. At the moment, each building, even when they are</w:t>
      </w:r>
      <w:r>
        <w:t xml:space="preserve"> </w:t>
      </w:r>
      <w:r>
        <w:t xml:space="preserve">just replicated, would need at least one permit in each Member State. A European market</w:t>
      </w:r>
      <w:r>
        <w:t xml:space="preserve"> </w:t>
      </w:r>
      <w:r>
        <w:t xml:space="preserve">for (types of) prefabricated small houses65 would allow reaching economies of scale to</w:t>
      </w:r>
      <w:r>
        <w:t xml:space="preserve"> </w:t>
      </w:r>
      <w:r>
        <w:t xml:space="preserve">drive down building costs, if standards for such houses would be developed under the</w:t>
      </w:r>
      <w:r>
        <w:t xml:space="preserve"> </w:t>
      </w:r>
      <w:r>
        <w:t xml:space="preserve">CPR (in line with Member States regulatory needs and the local demand). In addition,</w:t>
      </w:r>
      <w:r>
        <w:t xml:space="preserve"> </w:t>
      </w:r>
      <w:r>
        <w:t xml:space="preserve">national and local authorities could potentially grant building permits in a fast track</w:t>
      </w:r>
      <w:r>
        <w:t xml:space="preserve"> </w:t>
      </w:r>
      <w:r>
        <w:t xml:space="preserve">procedure.</w:t>
      </w:r>
    </w:p>
    <w:p>
      <w:pPr>
        <w:pStyle w:val="Compact"/>
        <w:numPr>
          <w:ilvl w:val="0"/>
          <w:numId w:val="1004"/>
        </w:numPr>
      </w:pPr>
      <w:r>
        <w:t xml:space="preserve">WHAT ARE THE PROBLEM DRIVERS?</w:t>
      </w:r>
      <w:r>
        <w:t xml:space="preserve"> </w:t>
      </w:r>
      <w:r>
        <w:t xml:space="preserve">3.1.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The main problems above are driven by regulatory failures.</w:t>
      </w:r>
      <w:r>
        <w:br/>
      </w:r>
      <w:r>
        <w:t xml:space="preserve">[Drivers for Problem 1]</w:t>
      </w:r>
      <w:r>
        <w:br/>
      </w:r>
      <w:r>
        <w:t xml:space="preserve">On the one hand, the internal market for construction products cannot function properly</w:t>
      </w:r>
      <w:r>
        <w:t xml:space="preserve"> </w:t>
      </w:r>
      <w:r>
        <w:t xml:space="preserve">without up-to-date harmonised standards in support of the CPR cited in the OJEU.</w:t>
      </w:r>
      <w:r>
        <w:t xml:space="preserve"> </w:t>
      </w:r>
      <w:r>
        <w:t xml:space="preserve">Because of their mandatory character and the exhaustive nature of harmonisation under</w:t>
      </w:r>
      <w:r>
        <w:t xml:space="preserve"> </w:t>
      </w:r>
      <w:r>
        <w:t xml:space="preserve">the CPR,66 when no new standards are cited, the market needs and regulatory needs of</w:t>
      </w:r>
      <w:r>
        <w:t xml:space="preserve"> </w:t>
      </w:r>
      <w:r>
        <w:t xml:space="preserve">the Member States cannot be addressed. Lack of citation is due to a mismatch between</w:t>
      </w:r>
      <w:r>
        <w:t xml:space="preserve"> </w:t>
      </w:r>
      <w:r>
        <w:t xml:space="preserve">the legal criteria applied by the Commission when assessing the harmonised standards</w:t>
      </w:r>
      <w:r>
        <w:t xml:space="preserve"> </w:t>
      </w:r>
      <w:r>
        <w:t xml:space="preserve">under the CPR and the ability of standardisers to deliver requested outputs. In the</w:t>
      </w:r>
      <w:r>
        <w:t xml:space="preserve"> </w:t>
      </w:r>
      <w:r>
        <w:t xml:space="preserve">recent past, new standards could not have been cited in the Official Journal mainly due to</w:t>
      </w:r>
      <w:r>
        <w:t xml:space="preserve"> </w:t>
      </w:r>
      <w:r>
        <w:t xml:space="preserve">legal issues, such as contradiction of the standards with the requirements of the CPR or</w:t>
      </w:r>
      <w:r>
        <w:t xml:space="preserve"> </w:t>
      </w:r>
      <w:r>
        <w:t xml:space="preserve">trespassing the scope of the mandate/standardisation request. Several judgments of the</w:t>
      </w:r>
      <w:r>
        <w:t xml:space="preserve"> </w:t>
      </w:r>
      <w:r>
        <w:t xml:space="preserve">Court of Justice of the EU67 underlining the role of the Commission in monitoring and</w:t>
      </w:r>
      <w:r>
        <w:t xml:space="preserve"> </w:t>
      </w:r>
      <w:r>
        <w:t xml:space="preserve">management of the standards development have resulted in a more stringent approach of</w:t>
      </w:r>
      <w:r>
        <w:t xml:space="preserve"> </w:t>
      </w:r>
      <w:r>
        <w:t xml:space="preserve">Commission services when assessing draft harmonised standards.</w:t>
      </w:r>
    </w:p>
    <w:p>
      <w:pPr>
        <w:pStyle w:val="FirstParagraph"/>
      </w:pPr>
      <w:r>
        <w:t xml:space="preserve">63 E.g. https://www.oecd.org/housing/policy-toolkit/</w:t>
      </w:r>
      <w:r>
        <w:t xml:space="preserve"> </w:t>
      </w:r>
      <w:r>
        <w:t xml:space="preserve">64 Housing affordability and sustainability in the EU, Analytical Report, European Construction Sector</w:t>
      </w:r>
      <w:r>
        <w:t xml:space="preserve"> </w:t>
      </w:r>
      <w:r>
        <w:t xml:space="preserve">Observatory, November 2019, page 50, https://ec.europa.eu/docsroom/documents/38481.</w:t>
      </w:r>
      <w:r>
        <w:t xml:space="preserve"> </w:t>
      </w:r>
      <w:r>
        <w:t xml:space="preserve">65 Up to 180 m2 usable surface and 100 m2 ground floor.</w:t>
      </w:r>
      <w:r>
        <w:t xml:space="preserve"> </w:t>
      </w:r>
      <w:r>
        <w:t xml:space="preserve">66 See judgment of the Court of Justice of 16 October 2014 — European Commission v Federal Republic</w:t>
      </w:r>
      <w:r>
        <w:t xml:space="preserve"> </w:t>
      </w:r>
      <w:r>
        <w:t xml:space="preserve">of Germany (Case C-100/13), para. 62.</w:t>
      </w:r>
      <w:r>
        <w:br/>
      </w:r>
      <w:r>
        <w:t xml:space="preserve">67 Judgment of 27 October 2016 in case C-613/14 James Elliott Construction Limited v Irish Asphalt</w:t>
      </w:r>
      <w:r>
        <w:t xml:space="preserve"> </w:t>
      </w:r>
      <w:r>
        <w:t xml:space="preserve">Limited, ECLI:EU:C:2016:821, EUR-Lex - 62014CJ0613 - EN - EUR-Lex (europa.eu).</w:t>
      </w:r>
      <w:r>
        <w:br/>
      </w:r>
      <w:r>
        <w:t xml:space="preserve">Judgment of 26 January 2017 in case T-474/15 Global Garden Products Italy SpA (GGP Italy) v</w:t>
      </w:r>
      <w:r>
        <w:t xml:space="preserve"> </w:t>
      </w:r>
      <w:r>
        <w:t xml:space="preserve">European Commission, ECLI:EU:T:2017:36, EUR-Lex - 62015TJ0474 - EN - EUR-Lex (europa.eu).</w:t>
      </w:r>
      <w:r>
        <w:br/>
      </w:r>
      <w:r>
        <w:t xml:space="preserve">Judgment of the Court of 14 December 2017 in Case C-630/16 Request for a preliminary ruling from</w:t>
      </w:r>
      <w:r>
        <w:t xml:space="preserve"> </w:t>
      </w:r>
      <w:r>
        <w:t xml:space="preserve">the Helsingin hallinto-oikeus - Anstar Oy, EUR-Lex - 62016CJ0630 - EN - EUR-Lex (europa.eu).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At the same time, under the current CPR, the Commission has no alternative whenever</w:t>
      </w:r>
      <w:r>
        <w:t xml:space="preserve"> </w:t>
      </w:r>
      <w:r>
        <w:t xml:space="preserve">the standardisation process is not delivering. It lacks empowerment to rely on an</w:t>
      </w:r>
      <w:r>
        <w:t xml:space="preserve"> </w:t>
      </w:r>
      <w:r>
        <w:t xml:space="preserve">alternative solution (‘safety net’) when standards are not delivered, or are not delivered</w:t>
      </w:r>
      <w:r>
        <w:t xml:space="preserve"> </w:t>
      </w:r>
      <w:r>
        <w:t xml:space="preserve">within a reasonable timeframe or are considered to be of insufficient quality.</w:t>
      </w:r>
      <w:r>
        <w:br/>
      </w:r>
      <w:r>
        <w:t xml:space="preserve">Further, in contrast to the former CPD, under the current CPR standards should not</w:t>
      </w:r>
      <w:r>
        <w:t xml:space="preserve"> </w:t>
      </w:r>
      <w:r>
        <w:t xml:space="preserve">address the inherent product safety of essential characteristics. This also creates “gaps” in</w:t>
      </w:r>
      <w:r>
        <w:t xml:space="preserve"> </w:t>
      </w:r>
      <w:r>
        <w:t xml:space="preserve">the standards, particularly in view of the Member States.</w:t>
      </w:r>
      <w:r>
        <w:t xml:space="preserve"> </w:t>
      </w:r>
      <w:r>
        <w:t xml:space="preserve">The incomplete character of harmonised standards under the CPR has contributed to</w:t>
      </w:r>
      <w:r>
        <w:t xml:space="preserve"> </w:t>
      </w:r>
      <w:r>
        <w:t xml:space="preserve">a number of Member States setting additional requirements for construction products,</w:t>
      </w:r>
      <w:r>
        <w:t xml:space="preserve"> </w:t>
      </w:r>
      <w:r>
        <w:t xml:space="preserve">including the reliance on national approvals, certifications and marks, in order to fill the</w:t>
      </w:r>
      <w:r>
        <w:t xml:space="preserve"> </w:t>
      </w:r>
      <w:r>
        <w:t xml:space="preserve">“gaps” in harmonised standards and be able to fully regulate the safety of construction</w:t>
      </w:r>
      <w:r>
        <w:t xml:space="preserve"> </w:t>
      </w:r>
      <w:r>
        <w:t xml:space="preserve">works. Member States added further performance requirements not covered by the</w:t>
      </w:r>
      <w:r>
        <w:t xml:space="preserve"> </w:t>
      </w:r>
      <w:r>
        <w:t xml:space="preserve">harmonised standards, thereby being in conflict with the principle of “exhaustiveness”68</w:t>
      </w:r>
      <w:r>
        <w:t xml:space="preserve"> </w:t>
      </w:r>
      <w:r>
        <w:t xml:space="preserve">of the harmonised system under the CPR. Several CJEU rulings69 have confirmed the</w:t>
      </w:r>
      <w:r>
        <w:t xml:space="preserve"> </w:t>
      </w:r>
      <w:r>
        <w:t xml:space="preserve">exhaustiveness of the harmonised system created under the CPR, thereby leaving no</w:t>
      </w:r>
      <w:r>
        <w:t xml:space="preserve"> </w:t>
      </w:r>
      <w:r>
        <w:t xml:space="preserve">room for any other (national) system to deal with the marketing of construction products,</w:t>
      </w:r>
      <w:r>
        <w:t xml:space="preserve"> </w:t>
      </w:r>
      <w:r>
        <w:t xml:space="preserve">within the harmonised sphere, presenting economic operators with additional</w:t>
      </w:r>
      <w:r>
        <w:t xml:space="preserve"> </w:t>
      </w:r>
      <w:r>
        <w:t xml:space="preserve">requirements which add costs and act as obstacles to the internal market”70. However,</w:t>
      </w:r>
      <w:r>
        <w:t xml:space="preserve"> </w:t>
      </w:r>
      <w:r>
        <w:t xml:space="preserve">harmonised standards currently cited in the OJEU cover only some of the Basic Work</w:t>
      </w:r>
      <w:r>
        <w:t xml:space="preserve"> </w:t>
      </w:r>
      <w:r>
        <w:t xml:space="preserve">Requirements set out in Annex I of the CPR (serving as a reference for the Member</w:t>
      </w:r>
      <w:r>
        <w:t xml:space="preserve"> </w:t>
      </w:r>
      <w:r>
        <w:t xml:space="preserve">States to lay down requirements for construction works on their territory), or are out-</w:t>
      </w:r>
      <w:r>
        <w:t xml:space="preserve"> </w:t>
      </w:r>
      <w:r>
        <w:t xml:space="preserve">dated and do not any more contain all elements necessary to fulfil Member States’</w:t>
      </w:r>
      <w:r>
        <w:t xml:space="preserve"> </w:t>
      </w:r>
      <w:r>
        <w:t xml:space="preserve">regulatory needs. The national marks, certifications and approvals are therefore expected</w:t>
      </w:r>
      <w:r>
        <w:t xml:space="preserve"> </w:t>
      </w:r>
      <w:r>
        <w:t xml:space="preserve">to persist, as the incomplete character of the harmonised standards adopted under the</w:t>
      </w:r>
      <w:r>
        <w:t xml:space="preserve"> </w:t>
      </w:r>
      <w:r>
        <w:t xml:space="preserve">CPR prevents the Member States from relying on harmonised performance criteria and</w:t>
      </w:r>
      <w:r>
        <w:t xml:space="preserve"> </w:t>
      </w:r>
      <w:r>
        <w:t xml:space="preserve">assessment methods.</w:t>
      </w:r>
      <w:r>
        <w:t xml:space="preserve"> </w:t>
      </w:r>
      <w:r>
        <w:t xml:space="preserve">[Drivers for Problem 2]</w:t>
      </w:r>
      <w:r>
        <w:br/>
      </w:r>
      <w:r>
        <w:t xml:space="preserve">As presented in the evaluation71, the implementation of the CPR and multiple feedback</w:t>
      </w:r>
      <w:r>
        <w:t xml:space="preserve"> </w:t>
      </w:r>
      <w:r>
        <w:t xml:space="preserve">from the stakeholders confirm that the market surveillance in many Member States is</w:t>
      </w:r>
      <w:r>
        <w:t xml:space="preserve"> </w:t>
      </w:r>
      <w:r>
        <w:t xml:space="preserve">insufficient and so ineffective. Moreover, several stakeholders noted that there is no</w:t>
      </w:r>
      <w:r>
        <w:t xml:space="preserve"> </w:t>
      </w:r>
      <w:r>
        <w:t xml:space="preserve">clarity which organisations are responsible for market surveillance and enforcement and</w:t>
      </w:r>
      <w:r>
        <w:t xml:space="preserve"> </w:t>
      </w:r>
      <w:r>
        <w:t xml:space="preserve">also there is a lack of reporting mechanisms.72 The main area where stakeholders have</w:t>
      </w:r>
      <w:r>
        <w:t xml:space="preserve"> </w:t>
      </w:r>
      <w:r>
        <w:t xml:space="preserve">identified inconsistencies in terms of implementation was in relation to the level of</w:t>
      </w:r>
      <w:r>
        <w:t xml:space="preserve"> </w:t>
      </w:r>
      <w:r>
        <w:t xml:space="preserve">market surveillance in Member States.73 While it is largely because of the lack of</w:t>
      </w:r>
      <w:r>
        <w:t xml:space="preserve"> </w:t>
      </w:r>
      <w:r>
        <w:t xml:space="preserve">appropriate resources to tackle the non-compliance effectively, the lack of clarity of</w:t>
      </w:r>
      <w:r>
        <w:t xml:space="preserve"> </w:t>
      </w:r>
      <w:r>
        <w:t xml:space="preserve">the current CPR provisions on market surveillance also plays a significant role. This</w:t>
      </w:r>
    </w:p>
    <w:p>
      <w:pPr>
        <w:pStyle w:val="BodyText"/>
      </w:pPr>
      <w:r>
        <w:t xml:space="preserve">68 For construction products covered by harmonised standards, the Member States are not allowed to set</w:t>
      </w:r>
      <w:r>
        <w:t xml:space="preserve"> </w:t>
      </w:r>
      <w:r>
        <w:t xml:space="preserve">any additional requirements outside the existing harmonised structure and must allow market access.</w:t>
      </w:r>
      <w:r>
        <w:t xml:space="preserve"> </w:t>
      </w:r>
      <w:r>
        <w:t xml:space="preserve">69 Judgment of the Court (Tenth Chamber) of 16 October 2014 — European Commission v Federal</w:t>
      </w:r>
      <w:r>
        <w:t xml:space="preserve"> </w:t>
      </w:r>
      <w:r>
        <w:t xml:space="preserve">Republic of Germany (Case C-100/13), para 62 https://op.europa.eu/en/publication-detail/-</w:t>
      </w:r>
      <w:r>
        <w:t xml:space="preserve"> </w:t>
      </w:r>
      <w:r>
        <w:t xml:space="preserve">/publication/0771274f-89a6-11e4-b8a5-01aa75ed71a1.</w:t>
      </w:r>
      <w:r>
        <w:t xml:space="preserve"> </w:t>
      </w:r>
      <w:r>
        <w:t xml:space="preserve">70 VVA Economics &amp; Policy, Joint Institute for Innovation Policy (JIIP), Danish Technological Institute</w:t>
      </w:r>
      <w:r>
        <w:t xml:space="preserve"> </w:t>
      </w:r>
      <w:r>
        <w:t xml:space="preserve">(DTI), Global Data Collection Company (2018). Supporting study for the Review of the Construction</w:t>
      </w:r>
      <w:r>
        <w:t xml:space="preserve"> </w:t>
      </w:r>
      <w:r>
        <w:t xml:space="preserve">Products Regulation: Evaluation, p.101.</w:t>
      </w:r>
      <w:r>
        <w:t xml:space="preserve"> </w:t>
      </w:r>
      <w:r>
        <w:t xml:space="preserve">71 VVA Economics &amp; Policy, Joint Institute for Innovation Policy (JIIP), Danish Technological Institute</w:t>
      </w:r>
      <w:r>
        <w:t xml:space="preserve"> </w:t>
      </w:r>
      <w:r>
        <w:t xml:space="preserve">(DTI), Global Data Collection Company (2018). Supporting study for the Review of the Construction</w:t>
      </w:r>
      <w:r>
        <w:t xml:space="preserve"> </w:t>
      </w:r>
      <w:r>
        <w:t xml:space="preserve">Products Regulation: Evaluation, pp.23-24.</w:t>
      </w:r>
      <w:r>
        <w:t xml:space="preserve"> </w:t>
      </w:r>
      <w:r>
        <w:t xml:space="preserve">72 RPA (2015), Analysis of implementation of the CPR, page 166.</w:t>
      </w:r>
      <w:r>
        <w:t xml:space="preserve"> </w:t>
      </w:r>
      <w:r>
        <w:t xml:space="preserve">73 RPA (2015), Analysis of implementation of the CPR, page 179.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results in a diverging application of these provisions because of varying interpretations</w:t>
      </w:r>
      <w:r>
        <w:t xml:space="preserve"> </w:t>
      </w:r>
      <w:r>
        <w:t xml:space="preserve">by national authorities.</w:t>
      </w:r>
      <w:r>
        <w:br/>
      </w:r>
      <w:r>
        <w:t xml:space="preserve">[Drivers for Problem 3]</w:t>
      </w:r>
      <w:r>
        <w:br/>
      </w:r>
      <w:r>
        <w:t xml:space="preserve">The uptake of simplification provisions74 under the CPR remains very limited. Various</w:t>
      </w:r>
      <w:r>
        <w:t xml:space="preserve"> </w:t>
      </w:r>
      <w:r>
        <w:t xml:space="preserve">assessments and feedback from the stakeholders75 show that the driver for this problem is</w:t>
      </w:r>
      <w:r>
        <w:t xml:space="preserve"> </w:t>
      </w:r>
      <w:r>
        <w:t xml:space="preserve">low awareness and lack of clarity of the provisions, particularly with respect to what</w:t>
      </w:r>
      <w:r>
        <w:t xml:space="preserve"> </w:t>
      </w:r>
      <w:r>
        <w:t xml:space="preserve">actually constitutes “equivalent” documentation76. The notion of “equivalence” is not</w:t>
      </w:r>
      <w:r>
        <w:t xml:space="preserve"> </w:t>
      </w:r>
      <w:r>
        <w:t xml:space="preserve">explained, the conditions for practical implementation of the simplified procedures</w:t>
      </w:r>
      <w:r>
        <w:t xml:space="preserve"> </w:t>
      </w:r>
      <w:r>
        <w:t xml:space="preserve">remain therefore unclear, with small enterprises and other actors, including Member State</w:t>
      </w:r>
      <w:r>
        <w:t xml:space="preserve"> </w:t>
      </w:r>
      <w:r>
        <w:t xml:space="preserve">authorities, struggling to implement the rules. The lack of clarity is backed by the</w:t>
      </w:r>
      <w:r>
        <w:t xml:space="preserve"> </w:t>
      </w:r>
      <w:r>
        <w:t xml:space="preserve">presence of a very strong support for general clarification (redrafting) of the</w:t>
      </w:r>
      <w:r>
        <w:t xml:space="preserve"> </w:t>
      </w:r>
      <w:r>
        <w:t xml:space="preserve">simplification provisions77. The lack of clarity prevents achieving simplification and</w:t>
      </w:r>
      <w:r>
        <w:t xml:space="preserve"> </w:t>
      </w:r>
      <w:r>
        <w:t xml:space="preserve">reduced costs for specific types of products and economic operators, particularly for</w:t>
      </w:r>
      <w:r>
        <w:t xml:space="preserve"> </w:t>
      </w:r>
      <w:r>
        <w:t xml:space="preserve">micro-enterprises/craft enterprises.78</w:t>
      </w:r>
      <w:r>
        <w:t xml:space="preserve"> </w:t>
      </w:r>
      <w:r>
        <w:t xml:space="preserve">[Drivers for Problem 4]</w:t>
      </w:r>
      <w:r>
        <w:br/>
      </w:r>
      <w:r>
        <w:t xml:space="preserve">The current CPR is not able to deliver on the policy objectives stemming from the</w:t>
      </w:r>
      <w:r>
        <w:t xml:space="preserve"> </w:t>
      </w:r>
      <w:r>
        <w:t xml:space="preserve">European Green Deal and the Circular Economy Action Plan, as these new policy</w:t>
      </w:r>
      <w:r>
        <w:t xml:space="preserve"> </w:t>
      </w:r>
      <w:r>
        <w:t xml:space="preserve">objectives are not reflected therein. In particular, the CPR does not permit to establish</w:t>
      </w:r>
      <w:r>
        <w:t xml:space="preserve"> </w:t>
      </w:r>
      <w:r>
        <w:t xml:space="preserve">product requirements which are not performance-related. For this reason, the CPR is also</w:t>
      </w:r>
      <w:r>
        <w:t xml:space="preserve"> </w:t>
      </w:r>
      <w:r>
        <w:t xml:space="preserve">not flexible enough to contribute to the ambitious commitments proposed in the EGD</w:t>
      </w:r>
      <w:r>
        <w:t xml:space="preserve"> </w:t>
      </w:r>
      <w:r>
        <w:t xml:space="preserve">and the CEAP. The absence of references to sustainability performances in the</w:t>
      </w:r>
      <w:r>
        <w:t xml:space="preserve"> </w:t>
      </w:r>
      <w:r>
        <w:t xml:space="preserve">harmonised standards adopted under the CPR is resulting in Member States unlawfully</w:t>
      </w:r>
      <w:r>
        <w:t xml:space="preserve"> </w:t>
      </w:r>
      <w:r>
        <w:t xml:space="preserve">introducing additional national requirements for construction products, putting at risk the</w:t>
      </w:r>
      <w:r>
        <w:t xml:space="preserve"> </w:t>
      </w:r>
      <w:r>
        <w:t xml:space="preserve">functioning of the internal market and imposing additional costs on manufacturers,</w:t>
      </w:r>
      <w:r>
        <w:t xml:space="preserve"> </w:t>
      </w:r>
      <w:r>
        <w:t xml:space="preserve">particularly relevant for SMEs.</w:t>
      </w:r>
      <w:r>
        <w:br/>
      </w:r>
      <w:r>
        <w:t xml:space="preserve">The current CPR is also unable to deliver on new business models, in particular 3D</w:t>
      </w:r>
      <w:r>
        <w:t xml:space="preserve"> </w:t>
      </w:r>
      <w:r>
        <w:t xml:space="preserve">printing. The problem linked to 3D printers used for decentralised manufacturing derives</w:t>
      </w:r>
      <w:r>
        <w:t xml:space="preserve"> </w:t>
      </w:r>
      <w:r>
        <w:t xml:space="preserve">from the fact that none of the three actors involved (the designer, the client, the owner of</w:t>
      </w:r>
      <w:r>
        <w:t xml:space="preserve"> </w:t>
      </w:r>
      <w:r>
        <w:t xml:space="preserve">the printer) is necessarily a manufacturer or a producer in the meaning of applicable</w:t>
      </w:r>
      <w:r>
        <w:t xml:space="preserve"> </w:t>
      </w:r>
      <w:r>
        <w:t xml:space="preserve">product legislation. Consequently, without a responsible manufacturer 3D printed</w:t>
      </w:r>
      <w:r>
        <w:t xml:space="preserve"> </w:t>
      </w:r>
      <w:r>
        <w:t xml:space="preserve">products escape the current scope of product safety legislation. Therefore, the</w:t>
      </w:r>
      <w:r>
        <w:t xml:space="preserve"> </w:t>
      </w:r>
      <w:r>
        <w:t xml:space="preserve">obligations of the CPR, which build on the responsibility of a manufacturer, are not</w:t>
      </w:r>
      <w:r>
        <w:t xml:space="preserve"> </w:t>
      </w:r>
      <w:r>
        <w:t xml:space="preserve">applicable. 3D printed products could be produced in high numbers without undergoing</w:t>
      </w:r>
      <w:r>
        <w:t xml:space="preserve"> </w:t>
      </w:r>
      <w:r>
        <w:t xml:space="preserve">any conformity assessment procedure. This regulatory gap might lead to risks for</w:t>
      </w:r>
      <w:r>
        <w:t xml:space="preserve"> </w:t>
      </w:r>
      <w:r>
        <w:t xml:space="preserve">consumers or other users and create unfair competitive relationships79. Provisions related</w:t>
      </w:r>
    </w:p>
    <w:p>
      <w:pPr>
        <w:pStyle w:val="BodyText"/>
      </w:pPr>
      <w:r>
        <w:t xml:space="preserve">74 See further details in Annex 8 on simplification provisions.</w:t>
      </w:r>
      <w:r>
        <w:t xml:space="preserve"> </w:t>
      </w:r>
      <w:r>
        <w:t xml:space="preserve">75 As indicated in the 2016 Implementation report, in the 2016 Supporting study for the fitness check on the</w:t>
      </w:r>
      <w:r>
        <w:t xml:space="preserve"> </w:t>
      </w:r>
      <w:r>
        <w:t xml:space="preserve">construction sector and in the 2018 Evaluation supporting study.</w:t>
      </w:r>
      <w:r>
        <w:t xml:space="preserve"> </w:t>
      </w:r>
      <w:r>
        <w:t xml:space="preserve">76 VVA Economics &amp; Policy, Joint Institute for Innovation Policy (JIIP), Danish Technological Institute</w:t>
      </w:r>
      <w:r>
        <w:t xml:space="preserve"> </w:t>
      </w:r>
      <w:r>
        <w:t xml:space="preserve">(DTI), Global Data Collection Company (2018). Supporting study for the Review of the Construction</w:t>
      </w:r>
      <w:r>
        <w:t xml:space="preserve"> </w:t>
      </w:r>
      <w:r>
        <w:t xml:space="preserve">Products Regulation: Evaluation, p. 70.</w:t>
      </w:r>
      <w:r>
        <w:t xml:space="preserve"> </w:t>
      </w:r>
      <w:r>
        <w:t xml:space="preserve">77 Copenhagen Economics, Danish Technological Institute and Office for Economic Policy and Regional</w:t>
      </w:r>
      <w:r>
        <w:t xml:space="preserve"> </w:t>
      </w:r>
      <w:r>
        <w:t xml:space="preserve">Development Ltd. (2021). Study supporting the Impact Assessment for the CPR revision, Final report,</w:t>
      </w:r>
      <w:r>
        <w:t xml:space="preserve"> </w:t>
      </w:r>
      <w:r>
        <w:t xml:space="preserve">p. 60.</w:t>
      </w:r>
      <w:r>
        <w:t xml:space="preserve"> </w:t>
      </w:r>
      <w:r>
        <w:t xml:space="preserve">78 Evaluation of Regulation (EU) No 305/2011 laying down harmonised conditions for the marketing of</w:t>
      </w:r>
      <w:r>
        <w:t xml:space="preserve"> </w:t>
      </w:r>
      <w:r>
        <w:t xml:space="preserve">construction products and repealing Council Directive 89/106/EEC, SWD(2019)1770, p.40</w:t>
      </w:r>
      <w:r>
        <w:t xml:space="preserve"> </w:t>
      </w:r>
      <w:r>
        <w:t xml:space="preserve">79 Regarding the regulatory issues raised by decentralised 3D-printing, see</w:t>
      </w:r>
      <w:r>
        <w:br/>
      </w:r>
      <w:r>
        <w:t xml:space="preserve">https://www.howtoregulate.org/decentralized-3d-printing-a-regulatory-challenge/#more-23.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to 3D printing will provide a level playing field to manufacturers using this technology,</w:t>
      </w:r>
      <w:r>
        <w:t xml:space="preserve"> </w:t>
      </w:r>
      <w:r>
        <w:t xml:space="preserve">preventing the creation of barriers to trade or unjustified compliance cost.</w:t>
      </w:r>
      <w:r>
        <w:br/>
      </w:r>
      <w:r>
        <w:t xml:space="preserve">Furthermore, the current CPR does not foresee broad application of digital tools e.g. </w:t>
      </w:r>
      <w:r>
        <w:t xml:space="preserve"> </w:t>
      </w:r>
      <w:r>
        <w:t xml:space="preserve">digital information sharing and digital information flow.</w:t>
      </w:r>
    </w:p>
    <w:p>
      <w:pPr>
        <w:pStyle w:val="BodyText"/>
      </w:pPr>
      <w:r>
        <w:t xml:space="preserve">3.2.</w:t>
      </w:r>
      <w:r>
        <w:t xml:space="preserve"> </w:t>
      </w:r>
      <w:r>
        <w:t xml:space="preserve">How will the problems evolve?</w:t>
      </w:r>
      <w:r>
        <w:t xml:space="preserve"> </w:t>
      </w:r>
      <w:r>
        <w:t xml:space="preserve">As previously explained, under the current framework hardly any new standards or</w:t>
      </w:r>
      <w:r>
        <w:t xml:space="preserve"> </w:t>
      </w:r>
      <w:r>
        <w:t xml:space="preserve">amendments of standards in support of the CPR have found their way into the OJEU, and</w:t>
      </w:r>
      <w:r>
        <w:t xml:space="preserve"> </w:t>
      </w:r>
      <w:r>
        <w:t xml:space="preserve">none since early 2019 (see also the table and figures below). Economic operators cannot</w:t>
      </w:r>
      <w:r>
        <w:t xml:space="preserve"> </w:t>
      </w:r>
      <w:r>
        <w:t xml:space="preserve">realise the full benefits of a consolidated internal market nor rely on a harmonised</w:t>
      </w:r>
      <w:r>
        <w:t xml:space="preserve"> </w:t>
      </w:r>
      <w:r>
        <w:t xml:space="preserve">manner to inform users about the performance of their products. With time, harmonised</w:t>
      </w:r>
      <w:r>
        <w:t xml:space="preserve"> </w:t>
      </w:r>
      <w:r>
        <w:t xml:space="preserve">standards already cited in the OJEU become more and more obsolete (the majority of</w:t>
      </w:r>
      <w:r>
        <w:t xml:space="preserve"> </w:t>
      </w:r>
      <w:r>
        <w:t xml:space="preserve">them has been cited more than 10 years ago) and, in addition, often no longer correspond</w:t>
      </w:r>
      <w:r>
        <w:t xml:space="preserve"> </w:t>
      </w:r>
      <w:r>
        <w:t xml:space="preserve">to the technology used. In the meantime, many of the existing standards have been</w:t>
      </w:r>
      <w:r>
        <w:t xml:space="preserve"> </w:t>
      </w:r>
      <w:r>
        <w:t xml:space="preserve">updated by the standardisers and were made available to manufacturers. However, these</w:t>
      </w:r>
      <w:r>
        <w:t xml:space="preserve"> </w:t>
      </w:r>
      <w:r>
        <w:t xml:space="preserve">updated versions have not been cited in the OJEU as harmonised standards under the</w:t>
      </w:r>
      <w:r>
        <w:t xml:space="preserve"> </w:t>
      </w:r>
      <w:r>
        <w:t xml:space="preserve">CPR because of important legal and content-wise shortcomings. As long as they are not</w:t>
      </w:r>
      <w:r>
        <w:t xml:space="preserve"> </w:t>
      </w:r>
      <w:r>
        <w:t xml:space="preserve">cited in the OJEU, they do keep the status of a European Standard (EN)80, hence can be</w:t>
      </w:r>
      <w:r>
        <w:t xml:space="preserve"> </w:t>
      </w:r>
      <w:r>
        <w:t xml:space="preserve">voluntarily used by the manufacturers, but cannot serve as a basis to draw up a</w:t>
      </w:r>
      <w:r>
        <w:t xml:space="preserve"> </w:t>
      </w:r>
      <w:r>
        <w:t xml:space="preserve">declaration of performance and affix the CE marking. This situation demonstrates the</w:t>
      </w:r>
      <w:r>
        <w:t xml:space="preserve"> </w:t>
      </w:r>
      <w:r>
        <w:t xml:space="preserve">willingness of the industry and standardisers to continue developing state-of-the-art</w:t>
      </w:r>
      <w:r>
        <w:t xml:space="preserve"> </w:t>
      </w:r>
      <w:r>
        <w:t xml:space="preserve">standards for the construction sector. However, these standards do not meet the</w:t>
      </w:r>
      <w:r>
        <w:t xml:space="preserve"> </w:t>
      </w:r>
      <w:r>
        <w:t xml:space="preserve">overriding legal framework requirements of the CPR to give them the status of</w:t>
      </w:r>
      <w:r>
        <w:t xml:space="preserve"> </w:t>
      </w:r>
      <w:r>
        <w:t xml:space="preserve">harmonised standards. If this is not addressed, the discrepancy between the needs of the</w:t>
      </w:r>
      <w:r>
        <w:t xml:space="preserve"> </w:t>
      </w:r>
      <w:r>
        <w:t xml:space="preserve">Member States and the market actors on one hand and the reality of the harmonised</w:t>
      </w:r>
      <w:r>
        <w:t xml:space="preserve"> </w:t>
      </w:r>
      <w:r>
        <w:t xml:space="preserve">system under the CPR on the other hand is thus likely to further increase over the years.</w:t>
      </w:r>
      <w:r>
        <w:br/>
      </w:r>
      <w:r>
        <w:t xml:space="preserve">This is also expected to lead to increased burden on the so-called EOTA route81, allowing</w:t>
      </w:r>
      <w:r>
        <w:t xml:space="preserve"> </w:t>
      </w:r>
      <w:r>
        <w:t xml:space="preserve">for the CE marking based on European Technical Assessments (ETAs)82 that are issued</w:t>
      </w:r>
      <w:r>
        <w:t xml:space="preserve"> </w:t>
      </w:r>
      <w:r>
        <w:t xml:space="preserve">based on an EAD. This route was originally intended to allow the most innovative</w:t>
      </w:r>
      <w:r>
        <w:t xml:space="preserve"> </w:t>
      </w:r>
      <w:r>
        <w:t xml:space="preserve">products not (fully) covered by harmonised standards gaining access to the market.</w:t>
      </w:r>
      <w:r>
        <w:t xml:space="preserve"> </w:t>
      </w:r>
      <w:r>
        <w:t xml:space="preserve">However, due to the malfunctioning of the standardisation system, in recent years it is</w:t>
      </w:r>
      <w:r>
        <w:t xml:space="preserve"> </w:t>
      </w:r>
      <w:r>
        <w:t xml:space="preserve">more and more frequent that the EADs are considered an alternative route to (lacking</w:t>
      </w:r>
      <w:r>
        <w:t xml:space="preserve"> </w:t>
      </w:r>
      <w:r>
        <w:t xml:space="preserve">new) harmonised standards, consequently most of the new EAD developments regard</w:t>
      </w:r>
      <w:r>
        <w:t xml:space="preserve"> </w:t>
      </w:r>
      <w:r>
        <w:t xml:space="preserve">products that slightly deviate from the scope of existing harmonised standards. Such</w:t>
      </w:r>
      <w:r>
        <w:t xml:space="preserve"> </w:t>
      </w:r>
      <w:r>
        <w:t xml:space="preserve">practice benefits mainly the manufacturers requesting an ETA (and so not all</w:t>
      </w:r>
      <w:r>
        <w:t xml:space="preserve"> </w:t>
      </w:r>
      <w:r>
        <w:t xml:space="preserve">manufacturers of the same type of products). Such ETAs are developed at a cost to be</w:t>
      </w:r>
      <w:r>
        <w:t xml:space="preserve"> </w:t>
      </w:r>
      <w:r>
        <w:t xml:space="preserve">borne by the manufacturers requesting them. As only the manufacturer having requested</w:t>
      </w:r>
      <w:r>
        <w:t xml:space="preserve"> </w:t>
      </w:r>
      <w:r>
        <w:t xml:space="preserve">ETA can affix the CE marking to the assessed product, this causes unnecessary cost to</w:t>
      </w:r>
      <w:r>
        <w:t xml:space="preserve"> </w:t>
      </w:r>
      <w:r>
        <w:t xml:space="preserve">many manufacturers requesting ETAs, instead of allowing all manufacturers to rely on</w:t>
      </w:r>
    </w:p>
    <w:p>
      <w:pPr>
        <w:pStyle w:val="BodyText"/>
      </w:pPr>
      <w:r>
        <w:t xml:space="preserve">80 https://boss.cen.eu/developingdeliverables/pages/en/pages//.</w:t>
      </w:r>
      <w:r>
        <w:t xml:space="preserve"> </w:t>
      </w:r>
      <w:r>
        <w:t xml:space="preserve">81 Further information about the EOTA route can be found in Annex 7.</w:t>
      </w:r>
      <w:r>
        <w:t xml:space="preserve"> </w:t>
      </w:r>
      <w:r>
        <w:t xml:space="preserve">82 The CPR provides for an alternative route for CE marking for construction products not covered or not</w:t>
      </w:r>
      <w:r>
        <w:t xml:space="preserve"> </w:t>
      </w:r>
      <w:r>
        <w:t xml:space="preserve">fully covered under hENs by providing the possibility for manufacturers to request a European</w:t>
      </w:r>
      <w:r>
        <w:t xml:space="preserve"> </w:t>
      </w:r>
      <w:r>
        <w:t xml:space="preserve">Technical Assessment (ETA). The manufacturer may issue a DoP and affix the CE marking on the basis</w:t>
      </w:r>
      <w:r>
        <w:t xml:space="preserve"> </w:t>
      </w:r>
      <w:r>
        <w:t xml:space="preserve">of an ETA. ETAs are issued by Technical Assessment Bodies on the basis of European Assessment</w:t>
      </w:r>
      <w:r>
        <w:t xml:space="preserve"> </w:t>
      </w:r>
      <w:r>
        <w:t xml:space="preserve">Documents (EADs). The development of EADs is the responsibility of EOTA.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harmonised standards for CE marking purposes. These costs would not present</w:t>
      </w:r>
      <w:r>
        <w:t xml:space="preserve"> </w:t>
      </w:r>
      <w:r>
        <w:t xml:space="preserve">themselves in case relevant harmonised standards were cited in the OJEU. While</w:t>
      </w:r>
      <w:r>
        <w:t xml:space="preserve"> </w:t>
      </w:r>
      <w:r>
        <w:t xml:space="preserve">recurring to ETAs is not against the provisions of the CPR, such practice leads to a large</w:t>
      </w:r>
      <w:r>
        <w:t xml:space="preserve"> </w:t>
      </w:r>
      <w:r>
        <w:t xml:space="preserve">number of requests to assess draft EADs83 (see Article 19(2) and Annex II of the CPR)</w:t>
      </w:r>
      <w:r>
        <w:t xml:space="preserve"> </w:t>
      </w:r>
      <w:r>
        <w:t xml:space="preserve">annually to the Commission and this situation risks becoming dysfunctional as well, due</w:t>
      </w:r>
      <w:r>
        <w:t xml:space="preserve"> </w:t>
      </w:r>
      <w:r>
        <w:t xml:space="preserve">to a higher number of complex assessments to be handled by limited Commission</w:t>
      </w:r>
      <w:r>
        <w:t xml:space="preserve"> </w:t>
      </w:r>
      <w:r>
        <w:t xml:space="preserve">resources. Generally, the EOTA route is commercially beneficial for companies with</w:t>
      </w:r>
      <w:r>
        <w:t xml:space="preserve"> </w:t>
      </w:r>
      <w:r>
        <w:t xml:space="preserve">innovative products (or other products not covered by a harmonised standard), however</w:t>
      </w:r>
      <w:r>
        <w:t xml:space="preserve"> </w:t>
      </w:r>
      <w:r>
        <w:t xml:space="preserve">the problem is that the process of developing EADs and on their basis ETAs was not</w:t>
      </w:r>
      <w:r>
        <w:t xml:space="preserve"> </w:t>
      </w:r>
      <w:r>
        <w:t xml:space="preserve">structured to deliver hundreds EADs per year and therefore it has become too slow, and</w:t>
      </w:r>
      <w:r>
        <w:t xml:space="preserve"> </w:t>
      </w:r>
      <w:r>
        <w:t xml:space="preserve">slowness is particularly detrimental to innovative products. In fact, manufacturers want to</w:t>
      </w:r>
      <w:r>
        <w:t xml:space="preserve"> </w:t>
      </w:r>
      <w:r>
        <w:t xml:space="preserve">CE mark and put their innovative product on the market as quickly as possible, and the</w:t>
      </w:r>
      <w:r>
        <w:t xml:space="preserve"> </w:t>
      </w:r>
      <w:r>
        <w:t xml:space="preserve">slow process may sometimes act as a halt to innovation. The fact that a large number of</w:t>
      </w:r>
      <w:r>
        <w:t xml:space="preserve"> </w:t>
      </w:r>
      <w:r>
        <w:t xml:space="preserve">ETAs has been issued (more than 6,900 as of end 202084), and that the number of ETAs</w:t>
      </w:r>
      <w:r>
        <w:t xml:space="preserve"> </w:t>
      </w:r>
      <w:r>
        <w:t xml:space="preserve">issued each year is growing rapidly, seems to indicate that manufacturers think that this</w:t>
      </w:r>
      <w:r>
        <w:t xml:space="preserve"> </w:t>
      </w:r>
      <w:r>
        <w:t xml:space="preserve">CE marking option is worth the time and cost – in other words, that it is effective for all</w:t>
      </w:r>
      <w:r>
        <w:t xml:space="preserve"> </w:t>
      </w:r>
      <w:r>
        <w:t xml:space="preserve">products not only innovative, despite there being room for improvement in terms of</w:t>
      </w:r>
      <w:r>
        <w:t xml:space="preserve"> </w:t>
      </w:r>
      <w:r>
        <w:t xml:space="preserve">length of the process85. This might be especially true in a situation where no harmonised</w:t>
      </w:r>
      <w:r>
        <w:t xml:space="preserve"> </w:t>
      </w:r>
      <w:r>
        <w:t xml:space="preserve">standard is being cited. However, this route to the CE marking brings additional costs for</w:t>
      </w:r>
      <w:r>
        <w:t xml:space="preserve"> </w:t>
      </w:r>
      <w:r>
        <w:t xml:space="preserve">each manufacturer who requests an ETA, compared to the situation if a relevant</w:t>
      </w:r>
      <w:r>
        <w:t xml:space="preserve"> </w:t>
      </w:r>
      <w:r>
        <w:t xml:space="preserve">harmonised standard was cited in OJEU. Moreover, it brings additional burden to the</w:t>
      </w:r>
      <w:r>
        <w:t xml:space="preserve"> </w:t>
      </w:r>
      <w:r>
        <w:t xml:space="preserve">Commissions resources as the number of requests to assess the draft EADs increases.</w:t>
      </w:r>
      <w:r>
        <w:br/>
      </w:r>
      <w:r>
        <w:t xml:space="preserve">The figures below present the evolution of the harmonised standards under the CPR, the</w:t>
      </w:r>
      <w:r>
        <w:t xml:space="preserve"> </w:t>
      </w:r>
      <w:r>
        <w:t xml:space="preserve">European Technical Assessments (ETAs) and European Assessment Documents (EADs)</w:t>
      </w:r>
      <w:r>
        <w:t xml:space="preserve"> </w:t>
      </w:r>
      <w:r>
        <w:t xml:space="preserve">over the recent years.</w:t>
      </w:r>
      <w:r>
        <w:br/>
      </w:r>
      <w:r>
        <w:t xml:space="preserve">Table 1: The evolution of harmonised standards, ETAs and EADs under the CPR</w:t>
      </w:r>
    </w:p>
    <w:p>
      <w:pPr>
        <w:pStyle w:val="BodyText"/>
      </w:pPr>
      <w:r>
        <w:t xml:space="preserve">2014 2015 2016 2017 2018 2019 2020</w:t>
      </w:r>
      <w:r>
        <w:br/>
      </w:r>
      <w:r>
        <w:t xml:space="preserve">Harmonised</w:t>
      </w:r>
      <w:r>
        <w:t xml:space="preserve"> </w:t>
      </w:r>
      <w:r>
        <w:t xml:space="preserve">standards</w:t>
      </w:r>
      <w:r>
        <w:t xml:space="preserve"> </w:t>
      </w:r>
      <w:r>
        <w:t xml:space="preserve">(hENs)a)</w:t>
      </w:r>
      <w:r>
        <w:t xml:space="preserve"> </w:t>
      </w:r>
      <w:r>
        <w:t xml:space="preserve">hENs</w:t>
      </w:r>
      <w:r>
        <w:t xml:space="preserve"> </w:t>
      </w:r>
      <w:r>
        <w:t xml:space="preserve">offered by</w:t>
      </w:r>
      <w:r>
        <w:t xml:space="preserve"> </w:t>
      </w:r>
      <w:r>
        <w:t xml:space="preserve">CEN</w:t>
      </w:r>
      <w:r>
        <w:t xml:space="preserve"> </w:t>
      </w:r>
      <w:r>
        <w:t xml:space="preserve">30</w:t>
      </w:r>
      <w:r>
        <w:t xml:space="preserve"> </w:t>
      </w:r>
      <w:r>
        <w:t xml:space="preserve">89</w:t>
      </w:r>
      <w:r>
        <w:t xml:space="preserve"> </w:t>
      </w:r>
      <w:r>
        <w:t xml:space="preserve">57</w:t>
      </w:r>
      <w:r>
        <w:t xml:space="preserve"> </w:t>
      </w:r>
      <w:r>
        <w:t xml:space="preserve">20</w:t>
      </w:r>
      <w:r>
        <w:t xml:space="preserve"> </w:t>
      </w:r>
      <w:r>
        <w:t xml:space="preserve">21</w:t>
      </w:r>
      <w:r>
        <w:t xml:space="preserve"> </w:t>
      </w:r>
      <w:r>
        <w:t xml:space="preserve">19</w:t>
      </w:r>
      <w:r>
        <w:t xml:space="preserve"> </w:t>
      </w:r>
      <w:r>
        <w:t xml:space="preserve">1</w:t>
      </w:r>
      <w:r>
        <w:t xml:space="preserve"> </w:t>
      </w:r>
      <w:r>
        <w:t xml:space="preserve">hENs</w:t>
      </w:r>
      <w:r>
        <w:t xml:space="preserve"> </w:t>
      </w:r>
      <w:r>
        <w:t xml:space="preserve">published</w:t>
      </w:r>
      <w:r>
        <w:t xml:space="preserve"> </w:t>
      </w:r>
      <w:r>
        <w:t xml:space="preserve">in OJEU</w:t>
      </w:r>
      <w:r>
        <w:t xml:space="preserve"> </w:t>
      </w:r>
      <w:r>
        <w:t xml:space="preserve">23</w:t>
      </w:r>
      <w:r>
        <w:t xml:space="preserve"> </w:t>
      </w:r>
      <w:r>
        <w:t xml:space="preserve">25</w:t>
      </w:r>
      <w:r>
        <w:t xml:space="preserve"> </w:t>
      </w:r>
      <w:r>
        <w:t xml:space="preserve">18</w:t>
      </w:r>
      <w:r>
        <w:t xml:space="preserve"> </w:t>
      </w:r>
      <w:r>
        <w:t xml:space="preserve">19</w:t>
      </w:r>
      <w:r>
        <w:t xml:space="preserve"> </w:t>
      </w:r>
      <w:r>
        <w:t xml:space="preserve">9*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83 The European Assessment Document (EAD) is a harmonised technical specification for construction</w:t>
      </w:r>
      <w:r>
        <w:t xml:space="preserve"> </w:t>
      </w:r>
      <w:r>
        <w:t xml:space="preserve">products developed by European Organisation for Technical Assessment (EOTA) for cases where a</w:t>
      </w:r>
      <w:r>
        <w:t xml:space="preserve"> </w:t>
      </w:r>
      <w:r>
        <w:t xml:space="preserve">product is not fully covered by a harmonised European standard. EADs are the basis for issuing European</w:t>
      </w:r>
      <w:r>
        <w:t xml:space="preserve"> </w:t>
      </w:r>
      <w:r>
        <w:t xml:space="preserve">Technical Assessments (ETAs).</w:t>
      </w:r>
      <w:r>
        <w:t xml:space="preserve"> </w:t>
      </w:r>
      <w:r>
        <w:t xml:space="preserve">84 EOTA – 2020 Annual Report, https://www.eota.eu/news/eota-2020-annual-report.</w:t>
      </w:r>
      <w:r>
        <w:t xml:space="preserve"> </w:t>
      </w:r>
      <w:r>
        <w:t xml:space="preserve">85 VVA Economics &amp; Policy, Joint Institute for Innovation Policy (JIIP), Danish Technological Institute</w:t>
      </w:r>
      <w:r>
        <w:t xml:space="preserve"> </w:t>
      </w:r>
      <w:r>
        <w:t xml:space="preserve">(DTI), Global Data Collection Company (2018). Supporting study for the Review of the Construction</w:t>
      </w:r>
      <w:r>
        <w:t xml:space="preserve"> </w:t>
      </w:r>
      <w:r>
        <w:t xml:space="preserve">Products Regulation: Evaluation, p.68.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European</w:t>
      </w:r>
      <w:r>
        <w:t xml:space="preserve"> </w:t>
      </w:r>
      <w:r>
        <w:t xml:space="preserve">Technical</w:t>
      </w:r>
      <w:r>
        <w:t xml:space="preserve"> </w:t>
      </w:r>
      <w:r>
        <w:t xml:space="preserve">Assessments</w:t>
      </w:r>
      <w:r>
        <w:t xml:space="preserve"> </w:t>
      </w:r>
      <w:r>
        <w:t xml:space="preserve">(ETAs)b)</w:t>
      </w:r>
      <w:r>
        <w:t xml:space="preserve"> </w:t>
      </w:r>
      <w:r>
        <w:t xml:space="preserve">based on</w:t>
      </w:r>
      <w:r>
        <w:t xml:space="preserve"> </w:t>
      </w:r>
      <w:r>
        <w:t xml:space="preserve">ETAGs86</w:t>
      </w:r>
      <w:r>
        <w:t xml:space="preserve"> </w:t>
      </w:r>
      <w:r>
        <w:t xml:space="preserve">381</w:t>
      </w:r>
      <w:r>
        <w:t xml:space="preserve"> </w:t>
      </w:r>
      <w:r>
        <w:t xml:space="preserve">581</w:t>
      </w:r>
      <w:r>
        <w:t xml:space="preserve"> </w:t>
      </w:r>
      <w:r>
        <w:t xml:space="preserve">703</w:t>
      </w:r>
      <w:r>
        <w:t xml:space="preserve"> </w:t>
      </w:r>
      <w:r>
        <w:t xml:space="preserve">777</w:t>
      </w:r>
      <w:r>
        <w:t xml:space="preserve"> </w:t>
      </w:r>
      <w:r>
        <w:t xml:space="preserve">638</w:t>
      </w:r>
      <w:r>
        <w:t xml:space="preserve"> </w:t>
      </w:r>
      <w:r>
        <w:t xml:space="preserve">272</w:t>
      </w:r>
      <w:r>
        <w:t xml:space="preserve"> </w:t>
      </w:r>
      <w:r>
        <w:t xml:space="preserve">237</w:t>
      </w:r>
      <w:r>
        <w:t xml:space="preserve"> </w:t>
      </w:r>
      <w:r>
        <w:t xml:space="preserve">Based on</w:t>
      </w:r>
      <w:r>
        <w:t xml:space="preserve"> </w:t>
      </w:r>
      <w:r>
        <w:t xml:space="preserve">EADs</w:t>
      </w:r>
      <w:r>
        <w:t xml:space="preserve"> </w:t>
      </w:r>
      <w:r>
        <w:t xml:space="preserve">2</w:t>
      </w:r>
      <w:r>
        <w:t xml:space="preserve"> </w:t>
      </w:r>
      <w:r>
        <w:t xml:space="preserve">55</w:t>
      </w:r>
      <w:r>
        <w:t xml:space="preserve"> </w:t>
      </w:r>
      <w:r>
        <w:t xml:space="preserve">176</w:t>
      </w:r>
      <w:r>
        <w:t xml:space="preserve"> </w:t>
      </w:r>
      <w:r>
        <w:t xml:space="preserve">374</w:t>
      </w:r>
      <w:r>
        <w:t xml:space="preserve"> </w:t>
      </w:r>
      <w:r>
        <w:t xml:space="preserve">972</w:t>
      </w:r>
      <w:r>
        <w:t xml:space="preserve"> </w:t>
      </w:r>
      <w:r>
        <w:t xml:space="preserve">831</w:t>
      </w:r>
      <w:r>
        <w:t xml:space="preserve"> </w:t>
      </w:r>
      <w:r>
        <w:t xml:space="preserve">937</w:t>
      </w:r>
      <w:r>
        <w:t xml:space="preserve"> </w:t>
      </w:r>
      <w:r>
        <w:t xml:space="preserve">European</w:t>
      </w:r>
      <w:r>
        <w:t xml:space="preserve"> </w:t>
      </w:r>
      <w:r>
        <w:t xml:space="preserve">Assessment</w:t>
      </w:r>
      <w:r>
        <w:t xml:space="preserve"> </w:t>
      </w:r>
      <w:r>
        <w:t xml:space="preserve">Documentsb)</w:t>
      </w:r>
      <w:r>
        <w:t xml:space="preserve"> </w:t>
      </w:r>
      <w:r>
        <w:t xml:space="preserve">Registered</w:t>
      </w:r>
      <w:r>
        <w:t xml:space="preserve"> </w:t>
      </w:r>
      <w:r>
        <w:t xml:space="preserve">as DPs</w:t>
      </w:r>
      <w:r>
        <w:t xml:space="preserve"> </w:t>
      </w:r>
      <w:r>
        <w:t xml:space="preserve">(draft</w:t>
      </w:r>
      <w:r>
        <w:t xml:space="preserve"> </w:t>
      </w:r>
      <w:r>
        <w:t xml:space="preserve">EADs)</w:t>
      </w:r>
      <w:r>
        <w:t xml:space="preserve"> </w:t>
      </w:r>
      <w:r>
        <w:t xml:space="preserve">50</w:t>
      </w:r>
      <w:r>
        <w:t xml:space="preserve"> </w:t>
      </w:r>
      <w:r>
        <w:t xml:space="preserve">135</w:t>
      </w:r>
      <w:r>
        <w:t xml:space="preserve"> </w:t>
      </w:r>
      <w:r>
        <w:t xml:space="preserve">99</w:t>
      </w:r>
      <w:r>
        <w:t xml:space="preserve"> </w:t>
      </w:r>
      <w:r>
        <w:t xml:space="preserve">182</w:t>
      </w:r>
      <w:r>
        <w:t xml:space="preserve"> </w:t>
      </w:r>
      <w:r>
        <w:t xml:space="preserve">124</w:t>
      </w:r>
      <w:r>
        <w:t xml:space="preserve"> </w:t>
      </w:r>
      <w:r>
        <w:t xml:space="preserve">103</w:t>
      </w:r>
      <w:r>
        <w:t xml:space="preserve"> </w:t>
      </w:r>
      <w:r>
        <w:t xml:space="preserve">93</w:t>
      </w:r>
      <w:r>
        <w:t xml:space="preserve"> </w:t>
      </w:r>
      <w:r>
        <w:t xml:space="preserve">Cited in</w:t>
      </w:r>
      <w:r>
        <w:t xml:space="preserve"> </w:t>
      </w:r>
      <w:r>
        <w:t xml:space="preserve">OJEU</w:t>
      </w:r>
      <w:r>
        <w:t xml:space="preserve"> </w:t>
      </w:r>
      <w:r>
        <w:t xml:space="preserve">0</w:t>
      </w:r>
      <w:r>
        <w:t xml:space="preserve"> </w:t>
      </w:r>
      <w:r>
        <w:t xml:space="preserve">19</w:t>
      </w:r>
      <w:r>
        <w:t xml:space="preserve"> </w:t>
      </w:r>
      <w:r>
        <w:t xml:space="preserve">65</w:t>
      </w:r>
      <w:r>
        <w:t xml:space="preserve"> </w:t>
      </w:r>
      <w:r>
        <w:t xml:space="preserve">71</w:t>
      </w:r>
      <w:r>
        <w:t xml:space="preserve"> </w:t>
      </w:r>
      <w:r>
        <w:t xml:space="preserve">64</w:t>
      </w:r>
      <w:r>
        <w:t xml:space="preserve"> </w:t>
      </w:r>
      <w:r>
        <w:t xml:space="preserve">13</w:t>
      </w:r>
      <w:r>
        <w:t xml:space="preserve"> </w:t>
      </w:r>
      <w:r>
        <w:t xml:space="preserve">44</w:t>
      </w:r>
      <w:r>
        <w:t xml:space="preserve"> </w:t>
      </w:r>
      <w:r>
        <w:t xml:space="preserve">Source: a) COM internal data; *publication of 6 standards delayed to early 2019; b) EOTA</w:t>
      </w:r>
    </w:p>
    <w:p>
      <w:pPr>
        <w:pStyle w:val="BodyText"/>
      </w:pPr>
      <w:r>
        <w:t xml:space="preserve">86 European Technical Approval Guidelines (ETAGs) were elaborated as common approval guidelines</w:t>
      </w:r>
      <w:r>
        <w:t xml:space="preserve"> </w:t>
      </w:r>
      <w:r>
        <w:t xml:space="preserve">under the Construction Products Directive 89/106/EEC (CPD). Since 2013, when the CPD was replaced</w:t>
      </w:r>
      <w:r>
        <w:t xml:space="preserve"> </w:t>
      </w:r>
      <w:r>
        <w:t xml:space="preserve">by the Construction Products Regulation (EU) No 305/2011 (CPR), they were in use as European</w:t>
      </w:r>
      <w:r>
        <w:t xml:space="preserve"> </w:t>
      </w:r>
      <w:r>
        <w:t xml:space="preserve">Assessment Documents (EAD) in accordance with Article 66 of this Regulation. However, EOTA and</w:t>
      </w:r>
      <w:r>
        <w:t xml:space="preserve"> </w:t>
      </w:r>
      <w:r>
        <w:t xml:space="preserve">the European Commission agreed that ETAGs should be converted into EADs. This conversion exercise</w:t>
      </w:r>
      <w:r>
        <w:t xml:space="preserve"> </w:t>
      </w:r>
      <w:r>
        <w:t xml:space="preserve">has now been completed. The conversion comprised all ETAGs but ETAG 016, ETAG 021, ETAG 023,</w:t>
      </w:r>
      <w:r>
        <w:t xml:space="preserve"> </w:t>
      </w:r>
      <w:r>
        <w:t xml:space="preserve">ETAG 024, ETAG 025, ETAG 031, ETAG 033 and ETAG 035. Please note that the mentioned ETAGs,</w:t>
      </w:r>
      <w:r>
        <w:t xml:space="preserve"> </w:t>
      </w:r>
      <w:r>
        <w:t xml:space="preserve">which have come out of use, will only be converted into an EAD if a manufacturer requests an ETA on</w:t>
      </w:r>
      <w:r>
        <w:t xml:space="preserve"> </w:t>
      </w:r>
      <w:r>
        <w:t xml:space="preserve">their basis. https://www.eota.eu/etags-archive.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Figure 1: Number of hENs offered by CEN and hENs published in the OJEU</w:t>
      </w:r>
    </w:p>
    <w:p>
      <w:pPr>
        <w:pStyle w:val="BodyText"/>
      </w:pPr>
      <w:r>
        <w:t xml:space="preserve">Source: COM internal data</w:t>
      </w:r>
      <w:r>
        <w:t xml:space="preserve"> </w:t>
      </w:r>
      <w:r>
        <w:t xml:space="preserve">Figure 2: Number of ETAs based on ETAGs and on EADs</w:t>
      </w:r>
    </w:p>
    <w:p>
      <w:pPr>
        <w:pStyle w:val="BodyText"/>
      </w:pPr>
      <w:r>
        <w:t xml:space="preserve">Source: EOTA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Figure 3: Number of EADs registered as draft and number of EADs cited in OJEU</w:t>
      </w:r>
    </w:p>
    <w:p>
      <w:pPr>
        <w:pStyle w:val="BodyText"/>
      </w:pPr>
      <w:r>
        <w:t xml:space="preserve">Source: EOTA, COM internal data</w:t>
      </w:r>
      <w:r>
        <w:t xml:space="preserve"> </w:t>
      </w:r>
      <w:r>
        <w:t xml:space="preserve">Based on this overview, the expectations are that these issues will become more pressing</w:t>
      </w:r>
      <w:r>
        <w:t xml:space="preserve"> </w:t>
      </w:r>
      <w:r>
        <w:t xml:space="preserve">over time, with manufacturers continuing to use the EOTA route for CE marking,</w:t>
      </w:r>
      <w:r>
        <w:t xml:space="preserve"> </w:t>
      </w:r>
      <w:r>
        <w:t xml:space="preserve">incurring unnecessary additional costs on top of putting under strain the Commissions</w:t>
      </w:r>
      <w:r>
        <w:t xml:space="preserve"> </w:t>
      </w:r>
      <w:r>
        <w:t xml:space="preserve">limited resources.</w:t>
      </w:r>
      <w:r>
        <w:br/>
      </w:r>
      <w:r>
        <w:t xml:space="preserve">Finally, new political goals, namely stemming from the European Green Deal and the</w:t>
      </w:r>
      <w:r>
        <w:t xml:space="preserve"> </w:t>
      </w:r>
      <w:r>
        <w:t xml:space="preserve">CEAP, cannot be effectively pursued under the current CPR making it difficult if not</w:t>
      </w:r>
      <w:r>
        <w:t xml:space="preserve"> </w:t>
      </w:r>
      <w:r>
        <w:t xml:space="preserve">impossible to deliver on the objectives relevant for construction products, including</w:t>
      </w:r>
      <w:r>
        <w:t xml:space="preserve"> </w:t>
      </w:r>
      <w:r>
        <w:t xml:space="preserve">circularity and environmental impacts. Although the current CPR could address partially</w:t>
      </w:r>
      <w:r>
        <w:t xml:space="preserve"> </w:t>
      </w:r>
      <w:r>
        <w:t xml:space="preserve">these goals (with the BWR3, referring to the environmental impacts, and BWR7,</w:t>
      </w:r>
      <w:r>
        <w:t xml:space="preserve"> </w:t>
      </w:r>
      <w:r>
        <w:t xml:space="preserve">referring to sustainable use of natural resources), this is hardly achievable with the</w:t>
      </w:r>
      <w:r>
        <w:t xml:space="preserve"> </w:t>
      </w:r>
      <w:r>
        <w:t xml:space="preserve">blocked technical harmonisation system. As consequence, the current CPR cannot</w:t>
      </w:r>
      <w:r>
        <w:t xml:space="preserve"> </w:t>
      </w:r>
      <w:r>
        <w:t xml:space="preserve">address the SPI goals. Without a revision of the CPR, the sustainability aspects of</w:t>
      </w:r>
      <w:r>
        <w:t xml:space="preserve"> </w:t>
      </w:r>
      <w:r>
        <w:t xml:space="preserve">construction products would then need to be addressed under the SPI with a risk of</w:t>
      </w:r>
      <w:r>
        <w:t xml:space="preserve"> </w:t>
      </w:r>
      <w:r>
        <w:t xml:space="preserve">double administrative burden (the same product regulated under two acts). This could</w:t>
      </w:r>
      <w:r>
        <w:t xml:space="preserve"> </w:t>
      </w:r>
      <w:r>
        <w:t xml:space="preserve">also put at risk the coherence between safety and sustainability aspects which is crucial</w:t>
      </w:r>
      <w:r>
        <w:t xml:space="preserve"> </w:t>
      </w:r>
      <w:r>
        <w:t xml:space="preserve">considering the role of construction products in construction works. Also, without an</w:t>
      </w:r>
      <w:r>
        <w:t xml:space="preserve"> </w:t>
      </w:r>
      <w:r>
        <w:t xml:space="preserve">overarching framework to ensure sustainability of construction products in the EU the</w:t>
      </w:r>
      <w:r>
        <w:t xml:space="preserve"> </w:t>
      </w:r>
      <w:r>
        <w:t xml:space="preserve">fragmentation of the EU Internal Market will gain further momentum, as individual</w:t>
      </w:r>
      <w:r>
        <w:t xml:space="preserve"> </w:t>
      </w:r>
      <w:r>
        <w:t xml:space="preserve">Member States will continue their attempts to tackle the described issues at national</w:t>
      </w:r>
      <w:r>
        <w:t xml:space="preserve"> </w:t>
      </w:r>
      <w:r>
        <w:t xml:space="preserve">level.</w:t>
      </w:r>
    </w:p>
    <w:p>
      <w:pPr>
        <w:pStyle w:val="Compact"/>
        <w:numPr>
          <w:ilvl w:val="0"/>
          <w:numId w:val="1005"/>
        </w:numPr>
      </w:pPr>
      <w:r>
        <w:t xml:space="preserve">WHY SHOULD THE EU ACT?</w:t>
      </w:r>
      <w:r>
        <w:t xml:space="preserve"> </w:t>
      </w:r>
      <w:r>
        <w:t xml:space="preserve">4.1.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first paragraph of Article 114 of the Treaty on the Functioning of the European</w:t>
      </w:r>
      <w:r>
        <w:t xml:space="preserve"> </w:t>
      </w:r>
      <w:r>
        <w:t xml:space="preserve">Union (TFEU) empowers the European Parliament and the Council to adopt measures for</w:t>
      </w:r>
      <w:r>
        <w:t xml:space="preserve"> </w:t>
      </w:r>
      <w:r>
        <w:t xml:space="preserve">the approximation of the provisions laid down by law, regulation or administrative action</w:t>
      </w:r>
    </w:p>
    <w:p>
      <w:pPr>
        <w:pStyle w:val="FirstParagraph"/>
      </w:pPr>
      <w:r>
        <w:t xml:space="preserve">20</w:t>
      </w:r>
      <w:r>
        <w:t xml:space="preserve"> </w:t>
      </w:r>
      <w:r>
        <w:t xml:space="preserve">in Member States which have as their object the establishment and functioning of the</w:t>
      </w:r>
      <w:r>
        <w:t xml:space="preserve"> </w:t>
      </w:r>
      <w:r>
        <w:t xml:space="preserve">internal market. Article 114 TFEU allows the EU to take measures both to eliminate</w:t>
      </w:r>
      <w:r>
        <w:t xml:space="preserve"> </w:t>
      </w:r>
      <w:r>
        <w:t xml:space="preserve">current obstacles to the establishment and functioning of the internal market and to</w:t>
      </w:r>
      <w:r>
        <w:t xml:space="preserve"> </w:t>
      </w:r>
      <w:r>
        <w:t xml:space="preserve">address barriers that dissuade economic operators from taking full advantage of the</w:t>
      </w:r>
      <w:r>
        <w:t xml:space="preserve"> </w:t>
      </w:r>
      <w:r>
        <w:t xml:space="preserve">benefits of that market.</w:t>
      </w:r>
      <w:r>
        <w:br/>
      </w:r>
      <w:r>
        <w:t xml:space="preserve">Through the CPR, the EU has sought to remove these obstacles to the circulation of</w:t>
      </w:r>
      <w:r>
        <w:t xml:space="preserve"> </w:t>
      </w:r>
      <w:r>
        <w:t xml:space="preserve">construction products within the European single market – this being an objective since</w:t>
      </w:r>
      <w:r>
        <w:t xml:space="preserve"> </w:t>
      </w:r>
      <w:r>
        <w:t xml:space="preserve">the adoption of the Construction Products Directive. Article 114 TFEU forms the legal</w:t>
      </w:r>
      <w:r>
        <w:t xml:space="preserve"> </w:t>
      </w:r>
      <w:r>
        <w:t xml:space="preserve">basis for the current CPR and is the appropriate legal basis for its revision.</w:t>
      </w:r>
      <w:r>
        <w:t xml:space="preserve"> </w:t>
      </w:r>
      <w:r>
        <w:t xml:space="preserve">In addition to pursuing internal market objectives, the initiative aims to contribute to a</w:t>
      </w:r>
      <w:r>
        <w:t xml:space="preserve"> </w:t>
      </w:r>
      <w:r>
        <w:t xml:space="preserve">high level of environmental protection and combatting climate change (Article 11 and</w:t>
      </w:r>
      <w:r>
        <w:t xml:space="preserve"> </w:t>
      </w:r>
      <w:r>
        <w:t xml:space="preserve">Articles 191 to 193 of the TFEU) as it also aims to contribute to the Circular Economy</w:t>
      </w:r>
      <w:r>
        <w:t xml:space="preserve"> </w:t>
      </w:r>
      <w:r>
        <w:t xml:space="preserve">Action Plan, the Renovation Wave and other linked initiatives. However, internal market</w:t>
      </w:r>
      <w:r>
        <w:t xml:space="preserve"> </w:t>
      </w:r>
      <w:r>
        <w:t xml:space="preserve">objectives are predominant, as the absence of adequate and comprehensive internal</w:t>
      </w:r>
      <w:r>
        <w:t xml:space="preserve"> </w:t>
      </w:r>
      <w:r>
        <w:t xml:space="preserve">market rules to regulate marketing of construction products in a way to contribute to their</w:t>
      </w:r>
      <w:r>
        <w:t xml:space="preserve"> </w:t>
      </w:r>
      <w:r>
        <w:t xml:space="preserve">sustainable production and use leaves room for solutions being developed by the Member</w:t>
      </w:r>
      <w:r>
        <w:t xml:space="preserve"> </w:t>
      </w:r>
      <w:r>
        <w:t xml:space="preserve">States or by industries, which contributes to the dysfunctionality of the internal market by</w:t>
      </w:r>
      <w:r>
        <w:t xml:space="preserve"> </w:t>
      </w:r>
      <w:r>
        <w:t xml:space="preserve">generating potential barriers, fragmentation and incoherent approaches.</w:t>
      </w:r>
    </w:p>
    <w:p>
      <w:pPr>
        <w:pStyle w:val="BodyText"/>
      </w:pPr>
      <w:r>
        <w:t xml:space="preserve">4.2.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The deficiencies of the current CPR cannot be remedied by Member States’ laws as the</w:t>
      </w:r>
      <w:r>
        <w:t xml:space="preserve"> </w:t>
      </w:r>
      <w:r>
        <w:t xml:space="preserve">Member States have no competence for revising the CPR framework nor for correcting</w:t>
      </w:r>
      <w:r>
        <w:t xml:space="preserve"> </w:t>
      </w:r>
      <w:r>
        <w:t xml:space="preserve">its failures through national, or even regional, measures. EU action is therefore relevant</w:t>
      </w:r>
      <w:r>
        <w:t xml:space="preserve"> </w:t>
      </w:r>
      <w:r>
        <w:t xml:space="preserve">and necessary. Only at EU level conditions to ensure the free circulation of construction</w:t>
      </w:r>
      <w:r>
        <w:t xml:space="preserve"> </w:t>
      </w:r>
      <w:r>
        <w:t xml:space="preserve">products can be set whilst ensuring a level playing field. In particular, environmental</w:t>
      </w:r>
      <w:r>
        <w:t xml:space="preserve"> </w:t>
      </w:r>
      <w:r>
        <w:t xml:space="preserve">protection objectives and climate performance of construction products are being</w:t>
      </w:r>
      <w:r>
        <w:t xml:space="preserve"> </w:t>
      </w:r>
      <w:r>
        <w:t xml:space="preserve">addressed in different ways in the EU, considering also the different geographical and</w:t>
      </w:r>
      <w:r>
        <w:t xml:space="preserve"> </w:t>
      </w:r>
      <w:r>
        <w:t xml:space="preserve">local conditions, and this variance in Member States’ approaches to construction</w:t>
      </w:r>
      <w:r>
        <w:t xml:space="preserve"> </w:t>
      </w:r>
      <w:r>
        <w:t xml:space="preserve">products’ sustainability and safety causes barriers to trade. An envisaged role for the EU</w:t>
      </w:r>
      <w:r>
        <w:t xml:space="preserve"> </w:t>
      </w:r>
      <w:r>
        <w:t xml:space="preserve">should be to promote the development of a competitive internal market in construction</w:t>
      </w:r>
      <w:r>
        <w:t xml:space="preserve"> </w:t>
      </w:r>
      <w:r>
        <w:t xml:space="preserve">products by removing any unnecessary disparities in regulation of performance of</w:t>
      </w:r>
      <w:r>
        <w:t xml:space="preserve"> </w:t>
      </w:r>
      <w:r>
        <w:t xml:space="preserve">construction products, including environmental one, while allowing Member States to</w:t>
      </w:r>
      <w:r>
        <w:t xml:space="preserve"> </w:t>
      </w:r>
      <w:r>
        <w:t xml:space="preserve">reflect their specificities in national building codes. Therefore, coordinated EU action can</w:t>
      </w:r>
      <w:r>
        <w:t xml:space="preserve"> </w:t>
      </w:r>
      <w:r>
        <w:t xml:space="preserve">more effectively reinforce and supplement national and local actions, contributing in</w:t>
      </w:r>
      <w:r>
        <w:t xml:space="preserve"> </w:t>
      </w:r>
      <w:r>
        <w:t xml:space="preserve">particular to construction products’ sustainability regarding climate performance and</w:t>
      </w:r>
      <w:r>
        <w:t xml:space="preserve"> </w:t>
      </w:r>
      <w:r>
        <w:t xml:space="preserve">environmental protection.</w:t>
      </w:r>
    </w:p>
    <w:p>
      <w:pPr>
        <w:pStyle w:val="BodyText"/>
      </w:pPr>
      <w:r>
        <w:t xml:space="preserve">4.3.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revision of the CPR is expected to improve the overall functioning of the internal</w:t>
      </w:r>
      <w:r>
        <w:t xml:space="preserve"> </w:t>
      </w:r>
      <w:r>
        <w:t xml:space="preserve">market for construction products, particularly by addressing the current issues relevant to</w:t>
      </w:r>
      <w:r>
        <w:t xml:space="preserve"> </w:t>
      </w:r>
      <w:r>
        <w:t xml:space="preserve">the standardisation system and eradicating further barriers to trade, such as duplication or</w:t>
      </w:r>
      <w:r>
        <w:t xml:space="preserve"> </w:t>
      </w:r>
      <w:r>
        <w:t xml:space="preserve">overlapping of regulatory provisions either at the EU or national/regional levels. This</w:t>
      </w:r>
      <w:r>
        <w:t xml:space="preserve"> </w:t>
      </w:r>
      <w:r>
        <w:t xml:space="preserve">would in turn increase legal certainty as well as predictability and improve the level</w:t>
      </w:r>
      <w:r>
        <w:t xml:space="preserve"> </w:t>
      </w:r>
      <w:r>
        <w:t xml:space="preserve">playing field for the construction industry. Trust in the entire system would be leveraged</w:t>
      </w:r>
      <w:r>
        <w:t xml:space="preserve"> </w:t>
      </w:r>
      <w:r>
        <w:t xml:space="preserve">thanks to more streamlined market surveillance practices across the EU. Finally, the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revision would address the aspects of environmental performance and circularity of</w:t>
      </w:r>
      <w:r>
        <w:t xml:space="preserve"> </w:t>
      </w:r>
      <w:r>
        <w:t xml:space="preserve">construction products, which can only be tackled at the EU level, where the common</w:t>
      </w:r>
      <w:r>
        <w:t xml:space="preserve"> </w:t>
      </w:r>
      <w:r>
        <w:t xml:space="preserve">technical language is being developed.</w:t>
      </w:r>
      <w:r>
        <w:t xml:space="preserve"> </w:t>
      </w:r>
      <w:r>
        <w:t xml:space="preserve">The proposed measures are proportionate as they will not go beyond what is necessary to</w:t>
      </w:r>
      <w:r>
        <w:t xml:space="preserve"> </w:t>
      </w:r>
      <w:r>
        <w:t xml:space="preserve">provide regulatory certainty while ensuring a high level of protection of safety and of the</w:t>
      </w:r>
      <w:r>
        <w:t xml:space="preserve"> </w:t>
      </w:r>
      <w:r>
        <w:t xml:space="preserve">environment. EU action is therefore justified and necessary.</w:t>
      </w:r>
      <w:r>
        <w:t xml:space="preserve"> </w:t>
      </w:r>
      <w:r>
        <w:t xml:space="preserve">5.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The two general objectives of the revision are to:</w:t>
      </w:r>
      <w:r>
        <w:t xml:space="preserve"> </w:t>
      </w:r>
      <w:r>
        <w:t xml:space="preserve">1. Achieve a well-functioning internal market for construction products; and to</w:t>
      </w:r>
      <w:r>
        <w:t xml:space="preserve"> </w:t>
      </w:r>
      <w:r>
        <w:t xml:space="preserve">2. Make the framework apt to contribute to the objectives of the green and digital</w:t>
      </w:r>
      <w:r>
        <w:t xml:space="preserve"> </w:t>
      </w:r>
      <w:r>
        <w:t xml:space="preserve">transition, particularly the modern, resource-efficient and competitive economy.</w:t>
      </w:r>
      <w:r>
        <w:br/>
      </w:r>
      <w:r>
        <w:t xml:space="preserve">These general objectives respond to the problems and the underlying drivers, as</w:t>
      </w:r>
      <w:r>
        <w:t xml:space="preserve"> </w:t>
      </w:r>
      <w:r>
        <w:t xml:space="preserve">presented above. They build, on one hand, on the long-term experience gained during the</w:t>
      </w:r>
      <w:r>
        <w:t xml:space="preserve"> </w:t>
      </w:r>
      <w:r>
        <w:t xml:space="preserve">implementation, showing areas of improvement; and on the other hand respond to the</w:t>
      </w:r>
      <w:r>
        <w:t xml:space="preserve"> </w:t>
      </w:r>
      <w:r>
        <w:t xml:space="preserve">objectives of the industrial policy87. The industry, operating in the EU market, needs</w:t>
      </w:r>
      <w:r>
        <w:t xml:space="preserve"> </w:t>
      </w:r>
      <w:r>
        <w:t xml:space="preserve">harmonisation, legal clarity, adequate enforcement and reinforced market surveillance in</w:t>
      </w:r>
      <w:r>
        <w:t xml:space="preserve"> </w:t>
      </w:r>
      <w:r>
        <w:t xml:space="preserve">order to benefit from the level-playing field and from the green and digital transition.</w:t>
      </w:r>
      <w:r>
        <w:br/>
      </w:r>
      <w:r>
        <w:t xml:space="preserve">These general objectives are complemented by the following specific objectives:</w:t>
      </w:r>
      <w:r>
        <w:t xml:space="preserve"> </w:t>
      </w:r>
      <w:r>
        <w:t xml:space="preserve">1.1. To deblock the technical harmonisation system;</w:t>
      </w:r>
      <w:r>
        <w:t xml:space="preserve"> </w:t>
      </w:r>
      <w:r>
        <w:t xml:space="preserve">1.2. To reduce national barriers to trade for products covered by the CPR;</w:t>
      </w:r>
      <w:r>
        <w:t xml:space="preserve"> </w:t>
      </w:r>
      <w:r>
        <w:t xml:space="preserve">1.3. To improve enforcement and market surveillance;</w:t>
      </w:r>
      <w:r>
        <w:t xml:space="preserve"> </w:t>
      </w:r>
      <w:r>
        <w:t xml:space="preserve">1.4. To provide more clarity (more comprehensive definitions, reducing overlaps,</w:t>
      </w:r>
      <w:r>
        <w:t xml:space="preserve"> </w:t>
      </w:r>
      <w:r>
        <w:t xml:space="preserve">collision rules with other legislation) and simplification;</w:t>
      </w:r>
      <w:r>
        <w:t xml:space="preserve"> </w:t>
      </w:r>
      <w:r>
        <w:t xml:space="preserve">1.5. To reduce the administrative burden, including through simplification and</w:t>
      </w:r>
      <w:r>
        <w:t xml:space="preserve"> </w:t>
      </w:r>
      <w:r>
        <w:t xml:space="preserve">digitalisation;</w:t>
      </w:r>
      <w:r>
        <w:t xml:space="preserve"> </w:t>
      </w:r>
      <w:r>
        <w:t xml:space="preserve">1.6. To ensure safe construction products;</w:t>
      </w:r>
      <w:r>
        <w:t xml:space="preserve"> </w:t>
      </w:r>
      <w:r>
        <w:t xml:space="preserve">2.1. To contribute to reducing the overall climate and environmental impact of</w:t>
      </w:r>
      <w:r>
        <w:t xml:space="preserve"> </w:t>
      </w:r>
      <w:r>
        <w:t xml:space="preserve">construction products, including through the application of digital tools (Digital</w:t>
      </w:r>
      <w:r>
        <w:t xml:space="preserve"> </w:t>
      </w:r>
      <w:r>
        <w:t xml:space="preserve">Product Passport).</w:t>
      </w:r>
      <w:r>
        <w:t xml:space="preserve"> </w:t>
      </w:r>
      <w:r>
        <w:t xml:space="preserve">The below figure 4 presents the intervention logic.</w:t>
      </w:r>
    </w:p>
    <w:p>
      <w:pPr>
        <w:pStyle w:val="BodyText"/>
      </w:pPr>
      <w:r>
        <w:t xml:space="preserve">87 Communication from the Commission to the European Parliament, the Council, the European Economic</w:t>
      </w:r>
      <w:r>
        <w:t xml:space="preserve"> </w:t>
      </w:r>
      <w:r>
        <w:t xml:space="preserve">and Social Committee and the Committee of the regions. Updating the 2020 New Industrial Strategy:</w:t>
      </w:r>
      <w:r>
        <w:t xml:space="preserve"> </w:t>
      </w:r>
      <w:r>
        <w:t xml:space="preserve">Building a stronger Single Market for Europe’s recovery.</w:t>
      </w:r>
      <w:r>
        <w:t xml:space="preserve"> </w:t>
      </w:r>
      <w:r>
        <w:t xml:space="preserve">https://ec.europa.eu/info/sites/default/files/communication-new-industrial-strategy.pdf.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Figure 4: Intervention logic</w:t>
      </w:r>
    </w:p>
    <w:p>
      <w:pPr>
        <w:pStyle w:val="Compact"/>
        <w:numPr>
          <w:ilvl w:val="0"/>
          <w:numId w:val="1006"/>
        </w:numPr>
      </w:pPr>
      <w:r>
        <w:t xml:space="preserve">WHAT ARE THE AVAILABLE POLICY OPTIONS?</w:t>
      </w:r>
      <w:r>
        <w:t xml:space="preserve"> </w:t>
      </w:r>
      <w:r>
        <w:t xml:space="preserve">The intervention logic presented in Figure 4 illustrates the underlying drivers, the links</w:t>
      </w:r>
      <w:r>
        <w:t xml:space="preserve"> </w:t>
      </w:r>
      <w:r>
        <w:t xml:space="preserve">between the problems the CPR is expected to address, the objectives assigned to it, the</w:t>
      </w:r>
      <w:r>
        <w:t xml:space="preserve"> </w:t>
      </w:r>
      <w:r>
        <w:t xml:space="preserve">CPR’s policy options, and the sub-options. The content of each option88 (i.e. the detailed</w:t>
      </w:r>
      <w:r>
        <w:t xml:space="preserve"> </w:t>
      </w:r>
      <w:r>
        <w:t xml:space="preserve">measures that form part of them) were analysed and consulted with the Member States,</w:t>
      </w:r>
      <w:r>
        <w:t xml:space="preserve"> </w:t>
      </w:r>
      <w:r>
        <w:t xml:space="preserve">industry and other stakeholders89.</w:t>
      </w:r>
      <w:r>
        <w:br/>
      </w:r>
      <w:r>
        <w:t xml:space="preserve">Not considered explicitly as an element of the options but essential to the delivery of the</w:t>
      </w:r>
      <w:r>
        <w:t xml:space="preserve"> </w:t>
      </w:r>
      <w:r>
        <w:t xml:space="preserve">preferred option, is the question of the Commission’s administrative setup and</w:t>
      </w:r>
      <w:r>
        <w:t xml:space="preserve"> </w:t>
      </w:r>
      <w:r>
        <w:t xml:space="preserve">capacity. Ambitious solutions can only be delivered if there are adequate resources in</w:t>
      </w:r>
      <w:r>
        <w:t xml:space="preserve"> </w:t>
      </w:r>
      <w:r>
        <w:t xml:space="preserve">place to implement them. The current situation has, for example, demonstrated that</w:t>
      </w:r>
      <w:r>
        <w:t xml:space="preserve"> </w:t>
      </w:r>
      <w:r>
        <w:t xml:space="preserve">delays have accumulated in the evaluation of CEN harmonised standards and EOTA</w:t>
      </w:r>
      <w:r>
        <w:t xml:space="preserve"> </w:t>
      </w:r>
      <w:r>
        <w:t xml:space="preserve">deliverables resulting in legal uncertainty for the market and users, hindering the free</w:t>
      </w:r>
      <w:r>
        <w:t xml:space="preserve"> </w:t>
      </w:r>
      <w:r>
        <w:t xml:space="preserve">circulation of construction products in the EU and impacting the competitiveness of</w:t>
      </w:r>
      <w:r>
        <w:t xml:space="preserve"> </w:t>
      </w:r>
      <w:r>
        <w:t xml:space="preserve">manufacturers.</w:t>
      </w:r>
      <w:r>
        <w:t xml:space="preserve"> </w:t>
      </w:r>
      <w:r>
        <w:t xml:space="preserve">The social dimension linked to the manufacturing of construction products (social</w:t>
      </w:r>
      <w:r>
        <w:t xml:space="preserve"> </w:t>
      </w:r>
      <w:r>
        <w:t xml:space="preserve">conditions of production of construction products placed on the EU market) has not</w:t>
      </w:r>
      <w:r>
        <w:t xml:space="preserve"> </w:t>
      </w:r>
      <w:r>
        <w:t xml:space="preserve">formed part of the options devised for the CPR revision. Firstly, because of their size and</w:t>
      </w:r>
      <w:r>
        <w:t xml:space="preserve"> </w:t>
      </w:r>
      <w:r>
        <w:t xml:space="preserve">volume, the construction products are predominantly produced in the EU where no</w:t>
      </w:r>
    </w:p>
    <w:p>
      <w:pPr>
        <w:pStyle w:val="FirstParagraph"/>
      </w:pPr>
      <w:r>
        <w:t xml:space="preserve">88 See Annex 12 for the Refined indicative options paper, https://ec.europa.eu/docsroom/documents/40762.</w:t>
      </w:r>
      <w:r>
        <w:t xml:space="preserve"> </w:t>
      </w:r>
      <w:r>
        <w:t xml:space="preserve">89 See Annex 2 on consultation activities. See also the Results of the Survey on the Refined indicative</w:t>
      </w:r>
      <w:r>
        <w:t xml:space="preserve"> </w:t>
      </w:r>
      <w:r>
        <w:t xml:space="preserve">options paper, April-August 2020, https://ec.europa.eu/docsroom/documents/43103.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concerns linked to the social aspects of their manufacturing are known. Secondly, the</w:t>
      </w:r>
      <w:r>
        <w:t xml:space="preserve"> </w:t>
      </w:r>
      <w:r>
        <w:t xml:space="preserve">envisaged Sustainable Corporate Governance initiative (SCGI) is considering the</w:t>
      </w:r>
      <w:r>
        <w:t xml:space="preserve"> </w:t>
      </w:r>
      <w:r>
        <w:t xml:space="preserve">possible introduction of a general due diligence duty for companies of a certain size,</w:t>
      </w:r>
      <w:r>
        <w:t xml:space="preserve"> </w:t>
      </w:r>
      <w:r>
        <w:t xml:space="preserve">covering human rights and environmental aspects related to all company activities (not a</w:t>
      </w:r>
      <w:r>
        <w:t xml:space="preserve"> </w:t>
      </w:r>
      <w:r>
        <w:t xml:space="preserve">particular product) including the supply chain. Finally, the upcoming SPI considers the</w:t>
      </w:r>
      <w:r>
        <w:t xml:space="preserve"> </w:t>
      </w:r>
      <w:r>
        <w:t xml:space="preserve">possibility of setting requirements on social aspects along the value chain of products.</w:t>
      </w:r>
    </w:p>
    <w:p>
      <w:pPr>
        <w:pStyle w:val="BodyText"/>
      </w:pPr>
      <w:r>
        <w:t xml:space="preserve">6.1.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 scenario (referred to as “option A” during stakeholders’ consultations)</w:t>
      </w:r>
      <w:r>
        <w:t xml:space="preserve"> </w:t>
      </w:r>
      <w:r>
        <w:t xml:space="preserve">implies no revision of the Regulation. This means the current CPR being in force,</w:t>
      </w:r>
      <w:r>
        <w:t xml:space="preserve"> </w:t>
      </w:r>
      <w:r>
        <w:t xml:space="preserve">together with the entirety of the harmonisation system it put in place, hence including</w:t>
      </w:r>
      <w:r>
        <w:t xml:space="preserve"> </w:t>
      </w:r>
      <w:r>
        <w:t xml:space="preserve">making use of all existing tools already at hand, i.e. Delegated Acts, Implementing Acts</w:t>
      </w:r>
      <w:r>
        <w:t xml:space="preserve"> </w:t>
      </w:r>
      <w:r>
        <w:t xml:space="preserve">and harmonised standards90.</w:t>
      </w:r>
      <w:r>
        <w:br/>
      </w:r>
      <w:r>
        <w:t xml:space="preserve">The baseline scenario means therefore a continuation of the harmonisation system and its</w:t>
      </w:r>
      <w:r>
        <w:t xml:space="preserve"> </w:t>
      </w:r>
      <w:r>
        <w:t xml:space="preserve">implementation, e.g. dialogue and efforts to provide further guidance and streamlining</w:t>
      </w:r>
      <w:r>
        <w:t xml:space="preserve"> </w:t>
      </w:r>
      <w:r>
        <w:t xml:space="preserve">the standardisation work; actions taken upon the national marks91; promoting the</w:t>
      </w:r>
      <w:r>
        <w:t xml:space="preserve"> </w:t>
      </w:r>
      <w:r>
        <w:t xml:space="preserve">understanding of the CPR; enhancing the market surveillance, through e.g. by</w:t>
      </w:r>
      <w:r>
        <w:t xml:space="preserve"> </w:t>
      </w:r>
      <w:r>
        <w:t xml:space="preserve">recommending effective default market surveillance controls, within the framework of</w:t>
      </w:r>
      <w:r>
        <w:t xml:space="preserve"> </w:t>
      </w:r>
      <w:r>
        <w:t xml:space="preserve">Regulation (EU) 2019/1020 on market surveillance92.</w:t>
      </w:r>
      <w:r>
        <w:t xml:space="preserve"> </w:t>
      </w:r>
      <w:r>
        <w:t xml:space="preserve">It is to be noted that the system, under the baseline scenario, would still to a very large</w:t>
      </w:r>
      <w:r>
        <w:t xml:space="preserve"> </w:t>
      </w:r>
      <w:r>
        <w:t xml:space="preserve">extent be the one described in the evaluation and that some of the actions suggested in</w:t>
      </w:r>
      <w:r>
        <w:t xml:space="preserve"> </w:t>
      </w:r>
      <w:r>
        <w:t xml:space="preserve">the evaluation have been taken, but failed to deliver. The likely evolution under the</w:t>
      </w:r>
      <w:r>
        <w:t xml:space="preserve"> </w:t>
      </w:r>
      <w:r>
        <w:t xml:space="preserve">baseline scenario is reflected in section 3.2 (How will the problems evolve?).</w:t>
      </w:r>
      <w:r>
        <w:br/>
      </w:r>
      <w:r>
        <w:t xml:space="preserve">Under the baseline, it would be at most only partially possible to address climate and</w:t>
      </w:r>
      <w:r>
        <w:t xml:space="preserve"> </w:t>
      </w:r>
      <w:r>
        <w:t xml:space="preserve">environmental performance aspects of construction products through the CPR (i.e. no</w:t>
      </w:r>
      <w:r>
        <w:t xml:space="preserve"> </w:t>
      </w:r>
      <w:r>
        <w:t xml:space="preserve">reparability, no durability, availability of spare parts). However, this would require a</w:t>
      </w:r>
      <w:r>
        <w:t xml:space="preserve"> </w:t>
      </w:r>
      <w:r>
        <w:t xml:space="preserve">much better performing harmonisation system. Therefore, more likely the SPI would</w:t>
      </w:r>
      <w:r>
        <w:t xml:space="preserve"> </w:t>
      </w:r>
      <w:r>
        <w:t xml:space="preserve">have to address the goals stemming from the European Green Deal and the CEAP for</w:t>
      </w:r>
      <w:r>
        <w:t xml:space="preserve"> </w:t>
      </w:r>
      <w:r>
        <w:t xml:space="preserve">construction products. Certainly, it would take a long time to cover a considerable</w:t>
      </w:r>
      <w:r>
        <w:t xml:space="preserve"> </w:t>
      </w:r>
      <w:r>
        <w:t xml:space="preserve">number of construction products owing to their diversity. This would lead also to</w:t>
      </w:r>
      <w:r>
        <w:t xml:space="preserve"> </w:t>
      </w:r>
      <w:r>
        <w:t xml:space="preserve">unnecessary additional administrative burden, with different aspects of the same product</w:t>
      </w:r>
      <w:r>
        <w:t xml:space="preserve"> </w:t>
      </w:r>
      <w:r>
        <w:t xml:space="preserve">being regulated under different acts and through separate procedures. This could also put</w:t>
      </w:r>
      <w:r>
        <w:t xml:space="preserve"> </w:t>
      </w:r>
      <w:r>
        <w:t xml:space="preserve">at risk the coherence between safety and sustainability aspects which is crucial</w:t>
      </w:r>
      <w:r>
        <w:t xml:space="preserve"> </w:t>
      </w:r>
      <w:r>
        <w:t xml:space="preserve">considering the role of construction products in construction works.</w:t>
      </w:r>
      <w:r>
        <w:t xml:space="preserve"> </w:t>
      </w:r>
      <w:r>
        <w:t xml:space="preserve">Individual Member States are also expected to compensate the lack of an EU-wide</w:t>
      </w:r>
      <w:r>
        <w:t xml:space="preserve"> </w:t>
      </w:r>
      <w:r>
        <w:t xml:space="preserve">framework for sustainability and safety requirements for construction products by</w:t>
      </w:r>
    </w:p>
    <w:p>
      <w:pPr>
        <w:pStyle w:val="BodyText"/>
      </w:pPr>
      <w:r>
        <w:t xml:space="preserve">90 As of 23 October 2021, 21 delegated and implementing acts have been adopted under the CPR. A list of</w:t>
      </w:r>
      <w:r>
        <w:t xml:space="preserve"> </w:t>
      </w:r>
      <w:r>
        <w:t xml:space="preserve">implementing and delegated acts adopted by the Commission in accordance with the Construction</w:t>
      </w:r>
      <w:r>
        <w:t xml:space="preserve"> </w:t>
      </w:r>
      <w:r>
        <w:t xml:space="preserve">Products Regulation is available on the Commission’s website. See Annex 6 Description of the CPR.</w:t>
      </w:r>
      <w:r>
        <w:t xml:space="preserve"> </w:t>
      </w:r>
      <w:r>
        <w:t xml:space="preserve">91 While the number of infringements of the CPR can be vast, the Commission has concentrated its efforts</w:t>
      </w:r>
      <w:r>
        <w:t xml:space="preserve"> </w:t>
      </w:r>
      <w:r>
        <w:t xml:space="preserve">on cases where it can be most effective. As the Commission won several cases in the CJEU, e.g. C-</w:t>
      </w:r>
      <w:r>
        <w:t xml:space="preserve"> </w:t>
      </w:r>
      <w:r>
        <w:t xml:space="preserve">100/13, joined cases C-475/19P and C-688/19P, a solid basis for effective judicial protection at the</w:t>
      </w:r>
      <w:r>
        <w:t xml:space="preserve"> </w:t>
      </w:r>
      <w:r>
        <w:t xml:space="preserve">national level was provided.</w:t>
      </w:r>
      <w:r>
        <w:br/>
      </w:r>
      <w:r>
        <w:t xml:space="preserve">92 OJ L 169, 25.6.2019, p. 1–44.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introducing uncoordinated approaches at the national level, thereby further deteriorating</w:t>
      </w:r>
      <w:r>
        <w:t xml:space="preserve"> </w:t>
      </w:r>
      <w:r>
        <w:t xml:space="preserve">the internal market for construction products.</w:t>
      </w:r>
    </w:p>
    <w:p>
      <w:pPr>
        <w:pStyle w:val="BodyText"/>
      </w:pPr>
      <w:r>
        <w:t xml:space="preserve">6.2.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This section provides a detailed description of each of the policy options proposed to</w:t>
      </w:r>
      <w:r>
        <w:t xml:space="preserve"> </w:t>
      </w:r>
      <w:r>
        <w:t xml:space="preserve">promote a well-functioning internal market for construction products in the EU. The</w:t>
      </w:r>
      <w:r>
        <w:t xml:space="preserve"> </w:t>
      </w:r>
      <w:r>
        <w:t xml:space="preserve">policy options, with the exception of Option E, are further able to make the framework</w:t>
      </w:r>
      <w:r>
        <w:t xml:space="preserve"> </w:t>
      </w:r>
      <w:r>
        <w:t xml:space="preserve">apt to contribute (to a different extent) to the objectives of the European Green Deal. The</w:t>
      </w:r>
      <w:r>
        <w:t xml:space="preserve"> </w:t>
      </w:r>
      <w:r>
        <w:t xml:space="preserve">below graph also presents the content of the different options and how they interact:</w:t>
      </w:r>
      <w:r>
        <w:t xml:space="preserve"> </w:t>
      </w:r>
      <w:r>
        <w:t xml:space="preserve">Figure 5: Policy options</w:t>
      </w:r>
    </w:p>
    <w:p>
      <w:pPr>
        <w:pStyle w:val="BodyText"/>
      </w:pPr>
      <w:r>
        <w:t xml:space="preserve">Amid increasing environmental and climate concerns, and particularly in the light of the</w:t>
      </w:r>
      <w:r>
        <w:t xml:space="preserve"> </w:t>
      </w:r>
      <w:r>
        <w:t xml:space="preserve">need to support the European Green Deal, in case of a revision, the CPR provisions could</w:t>
      </w:r>
      <w:r>
        <w:t xml:space="preserve"> </w:t>
      </w:r>
      <w:r>
        <w:t xml:space="preserve">better target the aspects of the environment and sustainable use of natural resources,</w:t>
      </w:r>
      <w:r>
        <w:t xml:space="preserve"> </w:t>
      </w:r>
      <w:r>
        <w:t xml:space="preserve">while respecting Member States’ responsibility for the safety of construction works. In</w:t>
      </w:r>
      <w:r>
        <w:t xml:space="preserve"> </w:t>
      </w:r>
      <w:r>
        <w:t xml:space="preserve">the 2020 survey, 56% of participants in the CPR Revision Technical Stakeholders’</w:t>
      </w:r>
      <w:r>
        <w:t xml:space="preserve"> </w:t>
      </w:r>
      <w:r>
        <w:t xml:space="preserve">Conference showed preference for inherent environmental product requirements to be</w:t>
      </w:r>
      <w:r>
        <w:t xml:space="preserve"> </w:t>
      </w:r>
      <w:r>
        <w:t xml:space="preserve">integrated into the CPR and its harmonised sphere when asked about the preferred way</w:t>
      </w:r>
      <w:r>
        <w:t xml:space="preserve"> </w:t>
      </w:r>
      <w:r>
        <w:t xml:space="preserve">that construction products can contribute to the transition towards a more sustainable</w:t>
      </w:r>
      <w:r>
        <w:t xml:space="preserve"> </w:t>
      </w:r>
      <w:r>
        <w:t xml:space="preserve">built environment, in the frame of the European Green Deal. It was also supported by</w:t>
      </w:r>
      <w:r>
        <w:t xml:space="preserve"> </w:t>
      </w:r>
      <w:r>
        <w:t xml:space="preserve">several participants that the EU regulatory requirements at the EU and Member States</w:t>
      </w:r>
      <w:r>
        <w:t xml:space="preserve"> </w:t>
      </w:r>
      <w:r>
        <w:t xml:space="preserve">levels on information on the characteristics, contents and environmental impacts of</w:t>
      </w:r>
      <w:r>
        <w:t xml:space="preserve"> </w:t>
      </w:r>
      <w:r>
        <w:t xml:space="preserve">construction products need to be strengthened93. The Council and the European</w:t>
      </w:r>
      <w:r>
        <w:t xml:space="preserve"> </w:t>
      </w:r>
      <w:r>
        <w:t xml:space="preserve">Parliament also called for stronger integration of circularity and environmental</w:t>
      </w:r>
      <w:r>
        <w:t xml:space="preserve"> </w:t>
      </w:r>
      <w:r>
        <w:t xml:space="preserve">sustainability into the CPR.94</w:t>
      </w:r>
    </w:p>
    <w:p>
      <w:pPr>
        <w:pStyle w:val="BodyText"/>
      </w:pPr>
      <w:r>
        <w:t xml:space="preserve">93 Deloitte, Building Research Establishment, In Extenso Innovation Croissance (2021). Study on circular</w:t>
      </w:r>
      <w:r>
        <w:t xml:space="preserve"> </w:t>
      </w:r>
      <w:r>
        <w:t xml:space="preserve">economy principles for buildings’ design, p.78.</w:t>
      </w:r>
      <w:r>
        <w:t xml:space="preserve"> </w:t>
      </w:r>
      <w:r>
        <w:t xml:space="preserve">94 https://www.consilium.europa.eu/media/41508/st14523-en19.pdf; Implementation of Regulation (EU)</w:t>
      </w:r>
      <w:r>
        <w:t xml:space="preserve"> </w:t>
      </w:r>
      <w:r>
        <w:t xml:space="preserve">No 305/2011 laying down harmonised conditions for the marketing of construction products (the</w:t>
      </w:r>
      <w:r>
        <w:t xml:space="preserve"> </w:t>
      </w:r>
      <w:r>
        <w:t xml:space="preserve">Construction Products Regulation), 2020/2028(INI).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Option B – repairing the CPR</w:t>
      </w:r>
      <w:r>
        <w:t xml:space="preserve"> </w:t>
      </w:r>
      <w:r>
        <w:t xml:space="preserve">Option B is designed as a stand-alone option aimed at addressing the issues highlighted</w:t>
      </w:r>
      <w:r>
        <w:t xml:space="preserve"> </w:t>
      </w:r>
      <w:r>
        <w:t xml:space="preserve">in the evaluation and can thus be considered as an option of “repairing the CPR”. It</w:t>
      </w:r>
      <w:r>
        <w:t xml:space="preserve"> </w:t>
      </w:r>
      <w:r>
        <w:t xml:space="preserve">covers measures aimed at addressing the problems and objectives identified in previous</w:t>
      </w:r>
      <w:r>
        <w:t xml:space="preserve"> </w:t>
      </w:r>
      <w:r>
        <w:t xml:space="preserve">sections. These issues are numerous and often interlinked, hence the need of a significant</w:t>
      </w:r>
      <w:r>
        <w:t xml:space="preserve"> </w:t>
      </w:r>
      <w:r>
        <w:t xml:space="preserve">revision in order to offer appropriate solutions. Consequently, option B can be regarded</w:t>
      </w:r>
      <w:r>
        <w:t xml:space="preserve"> </w:t>
      </w:r>
      <w:r>
        <w:t xml:space="preserve">as an overhaul of the current CPR.</w:t>
      </w:r>
      <w:r>
        <w:t xml:space="preserve"> </w:t>
      </w:r>
      <w:r>
        <w:t xml:space="preserve">In the context of option B, the following actions are foreseen:</w:t>
      </w:r>
      <w:r>
        <w:t xml:space="preserve"> </w:t>
      </w:r>
      <w:r>
        <w:t xml:space="preserve">-</w:t>
      </w:r>
      <w:r>
        <w:t xml:space="preserve"> </w:t>
      </w:r>
      <w:r>
        <w:t xml:space="preserve">To address the challenges of the technical harmonisation system, option B foresees</w:t>
      </w:r>
      <w:r>
        <w:t xml:space="preserve"> </w:t>
      </w:r>
      <w:r>
        <w:t xml:space="preserve">introducing an empowerment for the Commission to rely on a ‘safety net’</w:t>
      </w:r>
      <w:r>
        <w:t xml:space="preserve"> </w:t>
      </w:r>
      <w:r>
        <w:t xml:space="preserve">(alternative/fall back) solution in case the standardisation system is not delivering</w:t>
      </w:r>
      <w:r>
        <w:t xml:space="preserve"> </w:t>
      </w:r>
      <w:r>
        <w:t xml:space="preserve">standards in time and of sufficient quality. Such empowerment would allow the</w:t>
      </w:r>
      <w:r>
        <w:t xml:space="preserve"> </w:t>
      </w:r>
      <w:r>
        <w:t xml:space="preserve">Commission services to draft Commission Acts containing technical specifications</w:t>
      </w:r>
      <w:r>
        <w:t xml:space="preserve"> </w:t>
      </w:r>
      <w:r>
        <w:t xml:space="preserve">in support of the CPR. A similar approach is also available in other sectoral</w:t>
      </w:r>
      <w:r>
        <w:t xml:space="preserve"> </w:t>
      </w:r>
      <w:r>
        <w:t xml:space="preserve">legislation, e.g. the Fertilisers Regulation95, the Medical Devices Regulation96, and in</w:t>
      </w:r>
      <w:r>
        <w:t xml:space="preserve"> </w:t>
      </w:r>
      <w:r>
        <w:t xml:space="preserve">recent legislative proposals, e.g. the proposal for the Machinery Regulation97.</w:t>
      </w:r>
      <w:r>
        <w:t xml:space="preserve"> </w:t>
      </w:r>
      <w:r>
        <w:t xml:space="preserve">Additionally, the Member States will be requested to proactively identify their</w:t>
      </w:r>
      <w:r>
        <w:t xml:space="preserve"> </w:t>
      </w:r>
      <w:r>
        <w:t xml:space="preserve">regulatory needs upfront, in view of reducing the number of iterations of standards</w:t>
      </w:r>
      <w:r>
        <w:t xml:space="preserve"> </w:t>
      </w:r>
      <w:r>
        <w:t xml:space="preserve">developed. Furthermore, where delivered standards are incomplete or insufficient, the</w:t>
      </w:r>
      <w:r>
        <w:t xml:space="preserve"> </w:t>
      </w:r>
      <w:r>
        <w:t xml:space="preserve">Commission would be empowered to act in such situations, to render the system</w:t>
      </w:r>
      <w:r>
        <w:t xml:space="preserve"> </w:t>
      </w:r>
      <w:r>
        <w:t xml:space="preserve">functioning and efficient. Such a solution would imply that the development process</w:t>
      </w:r>
      <w:r>
        <w:t xml:space="preserve"> </w:t>
      </w:r>
      <w:r>
        <w:t xml:space="preserve">of technical content will take place in a close dialogue and cooperation with the</w:t>
      </w:r>
      <w:r>
        <w:t xml:space="preserve"> </w:t>
      </w:r>
      <w:r>
        <w:t xml:space="preserve">industry and Member States experts and other relevant stakeholders but will be under</w:t>
      </w:r>
      <w:r>
        <w:t xml:space="preserve"> </w:t>
      </w:r>
      <w:r>
        <w:t xml:space="preserve">the lead of the Commission services. These Commission Acts containing technical</w:t>
      </w:r>
      <w:r>
        <w:t xml:space="preserve"> </w:t>
      </w:r>
      <w:r>
        <w:t xml:space="preserve">specifications will have a status similar to the harmonised standards; the</w:t>
      </w:r>
      <w:r>
        <w:t xml:space="preserve"> </w:t>
      </w:r>
      <w:r>
        <w:t xml:space="preserve">manufacturers of products covered by such specification would thus be able to draw</w:t>
      </w:r>
      <w:r>
        <w:t xml:space="preserve"> </w:t>
      </w:r>
      <w:r>
        <w:t xml:space="preserve">up the Declaration of Performance and to acquire the CE marking, allowing to place</w:t>
      </w:r>
      <w:r>
        <w:t xml:space="preserve"> </w:t>
      </w:r>
      <w:r>
        <w:t xml:space="preserve">respective products on the market.</w:t>
      </w:r>
      <w:r>
        <w:br/>
      </w:r>
      <w:r>
        <w:t xml:space="preserve">-</w:t>
      </w:r>
      <w:r>
        <w:t xml:space="preserve"> </w:t>
      </w:r>
      <w:r>
        <w:t xml:space="preserve">Continued existence of national requirements and marks would be mitigated by</w:t>
      </w:r>
      <w:r>
        <w:t xml:space="preserve"> </w:t>
      </w:r>
      <w:r>
        <w:t xml:space="preserve">clearly defining the area regulated at the EU level. In order to respond to new and</w:t>
      </w:r>
      <w:r>
        <w:t xml:space="preserve"> </w:t>
      </w:r>
      <w:r>
        <w:t xml:space="preserve">urgent Member States’ regulatory needs, Option B would allow the Commission to</w:t>
      </w:r>
      <w:r>
        <w:t xml:space="preserve"> </w:t>
      </w:r>
      <w:r>
        <w:t xml:space="preserve">modify by subsequent legal acts the exact borderlines of the ‘harmonised zone’, to</w:t>
      </w:r>
      <w:r>
        <w:t xml:space="preserve"> </w:t>
      </w:r>
      <w:r>
        <w:t xml:space="preserve">quickly integrate those new issues, thus avoiding the needs for dedicated national</w:t>
      </w:r>
      <w:r>
        <w:t xml:space="preserve"> </w:t>
      </w:r>
      <w:r>
        <w:t xml:space="preserve">marks. Transitional provisions would ensure that the harmonised standards cited</w:t>
      </w:r>
      <w:r>
        <w:t xml:space="preserve"> </w:t>
      </w:r>
      <w:r>
        <w:t xml:space="preserve">under the current CPR would maintain their legal effect until they are replaced by</w:t>
      </w:r>
      <w:r>
        <w:t xml:space="preserve"> </w:t>
      </w:r>
      <w:r>
        <w:t xml:space="preserve">new harmonised standards developed under the revised CPR. Furthermore,</w:t>
      </w:r>
      <w:r>
        <w:t xml:space="preserve"> </w:t>
      </w:r>
      <w:r>
        <w:t xml:space="preserve">introducing provisions clarifying competences of the Member States and the interplay</w:t>
      </w:r>
      <w:r>
        <w:t xml:space="preserve"> </w:t>
      </w:r>
      <w:r>
        <w:t xml:space="preserve">between the EU and the Member States’ level, e.g. with regard to unsafe or non-</w:t>
      </w:r>
    </w:p>
    <w:p>
      <w:pPr>
        <w:pStyle w:val="BodyText"/>
      </w:pPr>
      <w:r>
        <w:t xml:space="preserve">95 Regulation (EU) 2019/1009 of the European Parliament and of the Council of 5 June 2019 laying down</w:t>
      </w:r>
      <w:r>
        <w:t xml:space="preserve"> </w:t>
      </w:r>
      <w:r>
        <w:t xml:space="preserve">rules on the making available on the market of EU fertilising products and amending Regulations (EC)</w:t>
      </w:r>
      <w:r>
        <w:t xml:space="preserve"> </w:t>
      </w:r>
      <w:r>
        <w:t xml:space="preserve">No 1069/2009 and (EC) No 1107/2009 and repealing Regulation (EC) No 2003/2003.</w:t>
      </w:r>
      <w:r>
        <w:t xml:space="preserve"> </w:t>
      </w:r>
      <w:r>
        <w:t xml:space="preserve">96 Regulation (EU) 2017/745 of the European Parliament and of the Council of 5 April 2017 on medical</w:t>
      </w:r>
      <w:r>
        <w:t xml:space="preserve"> </w:t>
      </w:r>
      <w:r>
        <w:t xml:space="preserve">devices, amending Directive 2001/83/EC, Regulation (EC) No 178/2002 and Regulation (EC) No</w:t>
      </w:r>
      <w:r>
        <w:t xml:space="preserve"> </w:t>
      </w:r>
      <w:r>
        <w:t xml:space="preserve">1223/2009 and repealing Council Directives 90/385/EEC and 93/42/EEC.</w:t>
      </w:r>
      <w:r>
        <w:t xml:space="preserve"> </w:t>
      </w:r>
      <w:r>
        <w:t xml:space="preserve">97 Proposal for a Regulation of the European Parliament and of the Council on machinery products, EUR-</w:t>
      </w:r>
      <w:r>
        <w:t xml:space="preserve"> </w:t>
      </w:r>
      <w:r>
        <w:t xml:space="preserve">Lex - 52021PC0202 - EN - EUR-Lex (europa.eu).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compliant products (e.g. right to sue98, minimum benchmarks for market</w:t>
      </w:r>
      <w:r>
        <w:t xml:space="preserve"> </w:t>
      </w:r>
      <w:r>
        <w:t xml:space="preserve">surveillance), is also part of this option.</w:t>
      </w:r>
      <w:r>
        <w:br/>
      </w:r>
      <w:r>
        <w:t xml:space="preserve">-</w:t>
      </w:r>
      <w:r>
        <w:t xml:space="preserve"> </w:t>
      </w:r>
      <w:r>
        <w:t xml:space="preserve">Option B is enabling a harmonised framework to assess and communicate the</w:t>
      </w:r>
      <w:r>
        <w:t xml:space="preserve"> </w:t>
      </w:r>
      <w:r>
        <w:t xml:space="preserve">environmental performance of construction products. This would take place in</w:t>
      </w:r>
      <w:r>
        <w:t xml:space="preserve"> </w:t>
      </w:r>
      <w:r>
        <w:t xml:space="preserve">coherence with a horizontal approach on the environmental performance assessment</w:t>
      </w:r>
      <w:r>
        <w:t xml:space="preserve"> </w:t>
      </w:r>
      <w:r>
        <w:t xml:space="preserve">of products, as currently developed within the SPI. General principles of such</w:t>
      </w:r>
      <w:r>
        <w:t xml:space="preserve"> </w:t>
      </w:r>
      <w:r>
        <w:t xml:space="preserve">assessment will form part of the provisions, while the operationalisation of those</w:t>
      </w:r>
      <w:r>
        <w:t xml:space="preserve"> </w:t>
      </w:r>
      <w:r>
        <w:t xml:space="preserve">principles per product family would be laid down in subsequent Commission acts, via</w:t>
      </w:r>
      <w:r>
        <w:t xml:space="preserve"> </w:t>
      </w:r>
      <w:r>
        <w:t xml:space="preserve">standardisation.</w:t>
      </w:r>
      <w:r>
        <w:br/>
      </w:r>
      <w:r>
        <w:t xml:space="preserve">-</w:t>
      </w:r>
      <w:r>
        <w:t xml:space="preserve"> </w:t>
      </w:r>
      <w:r>
        <w:t xml:space="preserve">To support the access to and use of the environmental product data, the setting up</w:t>
      </w:r>
      <w:r>
        <w:t xml:space="preserve"> </w:t>
      </w:r>
      <w:r>
        <w:t xml:space="preserve">of a digital structure fully compatible with the Digital Product Passport (as foreseen</w:t>
      </w:r>
      <w:r>
        <w:t xml:space="preserve"> </w:t>
      </w:r>
      <w:r>
        <w:t xml:space="preserve">by the parallel Sustainable Products Initiative), is of crucial importance. Easy access</w:t>
      </w:r>
      <w:r>
        <w:t xml:space="preserve"> </w:t>
      </w:r>
      <w:r>
        <w:t xml:space="preserve">to coherent and transparent information on construction products will also be</w:t>
      </w:r>
      <w:r>
        <w:t xml:space="preserve"> </w:t>
      </w:r>
      <w:r>
        <w:t xml:space="preserve">furthered through the use of digital tools, notably the Single Digital Gateway99 by</w:t>
      </w:r>
      <w:r>
        <w:t xml:space="preserve"> </w:t>
      </w:r>
      <w:r>
        <w:t xml:space="preserve">Product Contact Points for Construction and by national authorities.</w:t>
      </w:r>
      <w:r>
        <w:t xml:space="preserve"> </w:t>
      </w:r>
      <w:r>
        <w:t xml:space="preserve">-</w:t>
      </w:r>
      <w:r>
        <w:t xml:space="preserve"> </w:t>
      </w:r>
      <w:r>
        <w:t xml:space="preserve">Under Option B, the revised CPR would also promote reuse of construction</w:t>
      </w:r>
      <w:r>
        <w:t xml:space="preserve"> </w:t>
      </w:r>
      <w:r>
        <w:t xml:space="preserve">products, particularly to reduce the overall climate and environmental impacts. In</w:t>
      </w:r>
      <w:r>
        <w:t xml:space="preserve"> </w:t>
      </w:r>
      <w:r>
        <w:t xml:space="preserve">particular, the CPR would support the placing on the market of certain used or used</w:t>
      </w:r>
      <w:r>
        <w:t xml:space="preserve"> </w:t>
      </w:r>
      <w:r>
        <w:t xml:space="preserve">and remanufactured construction products, allowing such products to obtain CE</w:t>
      </w:r>
      <w:r>
        <w:t xml:space="preserve"> </w:t>
      </w:r>
      <w:r>
        <w:t xml:space="preserve">marking and gain access to the European market100.</w:t>
      </w:r>
      <w:r>
        <w:t xml:space="preserve"> </w:t>
      </w:r>
      <w:r>
        <w:t xml:space="preserve">-</w:t>
      </w:r>
      <w:r>
        <w:t xml:space="preserve"> </w:t>
      </w:r>
      <w:r>
        <w:t xml:space="preserve">Option B proposes to enhance market surveillance101 by strengthening enforcement</w:t>
      </w:r>
      <w:r>
        <w:t xml:space="preserve"> </w:t>
      </w:r>
      <w:r>
        <w:t xml:space="preserve">powers and aligning the performance of different market surveillance authorities. The</w:t>
      </w:r>
      <w:r>
        <w:t xml:space="preserve"> </w:t>
      </w:r>
      <w:r>
        <w:t xml:space="preserve">strengthening of enforcement powers would entail the introduction of appropriate</w:t>
      </w:r>
      <w:r>
        <w:t xml:space="preserve"> </w:t>
      </w:r>
      <w:r>
        <w:t xml:space="preserve">sector-specific provisions to supplement the horizontal provisions contained in</w:t>
      </w:r>
      <w:r>
        <w:t xml:space="preserve"> </w:t>
      </w:r>
      <w:r>
        <w:t xml:space="preserve">Regulation (EU) 2019/1020 on market surveillance and compliance of products.</w:t>
      </w:r>
      <w:r>
        <w:t xml:space="preserve"> </w:t>
      </w:r>
      <w:r>
        <w:t xml:space="preserve">Moreover, it would aim to dispel interpretative confusion and facilitate the use of</w:t>
      </w:r>
      <w:r>
        <w:t xml:space="preserve"> </w:t>
      </w:r>
      <w:r>
        <w:t xml:space="preserve">safeguard mechanisms, by creating procedures that are more streamlined (see</w:t>
      </w:r>
      <w:r>
        <w:t xml:space="preserve"> </w:t>
      </w:r>
      <w:r>
        <w:t xml:space="preserve">Annex 12 with Refined indicative options paper for more details). The Commission</w:t>
      </w:r>
      <w:r>
        <w:t xml:space="preserve"> </w:t>
      </w:r>
      <w:r>
        <w:t xml:space="preserve">will also be empowered to adopt delegated acts on the minimum number of checks to</w:t>
      </w:r>
      <w:r>
        <w:t xml:space="preserve"> </w:t>
      </w:r>
      <w:r>
        <w:t xml:space="preserve">be performed by the market surveillance authorities of each Member State, as well as</w:t>
      </w:r>
      <w:r>
        <w:t xml:space="preserve"> </w:t>
      </w:r>
      <w:r>
        <w:t xml:space="preserve">delegated acts on the minimum human resources to be deployed by the Member</w:t>
      </w:r>
      <w:r>
        <w:t xml:space="preserve"> </w:t>
      </w:r>
      <w:r>
        <w:t xml:space="preserve">States for purposes of market surveillance with regard to products covered by this</w:t>
      </w:r>
      <w:r>
        <w:t xml:space="preserve"> </w:t>
      </w:r>
      <w:r>
        <w:t xml:space="preserve">Regulation. These latter will be accompanied by a specific assessment of the</w:t>
      </w:r>
      <w:r>
        <w:t xml:space="preserve"> </w:t>
      </w:r>
      <w:r>
        <w:t xml:space="preserve">resources implications.</w:t>
      </w:r>
    </w:p>
    <w:p>
      <w:pPr>
        <w:pStyle w:val="BodyText"/>
      </w:pPr>
      <w:r>
        <w:t xml:space="preserve">98 E.g. competitors are given the right to sue non-compliant manufacturers and their distributors. See</w:t>
      </w:r>
      <w:r>
        <w:t xml:space="preserve"> </w:t>
      </w:r>
      <w:r>
        <w:t xml:space="preserve">Refined indicative options paper, p.32, https://ec.europa.eu/docsroom/documents/40762.</w:t>
      </w:r>
      <w:r>
        <w:t xml:space="preserve"> </w:t>
      </w:r>
      <w:r>
        <w:t xml:space="preserve">99 Regulation (EU) 2018/1724 of the European Parliament and of the Council of 2 October 2018</w:t>
      </w:r>
      <w:r>
        <w:t xml:space="preserve"> </w:t>
      </w:r>
      <w:r>
        <w:t xml:space="preserve">establishing a single digital gateway to provide access to information, to procedures and to assistance</w:t>
      </w:r>
      <w:r>
        <w:t xml:space="preserve"> </w:t>
      </w:r>
      <w:r>
        <w:t xml:space="preserve">and problem-solving services and amending Regulation (EU) No 1024/2012, OJ L 295, 21.11.2018,</w:t>
      </w:r>
      <w:r>
        <w:t xml:space="preserve"> </w:t>
      </w:r>
      <w:r>
        <w:t xml:space="preserve">p. 1–38.</w:t>
      </w:r>
      <w:r>
        <w:t xml:space="preserve"> </w:t>
      </w:r>
      <w:r>
        <w:t xml:space="preserve">100 See Annex 12 on Refined indicative options paper, p.9.</w:t>
      </w:r>
      <w:r>
        <w:t xml:space="preserve"> </w:t>
      </w:r>
      <w:r>
        <w:t xml:space="preserve">101 Such provisions would include stronger empowerments for market surveillance authorities related to</w:t>
      </w:r>
      <w:r>
        <w:t xml:space="preserve"> </w:t>
      </w:r>
      <w:r>
        <w:t xml:space="preserve">fact-finding (e.g. the right to confiscate samples or to seize documents related to presumably non-</w:t>
      </w:r>
      <w:r>
        <w:t xml:space="preserve"> </w:t>
      </w:r>
      <w:r>
        <w:t xml:space="preserve">compliant products) and possible punitive measures (e.g. the right to impose financial sanctions or to</w:t>
      </w:r>
      <w:r>
        <w:t xml:space="preserve"> </w:t>
      </w:r>
      <w:r>
        <w:t xml:space="preserve">exclude non-compliant operators from public tenders). See p. 32 of Refined indicative options paper,</w:t>
      </w:r>
      <w:r>
        <w:t xml:space="preserve"> </w:t>
      </w:r>
      <w:r>
        <w:t xml:space="preserve">Annex 12.</w:t>
      </w:r>
    </w:p>
    <w:bookmarkStart w:id="9" w:name="section"/>
    <w:p>
      <w:pPr>
        <w:pStyle w:val="Heading2"/>
      </w:pPr>
      <w:r>
        <w:t xml:space="preserve">27</w:t>
      </w:r>
    </w:p>
    <w:p>
      <w:pPr>
        <w:pStyle w:val="FirstParagraph"/>
      </w:pPr>
      <w:r>
        <w:t xml:space="preserve">In a similar vein, to further improve the enforcement at the national level, option B</w:t>
      </w:r>
      <w:r>
        <w:t xml:space="preserve"> </w:t>
      </w:r>
      <w:r>
        <w:t xml:space="preserve">foresees enhancing harmonised decision-making amongst all authorities and Notified</w:t>
      </w:r>
      <w:r>
        <w:t xml:space="preserve"> </w:t>
      </w:r>
      <w:r>
        <w:t xml:space="preserve">Bodies102, striving for alignment across Member States and across groups of</w:t>
      </w:r>
      <w:r>
        <w:t xml:space="preserve"> </w:t>
      </w:r>
      <w:r>
        <w:t xml:space="preserve">authorities/bodies. The Notified Bodies103 would also be strengthened with a capacity</w:t>
      </w:r>
      <w:r>
        <w:t xml:space="preserve"> </w:t>
      </w:r>
      <w:r>
        <w:t xml:space="preserve">to assess the correctness of declared environmental impacts of construction</w:t>
      </w:r>
      <w:r>
        <w:t xml:space="preserve"> </w:t>
      </w:r>
      <w:r>
        <w:t xml:space="preserve">products, through either designating specialised bodies or creating a responsible sub-</w:t>
      </w:r>
      <w:r>
        <w:t xml:space="preserve"> </w:t>
      </w:r>
      <w:r>
        <w:t xml:space="preserve">group. Option B also foresees that a revised CPR improves the efficacy of Notified</w:t>
      </w:r>
      <w:r>
        <w:t xml:space="preserve"> </w:t>
      </w:r>
      <w:r>
        <w:t xml:space="preserve">Bodies104.</w:t>
      </w:r>
      <w:r>
        <w:br/>
      </w:r>
      <w:r>
        <w:t xml:space="preserve">-</w:t>
      </w:r>
      <w:r>
        <w:t xml:space="preserve"> </w:t>
      </w:r>
      <w:r>
        <w:t xml:space="preserve">With a view to improve the clarity of the provisions, option B would aim at</w:t>
      </w:r>
      <w:r>
        <w:t xml:space="preserve"> </w:t>
      </w:r>
      <w:r>
        <w:t xml:space="preserve">enhancing the definitions in order to make them more precise and comprehensible. In</w:t>
      </w:r>
      <w:r>
        <w:t xml:space="preserve"> </w:t>
      </w:r>
      <w:r>
        <w:t xml:space="preserve">this sense, the provisions in the future CPR would also clarify e.g. the situation of 3D</w:t>
      </w:r>
      <w:r>
        <w:t xml:space="preserve"> </w:t>
      </w:r>
      <w:r>
        <w:t xml:space="preserve">printing of construction products, where currently neither the seller of the 3D printing</w:t>
      </w:r>
      <w:r>
        <w:t xml:space="preserve"> </w:t>
      </w:r>
      <w:r>
        <w:t xml:space="preserve">dataset nor the 3D printing service provider is a manufacturer in the meaning of the</w:t>
      </w:r>
      <w:r>
        <w:t xml:space="preserve"> </w:t>
      </w:r>
      <w:r>
        <w:t xml:space="preserve">CPR. It would thus render the revised CPR future-proof and create a level playing</w:t>
      </w:r>
      <w:r>
        <w:t xml:space="preserve"> </w:t>
      </w:r>
      <w:r>
        <w:t xml:space="preserve">field.</w:t>
      </w:r>
      <w:r>
        <w:t xml:space="preserve"> </w:t>
      </w:r>
      <w:r>
        <w:t xml:space="preserve">-</w:t>
      </w:r>
      <w:r>
        <w:t xml:space="preserve"> </w:t>
      </w:r>
      <w:r>
        <w:t xml:space="preserve">Prefabricated small houses (including built by 3D printing) would also be covered by</w:t>
      </w:r>
      <w:r>
        <w:t xml:space="preserve"> </w:t>
      </w:r>
      <w:r>
        <w:t xml:space="preserve">the CPR. This would allow to build the same (types of) affordable houses in several</w:t>
      </w:r>
      <w:r>
        <w:t xml:space="preserve"> </w:t>
      </w:r>
      <w:r>
        <w:t xml:space="preserve">Member States.105</w:t>
      </w:r>
      <w:r>
        <w:t xml:space="preserve"> </w:t>
      </w:r>
      <w:r>
        <w:t xml:space="preserve">-</w:t>
      </w:r>
      <w:r>
        <w:t xml:space="preserve"> </w:t>
      </w:r>
      <w:r>
        <w:t xml:space="preserve">Similarly, overlaps with other EU legislation will be mitigated by introducing</w:t>
      </w:r>
      <w:r>
        <w:t xml:space="preserve"> </w:t>
      </w:r>
      <w:r>
        <w:t xml:space="preserve">collision rules and ensuring coherence; additionally, wherever needed and relevant,</w:t>
      </w:r>
      <w:r>
        <w:t xml:space="preserve"> </w:t>
      </w:r>
      <w:r>
        <w:t xml:space="preserve">the scope of the applicability of the future CPR will be adjusted (e.g. in relation to</w:t>
      </w:r>
      <w:r>
        <w:t xml:space="preserve"> </w:t>
      </w:r>
      <w:r>
        <w:t xml:space="preserve">drinking water installations, currently covered under both the CPR and Drinking</w:t>
      </w:r>
      <w:r>
        <w:t xml:space="preserve"> </w:t>
      </w:r>
      <w:r>
        <w:t xml:space="preserve">Water Directive – see Annex 10 for more details). To clarify the scope of</w:t>
      </w:r>
      <w:r>
        <w:t xml:space="preserve"> </w:t>
      </w:r>
      <w:r>
        <w:t xml:space="preserve">applicability, avoid possible gaps and address the circularity objectives, option B</w:t>
      </w:r>
      <w:r>
        <w:t xml:space="preserve"> </w:t>
      </w:r>
      <w:r>
        <w:t xml:space="preserve">would make sure obligations are extended over the supply chain to suppliers of the</w:t>
      </w:r>
      <w:r>
        <w:t xml:space="preserve"> </w:t>
      </w:r>
      <w:r>
        <w:t xml:space="preserve">construction products and related services106.</w:t>
      </w:r>
      <w:r>
        <w:br/>
      </w:r>
      <w:r>
        <w:t xml:space="preserve">-</w:t>
      </w:r>
      <w:r>
        <w:t xml:space="preserve"> </w:t>
      </w:r>
      <w:r>
        <w:t xml:space="preserve">As a solution to the lack of clarity around the meaning of the CE marking, option B</w:t>
      </w:r>
      <w:r>
        <w:t xml:space="preserve"> </w:t>
      </w:r>
      <w:r>
        <w:t xml:space="preserve">proposes the introduction of a specific marking for construction products (European</w:t>
      </w:r>
      <w:r>
        <w:t xml:space="preserve"> </w:t>
      </w:r>
      <w:r>
        <w:t xml:space="preserve">Construction Product – ECP) to clarify that the marking refers primarily to</w:t>
      </w:r>
      <w:r>
        <w:t xml:space="preserve"> </w:t>
      </w:r>
      <w:r>
        <w:t xml:space="preserve">performance declaration and not to conformity.</w:t>
      </w:r>
    </w:p>
    <w:p>
      <w:pPr>
        <w:pStyle w:val="BodyText"/>
      </w:pPr>
      <w:r>
        <w:t xml:space="preserve">102 A revised CPR would set up a structured mechanism for the exchange of information between the</w:t>
      </w:r>
      <w:r>
        <w:t xml:space="preserve"> </w:t>
      </w:r>
      <w:r>
        <w:t xml:space="preserve">relevant actors. See pp. 29-30 of Refined indicative options paper, Annex12.</w:t>
      </w:r>
      <w:r>
        <w:t xml:space="preserve"> </w:t>
      </w:r>
      <w:r>
        <w:t xml:space="preserve">103 The current Notified Bodies are not necessarily competent to assess whether the calculation of</w:t>
      </w:r>
      <w:r>
        <w:t xml:space="preserve"> </w:t>
      </w:r>
      <w:r>
        <w:t xml:space="preserve">environmental impacts by manufacturers is correct or, subject to the AVCP system, to make such</w:t>
      </w:r>
      <w:r>
        <w:t xml:space="preserve"> </w:t>
      </w:r>
      <w:r>
        <w:t xml:space="preserve">calculations from scratch.</w:t>
      </w:r>
      <w:r>
        <w:t xml:space="preserve"> </w:t>
      </w:r>
      <w:r>
        <w:t xml:space="preserve">104 Information from consultation on the Analysis of the implementation of the Construction Products</w:t>
      </w:r>
      <w:r>
        <w:t xml:space="preserve"> </w:t>
      </w:r>
      <w:r>
        <w:t xml:space="preserve">Regulation (2015) suggests that there is not yet a level playing field for the designation and monitoring</w:t>
      </w:r>
      <w:r>
        <w:t xml:space="preserve"> </w:t>
      </w:r>
      <w:r>
        <w:t xml:space="preserve">of notified bodies in Europe and that the common accreditation schemes to determine the competence of</w:t>
      </w:r>
      <w:r>
        <w:t xml:space="preserve"> </w:t>
      </w:r>
      <w:r>
        <w:t xml:space="preserve">Conformity Assessment bodies for areas covered by EU community legislation envisaged in the New</w:t>
      </w:r>
      <w:r>
        <w:t xml:space="preserve"> </w:t>
      </w:r>
      <w:r>
        <w:t xml:space="preserve">Legislative Framework are not yet operational. The actions would aim at strengthening the designation</w:t>
      </w:r>
      <w:r>
        <w:t xml:space="preserve"> </w:t>
      </w:r>
      <w:r>
        <w:t xml:space="preserve">process and introducing control mechanisms for the time after the designation.</w:t>
      </w:r>
      <w:r>
        <w:t xml:space="preserve"> </w:t>
      </w:r>
      <w:r>
        <w:t xml:space="preserve">105 Up to 180 m2 usable surface and 100 m2 ground floor. Member States would have the possibility to opt</w:t>
      </w:r>
      <w:r>
        <w:t xml:space="preserve"> </w:t>
      </w:r>
      <w:r>
        <w:t xml:space="preserve">out of the application of the CPR to such houses.</w:t>
      </w:r>
      <w:r>
        <w:br/>
      </w:r>
      <w:r>
        <w:t xml:space="preserve">106 This is linked to making the CPR application clear with regard to emerging new circular business</w:t>
      </w:r>
      <w:r>
        <w:t xml:space="preserve"> </w:t>
      </w:r>
      <w:r>
        <w:t xml:space="preserve">models.</w:t>
      </w:r>
    </w:p>
    <w:bookmarkEnd w:id="9"/>
    <w:bookmarkStart w:id="10" w:name="section-1"/>
    <w:p>
      <w:pPr>
        <w:pStyle w:val="Heading2"/>
      </w:pPr>
      <w:r>
        <w:t xml:space="preserve">28</w:t>
      </w:r>
    </w:p>
    <w:p>
      <w:pPr>
        <w:pStyle w:val="FirstParagraph"/>
      </w:pPr>
      <w:r>
        <w:t xml:space="preserve">Option B foresees clarifying the simplification provisions and introducing an</w:t>
      </w:r>
      <w:r>
        <w:t xml:space="preserve"> </w:t>
      </w:r>
      <w:r>
        <w:t xml:space="preserve">empowerment for the Member States to exempt micro-enterprises not trading</w:t>
      </w:r>
      <w:r>
        <w:t xml:space="preserve"> </w:t>
      </w:r>
      <w:r>
        <w:t xml:space="preserve">across the borders from the obligations of the CPR.</w:t>
      </w:r>
      <w:r>
        <w:t xml:space="preserve"> </w:t>
      </w:r>
      <w:r>
        <w:t xml:space="preserve">-</w:t>
      </w:r>
      <w:r>
        <w:t xml:space="preserve"> </w:t>
      </w:r>
      <w:r>
        <w:t xml:space="preserve">Under option B, with a harmonised framework to assess, communicate and access the</w:t>
      </w:r>
      <w:r>
        <w:t xml:space="preserve"> </w:t>
      </w:r>
      <w:r>
        <w:t xml:space="preserve">environmental performance of construction products and the promotion of the reuse</w:t>
      </w:r>
      <w:r>
        <w:t xml:space="preserve"> </w:t>
      </w:r>
      <w:r>
        <w:t xml:space="preserve">of construction products, some of the SPI’s aims could be addressed in the CPR</w:t>
      </w:r>
      <w:r>
        <w:t xml:space="preserve"> </w:t>
      </w:r>
      <w:r>
        <w:t xml:space="preserve">framework. However, option B does not allow to introduce product requirements.</w:t>
      </w:r>
      <w:r>
        <w:t xml:space="preserve"> </w:t>
      </w:r>
      <w:r>
        <w:t xml:space="preserve">These requirements would need to be set under the SPI risking a fragmentation of</w:t>
      </w:r>
      <w:r>
        <w:t xml:space="preserve"> </w:t>
      </w:r>
      <w:r>
        <w:t xml:space="preserve">legislation.</w:t>
      </w:r>
      <w:r>
        <w:br/>
      </w:r>
      <w:r>
        <w:t xml:space="preserve">-</w:t>
      </w:r>
      <w:r>
        <w:t xml:space="preserve"> </w:t>
      </w:r>
      <w:r>
        <w:t xml:space="preserve">Option B addresses the issue of inherent product safety only indirectly, as the</w:t>
      </w:r>
      <w:r>
        <w:t xml:space="preserve"> </w:t>
      </w:r>
      <w:r>
        <w:t xml:space="preserve">unblocking of the technical harmonisation system and an improved market</w:t>
      </w:r>
      <w:r>
        <w:t xml:space="preserve"> </w:t>
      </w:r>
      <w:r>
        <w:t xml:space="preserve">surveillance would improve the quality of products.</w:t>
      </w:r>
      <w:r>
        <w:br/>
      </w:r>
      <w:r>
        <w:t xml:space="preserve">Option C – Focusing the CPR</w:t>
      </w:r>
      <w:r>
        <w:t xml:space="preserve"> </w:t>
      </w:r>
      <w:r>
        <w:t xml:space="preserve">Option C can be described as “focusing the CPR” – or reducing the scope of the</w:t>
      </w:r>
      <w:r>
        <w:t xml:space="preserve"> </w:t>
      </w:r>
      <w:r>
        <w:t xml:space="preserve">application of the CPR, freeing up capacity to improve the quality and</w:t>
      </w:r>
      <w:r>
        <w:t xml:space="preserve"> </w:t>
      </w:r>
      <w:r>
        <w:t xml:space="preserve">comprehensiveness of the remaining harmonised sphere. This option takes Option B as</w:t>
      </w:r>
      <w:r>
        <w:t xml:space="preserve"> </w:t>
      </w:r>
      <w:r>
        <w:t xml:space="preserve">starting point, meaning that it builds on the elements described in Option B. However, in</w:t>
      </w:r>
      <w:r>
        <w:t xml:space="preserve"> </w:t>
      </w:r>
      <w:r>
        <w:t xml:space="preserve">Option C the scope of application of the CPR is then limited in certain areas, depending</w:t>
      </w:r>
      <w:r>
        <w:t xml:space="preserve"> </w:t>
      </w:r>
      <w:r>
        <w:t xml:space="preserve">on the following three sub-options which can be combined:</w:t>
      </w:r>
      <w:r>
        <w:t xml:space="preserve"> </w:t>
      </w:r>
      <w:r>
        <w:t xml:space="preserve"> Sub-option C1: Limiting the CPR’s application to assessment methods: Harmonised</w:t>
      </w:r>
      <w:r>
        <w:t xml:space="preserve"> </w:t>
      </w:r>
      <w:r>
        <w:t xml:space="preserve">standards and Commission Acts containing technical specifications would include</w:t>
      </w:r>
      <w:r>
        <w:t xml:space="preserve"> </w:t>
      </w:r>
      <w:r>
        <w:t xml:space="preserve">only assessment methods for performance calculation, with no performance threshold</w:t>
      </w:r>
      <w:r>
        <w:t xml:space="preserve"> </w:t>
      </w:r>
      <w:r>
        <w:t xml:space="preserve">levels, classes nor other requirements to be established at EU level.</w:t>
      </w:r>
      <w:r>
        <w:t xml:space="preserve"> </w:t>
      </w:r>
      <w:r>
        <w:t xml:space="preserve"> Sub-option C2: Limiting the scope of the CPR: the scope of the CPR would focus on</w:t>
      </w:r>
      <w:r>
        <w:t xml:space="preserve"> </w:t>
      </w:r>
      <w:r>
        <w:t xml:space="preserve">the core areas, identified according to three criteria: (1) the coherence of Member</w:t>
      </w:r>
      <w:r>
        <w:t xml:space="preserve"> </w:t>
      </w:r>
      <w:r>
        <w:t xml:space="preserve">States’ regulatory needs, (2) the relevance for the environment or for product safety,</w:t>
      </w:r>
      <w:r>
        <w:t xml:space="preserve"> </w:t>
      </w:r>
      <w:r>
        <w:t xml:space="preserve">and (3) market relevance. These criteria are thus not only applied by the Commission</w:t>
      </w:r>
      <w:r>
        <w:t xml:space="preserve"> </w:t>
      </w:r>
      <w:r>
        <w:t xml:space="preserve">when setting priorities for preparing harmonised standards and Commission Acts</w:t>
      </w:r>
      <w:r>
        <w:t xml:space="preserve"> </w:t>
      </w:r>
      <w:r>
        <w:t xml:space="preserve">containing technical specifications as described under option B, but already by the</w:t>
      </w:r>
      <w:r>
        <w:t xml:space="preserve"> </w:t>
      </w:r>
      <w:r>
        <w:t xml:space="preserve">legislator when determining the overall scope of the CPR. Such an approach would</w:t>
      </w:r>
      <w:r>
        <w:t xml:space="preserve"> </w:t>
      </w:r>
      <w:r>
        <w:t xml:space="preserve">allow to better focus on the regulatory needs of the Member States, the disadvantage</w:t>
      </w:r>
      <w:r>
        <w:t xml:space="preserve"> </w:t>
      </w:r>
      <w:r>
        <w:t xml:space="preserve">being the lack of agility to adjust quickly the scope to respond to new harmonisation,</w:t>
      </w:r>
      <w:r>
        <w:t xml:space="preserve"> </w:t>
      </w:r>
      <w:r>
        <w:t xml:space="preserve">safety or environmental needs. Mutual recognition principles would apply outside the</w:t>
      </w:r>
      <w:r>
        <w:t xml:space="preserve"> </w:t>
      </w:r>
      <w:r>
        <w:t xml:space="preserve">core areas.</w:t>
      </w:r>
      <w:r>
        <w:t xml:space="preserve"> </w:t>
      </w:r>
      <w:r>
        <w:t xml:space="preserve"> Sub-option C3: Making the common technical language optional for manufacturers:</w:t>
      </w:r>
      <w:r>
        <w:t xml:space="preserve"> </w:t>
      </w:r>
      <w:r>
        <w:t xml:space="preserve">Member States would have the option to offer an alternative path to market access</w:t>
      </w:r>
      <w:r>
        <w:t xml:space="preserve"> </w:t>
      </w:r>
      <w:r>
        <w:t xml:space="preserve">based on national regulations and not relying on harmonised standards and</w:t>
      </w:r>
      <w:r>
        <w:t xml:space="preserve"> </w:t>
      </w:r>
      <w:r>
        <w:t xml:space="preserve">Commission Acts containing technical specifications. In such a case, manufacturers</w:t>
      </w:r>
      <w:r>
        <w:t xml:space="preserve"> </w:t>
      </w:r>
      <w:r>
        <w:t xml:space="preserve">could choose whether they use the common technical language under the CPR or the</w:t>
      </w:r>
      <w:r>
        <w:t xml:space="preserve"> </w:t>
      </w:r>
      <w:r>
        <w:t xml:space="preserve">alternative (national) path to market access. However, if a manufacturer would choose</w:t>
      </w:r>
      <w:r>
        <w:t xml:space="preserve"> </w:t>
      </w:r>
      <w:r>
        <w:t xml:space="preserve">to use the common technical language to assess and communicate performance of its</w:t>
      </w:r>
      <w:r>
        <w:t xml:space="preserve"> </w:t>
      </w:r>
      <w:r>
        <w:t xml:space="preserve">products and affix the CE marking, Member States would remain obliged to offer</w:t>
      </w:r>
      <w:r>
        <w:t xml:space="preserve"> </w:t>
      </w:r>
      <w:r>
        <w:t xml:space="preserve">market access to this product.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Sub-option C1 alone would relate to the SPI similar as option B. However, under sub-</w:t>
      </w:r>
      <w:r>
        <w:t xml:space="preserve"> </w:t>
      </w:r>
      <w:r>
        <w:t xml:space="preserve">options C2 and C3 a considerable number of construction products would not be</w:t>
      </w:r>
      <w:r>
        <w:t xml:space="preserve"> </w:t>
      </w:r>
      <w:r>
        <w:t xml:space="preserve">regulated by the CPR. In particular, under sub-option C2 less products would be</w:t>
      </w:r>
      <w:r>
        <w:t xml:space="preserve"> </w:t>
      </w:r>
      <w:r>
        <w:t xml:space="preserve">regulated under the CPR than today. Under sub-option C3 the same product could fall</w:t>
      </w:r>
      <w:r>
        <w:t xml:space="preserve"> </w:t>
      </w:r>
      <w:r>
        <w:t xml:space="preserve">under the CPR or national regulations depending on the choice of manufacturer how to</w:t>
      </w:r>
      <w:r>
        <w:t xml:space="preserve"> </w:t>
      </w:r>
      <w:r>
        <w:t xml:space="preserve">market it. Therefore, under C2 and C3 the SPI’s aims would have to be addressed by the</w:t>
      </w:r>
      <w:r>
        <w:t xml:space="preserve"> </w:t>
      </w:r>
      <w:r>
        <w:t xml:space="preserve">SPI directly to avoid different sustainability approaches. This would lead to a complex</w:t>
      </w:r>
      <w:r>
        <w:t xml:space="preserve"> </w:t>
      </w:r>
      <w:r>
        <w:t xml:space="preserve">regulatory structure for construction products with CPR, SPI, national regulations and the</w:t>
      </w:r>
      <w:r>
        <w:t xml:space="preserve"> </w:t>
      </w:r>
      <w:r>
        <w:t xml:space="preserve">mutual recognition principle applicable.</w:t>
      </w:r>
      <w:r>
        <w:t xml:space="preserve"> </w:t>
      </w:r>
      <w:r>
        <w:t xml:space="preserve">Option D – Enhancing the CPR</w:t>
      </w:r>
      <w:r>
        <w:t xml:space="preserve"> </w:t>
      </w:r>
      <w:r>
        <w:t xml:space="preserve">Option D, “enhancing the CPR”, is triggered predominantly by the goals of ensuring a</w:t>
      </w:r>
      <w:r>
        <w:t xml:space="preserve"> </w:t>
      </w:r>
      <w:r>
        <w:t xml:space="preserve">high level of safety and environmental protection, including circularity aspects. Option D</w:t>
      </w:r>
      <w:r>
        <w:t xml:space="preserve"> </w:t>
      </w:r>
      <w:r>
        <w:t xml:space="preserve">foresees a process to introduce product requirements dealing with product inherent</w:t>
      </w:r>
      <w:r>
        <w:t xml:space="preserve"> </w:t>
      </w:r>
      <w:r>
        <w:t xml:space="preserve">aspects when needed to protect health, safety and the environment107. In this sense,</w:t>
      </w:r>
      <w:r>
        <w:t xml:space="preserve"> </w:t>
      </w:r>
      <w:r>
        <w:t xml:space="preserve">Option D mirrors the expected requirements applicable under the future SPI (see Annex</w:t>
      </w:r>
      <w:r>
        <w:t xml:space="preserve"> </w:t>
      </w:r>
      <w:r>
        <w:t xml:space="preserve">11 for further details). While it further builds on Option B, relying on mandatory</w:t>
      </w:r>
      <w:r>
        <w:t xml:space="preserve"> </w:t>
      </w:r>
      <w:r>
        <w:t xml:space="preserve">harmonised standards relevant for the assessment of products’ performance, it goes</w:t>
      </w:r>
      <w:r>
        <w:t xml:space="preserve"> </w:t>
      </w:r>
      <w:r>
        <w:t xml:space="preserve">beyond this through provisions that empower the Commission to set, when needed,</w:t>
      </w:r>
      <w:r>
        <w:t xml:space="preserve"> </w:t>
      </w:r>
      <w:r>
        <w:t xml:space="preserve">mandatory (minimum) requirements for products.</w:t>
      </w:r>
      <w:r>
        <w:br/>
      </w:r>
      <w:r>
        <w:t xml:space="preserve">Beyond these horizontal environmental and product safety requirements and obligations</w:t>
      </w:r>
      <w:r>
        <w:t xml:space="preserve"> </w:t>
      </w:r>
      <w:r>
        <w:t xml:space="preserve">laid down in an Annex of the CPR, this product-specific requirements would be</w:t>
      </w:r>
      <w:r>
        <w:t xml:space="preserve"> </w:t>
      </w:r>
      <w:r>
        <w:t xml:space="preserve">formulated via three sub-options/approaches (sub-options D1 and D2 could also be</w:t>
      </w:r>
      <w:r>
        <w:t xml:space="preserve"> </w:t>
      </w:r>
      <w:r>
        <w:t xml:space="preserve">combined):</w:t>
      </w:r>
      <w:r>
        <w:t xml:space="preserve"> </w:t>
      </w:r>
      <w:r>
        <w:t xml:space="preserve"> Sub-option D1: To complement the horizontal environmental and product safety</w:t>
      </w:r>
      <w:r>
        <w:t xml:space="preserve"> </w:t>
      </w:r>
      <w:r>
        <w:t xml:space="preserve">requirements and obligations laid down in an Annex of the CPR, sub-option D1</w:t>
      </w:r>
      <w:r>
        <w:t xml:space="preserve"> </w:t>
      </w:r>
      <w:r>
        <w:t xml:space="preserve">would formulate more specific product requirements based on the New Legislative</w:t>
      </w:r>
      <w:r>
        <w:t xml:space="preserve"> </w:t>
      </w:r>
      <w:r>
        <w:t xml:space="preserve">Framework approach. For the products or product families concerned, essential</w:t>
      </w:r>
      <w:r>
        <w:t xml:space="preserve"> </w:t>
      </w:r>
      <w:r>
        <w:t xml:space="preserve">requirements would be laid down in standardisation requests addressed to CEN, who</w:t>
      </w:r>
      <w:r>
        <w:t xml:space="preserve"> </w:t>
      </w:r>
      <w:r>
        <w:t xml:space="preserve">would be mandated to develop standards providing technical details. These voluntary</w:t>
      </w:r>
      <w:r>
        <w:t xml:space="preserve"> </w:t>
      </w:r>
      <w:r>
        <w:t xml:space="preserve">standards would be harmonised by referencing in the OJEU. Following the voluntary</w:t>
      </w:r>
      <w:r>
        <w:t xml:space="preserve"> </w:t>
      </w:r>
      <w:r>
        <w:t xml:space="preserve">standards would lead to the presumption of a product’s conformity with the relevant</w:t>
      </w:r>
      <w:r>
        <w:t xml:space="preserve"> </w:t>
      </w:r>
      <w:r>
        <w:t xml:space="preserve">essential requirements, but other means to prove conformity would remain possible.</w:t>
      </w:r>
      <w:r>
        <w:t xml:space="preserve"> </w:t>
      </w:r>
      <w:r>
        <w:t xml:space="preserve">As such, in the absence of essential requirements tailor-made to particular groups of</w:t>
      </w:r>
      <w:r>
        <w:t xml:space="preserve"> </w:t>
      </w:r>
      <w:r>
        <w:t xml:space="preserve">products specified in Commission acts, it may lead to lack of harmonised approach</w:t>
      </w:r>
      <w:r>
        <w:t xml:space="preserve"> </w:t>
      </w:r>
      <w:r>
        <w:t xml:space="preserve">towards assessing and demonstrating given performances. Divergence in product</w:t>
      </w:r>
      <w:r>
        <w:t xml:space="preserve"> </w:t>
      </w:r>
      <w:r>
        <w:t xml:space="preserve">requirements between products following the harmonised standards path and products</w:t>
      </w:r>
      <w:r>
        <w:t xml:space="preserve"> </w:t>
      </w:r>
      <w:r>
        <w:t xml:space="preserve">manufactured and tested according to other methods would imply additional effort</w:t>
      </w:r>
      <w:r>
        <w:t xml:space="preserve"> </w:t>
      </w:r>
      <w:r>
        <w:t xml:space="preserve">needed on the side of the market surveillance authorities.</w:t>
      </w:r>
    </w:p>
    <w:p>
      <w:pPr>
        <w:pStyle w:val="BodyText"/>
      </w:pPr>
      <w:r>
        <w:t xml:space="preserve">107 In this context, important to note that inherent product safety should be distinguished from “construction</w:t>
      </w:r>
      <w:r>
        <w:t xml:space="preserve"> </w:t>
      </w:r>
      <w:r>
        <w:t xml:space="preserve">work safety”, which is framed by national legislation The competences with respect to safety are</w:t>
      </w:r>
      <w:r>
        <w:t xml:space="preserve"> </w:t>
      </w:r>
      <w:r>
        <w:t xml:space="preserve">divided between the EU and the Member States: while the EU is responsible for the rules relating to</w:t>
      </w:r>
      <w:r>
        <w:t xml:space="preserve"> </w:t>
      </w:r>
      <w:r>
        <w:t xml:space="preserve">access of construction products to the Internal Market (the marketing of construction products), the</w:t>
      </w:r>
      <w:r>
        <w:t xml:space="preserve"> </w:t>
      </w:r>
      <w:r>
        <w:t xml:space="preserve">Member States retain responsibility for safety as well as environmental and energy requirements</w:t>
      </w:r>
      <w:r>
        <w:t xml:space="preserve"> </w:t>
      </w:r>
      <w:r>
        <w:t xml:space="preserve">applicable to construction works.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 Sub-option D2: It would formulate product requirements based on the technical</w:t>
      </w:r>
      <w:r>
        <w:t xml:space="preserve"> </w:t>
      </w:r>
      <w:r>
        <w:t xml:space="preserve">specifications approach. Requirements would be included in harmonised technical</w:t>
      </w:r>
      <w:r>
        <w:t xml:space="preserve"> </w:t>
      </w:r>
      <w:r>
        <w:t xml:space="preserve">specifications and be developed as under Option B, meaning either by mandatory</w:t>
      </w:r>
      <w:r>
        <w:t xml:space="preserve"> </w:t>
      </w:r>
      <w:r>
        <w:t xml:space="preserve">harmonised standards (preferred) or by Commission acts containing technical</w:t>
      </w:r>
      <w:r>
        <w:t xml:space="preserve"> </w:t>
      </w:r>
      <w:r>
        <w:t xml:space="preserve">specifications (as fall back). Where product requirements will be defined, the</w:t>
      </w:r>
      <w:r>
        <w:t xml:space="preserve"> </w:t>
      </w:r>
      <w:r>
        <w:t xml:space="preserve">Declaration of Performance would be complemented by a Declaration of Conformity,</w:t>
      </w:r>
      <w:r>
        <w:t xml:space="preserve"> </w:t>
      </w:r>
      <w:r>
        <w:t xml:space="preserve">and both would be combined in one document.</w:t>
      </w:r>
      <w:r>
        <w:t xml:space="preserve"> </w:t>
      </w:r>
      <w:r>
        <w:t xml:space="preserve"> Sub-option D3: Based on the feedback received during the public consultation and</w:t>
      </w:r>
      <w:r>
        <w:t xml:space="preserve"> </w:t>
      </w:r>
      <w:r>
        <w:t xml:space="preserve">further deeper analysis of the legal constraints, a hybrid solution between sub-option</w:t>
      </w:r>
      <w:r>
        <w:t xml:space="preserve"> </w:t>
      </w:r>
      <w:r>
        <w:t xml:space="preserve">D1 and sub-option D2 has been developed while keeping the core elements of the</w:t>
      </w:r>
      <w:r>
        <w:t xml:space="preserve"> </w:t>
      </w:r>
      <w:r>
        <w:t xml:space="preserve">two other sub-options. These include:</w:t>
      </w:r>
      <w:r>
        <w:br/>
      </w:r>
      <w:r>
        <w:t xml:space="preserve">-</w:t>
      </w:r>
      <w:r>
        <w:t xml:space="preserve"> </w:t>
      </w:r>
      <w:r>
        <w:t xml:space="preserve">As in the NLF, the product requirements (“essential requirements”) would be</w:t>
      </w:r>
      <w:r>
        <w:t xml:space="preserve"> </w:t>
      </w:r>
      <w:r>
        <w:t xml:space="preserve">established by an Annex of the CPR.</w:t>
      </w:r>
      <w:r>
        <w:br/>
      </w:r>
      <w:r>
        <w:t xml:space="preserve">-</w:t>
      </w:r>
      <w:r>
        <w:t xml:space="preserve"> </w:t>
      </w:r>
      <w:r>
        <w:t xml:space="preserve">However, as the requirements have to target more than 30 widely differing</w:t>
      </w:r>
      <w:r>
        <w:t xml:space="preserve"> </w:t>
      </w:r>
      <w:r>
        <w:t xml:space="preserve">product families encompassing more than 100 product categories, they cannot be</w:t>
      </w:r>
      <w:r>
        <w:t xml:space="preserve"> </w:t>
      </w:r>
      <w:r>
        <w:t xml:space="preserve">sufficiently specific to be applied without legal uncertainty. Hence, they would</w:t>
      </w:r>
      <w:r>
        <w:t xml:space="preserve"> </w:t>
      </w:r>
      <w:r>
        <w:t xml:space="preserve">only become applicable once they have been specified for a certain product</w:t>
      </w:r>
      <w:r>
        <w:t xml:space="preserve"> </w:t>
      </w:r>
      <w:r>
        <w:t xml:space="preserve">family or category by a Commission Act. This is an element stemming from sub-</w:t>
      </w:r>
      <w:r>
        <w:t xml:space="preserve"> </w:t>
      </w:r>
      <w:r>
        <w:t xml:space="preserve">option D2.</w:t>
      </w:r>
      <w:r>
        <w:t xml:space="preserve"> </w:t>
      </w:r>
      <w:r>
        <w:t xml:space="preserve">-</w:t>
      </w:r>
      <w:r>
        <w:t xml:space="preserve"> </w:t>
      </w:r>
      <w:r>
        <w:t xml:space="preserve">As these Commission Acts may not cover all relevant aspects of application,</w:t>
      </w:r>
      <w:r>
        <w:t xml:space="preserve"> </w:t>
      </w:r>
      <w:r>
        <w:t xml:space="preserve">voluntary standards based on standardisation requests may also be needed to</w:t>
      </w:r>
      <w:r>
        <w:t xml:space="preserve"> </w:t>
      </w:r>
      <w:r>
        <w:t xml:space="preserve">complement them to providing more details and, eventually, presumption of</w:t>
      </w:r>
      <w:r>
        <w:t xml:space="preserve"> </w:t>
      </w:r>
      <w:r>
        <w:t xml:space="preserve">conformity. This is an element stemming from sub-option D1 and the NLF.</w:t>
      </w:r>
      <w:r>
        <w:t xml:space="preserve"> </w:t>
      </w:r>
      <w:r>
        <w:t xml:space="preserve">Against the ambitions of the European Green Deal and particularly, the transition</w:t>
      </w:r>
      <w:r>
        <w:t xml:space="preserve"> </w:t>
      </w:r>
      <w:r>
        <w:t xml:space="preserve">towards a more sustainable built environment, Option D would be the one ensuring that</w:t>
      </w:r>
      <w:r>
        <w:t xml:space="preserve"> </w:t>
      </w:r>
      <w:r>
        <w:t xml:space="preserve">all safety, circularity, sustainability and climate related aspects can be assessed under the</w:t>
      </w:r>
      <w:r>
        <w:t xml:space="preserve"> </w:t>
      </w:r>
      <w:r>
        <w:t xml:space="preserve">CPR future framework, including the possibility to put forward product requirements.</w:t>
      </w:r>
      <w:r>
        <w:t xml:space="preserve"> </w:t>
      </w:r>
      <w:r>
        <w:t xml:space="preserve">Option D is therefore fully aligned with the SPI and does not require the SPI to prioritise</w:t>
      </w:r>
      <w:r>
        <w:t xml:space="preserve"> </w:t>
      </w:r>
      <w:r>
        <w:t xml:space="preserve">the construction products.</w:t>
      </w:r>
      <w:r>
        <w:br/>
      </w:r>
      <w:r>
        <w:t xml:space="preserve">Option E – repealing the CPR</w:t>
      </w:r>
      <w:r>
        <w:t xml:space="preserve"> </w:t>
      </w:r>
      <w:r>
        <w:t xml:space="preserve">Option E would imply relying on mutual recognition for the internal market of</w:t>
      </w:r>
      <w:r>
        <w:t xml:space="preserve"> </w:t>
      </w:r>
      <w:r>
        <w:t xml:space="preserve">construction products. There would be no harmonisation, i.e. no common technical</w:t>
      </w:r>
      <w:r>
        <w:t xml:space="preserve"> </w:t>
      </w:r>
      <w:r>
        <w:t xml:space="preserve">language, no mandatory harmonised standards, no voluntary harmonised standards either,</w:t>
      </w:r>
      <w:r>
        <w:t xml:space="preserve"> </w:t>
      </w:r>
      <w:r>
        <w:t xml:space="preserve">no basic work requirements for construction works, no obligation to draw up a</w:t>
      </w:r>
      <w:r>
        <w:t xml:space="preserve"> </w:t>
      </w:r>
      <w:r>
        <w:t xml:space="preserve">Declaration of Performance or communicate it, no CE marking, no classes or thresholds,</w:t>
      </w:r>
      <w:r>
        <w:t xml:space="preserve"> </w:t>
      </w:r>
      <w:r>
        <w:t xml:space="preserve">no AVCP108 systems and no conditions for classification determined at EU level. This</w:t>
      </w:r>
      <w:r>
        <w:t xml:space="preserve"> </w:t>
      </w:r>
      <w:r>
        <w:t xml:space="preserve">would extend to all construction products the situation currently existing for the non-</w:t>
      </w:r>
      <w:r>
        <w:t xml:space="preserve"> </w:t>
      </w:r>
      <w:r>
        <w:t xml:space="preserve">harmonised sphere.</w:t>
      </w:r>
    </w:p>
    <w:p>
      <w:pPr>
        <w:pStyle w:val="BodyText"/>
      </w:pPr>
      <w:r>
        <w:t xml:space="preserve">108 Assessment and verification of constancy of performance, corresponding to conformity assessment in</w:t>
      </w:r>
      <w:r>
        <w:t xml:space="preserve"> </w:t>
      </w:r>
      <w:r>
        <w:t xml:space="preserve">classic NLF legislation.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Therefore, under option E, climate and environmental performance requirements at EU</w:t>
      </w:r>
      <w:r>
        <w:t xml:space="preserve"> </w:t>
      </w:r>
      <w:r>
        <w:t xml:space="preserve">level would have to be set by the SPI. As consequence, even without a CPR there would</w:t>
      </w:r>
      <w:r>
        <w:t xml:space="preserve"> </w:t>
      </w:r>
      <w:r>
        <w:t xml:space="preserve">be EU requirements targeting construction products, this time stemming from the SPI.</w:t>
      </w:r>
      <w:r>
        <w:br/>
      </w:r>
      <w:r>
        <w:t xml:space="preserve">While Member States would be free to come up with their own national requirements, the</w:t>
      </w:r>
      <w:r>
        <w:t xml:space="preserve"> </w:t>
      </w:r>
      <w:r>
        <w:t xml:space="preserve">principle of mutual recognition would imply that they cannot simply refuse market</w:t>
      </w:r>
      <w:r>
        <w:t xml:space="preserve"> </w:t>
      </w:r>
      <w:r>
        <w:t xml:space="preserve">access, if products from a different Member State do not comply with these requirements.</w:t>
      </w:r>
      <w:r>
        <w:t xml:space="preserve"> </w:t>
      </w:r>
      <w:r>
        <w:t xml:space="preserve">Instead, they would need to check whether the products were marketed in accordance</w:t>
      </w:r>
      <w:r>
        <w:t xml:space="preserve"> </w:t>
      </w:r>
      <w:r>
        <w:t xml:space="preserve">with the national rules applicable in the Member State in which they were manufactured.</w:t>
      </w:r>
      <w:r>
        <w:t xml:space="preserve"> </w:t>
      </w:r>
      <w:r>
        <w:t xml:space="preserve">Additionally, Member States could adopt national regulations relevant for construction</w:t>
      </w:r>
      <w:r>
        <w:t xml:space="preserve"> </w:t>
      </w:r>
      <w:r>
        <w:t xml:space="preserve">works where certain performance criteria could be envisaged for certain conditions (e.g. </w:t>
      </w:r>
      <w:r>
        <w:t xml:space="preserve"> </w:t>
      </w:r>
      <w:r>
        <w:t xml:space="preserve">reflecting climate change risks).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Figure 6: Comparison of options against the specific objectives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Option A</w:t>
      </w:r>
      <w:r>
        <w:t xml:space="preserve"> </w:t>
      </w:r>
      <w:r>
        <w:t xml:space="preserve">Option B</w:t>
      </w:r>
      <w:r>
        <w:t xml:space="preserve"> </w:t>
      </w:r>
      <w:r>
        <w:t xml:space="preserve">Option C</w:t>
      </w:r>
      <w:r>
        <w:t xml:space="preserve"> </w:t>
      </w:r>
      <w:r>
        <w:t xml:space="preserve">Option D</w:t>
      </w:r>
      <w:r>
        <w:t xml:space="preserve"> </w:t>
      </w:r>
      <w:r>
        <w:t xml:space="preserve">Option E</w:t>
      </w:r>
      <w:r>
        <w:t xml:space="preserve"> </w:t>
      </w:r>
      <w:r>
        <w:t xml:space="preserve">Problem 1 drivers</w:t>
      </w:r>
      <w:r>
        <w:br/>
      </w:r>
      <w:r>
        <w:t xml:space="preserve">-Mismatch between the</w:t>
      </w:r>
      <w:r>
        <w:t xml:space="preserve"> </w:t>
      </w:r>
      <w:r>
        <w:t xml:space="preserve">legal criteria applied</w:t>
      </w:r>
      <w:r>
        <w:t xml:space="preserve"> </w:t>
      </w:r>
      <w:r>
        <w:t xml:space="preserve">by the Commission</w:t>
      </w:r>
      <w:r>
        <w:t xml:space="preserve"> </w:t>
      </w:r>
      <w:r>
        <w:t xml:space="preserve">and the ability of</w:t>
      </w:r>
      <w:r>
        <w:t xml:space="preserve"> </w:t>
      </w:r>
      <w:r>
        <w:t xml:space="preserve">standardisers to</w:t>
      </w:r>
      <w:r>
        <w:t xml:space="preserve"> </w:t>
      </w:r>
      <w:r>
        <w:t xml:space="preserve">deliver requested</w:t>
      </w:r>
      <w:r>
        <w:t xml:space="preserve"> </w:t>
      </w:r>
      <w:r>
        <w:t xml:space="preserve">outputs</w:t>
      </w:r>
      <w:r>
        <w:t xml:space="preserve"> </w:t>
      </w:r>
      <w:r>
        <w:t xml:space="preserve">- Lack of alternative</w:t>
      </w:r>
      <w:r>
        <w:t xml:space="preserve"> </w:t>
      </w:r>
      <w:r>
        <w:t xml:space="preserve">whenever the</w:t>
      </w:r>
      <w:r>
        <w:t xml:space="preserve"> </w:t>
      </w:r>
      <w:r>
        <w:t xml:space="preserve">standardisation</w:t>
      </w:r>
      <w:r>
        <w:t xml:space="preserve"> </w:t>
      </w:r>
      <w:r>
        <w:t xml:space="preserve">process is not</w:t>
      </w:r>
      <w:r>
        <w:t xml:space="preserve"> </w:t>
      </w:r>
      <w:r>
        <w:t xml:space="preserve">delivering</w:t>
      </w:r>
      <w:r>
        <w:br/>
      </w:r>
      <w:r>
        <w:t xml:space="preserve">- Incomplete character</w:t>
      </w:r>
      <w:r>
        <w:t xml:space="preserve"> </w:t>
      </w:r>
      <w:r>
        <w:t xml:space="preserve">of harmonisation</w:t>
      </w:r>
      <w:r>
        <w:t xml:space="preserve"> </w:t>
      </w:r>
      <w:r>
        <w:t xml:space="preserve">Problem 4 drivers</w:t>
      </w:r>
    </w:p>
    <w:p>
      <w:pPr>
        <w:pStyle w:val="Compact"/>
        <w:numPr>
          <w:ilvl w:val="0"/>
          <w:numId w:val="1007"/>
        </w:numPr>
      </w:pPr>
      <w:r>
        <w:t xml:space="preserve">3D printed products</w:t>
      </w:r>
      <w:r>
        <w:t xml:space="preserve"> </w:t>
      </w:r>
      <w:r>
        <w:t xml:space="preserve">escape the scope of</w:t>
      </w:r>
      <w:r>
        <w:t xml:space="preserve"> </w:t>
      </w:r>
      <w:r>
        <w:t xml:space="preserve">CPR</w:t>
      </w:r>
      <w:r>
        <w:t xml:space="preserve"> </w:t>
      </w:r>
      <w:r>
        <w:t xml:space="preserve">Deblocking the</w:t>
      </w:r>
      <w:r>
        <w:t xml:space="preserve"> </w:t>
      </w:r>
      <w:r>
        <w:t xml:space="preserve">technical</w:t>
      </w:r>
      <w:r>
        <w:t xml:space="preserve"> </w:t>
      </w:r>
      <w:r>
        <w:t xml:space="preserve">harmonisation system</w:t>
      </w:r>
      <w:r>
        <w:t xml:space="preserve"> </w:t>
      </w:r>
      <w:r>
        <w:t xml:space="preserve"></w:t>
      </w:r>
      <w:r>
        <w:t xml:space="preserve"> </w:t>
      </w:r>
      <w:r>
        <w:t xml:space="preserve">Apply the existing</w:t>
      </w:r>
      <w:r>
        <w:t xml:space="preserve"> </w:t>
      </w:r>
      <w:r>
        <w:t xml:space="preserve">empowerments and</w:t>
      </w:r>
      <w:r>
        <w:t xml:space="preserve"> </w:t>
      </w:r>
      <w:r>
        <w:t xml:space="preserve">procedures.</w:t>
      </w:r>
      <w:r>
        <w:t xml:space="preserve"> </w:t>
      </w:r>
      <w:r>
        <w:t xml:space="preserve"></w:t>
      </w:r>
      <w:r>
        <w:t xml:space="preserve"> </w:t>
      </w:r>
      <w:r>
        <w:t xml:space="preserve">Introducing</w:t>
      </w:r>
      <w:r>
        <w:t xml:space="preserve"> </w:t>
      </w:r>
      <w:r>
        <w:t xml:space="preserve">empowerment for</w:t>
      </w:r>
      <w:r>
        <w:t xml:space="preserve"> </w:t>
      </w:r>
      <w:r>
        <w:t xml:space="preserve">the Commission</w:t>
      </w:r>
      <w:r>
        <w:t xml:space="preserve"> </w:t>
      </w:r>
      <w:r>
        <w:t xml:space="preserve">foreseeing</w:t>
      </w:r>
      <w:r>
        <w:t xml:space="preserve"> </w:t>
      </w:r>
      <w:r>
        <w:t xml:space="preserve">alternative (safety-</w:t>
      </w:r>
      <w:r>
        <w:t xml:space="preserve"> </w:t>
      </w:r>
      <w:r>
        <w:t xml:space="preserve">net) solution, to</w:t>
      </w:r>
      <w:r>
        <w:t xml:space="preserve"> </w:t>
      </w:r>
      <w:r>
        <w:t xml:space="preserve">draft technical</w:t>
      </w:r>
      <w:r>
        <w:t xml:space="preserve"> </w:t>
      </w:r>
      <w:r>
        <w:t xml:space="preserve">specifications</w:t>
      </w:r>
      <w:r>
        <w:t xml:space="preserve"> </w:t>
      </w:r>
      <w:r>
        <w:t xml:space="preserve">where no timely</w:t>
      </w:r>
      <w:r>
        <w:t xml:space="preserve"> </w:t>
      </w:r>
      <w:r>
        <w:t xml:space="preserve">and/or quality</w:t>
      </w:r>
      <w:r>
        <w:t xml:space="preserve"> </w:t>
      </w:r>
      <w:r>
        <w:t xml:space="preserve">standards are</w:t>
      </w:r>
      <w:r>
        <w:t xml:space="preserve"> </w:t>
      </w:r>
      <w:r>
        <w:t xml:space="preserve">delivered, i.e. </w:t>
      </w:r>
      <w:r>
        <w:t xml:space="preserve"> </w:t>
      </w:r>
      <w:r>
        <w:t xml:space="preserve">developing</w:t>
      </w:r>
      <w:r>
        <w:t xml:space="preserve"> </w:t>
      </w:r>
      <w:r>
        <w:t xml:space="preserve">technical content in</w:t>
      </w:r>
      <w:r>
        <w:t xml:space="preserve"> </w:t>
      </w:r>
      <w:r>
        <w:t xml:space="preserve">a close dialogue and</w:t>
      </w:r>
      <w:r>
        <w:t xml:space="preserve"> </w:t>
      </w:r>
      <w:r>
        <w:t xml:space="preserve">cooperation with</w:t>
      </w:r>
      <w:r>
        <w:t xml:space="preserve"> </w:t>
      </w:r>
      <w:r>
        <w:t xml:space="preserve">the industry and</w:t>
      </w:r>
      <w:r>
        <w:t xml:space="preserve"> </w:t>
      </w:r>
      <w:r>
        <w:t xml:space="preserve">Member States</w:t>
      </w:r>
      <w:r>
        <w:t xml:space="preserve"> </w:t>
      </w:r>
      <w:r>
        <w:t xml:space="preserve">experts and other</w:t>
      </w:r>
      <w:r>
        <w:t xml:space="preserve"> </w:t>
      </w:r>
      <w:r>
        <w:t xml:space="preserve">relevant</w:t>
      </w:r>
      <w:r>
        <w:t xml:space="preserve"> </w:t>
      </w:r>
      <w:r>
        <w:t xml:space="preserve">stakeholders;</w:t>
      </w:r>
      <w:r>
        <w:br/>
      </w:r>
      <w:r>
        <w:t xml:space="preserve"></w:t>
      </w:r>
      <w:r>
        <w:t xml:space="preserve"> </w:t>
      </w:r>
      <w:r>
        <w:t xml:space="preserve">Member States will</w:t>
      </w:r>
      <w:r>
        <w:t xml:space="preserve"> </w:t>
      </w:r>
      <w:r>
        <w:t xml:space="preserve">be requested to</w:t>
      </w:r>
      <w:r>
        <w:t xml:space="preserve"> </w:t>
      </w:r>
      <w:r>
        <w:t xml:space="preserve">proactively identify</w:t>
      </w:r>
      <w:r>
        <w:t xml:space="preserve"> </w:t>
      </w:r>
      <w:r>
        <w:t xml:space="preserve">their regulatory</w:t>
      </w:r>
      <w:r>
        <w:t xml:space="preserve"> </w:t>
      </w:r>
      <w:r>
        <w:t xml:space="preserve">needs upfront, with</w:t>
      </w:r>
      <w:r>
        <w:t xml:space="preserve"> </w:t>
      </w:r>
      <w:r>
        <w:t xml:space="preserve">a view of reducing</w:t>
      </w:r>
      <w:r>
        <w:t xml:space="preserve"> </w:t>
      </w:r>
      <w:r>
        <w:t xml:space="preserve">the number of</w:t>
      </w:r>
      <w:r>
        <w:t xml:space="preserve"> </w:t>
      </w:r>
      <w:r>
        <w:t xml:space="preserve"></w:t>
      </w:r>
      <w:r>
        <w:t xml:space="preserve"> </w:t>
      </w:r>
      <w:r>
        <w:t xml:space="preserve">The same as option</w:t>
      </w:r>
      <w:r>
        <w:t xml:space="preserve"> </w:t>
      </w:r>
      <w:r>
        <w:t xml:space="preserve">B in the remaining</w:t>
      </w:r>
      <w:r>
        <w:t xml:space="preserve"> </w:t>
      </w:r>
      <w:r>
        <w:t xml:space="preserve">harmonised sphere.</w:t>
      </w:r>
      <w:r>
        <w:t xml:space="preserve"> </w:t>
      </w:r>
      <w:r>
        <w:t xml:space="preserve"></w:t>
      </w:r>
      <w:r>
        <w:t xml:space="preserve"> </w:t>
      </w:r>
      <w:r>
        <w:t xml:space="preserve">The same as option</w:t>
      </w:r>
    </w:p>
    <w:p>
      <w:pPr>
        <w:pStyle w:val="Compact"/>
        <w:numPr>
          <w:ilvl w:val="0"/>
          <w:numId w:val="1008"/>
        </w:numPr>
      </w:pPr>
      <w:r>
        <w:t xml:space="preserve"></w:t>
      </w:r>
      <w:r>
        <w:t xml:space="preserve"> </w:t>
      </w:r>
      <w:r>
        <w:t xml:space="preserve">As there will be no</w:t>
      </w:r>
      <w:r>
        <w:t xml:space="preserve"> </w:t>
      </w:r>
      <w:r>
        <w:t xml:space="preserve">harmonisation, only</w:t>
      </w:r>
      <w:r>
        <w:t xml:space="preserve"> </w:t>
      </w:r>
      <w:r>
        <w:t xml:space="preserve">mutual recognition,</w:t>
      </w:r>
      <w:r>
        <w:t xml:space="preserve"> </w:t>
      </w:r>
      <w:r>
        <w:t xml:space="preserve">no mandatory nor</w:t>
      </w:r>
      <w:r>
        <w:t xml:space="preserve"> </w:t>
      </w:r>
      <w:r>
        <w:t xml:space="preserve">voluntary</w:t>
      </w:r>
      <w:r>
        <w:t xml:space="preserve"> </w:t>
      </w:r>
      <w:r>
        <w:t xml:space="preserve">harmonised</w:t>
      </w:r>
      <w:r>
        <w:t xml:space="preserve"> </w:t>
      </w:r>
      <w:r>
        <w:t xml:space="preserve">standards would be</w:t>
      </w:r>
      <w:r>
        <w:t xml:space="preserve"> </w:t>
      </w:r>
      <w:r>
        <w:t xml:space="preserve">necessary.</w:t>
      </w:r>
    </w:p>
    <w:p>
      <w:pPr>
        <w:pStyle w:val="FirstParagraph"/>
      </w:pPr>
      <w:r>
        <w:t xml:space="preserve">33</w:t>
      </w:r>
      <w:r>
        <w:t xml:space="preserve"> </w:t>
      </w:r>
      <w:r>
        <w:t xml:space="preserve">iterations of</w:t>
      </w:r>
      <w:r>
        <w:t xml:space="preserve"> </w:t>
      </w:r>
      <w:r>
        <w:t xml:space="preserve">standards</w:t>
      </w:r>
      <w:r>
        <w:t xml:space="preserve"> </w:t>
      </w:r>
      <w:r>
        <w:t xml:space="preserve">developed.</w:t>
      </w:r>
      <w:r>
        <w:t xml:space="preserve"> </w:t>
      </w:r>
      <w:r>
        <w:t xml:space="preserve">To ensure safe</w:t>
      </w:r>
      <w:r>
        <w:t xml:space="preserve"> </w:t>
      </w:r>
      <w:r>
        <w:t xml:space="preserve">construction</w:t>
      </w:r>
      <w:r>
        <w:t xml:space="preserve"> </w:t>
      </w:r>
      <w:r>
        <w:t xml:space="preserve">products</w:t>
      </w:r>
      <w:r>
        <w:t xml:space="preserve"> </w:t>
      </w:r>
      <w:r>
        <w:t xml:space="preserve"></w:t>
      </w:r>
      <w:r>
        <w:t xml:space="preserve"> </w:t>
      </w:r>
      <w:r>
        <w:t xml:space="preserve">No change.</w:t>
      </w:r>
      <w:r>
        <w:br/>
      </w:r>
      <w:r>
        <w:t xml:space="preserve"></w:t>
      </w:r>
      <w:r>
        <w:t xml:space="preserve"> </w:t>
      </w:r>
      <w:r>
        <w:t xml:space="preserve">Indirectly addressed</w:t>
      </w:r>
      <w:r>
        <w:t xml:space="preserve"> </w:t>
      </w:r>
      <w:r>
        <w:t xml:space="preserve">with improved</w:t>
      </w:r>
      <w:r>
        <w:t xml:space="preserve"> </w:t>
      </w:r>
      <w:r>
        <w:t xml:space="preserve">market surveillance</w:t>
      </w:r>
      <w:r>
        <w:t xml:space="preserve"> </w:t>
      </w:r>
      <w:r>
        <w:t xml:space="preserve">and unblocked</w:t>
      </w:r>
      <w:r>
        <w:t xml:space="preserve"> </w:t>
      </w:r>
      <w:r>
        <w:t xml:space="preserve">technical</w:t>
      </w:r>
      <w:r>
        <w:t xml:space="preserve"> </w:t>
      </w:r>
      <w:r>
        <w:t xml:space="preserve">harmonisation</w:t>
      </w:r>
      <w:r>
        <w:t xml:space="preserve"> </w:t>
      </w:r>
      <w:r>
        <w:t xml:space="preserve">system.</w:t>
      </w:r>
      <w:r>
        <w:t xml:space="preserve"> </w:t>
      </w:r>
      <w:r>
        <w:t xml:space="preserve"></w:t>
      </w:r>
      <w:r>
        <w:t xml:space="preserve"> </w:t>
      </w:r>
      <w:r>
        <w:t xml:space="preserve">Bringing 3D-</w:t>
      </w:r>
      <w:r>
        <w:t xml:space="preserve"> </w:t>
      </w:r>
      <w:r>
        <w:t xml:space="preserve">printed products in</w:t>
      </w:r>
      <w:r>
        <w:t xml:space="preserve"> </w:t>
      </w:r>
      <w:r>
        <w:t xml:space="preserve">the scope of CPR</w:t>
      </w:r>
      <w:r>
        <w:br/>
      </w:r>
      <w:r>
        <w:t xml:space="preserve"></w:t>
      </w:r>
      <w:r>
        <w:t xml:space="preserve"> </w:t>
      </w:r>
      <w:r>
        <w:t xml:space="preserve">The same as option</w:t>
      </w:r>
      <w:r>
        <w:t xml:space="preserve"> </w:t>
      </w:r>
      <w:r>
        <w:t xml:space="preserve">B in the remaining</w:t>
      </w:r>
      <w:r>
        <w:t xml:space="preserve"> </w:t>
      </w:r>
      <w:r>
        <w:t xml:space="preserve">harmonised sphere.</w:t>
      </w:r>
      <w:r>
        <w:br/>
      </w:r>
      <w:r>
        <w:t xml:space="preserve"></w:t>
      </w:r>
      <w:r>
        <w:t xml:space="preserve"> </w:t>
      </w:r>
      <w:r>
        <w:t xml:space="preserve">Setting a dedicated</w:t>
      </w:r>
      <w:r>
        <w:t xml:space="preserve"> </w:t>
      </w:r>
      <w:r>
        <w:t xml:space="preserve">process to introduce</w:t>
      </w:r>
      <w:r>
        <w:t xml:space="preserve"> </w:t>
      </w:r>
      <w:r>
        <w:t xml:space="preserve">product inherent</w:t>
      </w:r>
      <w:r>
        <w:t xml:space="preserve"> </w:t>
      </w:r>
      <w:r>
        <w:t xml:space="preserve">safety requirements,</w:t>
      </w:r>
      <w:r>
        <w:t xml:space="preserve"> </w:t>
      </w:r>
      <w:r>
        <w:t xml:space="preserve">where needed</w:t>
      </w:r>
      <w:r>
        <w:t xml:space="preserve"> </w:t>
      </w:r>
      <w:r>
        <w:t xml:space="preserve">complemented by</w:t>
      </w:r>
      <w:r>
        <w:t xml:space="preserve"> </w:t>
      </w:r>
      <w:r>
        <w:t xml:space="preserve">more specific</w:t>
      </w:r>
      <w:r>
        <w:t xml:space="preserve"> </w:t>
      </w:r>
      <w:r>
        <w:t xml:space="preserve">product</w:t>
      </w:r>
      <w:r>
        <w:t xml:space="preserve"> </w:t>
      </w:r>
      <w:r>
        <w:t xml:space="preserve">requirements (per</w:t>
      </w:r>
      <w:r>
        <w:t xml:space="preserve"> </w:t>
      </w:r>
      <w:r>
        <w:t xml:space="preserve">categories or group</w:t>
      </w:r>
      <w:r>
        <w:t xml:space="preserve"> </w:t>
      </w:r>
      <w:r>
        <w:t xml:space="preserve">of products) by</w:t>
      </w:r>
      <w:r>
        <w:t xml:space="preserve"> </w:t>
      </w:r>
      <w:r>
        <w:t xml:space="preserve">either;</w:t>
      </w:r>
      <w:r>
        <w:t xml:space="preserve"> </w:t>
      </w:r>
      <w:r>
        <w:t xml:space="preserve"> D1 – New</w:t>
      </w:r>
      <w:r>
        <w:t xml:space="preserve"> </w:t>
      </w:r>
      <w:r>
        <w:t xml:space="preserve">Legislative</w:t>
      </w:r>
      <w:r>
        <w:t xml:space="preserve"> </w:t>
      </w:r>
      <w:r>
        <w:t xml:space="preserve">Framework</w:t>
      </w:r>
      <w:r>
        <w:t xml:space="preserve"> </w:t>
      </w:r>
      <w:r>
        <w:t xml:space="preserve">approach for</w:t>
      </w:r>
      <w:r>
        <w:t xml:space="preserve"> </w:t>
      </w:r>
      <w:r>
        <w:t xml:space="preserve">product</w:t>
      </w:r>
      <w:r>
        <w:t xml:space="preserve"> </w:t>
      </w:r>
      <w:r>
        <w:t xml:space="preserve">requirements;</w:t>
      </w:r>
      <w:r>
        <w:t xml:space="preserve"> </w:t>
      </w:r>
      <w:r>
        <w:t xml:space="preserve"></w:t>
      </w:r>
      <w:r>
        <w:t xml:space="preserve"> </w:t>
      </w:r>
      <w:r>
        <w:t xml:space="preserve">D2 – Technical</w:t>
      </w:r>
      <w:r>
        <w:t xml:space="preserve"> </w:t>
      </w:r>
      <w:r>
        <w:t xml:space="preserve">Specifications</w:t>
      </w:r>
      <w:r>
        <w:t xml:space="preserve"> </w:t>
      </w:r>
      <w:r>
        <w:t xml:space="preserve">Approach for</w:t>
      </w:r>
      <w:r>
        <w:t xml:space="preserve"> </w:t>
      </w:r>
      <w:r>
        <w:t xml:space="preserve">product</w:t>
      </w:r>
      <w:r>
        <w:t xml:space="preserve"> </w:t>
      </w:r>
      <w:r>
        <w:t xml:space="preserve">requirements.</w:t>
      </w:r>
      <w:r>
        <w:t xml:space="preserve"> </w:t>
      </w:r>
      <w:r>
        <w:t xml:space="preserve"></w:t>
      </w:r>
      <w:r>
        <w:t xml:space="preserve"> </w:t>
      </w:r>
      <w:r>
        <w:t xml:space="preserve">D3 – Hybrid of</w:t>
      </w:r>
      <w:r>
        <w:t xml:space="preserve"> </w:t>
      </w:r>
      <w:r>
        <w:t xml:space="preserve">D1/D2</w:t>
      </w:r>
      <w:r>
        <w:t xml:space="preserve"> </w:t>
      </w:r>
      <w:r>
        <w:t xml:space="preserve"></w:t>
      </w:r>
      <w:r>
        <w:t xml:space="preserve"> </w:t>
      </w:r>
      <w:r>
        <w:t xml:space="preserve">The CPR repealed</w:t>
      </w:r>
      <w:r>
        <w:t xml:space="preserve"> </w:t>
      </w:r>
      <w:r>
        <w:t xml:space="preserve">and mutual</w:t>
      </w:r>
      <w:r>
        <w:t xml:space="preserve"> </w:t>
      </w:r>
      <w:r>
        <w:t xml:space="preserve">recognition</w:t>
      </w:r>
      <w:r>
        <w:t xml:space="preserve"> </w:t>
      </w:r>
      <w:r>
        <w:t xml:space="preserve">applying, hence no</w:t>
      </w:r>
      <w:r>
        <w:t xml:space="preserve"> </w:t>
      </w:r>
      <w:r>
        <w:t xml:space="preserve">harmonised sphere.</w:t>
      </w:r>
      <w:r>
        <w:t xml:space="preserve"> </w:t>
      </w:r>
      <w:r>
        <w:t xml:space="preserve">Problem 2 drivers</w:t>
      </w:r>
      <w:r>
        <w:t xml:space="preserve"> </w:t>
      </w:r>
      <w:r>
        <w:t xml:space="preserve">- Lack of clarity of the</w:t>
      </w:r>
      <w:r>
        <w:t xml:space="preserve"> </w:t>
      </w:r>
      <w:r>
        <w:t xml:space="preserve">current provisions</w:t>
      </w:r>
      <w:r>
        <w:t xml:space="preserve"> </w:t>
      </w:r>
      <w:r>
        <w:t xml:space="preserve">- Lack of appropriate</w:t>
      </w:r>
      <w:r>
        <w:t xml:space="preserve"> </w:t>
      </w:r>
      <w:r>
        <w:t xml:space="preserve">resources to tackle the</w:t>
      </w:r>
      <w:r>
        <w:t xml:space="preserve"> </w:t>
      </w:r>
      <w:r>
        <w:t xml:space="preserve">non-compliance</w:t>
      </w:r>
      <w:r>
        <w:t xml:space="preserve"> </w:t>
      </w:r>
      <w:r>
        <w:t xml:space="preserve">Reducing national</w:t>
      </w:r>
      <w:r>
        <w:t xml:space="preserve"> </w:t>
      </w:r>
      <w:r>
        <w:t xml:space="preserve">barriers to trade for</w:t>
      </w:r>
      <w:r>
        <w:t xml:space="preserve"> </w:t>
      </w:r>
      <w:r>
        <w:t xml:space="preserve">products covered by</w:t>
      </w:r>
      <w:r>
        <w:t xml:space="preserve"> </w:t>
      </w:r>
      <w:r>
        <w:t xml:space="preserve">the CPR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Act upon national</w:t>
      </w:r>
      <w:r>
        <w:t xml:space="preserve"> </w:t>
      </w:r>
      <w:r>
        <w:t xml:space="preserve">marks, ex-ante</w:t>
      </w:r>
      <w:r>
        <w:t xml:space="preserve"> </w:t>
      </w:r>
      <w:r>
        <w:t xml:space="preserve">processes and</w:t>
      </w:r>
      <w:r>
        <w:t xml:space="preserve"> </w:t>
      </w:r>
      <w:r>
        <w:t xml:space="preserve">verifications,</w:t>
      </w:r>
      <w:r>
        <w:t xml:space="preserve"> </w:t>
      </w:r>
      <w:r>
        <w:t xml:space="preserve">including</w:t>
      </w:r>
      <w:r>
        <w:t xml:space="preserve"> </w:t>
      </w:r>
      <w:r>
        <w:t xml:space="preserve">infringement</w:t>
      </w:r>
      <w:r>
        <w:t xml:space="preserve"> </w:t>
      </w:r>
      <w:r>
        <w:t xml:space="preserve">procedures and</w:t>
      </w:r>
      <w:r>
        <w:t xml:space="preserve"> </w:t>
      </w:r>
      <w:r>
        <w:t xml:space="preserve">support for</w:t>
      </w:r>
      <w:r>
        <w:t xml:space="preserve"> </w:t>
      </w:r>
      <w:r>
        <w:t xml:space="preserve">economic operators</w:t>
      </w:r>
      <w:r>
        <w:t xml:space="preserve"> </w:t>
      </w:r>
      <w:r>
        <w:t xml:space="preserve"></w:t>
      </w:r>
      <w:r>
        <w:t xml:space="preserve"> </w:t>
      </w:r>
      <w:r>
        <w:t xml:space="preserve">Introducing</w:t>
      </w:r>
      <w:r>
        <w:t xml:space="preserve"> </w:t>
      </w:r>
      <w:r>
        <w:t xml:space="preserve">provisions</w:t>
      </w:r>
      <w:r>
        <w:t xml:space="preserve"> </w:t>
      </w:r>
      <w:r>
        <w:t xml:space="preserve">clarifying</w:t>
      </w:r>
      <w:r>
        <w:t xml:space="preserve"> </w:t>
      </w:r>
      <w:r>
        <w:t xml:space="preserve">competences of the</w:t>
      </w:r>
      <w:r>
        <w:t xml:space="preserve"> </w:t>
      </w:r>
      <w:r>
        <w:t xml:space="preserve">Member States and</w:t>
      </w:r>
      <w:r>
        <w:t xml:space="preserve"> </w:t>
      </w:r>
      <w:r>
        <w:t xml:space="preserve">improving the</w:t>
      </w:r>
      <w:r>
        <w:t xml:space="preserve"> </w:t>
      </w:r>
      <w:r>
        <w:t xml:space="preserve">interplay between</w:t>
      </w:r>
      <w:r>
        <w:t xml:space="preserve"> </w:t>
      </w:r>
      <w:r>
        <w:t xml:space="preserve">the EU and the</w:t>
      </w:r>
      <w:r>
        <w:t xml:space="preserve"> </w:t>
      </w:r>
      <w:r>
        <w:t xml:space="preserve">Member States’</w:t>
      </w:r>
      <w:r>
        <w:t xml:space="preserve"> </w:t>
      </w:r>
      <w:r>
        <w:t xml:space="preserve"></w:t>
      </w:r>
      <w:r>
        <w:t xml:space="preserve"> </w:t>
      </w:r>
      <w:r>
        <w:t xml:space="preserve">The same as option</w:t>
      </w:r>
      <w:r>
        <w:t xml:space="preserve"> </w:t>
      </w:r>
      <w:r>
        <w:t xml:space="preserve">B but also with</w:t>
      </w:r>
      <w:r>
        <w:t xml:space="preserve"> </w:t>
      </w:r>
      <w:r>
        <w:t xml:space="preserve">changes to the</w:t>
      </w:r>
      <w:r>
        <w:t xml:space="preserve"> </w:t>
      </w:r>
      <w:r>
        <w:t xml:space="preserve">scope of the CPR to</w:t>
      </w:r>
      <w:r>
        <w:t xml:space="preserve"> </w:t>
      </w:r>
      <w:r>
        <w:t xml:space="preserve">free up capacity and</w:t>
      </w:r>
      <w:r>
        <w:t xml:space="preserve"> </w:t>
      </w:r>
      <w:r>
        <w:t xml:space="preserve">improve the quality</w:t>
      </w:r>
      <w:r>
        <w:t xml:space="preserve"> </w:t>
      </w:r>
      <w:r>
        <w:t xml:space="preserve">and</w:t>
      </w:r>
      <w:r>
        <w:t xml:space="preserve"> </w:t>
      </w:r>
      <w:r>
        <w:t xml:space="preserve">comprehensiveness</w:t>
      </w:r>
      <w:r>
        <w:t xml:space="preserve"> </w:t>
      </w:r>
      <w:r>
        <w:t xml:space="preserve">of the remaining</w:t>
      </w:r>
      <w:r>
        <w:t xml:space="preserve"> </w:t>
      </w:r>
      <w:r>
        <w:t xml:space="preserve"></w:t>
      </w:r>
      <w:r>
        <w:t xml:space="preserve"> </w:t>
      </w:r>
      <w:r>
        <w:t xml:space="preserve">The same as option</w:t>
      </w:r>
      <w:r>
        <w:t xml:space="preserve"> </w:t>
      </w:r>
      <w:r>
        <w:t xml:space="preserve">B but also covering</w:t>
      </w:r>
      <w:r>
        <w:t xml:space="preserve"> </w:t>
      </w:r>
      <w:r>
        <w:t xml:space="preserve">inherent product</w:t>
      </w:r>
      <w:r>
        <w:t xml:space="preserve"> </w:t>
      </w:r>
      <w:r>
        <w:t xml:space="preserve">safety requirements</w:t>
      </w:r>
      <w:r>
        <w:t xml:space="preserve"> </w:t>
      </w:r>
      <w:r>
        <w:t xml:space="preserve">at EU level</w:t>
      </w:r>
      <w:r>
        <w:t xml:space="preserve"> </w:t>
      </w:r>
      <w:r>
        <w:t xml:space="preserve">(horizontal</w:t>
      </w:r>
      <w:r>
        <w:t xml:space="preserve"> </w:t>
      </w:r>
      <w:r>
        <w:t xml:space="preserve">mandatory</w:t>
      </w:r>
      <w:r>
        <w:t xml:space="preserve"> </w:t>
      </w:r>
      <w:r>
        <w:t xml:space="preserve">minimum safety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</w:t>
      </w:r>
      <w:r>
        <w:t xml:space="preserve"> </w:t>
      </w:r>
      <w:r>
        <w:t xml:space="preserve">The CPR repealed</w:t>
      </w:r>
      <w:r>
        <w:t xml:space="preserve"> </w:t>
      </w:r>
      <w:r>
        <w:t xml:space="preserve">and mutual</w:t>
      </w:r>
      <w:r>
        <w:t xml:space="preserve"> </w:t>
      </w:r>
      <w:r>
        <w:t xml:space="preserve">recognition</w:t>
      </w:r>
      <w:r>
        <w:t xml:space="preserve"> </w:t>
      </w:r>
      <w:r>
        <w:t xml:space="preserve">applying, hence no</w:t>
      </w:r>
      <w:r>
        <w:t xml:space="preserve"> </w:t>
      </w:r>
      <w:r>
        <w:t xml:space="preserve">harmonised sphere.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effectively</w:t>
      </w:r>
    </w:p>
    <w:p>
      <w:pPr>
        <w:pStyle w:val="BodyText"/>
      </w:pPr>
      <w:r>
        <w:t xml:space="preserve">acting against</w:t>
      </w:r>
      <w:r>
        <w:t xml:space="preserve"> </w:t>
      </w:r>
      <w:r>
        <w:t xml:space="preserve">infringements at</w:t>
      </w:r>
      <w:r>
        <w:t xml:space="preserve"> </w:t>
      </w:r>
      <w:r>
        <w:t xml:space="preserve">national courts.</w:t>
      </w:r>
      <w:r>
        <w:t xml:space="preserve"> </w:t>
      </w:r>
      <w:r>
        <w:t xml:space="preserve">level, e.g. with</w:t>
      </w:r>
      <w:r>
        <w:t xml:space="preserve"> </w:t>
      </w:r>
      <w:r>
        <w:t xml:space="preserve">regard to unsafe or</w:t>
      </w:r>
      <w:r>
        <w:t xml:space="preserve"> </w:t>
      </w:r>
      <w:r>
        <w:t xml:space="preserve">incompliant</w:t>
      </w:r>
      <w:r>
        <w:t xml:space="preserve"> </w:t>
      </w:r>
      <w:r>
        <w:t xml:space="preserve">products.</w:t>
      </w:r>
      <w:r>
        <w:t xml:space="preserve"> </w:t>
      </w:r>
      <w:r>
        <w:t xml:space="preserve">harmonised sphere:</w:t>
      </w:r>
      <w:r>
        <w:t xml:space="preserve"> </w:t>
      </w:r>
      <w:r>
        <w:t xml:space="preserve"> C1: Scope of the</w:t>
      </w:r>
      <w:r>
        <w:t xml:space="preserve"> </w:t>
      </w:r>
      <w:r>
        <w:t xml:space="preserve">CPR limited to</w:t>
      </w:r>
      <w:r>
        <w:t xml:space="preserve"> </w:t>
      </w:r>
      <w:r>
        <w:t xml:space="preserve">assessment methods</w:t>
      </w:r>
      <w:r>
        <w:t xml:space="preserve"> </w:t>
      </w:r>
      <w:r>
        <w:t xml:space="preserve">only (no thresholds,</w:t>
      </w:r>
      <w:r>
        <w:t xml:space="preserve"> </w:t>
      </w:r>
      <w:r>
        <w:t xml:space="preserve">classes nor other</w:t>
      </w:r>
      <w:r>
        <w:t xml:space="preserve"> </w:t>
      </w:r>
      <w:r>
        <w:t xml:space="preserve">requirements at EU</w:t>
      </w:r>
      <w:r>
        <w:t xml:space="preserve"> </w:t>
      </w:r>
      <w:r>
        <w:t xml:space="preserve">level);</w:t>
      </w:r>
      <w:r>
        <w:t xml:space="preserve"> </w:t>
      </w:r>
      <w:r>
        <w:t xml:space="preserve"> C2: Focusing the</w:t>
      </w:r>
      <w:r>
        <w:t xml:space="preserve"> </w:t>
      </w:r>
      <w:r>
        <w:t xml:space="preserve">scope on regulatory</w:t>
      </w:r>
      <w:r>
        <w:t xml:space="preserve"> </w:t>
      </w:r>
      <w:r>
        <w:t xml:space="preserve">needs of the</w:t>
      </w:r>
      <w:r>
        <w:t xml:space="preserve"> </w:t>
      </w:r>
      <w:r>
        <w:t xml:space="preserve">Member States,</w:t>
      </w:r>
      <w:r>
        <w:t xml:space="preserve"> </w:t>
      </w:r>
      <w:r>
        <w:t xml:space="preserve">with limited agility</w:t>
      </w:r>
      <w:r>
        <w:t xml:space="preserve"> </w:t>
      </w:r>
      <w:r>
        <w:t xml:space="preserve">towards new needs;</w:t>
      </w:r>
      <w:r>
        <w:t xml:space="preserve"> </w:t>
      </w:r>
      <w:r>
        <w:t xml:space="preserve"> C3: Giving the</w:t>
      </w:r>
      <w:r>
        <w:t xml:space="preserve"> </w:t>
      </w:r>
      <w:r>
        <w:t xml:space="preserve">Member States the</w:t>
      </w:r>
      <w:r>
        <w:t xml:space="preserve"> </w:t>
      </w:r>
      <w:r>
        <w:t xml:space="preserve">possibility</w:t>
      </w:r>
      <w:r>
        <w:t xml:space="preserve"> </w:t>
      </w:r>
      <w:r>
        <w:t xml:space="preserve">additionally offer</w:t>
      </w:r>
      <w:r>
        <w:t xml:space="preserve"> </w:t>
      </w:r>
      <w:r>
        <w:t xml:space="preserve">market access based</w:t>
      </w:r>
      <w:r>
        <w:t xml:space="preserve"> </w:t>
      </w:r>
      <w:r>
        <w:t xml:space="preserve">on national</w:t>
      </w:r>
      <w:r>
        <w:t xml:space="preserve"> </w:t>
      </w:r>
      <w:r>
        <w:t xml:space="preserve">regulations.</w:t>
      </w:r>
      <w:r>
        <w:br/>
      </w:r>
      <w:r>
        <w:t xml:space="preserve">products, where</w:t>
      </w:r>
      <w:r>
        <w:t xml:space="preserve"> </w:t>
      </w:r>
      <w:r>
        <w:t xml:space="preserve">needed</w:t>
      </w:r>
      <w:r>
        <w:t xml:space="preserve"> </w:t>
      </w:r>
      <w:r>
        <w:t xml:space="preserve">complemented by</w:t>
      </w:r>
      <w:r>
        <w:t xml:space="preserve"> </w:t>
      </w:r>
      <w:r>
        <w:t xml:space="preserve">more specific</w:t>
      </w:r>
      <w:r>
        <w:t xml:space="preserve"> </w:t>
      </w:r>
      <w:r>
        <w:t xml:space="preserve">product</w:t>
      </w:r>
      <w:r>
        <w:t xml:space="preserve"> </w:t>
      </w:r>
      <w:r>
        <w:t xml:space="preserve">requirements per</w:t>
      </w:r>
      <w:r>
        <w:t xml:space="preserve"> </w:t>
      </w:r>
      <w:r>
        <w:t xml:space="preserve">categories or group</w:t>
      </w:r>
      <w:r>
        <w:t xml:space="preserve"> </w:t>
      </w:r>
      <w:r>
        <w:t xml:space="preserve">of products).</w:t>
      </w:r>
      <w:r>
        <w:t xml:space="preserve"> </w:t>
      </w:r>
      <w:r>
        <w:t xml:space="preserve"> D1 – New</w:t>
      </w:r>
      <w:r>
        <w:t xml:space="preserve"> </w:t>
      </w:r>
      <w:r>
        <w:t xml:space="preserve">Legislative</w:t>
      </w:r>
      <w:r>
        <w:t xml:space="preserve"> </w:t>
      </w:r>
      <w:r>
        <w:t xml:space="preserve">Framework</w:t>
      </w:r>
      <w:r>
        <w:t xml:space="preserve"> </w:t>
      </w:r>
      <w:r>
        <w:t xml:space="preserve">approach for</w:t>
      </w:r>
      <w:r>
        <w:t xml:space="preserve"> </w:t>
      </w:r>
      <w:r>
        <w:t xml:space="preserve">product</w:t>
      </w:r>
      <w:r>
        <w:t xml:space="preserve"> </w:t>
      </w:r>
      <w:r>
        <w:t xml:space="preserve">requirements;</w:t>
      </w:r>
      <w:r>
        <w:t xml:space="preserve"> </w:t>
      </w:r>
      <w:r>
        <w:t xml:space="preserve"> D2 – Technical</w:t>
      </w:r>
      <w:r>
        <w:t xml:space="preserve"> </w:t>
      </w:r>
      <w:r>
        <w:t xml:space="preserve">Specifications</w:t>
      </w:r>
      <w:r>
        <w:t xml:space="preserve"> </w:t>
      </w:r>
      <w:r>
        <w:t xml:space="preserve">Approach for</w:t>
      </w:r>
      <w:r>
        <w:t xml:space="preserve"> </w:t>
      </w:r>
      <w:r>
        <w:t xml:space="preserve">product</w:t>
      </w:r>
      <w:r>
        <w:t xml:space="preserve"> </w:t>
      </w:r>
      <w:r>
        <w:t xml:space="preserve">requirements;</w:t>
      </w:r>
      <w:r>
        <w:t xml:space="preserve"> </w:t>
      </w:r>
      <w:r>
        <w:t xml:space="preserve"> D3 – Hybrid of</w:t>
      </w:r>
      <w:r>
        <w:t xml:space="preserve"> </w:t>
      </w:r>
      <w:r>
        <w:t xml:space="preserve">D1/D2.</w:t>
      </w:r>
      <w:r>
        <w:t xml:space="preserve"> </w:t>
      </w:r>
      <w:r>
        <w:t xml:space="preserve">Improving</w:t>
      </w:r>
      <w:r>
        <w:t xml:space="preserve"> </w:t>
      </w:r>
      <w:r>
        <w:t xml:space="preserve">enforcement and</w:t>
      </w:r>
      <w:r>
        <w:t xml:space="preserve"> </w:t>
      </w:r>
      <w:r>
        <w:t xml:space="preserve">market surveillance</w:t>
      </w:r>
      <w:r>
        <w:t xml:space="preserve"> </w:t>
      </w:r>
      <w:r>
        <w:t xml:space="preserve"></w:t>
      </w:r>
      <w:r>
        <w:t xml:space="preserve"> </w:t>
      </w:r>
      <w:r>
        <w:t xml:space="preserve">Recommending</w:t>
      </w:r>
      <w:r>
        <w:t xml:space="preserve"> </w:t>
      </w:r>
      <w:r>
        <w:t xml:space="preserve">highly effective</w:t>
      </w:r>
      <w:r>
        <w:t xml:space="preserve"> </w:t>
      </w:r>
      <w:r>
        <w:t xml:space="preserve">default/standard</w:t>
      </w:r>
      <w:r>
        <w:t xml:space="preserve"> </w:t>
      </w:r>
      <w:r>
        <w:t xml:space="preserve">market surveillance</w:t>
      </w:r>
      <w:r>
        <w:t xml:space="preserve"> </w:t>
      </w:r>
      <w:r>
        <w:t xml:space="preserve">controls.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Strengthening</w:t>
      </w:r>
      <w:r>
        <w:t xml:space="preserve"> </w:t>
      </w:r>
      <w:r>
        <w:t xml:space="preserve">enforcement powers</w:t>
      </w:r>
      <w:r>
        <w:t xml:space="preserve"> </w:t>
      </w:r>
      <w:r>
        <w:t xml:space="preserve">and aligning the</w:t>
      </w:r>
      <w:r>
        <w:t xml:space="preserve"> </w:t>
      </w:r>
      <w:r>
        <w:t xml:space="preserve">performance of</w:t>
      </w:r>
      <w:r>
        <w:t xml:space="preserve"> </w:t>
      </w:r>
      <w:r>
        <w:t xml:space="preserve">different 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authorities;</w:t>
      </w:r>
      <w:r>
        <w:t xml:space="preserve"> </w:t>
      </w:r>
      <w:r>
        <w:t xml:space="preserve"></w:t>
      </w:r>
      <w:r>
        <w:t xml:space="preserve"> </w:t>
      </w:r>
      <w:r>
        <w:t xml:space="preserve">Creating more</w:t>
      </w:r>
      <w:r>
        <w:t xml:space="preserve"> </w:t>
      </w:r>
      <w:r>
        <w:t xml:space="preserve">streamlined</w:t>
      </w:r>
      <w:r>
        <w:t xml:space="preserve"> </w:t>
      </w:r>
      <w:r>
        <w:t xml:space="preserve">procedures to</w:t>
      </w:r>
      <w:r>
        <w:t xml:space="preserve"> </w:t>
      </w:r>
      <w:r>
        <w:t xml:space="preserve">address</w:t>
      </w:r>
      <w:r>
        <w:t xml:space="preserve"> </w:t>
      </w:r>
      <w:r>
        <w:t xml:space="preserve">interpretative</w:t>
      </w:r>
      <w:r>
        <w:t xml:space="preserve"> </w:t>
      </w:r>
      <w:r>
        <w:t xml:space="preserve">confusion and</w:t>
      </w:r>
      <w:r>
        <w:t xml:space="preserve"> </w:t>
      </w:r>
      <w:r>
        <w:t xml:space="preserve">facilitate the use of</w:t>
      </w:r>
      <w:r>
        <w:t xml:space="preserve"> </w:t>
      </w:r>
      <w:r>
        <w:t xml:space="preserve">safeguard</w:t>
      </w:r>
      <w:r>
        <w:t xml:space="preserve"> </w:t>
      </w:r>
      <w:r>
        <w:t xml:space="preserve">mechanisms;</w:t>
      </w:r>
      <w:r>
        <w:t xml:space="preserve"> </w:t>
      </w:r>
      <w:r>
        <w:t xml:space="preserve"></w:t>
      </w:r>
      <w:r>
        <w:t xml:space="preserve"> </w:t>
      </w:r>
      <w:r>
        <w:t xml:space="preserve">Delegated acts on</w:t>
      </w:r>
      <w:r>
        <w:t xml:space="preserve"> </w:t>
      </w:r>
      <w:r>
        <w:t xml:space="preserve">minimum number</w:t>
      </w:r>
      <w:r>
        <w:t xml:space="preserve"> </w:t>
      </w:r>
      <w:r>
        <w:t xml:space="preserve"></w:t>
      </w:r>
      <w:r>
        <w:t xml:space="preserve"> </w:t>
      </w:r>
      <w:r>
        <w:t xml:space="preserve">The same as option</w:t>
      </w:r>
      <w:r>
        <w:t xml:space="preserve"> </w:t>
      </w:r>
      <w:r>
        <w:t xml:space="preserve">B in the remaining</w:t>
      </w:r>
      <w:r>
        <w:t xml:space="preserve"> </w:t>
      </w:r>
      <w:r>
        <w:t xml:space="preserve">harmonised</w:t>
      </w:r>
      <w:r>
        <w:t xml:space="preserve"> </w:t>
      </w:r>
      <w:r>
        <w:t xml:space="preserve">sphere.B.</w:t>
      </w:r>
      <w:r>
        <w:t xml:space="preserve"> </w:t>
      </w:r>
      <w:r>
        <w:t xml:space="preserve"></w:t>
      </w:r>
      <w:r>
        <w:t xml:space="preserve"> </w:t>
      </w:r>
      <w:r>
        <w:t xml:space="preserve">The same as Option</w:t>
      </w:r>
      <w:r>
        <w:t xml:space="preserve"> </w:t>
      </w:r>
      <w:r>
        <w:t xml:space="preserve">B.</w:t>
      </w:r>
      <w:r>
        <w:t xml:space="preserve"> </w:t>
      </w:r>
      <w:r>
        <w:t xml:space="preserve"></w:t>
      </w:r>
      <w:r>
        <w:t xml:space="preserve"> </w:t>
      </w:r>
      <w:r>
        <w:t xml:space="preserve">No CPR in place,</w:t>
      </w:r>
      <w:r>
        <w:t xml:space="preserve"> </w:t>
      </w:r>
      <w:r>
        <w:t xml:space="preserve">authorities checking</w:t>
      </w:r>
      <w:r>
        <w:t xml:space="preserve"> </w:t>
      </w:r>
      <w:r>
        <w:t xml:space="preserve">whether the</w:t>
      </w:r>
      <w:r>
        <w:t xml:space="preserve"> </w:t>
      </w:r>
      <w:r>
        <w:t xml:space="preserve">products were</w:t>
      </w:r>
      <w:r>
        <w:t xml:space="preserve"> </w:t>
      </w:r>
      <w:r>
        <w:t xml:space="preserve">marketed in</w:t>
      </w:r>
      <w:r>
        <w:t xml:space="preserve"> </w:t>
      </w:r>
      <w:r>
        <w:t xml:space="preserve">accordance with the</w:t>
      </w:r>
      <w:r>
        <w:t xml:space="preserve"> </w:t>
      </w:r>
      <w:r>
        <w:t xml:space="preserve">national rules</w:t>
      </w:r>
      <w:r>
        <w:t xml:space="preserve"> </w:t>
      </w:r>
      <w:r>
        <w:t xml:space="preserve">applicable in the</w:t>
      </w:r>
      <w:r>
        <w:t xml:space="preserve"> </w:t>
      </w:r>
      <w:r>
        <w:t xml:space="preserve">Member State in</w:t>
      </w:r>
      <w:r>
        <w:t xml:space="preserve"> </w:t>
      </w:r>
      <w:r>
        <w:t xml:space="preserve">which they were</w:t>
      </w:r>
      <w:r>
        <w:t xml:space="preserve"> </w:t>
      </w:r>
      <w:r>
        <w:t xml:space="preserve">manufactured.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of checks</w:t>
      </w:r>
      <w:r>
        <w:t xml:space="preserve"> </w:t>
      </w:r>
      <w:r>
        <w:t xml:space="preserve">performed by the</w:t>
      </w:r>
      <w:r>
        <w:t xml:space="preserve"> </w:t>
      </w:r>
      <w:r>
        <w:t xml:space="preserve">market surveillance;</w:t>
      </w:r>
      <w:r>
        <w:t xml:space="preserve"> </w:t>
      </w:r>
      <w:r>
        <w:t xml:space="preserve"></w:t>
      </w:r>
      <w:r>
        <w:t xml:space="preserve"> </w:t>
      </w:r>
      <w:r>
        <w:t xml:space="preserve">Delegated acts on</w:t>
      </w:r>
      <w:r>
        <w:t xml:space="preserve"> </w:t>
      </w:r>
      <w:r>
        <w:t xml:space="preserve">minimum human</w:t>
      </w:r>
      <w:r>
        <w:t xml:space="preserve"> </w:t>
      </w:r>
      <w:r>
        <w:t xml:space="preserve">resources to be</w:t>
      </w:r>
      <w:r>
        <w:t xml:space="preserve"> </w:t>
      </w:r>
      <w:r>
        <w:t xml:space="preserve">deployed for the</w:t>
      </w:r>
      <w:r>
        <w:t xml:space="preserve"> </w:t>
      </w:r>
      <w:r>
        <w:t xml:space="preserve">market surveillance</w:t>
      </w:r>
      <w:r>
        <w:t xml:space="preserve"> </w:t>
      </w:r>
      <w:r>
        <w:t xml:space="preserve">of construction</w:t>
      </w:r>
      <w:r>
        <w:t xml:space="preserve"> </w:t>
      </w:r>
      <w:r>
        <w:t xml:space="preserve">products;</w:t>
      </w:r>
      <w:r>
        <w:t xml:space="preserve"> </w:t>
      </w:r>
      <w:r>
        <w:t xml:space="preserve"></w:t>
      </w:r>
      <w:r>
        <w:t xml:space="preserve"> </w:t>
      </w:r>
      <w:r>
        <w:t xml:space="preserve">Enhancing</w:t>
      </w:r>
      <w:r>
        <w:t xml:space="preserve"> </w:t>
      </w:r>
      <w:r>
        <w:t xml:space="preserve">harmonised</w:t>
      </w:r>
      <w:r>
        <w:t xml:space="preserve"> </w:t>
      </w:r>
      <w:r>
        <w:t xml:space="preserve">decision-making</w:t>
      </w:r>
      <w:r>
        <w:t xml:space="preserve"> </w:t>
      </w:r>
      <w:r>
        <w:t xml:space="preserve">amongst all</w:t>
      </w:r>
      <w:r>
        <w:t xml:space="preserve"> </w:t>
      </w:r>
      <w:r>
        <w:t xml:space="preserve">authorities and</w:t>
      </w:r>
      <w:r>
        <w:t xml:space="preserve"> </w:t>
      </w:r>
      <w:r>
        <w:t xml:space="preserve">Notified Bodies,</w:t>
      </w:r>
      <w:r>
        <w:t xml:space="preserve"> </w:t>
      </w:r>
      <w:r>
        <w:t xml:space="preserve">striving for</w:t>
      </w:r>
      <w:r>
        <w:t xml:space="preserve"> </w:t>
      </w:r>
      <w:r>
        <w:t xml:space="preserve">alignment across</w:t>
      </w:r>
      <w:r>
        <w:t xml:space="preserve"> </w:t>
      </w:r>
      <w:r>
        <w:t xml:space="preserve">Member States and</w:t>
      </w:r>
      <w:r>
        <w:t xml:space="preserve"> </w:t>
      </w:r>
      <w:r>
        <w:t xml:space="preserve">across groups of</w:t>
      </w:r>
      <w:r>
        <w:t xml:space="preserve"> </w:t>
      </w:r>
      <w:r>
        <w:t xml:space="preserve">authorities/bodies;</w:t>
      </w:r>
      <w:r>
        <w:t xml:space="preserve"> </w:t>
      </w:r>
      <w:r>
        <w:t xml:space="preserve"></w:t>
      </w:r>
      <w:r>
        <w:t xml:space="preserve"> </w:t>
      </w:r>
      <w:r>
        <w:t xml:space="preserve">Strengthening the</w:t>
      </w:r>
      <w:r>
        <w:t xml:space="preserve"> </w:t>
      </w:r>
      <w:r>
        <w:t xml:space="preserve">capacity of Notified</w:t>
      </w:r>
      <w:r>
        <w:t xml:space="preserve"> </w:t>
      </w:r>
      <w:r>
        <w:t xml:space="preserve">Bodies to assess the</w:t>
      </w:r>
      <w:r>
        <w:t xml:space="preserve"> </w:t>
      </w:r>
      <w:r>
        <w:t xml:space="preserve">correctness of</w:t>
      </w:r>
      <w:r>
        <w:t xml:space="preserve"> </w:t>
      </w:r>
      <w:r>
        <w:t xml:space="preserve">declared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 of</w:t>
      </w:r>
      <w:r>
        <w:t xml:space="preserve"> </w:t>
      </w:r>
      <w:r>
        <w:t xml:space="preserve">construction</w:t>
      </w:r>
      <w:r>
        <w:t xml:space="preserve"> </w:t>
      </w:r>
      <w:r>
        <w:t xml:space="preserve">products.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Problem 3 drivers</w:t>
      </w:r>
      <w:r>
        <w:t xml:space="preserve"> </w:t>
      </w:r>
      <w:r>
        <w:t xml:space="preserve">- Low awareness and</w:t>
      </w:r>
      <w:r>
        <w:t xml:space="preserve"> </w:t>
      </w:r>
      <w:r>
        <w:t xml:space="preserve">lack of clarity of the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provisions</w:t>
      </w:r>
      <w:r>
        <w:t xml:space="preserve"> </w:t>
      </w:r>
      <w:r>
        <w:t xml:space="preserve">Problem 4 drivers</w:t>
      </w:r>
      <w:r>
        <w:t xml:space="preserve"> </w:t>
      </w:r>
      <w:r>
        <w:t xml:space="preserve">- CPR does not foresee</w:t>
      </w:r>
      <w:r>
        <w:t xml:space="preserve"> </w:t>
      </w:r>
      <w:r>
        <w:t xml:space="preserve">broad application of</w:t>
      </w:r>
      <w:r>
        <w:t xml:space="preserve"> </w:t>
      </w:r>
      <w:r>
        <w:t xml:space="preserve">digital tools</w:t>
      </w:r>
    </w:p>
    <w:p>
      <w:pPr>
        <w:pStyle w:val="BodyText"/>
      </w:pPr>
      <w:r>
        <w:t xml:space="preserve">Providing more clarity</w:t>
      </w:r>
      <w:r>
        <w:t xml:space="preserve"> </w:t>
      </w:r>
      <w:r>
        <w:t xml:space="preserve">and simplification</w:t>
      </w:r>
      <w:r>
        <w:br/>
      </w:r>
      <w:r>
        <w:t xml:space="preserve"></w:t>
      </w:r>
      <w:r>
        <w:t xml:space="preserve"> </w:t>
      </w:r>
      <w:r>
        <w:t xml:space="preserve">No change.</w:t>
      </w:r>
      <w:r>
        <w:t xml:space="preserve"> </w:t>
      </w:r>
      <w:r>
        <w:t xml:space="preserve"></w:t>
      </w:r>
      <w:r>
        <w:t xml:space="preserve"> </w:t>
      </w:r>
      <w:r>
        <w:t xml:space="preserve">Introducing an</w:t>
      </w:r>
      <w:r>
        <w:t xml:space="preserve"> </w:t>
      </w:r>
      <w:r>
        <w:t xml:space="preserve">empowerment for</w:t>
      </w:r>
      <w:r>
        <w:t xml:space="preserve"> </w:t>
      </w:r>
      <w:r>
        <w:t xml:space="preserve">the Member States</w:t>
      </w:r>
      <w:r>
        <w:t xml:space="preserve"> </w:t>
      </w:r>
      <w:r>
        <w:t xml:space="preserve">to exempt</w:t>
      </w:r>
      <w:r>
        <w:t xml:space="preserve"> </w:t>
      </w:r>
      <w:r>
        <w:t xml:space="preserve">conditionally</w:t>
      </w:r>
      <w:r>
        <w:t xml:space="preserve"> </w:t>
      </w:r>
      <w:r>
        <w:t xml:space="preserve">certain micro-</w:t>
      </w:r>
      <w:r>
        <w:t xml:space="preserve"> </w:t>
      </w:r>
      <w:r>
        <w:t xml:space="preserve">enterprises from the</w:t>
      </w:r>
      <w:r>
        <w:t xml:space="preserve"> </w:t>
      </w:r>
      <w:r>
        <w:t xml:space="preserve">obligations of the</w:t>
      </w:r>
      <w:r>
        <w:t xml:space="preserve"> </w:t>
      </w:r>
      <w:r>
        <w:t xml:space="preserve">CPR;</w:t>
      </w:r>
      <w:r>
        <w:t xml:space="preserve"> </w:t>
      </w:r>
      <w:r>
        <w:t xml:space="preserve"></w:t>
      </w:r>
      <w:r>
        <w:t xml:space="preserve"> </w:t>
      </w:r>
      <w:r>
        <w:t xml:space="preserve">Clarify the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provisions;</w:t>
      </w:r>
      <w:r>
        <w:br/>
      </w:r>
      <w:r>
        <w:t xml:space="preserve"></w:t>
      </w:r>
      <w:r>
        <w:t xml:space="preserve"> </w:t>
      </w:r>
      <w:r>
        <w:t xml:space="preserve">Eliminating</w:t>
      </w:r>
      <w:r>
        <w:t xml:space="preserve"> </w:t>
      </w:r>
      <w:r>
        <w:t xml:space="preserve">information overlap</w:t>
      </w:r>
      <w:r>
        <w:t xml:space="preserve"> </w:t>
      </w:r>
      <w:r>
        <w:t xml:space="preserve">between the CE</w:t>
      </w:r>
      <w:r>
        <w:t xml:space="preserve"> </w:t>
      </w:r>
      <w:r>
        <w:t xml:space="preserve">marking and the</w:t>
      </w:r>
      <w:r>
        <w:t xml:space="preserve"> </w:t>
      </w:r>
      <w:r>
        <w:t xml:space="preserve">Declaration of</w:t>
      </w:r>
      <w:r>
        <w:t xml:space="preserve"> </w:t>
      </w:r>
      <w:r>
        <w:t xml:space="preserve">Performance;</w:t>
      </w:r>
      <w:r>
        <w:br/>
      </w:r>
      <w:r>
        <w:t xml:space="preserve"></w:t>
      </w:r>
      <w:r>
        <w:t xml:space="preserve"> </w:t>
      </w:r>
      <w:r>
        <w:t xml:space="preserve">Combining the</w:t>
      </w:r>
      <w:r>
        <w:t xml:space="preserve"> </w:t>
      </w:r>
      <w:r>
        <w:t xml:space="preserve">Declaration of</w:t>
      </w:r>
      <w:r>
        <w:t xml:space="preserve"> </w:t>
      </w:r>
      <w:r>
        <w:t xml:space="preserve">Performance with</w:t>
      </w:r>
      <w:r>
        <w:t xml:space="preserve"> </w:t>
      </w:r>
      <w:r>
        <w:t xml:space="preserve">the Declaration of</w:t>
      </w:r>
      <w:r>
        <w:t xml:space="preserve"> </w:t>
      </w:r>
      <w:r>
        <w:t xml:space="preserve">Conformity;</w:t>
      </w:r>
      <w:r>
        <w:t xml:space="preserve"> </w:t>
      </w:r>
      <w:r>
        <w:t xml:space="preserve"></w:t>
      </w:r>
      <w:r>
        <w:t xml:space="preserve"> </w:t>
      </w:r>
      <w:r>
        <w:t xml:space="preserve">Enhancing the</w:t>
      </w:r>
      <w:r>
        <w:t xml:space="preserve"> </w:t>
      </w:r>
      <w:r>
        <w:t xml:space="preserve">definitions in order</w:t>
      </w:r>
      <w:r>
        <w:t xml:space="preserve"> </w:t>
      </w:r>
      <w:r>
        <w:t xml:space="preserve">to make them more</w:t>
      </w:r>
      <w:r>
        <w:t xml:space="preserve"> </w:t>
      </w:r>
      <w:r>
        <w:t xml:space="preserve">precise, thorough</w:t>
      </w:r>
      <w:r>
        <w:t xml:space="preserve"> </w:t>
      </w:r>
      <w:r>
        <w:t xml:space="preserve">and</w:t>
      </w:r>
      <w:r>
        <w:t xml:space="preserve"> </w:t>
      </w:r>
      <w:r>
        <w:t xml:space="preserve">comprehensible;</w:t>
      </w:r>
      <w:r>
        <w:t xml:space="preserve"> </w:t>
      </w:r>
      <w:r>
        <w:t xml:space="preserve"></w:t>
      </w:r>
      <w:r>
        <w:t xml:space="preserve"> </w:t>
      </w:r>
      <w:r>
        <w:t xml:space="preserve">Clarifying possible</w:t>
      </w:r>
      <w:r>
        <w:t xml:space="preserve"> </w:t>
      </w:r>
      <w:r>
        <w:t xml:space="preserve">loopholes or</w:t>
      </w:r>
      <w:r>
        <w:t xml:space="preserve"> </w:t>
      </w:r>
      <w:r>
        <w:t xml:space="preserve">overlaps with other</w:t>
      </w:r>
      <w:r>
        <w:t xml:space="preserve"> </w:t>
      </w:r>
      <w:r>
        <w:t xml:space="preserve">legislation,</w:t>
      </w:r>
      <w:r>
        <w:t xml:space="preserve"> </w:t>
      </w:r>
      <w:r>
        <w:t xml:space="preserve">including through</w:t>
      </w:r>
      <w:r>
        <w:t xml:space="preserve"> </w:t>
      </w:r>
      <w:r>
        <w:t xml:space="preserve">clear collision rules</w:t>
      </w:r>
      <w:r>
        <w:t xml:space="preserve"> </w:t>
      </w:r>
      <w:r>
        <w:t xml:space="preserve">and clarifying the</w:t>
      </w:r>
      <w:r>
        <w:t xml:space="preserve"> </w:t>
      </w:r>
      <w:r>
        <w:t xml:space="preserve">scope;</w:t>
      </w:r>
      <w:r>
        <w:t xml:space="preserve"> </w:t>
      </w:r>
      <w:r>
        <w:t xml:space="preserve"></w:t>
      </w:r>
      <w:r>
        <w:t xml:space="preserve"> </w:t>
      </w:r>
      <w:r>
        <w:t xml:space="preserve">Introducing specific</w:t>
      </w:r>
      <w:r>
        <w:t xml:space="preserve"> </w:t>
      </w:r>
      <w:r>
        <w:t xml:space="preserve">marking for</w:t>
      </w:r>
      <w:r>
        <w:t xml:space="preserve"> </w:t>
      </w:r>
      <w:r>
        <w:t xml:space="preserve"></w:t>
      </w:r>
      <w:r>
        <w:t xml:space="preserve"> </w:t>
      </w:r>
      <w:r>
        <w:t xml:space="preserve">The same as option</w:t>
      </w:r>
      <w:r>
        <w:t xml:space="preserve"> </w:t>
      </w:r>
      <w:r>
        <w:t xml:space="preserve">B in the remaining</w:t>
      </w:r>
      <w:r>
        <w:t xml:space="preserve"> </w:t>
      </w:r>
      <w:r>
        <w:t xml:space="preserve">harmonised sphere,</w:t>
      </w:r>
      <w:r>
        <w:t xml:space="preserve"> </w:t>
      </w:r>
      <w:r>
        <w:t xml:space="preserve">but also:</w:t>
      </w:r>
      <w:r>
        <w:t xml:space="preserve"> </w:t>
      </w:r>
      <w:r>
        <w:t xml:space="preserve"> C2: Focusing the</w:t>
      </w:r>
      <w:r>
        <w:t xml:space="preserve"> </w:t>
      </w:r>
      <w:r>
        <w:t xml:space="preserve">area of application</w:t>
      </w:r>
      <w:r>
        <w:t xml:space="preserve"> </w:t>
      </w:r>
      <w:r>
        <w:t xml:space="preserve">and/or scope to core</w:t>
      </w:r>
      <w:r>
        <w:t xml:space="preserve"> </w:t>
      </w:r>
      <w:r>
        <w:t xml:space="preserve">areas, hence</w:t>
      </w:r>
      <w:r>
        <w:t xml:space="preserve"> </w:t>
      </w:r>
      <w:r>
        <w:t xml:space="preserve">limiting possible</w:t>
      </w:r>
      <w:r>
        <w:t xml:space="preserve"> </w:t>
      </w:r>
      <w:r>
        <w:t xml:space="preserve">overlaps;</w:t>
      </w:r>
      <w:r>
        <w:t xml:space="preserve"> </w:t>
      </w:r>
      <w:r>
        <w:t xml:space="preserve"> C3: The possibility</w:t>
      </w:r>
      <w:r>
        <w:t xml:space="preserve"> </w:t>
      </w:r>
      <w:r>
        <w:t xml:space="preserve">of an alternative</w:t>
      </w:r>
      <w:r>
        <w:t xml:space="preserve"> </w:t>
      </w:r>
      <w:r>
        <w:t xml:space="preserve">national path to</w:t>
      </w:r>
      <w:r>
        <w:t xml:space="preserve"> </w:t>
      </w:r>
      <w:r>
        <w:t xml:space="preserve">market access is</w:t>
      </w:r>
      <w:r>
        <w:t xml:space="preserve"> </w:t>
      </w:r>
      <w:r>
        <w:t xml:space="preserve">creating new</w:t>
      </w:r>
      <w:r>
        <w:t xml:space="preserve"> </w:t>
      </w:r>
      <w:r>
        <w:t xml:space="preserve">regulatory overlaps.</w:t>
      </w:r>
      <w:r>
        <w:t xml:space="preserve"> </w:t>
      </w:r>
      <w:r>
        <w:t xml:space="preserve"></w:t>
      </w:r>
      <w:r>
        <w:t xml:space="preserve"> </w:t>
      </w:r>
      <w:r>
        <w:t xml:space="preserve">The same as option</w:t>
      </w:r>
      <w:r>
        <w:t xml:space="preserve"> </w:t>
      </w:r>
      <w:r>
        <w:t xml:space="preserve">B.</w:t>
      </w:r>
      <w:r>
        <w:t xml:space="preserve"> </w:t>
      </w:r>
      <w:r>
        <w:t xml:space="preserve"></w:t>
      </w:r>
      <w:r>
        <w:t xml:space="preserve"> </w:t>
      </w:r>
      <w:r>
        <w:t xml:space="preserve">CPR repealed, no</w:t>
      </w:r>
      <w:r>
        <w:t xml:space="preserve"> </w:t>
      </w:r>
      <w:r>
        <w:t xml:space="preserve">need for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provisions at the</w:t>
      </w:r>
      <w:r>
        <w:t xml:space="preserve"> </w:t>
      </w:r>
      <w:r>
        <w:t xml:space="preserve">EU level.</w:t>
      </w:r>
      <w:r>
        <w:t xml:space="preserve"> </w:t>
      </w:r>
      <w:r>
        <w:t xml:space="preserve"></w:t>
      </w:r>
      <w:r>
        <w:t xml:space="preserve"> </w:t>
      </w:r>
      <w:r>
        <w:t xml:space="preserve">Manufacturers have</w:t>
      </w:r>
      <w:r>
        <w:t xml:space="preserve"> </w:t>
      </w:r>
      <w:r>
        <w:t xml:space="preserve">to market products</w:t>
      </w:r>
      <w:r>
        <w:t xml:space="preserve"> </w:t>
      </w:r>
      <w:r>
        <w:t xml:space="preserve">in accordance of</w:t>
      </w:r>
      <w:r>
        <w:t xml:space="preserve"> </w:t>
      </w:r>
      <w:r>
        <w:t xml:space="preserve">national rules.</w:t>
      </w:r>
      <w:r>
        <w:br/>
      </w:r>
      <w:r>
        <w:t xml:space="preserve">Reducing the</w:t>
      </w:r>
      <w:r>
        <w:t xml:space="preserve"> </w:t>
      </w:r>
      <w:r>
        <w:t xml:space="preserve">administrative burden,</w:t>
      </w:r>
      <w:r>
        <w:t xml:space="preserve"> </w:t>
      </w:r>
      <w:r>
        <w:t xml:space="preserve">including through</w:t>
      </w:r>
      <w:r>
        <w:t xml:space="preserve"> </w:t>
      </w:r>
      <w:r>
        <w:t xml:space="preserve">simplification and</w:t>
      </w:r>
      <w:r>
        <w:t xml:space="preserve"> </w:t>
      </w:r>
      <w:r>
        <w:t xml:space="preserve">digitalisation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construction</w:t>
      </w:r>
      <w:r>
        <w:t xml:space="preserve"> </w:t>
      </w:r>
      <w:r>
        <w:t xml:space="preserve">products (ECP</w:t>
      </w:r>
      <w:r>
        <w:t xml:space="preserve"> </w:t>
      </w:r>
      <w:r>
        <w:t xml:space="preserve">instead of CE</w:t>
      </w:r>
      <w:r>
        <w:t xml:space="preserve"> </w:t>
      </w:r>
      <w:r>
        <w:t xml:space="preserve">marking);</w:t>
      </w:r>
      <w:r>
        <w:br/>
      </w:r>
      <w:r>
        <w:t xml:space="preserve"></w:t>
      </w:r>
      <w:r>
        <w:t xml:space="preserve"> </w:t>
      </w:r>
      <w:r>
        <w:t xml:space="preserve">Ensuring access to</w:t>
      </w:r>
      <w:r>
        <w:t xml:space="preserve"> </w:t>
      </w:r>
      <w:r>
        <w:t xml:space="preserve">comprehensive</w:t>
      </w:r>
      <w:r>
        <w:t xml:space="preserve"> </w:t>
      </w:r>
      <w:r>
        <w:t xml:space="preserve">information in a</w:t>
      </w:r>
      <w:r>
        <w:t xml:space="preserve"> </w:t>
      </w:r>
      <w:r>
        <w:t xml:space="preserve">digitalized manner,</w:t>
      </w:r>
      <w:r>
        <w:t xml:space="preserve"> </w:t>
      </w:r>
      <w:r>
        <w:t xml:space="preserve">through Single</w:t>
      </w:r>
      <w:r>
        <w:t xml:space="preserve"> </w:t>
      </w:r>
      <w:r>
        <w:t xml:space="preserve">Digital Gateway.</w:t>
      </w:r>
      <w:r>
        <w:t xml:space="preserve"> </w:t>
      </w:r>
      <w:r>
        <w:t xml:space="preserve"></w:t>
      </w:r>
      <w:r>
        <w:t xml:space="preserve"> </w:t>
      </w:r>
      <w:r>
        <w:t xml:space="preserve">Access to a</w:t>
      </w:r>
      <w:r>
        <w:t xml:space="preserve"> </w:t>
      </w:r>
      <w:r>
        <w:t xml:space="preserve">common database,</w:t>
      </w:r>
      <w:r>
        <w:t xml:space="preserve"> </w:t>
      </w:r>
      <w:r>
        <w:t xml:space="preserve">via Digital Product</w:t>
      </w:r>
      <w:r>
        <w:t xml:space="preserve"> </w:t>
      </w:r>
      <w:r>
        <w:t xml:space="preserve">Passport, to ensure</w:t>
      </w:r>
      <w:r>
        <w:t xml:space="preserve"> </w:t>
      </w:r>
      <w:r>
        <w:t xml:space="preserve">information is</w:t>
      </w:r>
      <w:r>
        <w:t xml:space="preserve"> </w:t>
      </w:r>
      <w:r>
        <w:t xml:space="preserve">stored in a</w:t>
      </w:r>
      <w:r>
        <w:t xml:space="preserve"> </w:t>
      </w:r>
      <w:r>
        <w:t xml:space="preserve">comprehensive and</w:t>
      </w:r>
      <w:r>
        <w:t xml:space="preserve"> </w:t>
      </w:r>
      <w:r>
        <w:t xml:space="preserve">durable manner.</w:t>
      </w:r>
      <w:r>
        <w:t xml:space="preserve"> </w:t>
      </w:r>
      <w:r>
        <w:t xml:space="preserve">Problem 4 drivers</w:t>
      </w:r>
      <w:r>
        <w:t xml:space="preserve"> </w:t>
      </w:r>
      <w:r>
        <w:t xml:space="preserve">- Inability to deliver on</w:t>
      </w:r>
      <w:r>
        <w:t xml:space="preserve"> </w:t>
      </w:r>
      <w:r>
        <w:t xml:space="preserve">the policy objectives</w:t>
      </w:r>
      <w:r>
        <w:t xml:space="preserve"> </w:t>
      </w:r>
      <w:r>
        <w:t xml:space="preserve">stemming from the</w:t>
      </w:r>
      <w:r>
        <w:t xml:space="preserve"> </w:t>
      </w:r>
      <w:r>
        <w:t xml:space="preserve">European Green Deal</w:t>
      </w:r>
      <w:r>
        <w:t xml:space="preserve"> </w:t>
      </w:r>
      <w:r>
        <w:t xml:space="preserve">and the Circular</w:t>
      </w:r>
      <w:r>
        <w:t xml:space="preserve"> </w:t>
      </w:r>
      <w:r>
        <w:t xml:space="preserve">Economy Action Plan</w:t>
      </w:r>
      <w:r>
        <w:t xml:space="preserve"> </w:t>
      </w:r>
      <w:r>
        <w:t xml:space="preserve">-Absence of references</w:t>
      </w:r>
      <w:r>
        <w:t xml:space="preserve"> </w:t>
      </w:r>
      <w:r>
        <w:t xml:space="preserve">to sustainability</w:t>
      </w:r>
      <w:r>
        <w:t xml:space="preserve"> </w:t>
      </w:r>
      <w:r>
        <w:t xml:space="preserve">performances</w:t>
      </w:r>
      <w:r>
        <w:t xml:space="preserve"> </w:t>
      </w:r>
      <w:r>
        <w:t xml:space="preserve">- Unable to cover new</w:t>
      </w:r>
      <w:r>
        <w:t xml:space="preserve"> </w:t>
      </w:r>
      <w:r>
        <w:t xml:space="preserve">business models</w:t>
      </w:r>
      <w:r>
        <w:t xml:space="preserve"> </w:t>
      </w:r>
      <w:r>
        <w:t xml:space="preserve">- CPR does not foresee</w:t>
      </w:r>
      <w:r>
        <w:t xml:space="preserve"> </w:t>
      </w:r>
      <w:r>
        <w:t xml:space="preserve">broad application of</w:t>
      </w:r>
      <w:r>
        <w:t xml:space="preserve"> </w:t>
      </w:r>
      <w:r>
        <w:t xml:space="preserve">digital tools</w:t>
      </w:r>
      <w:r>
        <w:t xml:space="preserve"> </w:t>
      </w:r>
      <w:r>
        <w:t xml:space="preserve">Contributing to the</w:t>
      </w:r>
      <w:r>
        <w:t xml:space="preserve"> </w:t>
      </w:r>
      <w:r>
        <w:t xml:space="preserve">reduction of the</w:t>
      </w:r>
      <w:r>
        <w:t xml:space="preserve"> </w:t>
      </w:r>
      <w:r>
        <w:t xml:space="preserve">climate and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of construction</w:t>
      </w:r>
      <w:r>
        <w:t xml:space="preserve"> </w:t>
      </w:r>
      <w:r>
        <w:t xml:space="preserve">products, including</w:t>
      </w:r>
      <w:r>
        <w:t xml:space="preserve"> </w:t>
      </w:r>
      <w:r>
        <w:t xml:space="preserve">through the</w:t>
      </w:r>
      <w:r>
        <w:t xml:space="preserve"> </w:t>
      </w:r>
      <w:r>
        <w:t xml:space="preserve">application of digital</w:t>
      </w:r>
      <w:r>
        <w:t xml:space="preserve"> </w:t>
      </w:r>
      <w:r>
        <w:t xml:space="preserve">tools</w:t>
      </w:r>
      <w:r>
        <w:br/>
      </w:r>
      <w:r>
        <w:t xml:space="preserve"></w:t>
      </w:r>
      <w:r>
        <w:t xml:space="preserve"> </w:t>
      </w:r>
      <w:r>
        <w:t xml:space="preserve">It would not be</w:t>
      </w:r>
      <w:r>
        <w:t xml:space="preserve"> </w:t>
      </w:r>
      <w:r>
        <w:t xml:space="preserve">possible to address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performance</w:t>
      </w:r>
      <w:r>
        <w:t xml:space="preserve"> </w:t>
      </w:r>
      <w:r>
        <w:t xml:space="preserve">aspects of</w:t>
      </w:r>
      <w:r>
        <w:t xml:space="preserve"> </w:t>
      </w:r>
      <w:r>
        <w:t xml:space="preserve">construction</w:t>
      </w:r>
      <w:r>
        <w:t xml:space="preserve"> </w:t>
      </w:r>
      <w:r>
        <w:t xml:space="preserve">products or product</w:t>
      </w:r>
      <w:r>
        <w:t xml:space="preserve"> </w:t>
      </w:r>
      <w:r>
        <w:t xml:space="preserve">requirements</w:t>
      </w:r>
      <w:r>
        <w:t xml:space="preserve"> </w:t>
      </w:r>
      <w:r>
        <w:t xml:space="preserve">through the CPR</w:t>
      </w:r>
      <w:r>
        <w:t xml:space="preserve"> </w:t>
      </w:r>
      <w:r>
        <w:t xml:space="preserve">but through SPI.</w:t>
      </w:r>
      <w:r>
        <w:t xml:space="preserve"> </w:t>
      </w:r>
      <w:r>
        <w:t xml:space="preserve">Individual Member</w:t>
      </w:r>
      <w:r>
        <w:t xml:space="preserve"> </w:t>
      </w:r>
      <w:r>
        <w:t xml:space="preserve">States might</w:t>
      </w:r>
      <w:r>
        <w:t xml:space="preserve"> </w:t>
      </w:r>
      <w:r>
        <w:t xml:space="preserve">introduce additional</w:t>
      </w:r>
      <w:r>
        <w:t xml:space="preserve"> </w:t>
      </w:r>
      <w:r>
        <w:t xml:space="preserve">uncoordinated</w:t>
      </w:r>
      <w:r>
        <w:t xml:space="preserve"> </w:t>
      </w:r>
      <w:r>
        <w:t xml:space="preserve">approaches at the</w:t>
      </w:r>
      <w:r>
        <w:t xml:space="preserve"> </w:t>
      </w:r>
      <w:r>
        <w:t xml:space="preserve">national level.</w:t>
      </w:r>
      <w:r>
        <w:t xml:space="preserve"> </w:t>
      </w:r>
      <w:r>
        <w:t xml:space="preserve"></w:t>
      </w:r>
      <w:r>
        <w:t xml:space="preserve"> </w:t>
      </w:r>
      <w:r>
        <w:t xml:space="preserve">Enabling a</w:t>
      </w:r>
      <w:r>
        <w:t xml:space="preserve"> </w:t>
      </w:r>
      <w:r>
        <w:t xml:space="preserve">harmonised</w:t>
      </w:r>
      <w:r>
        <w:t xml:space="preserve"> </w:t>
      </w:r>
      <w:r>
        <w:t xml:space="preserve">framework to assess</w:t>
      </w:r>
      <w:r>
        <w:t xml:space="preserve"> </w:t>
      </w:r>
      <w:r>
        <w:t xml:space="preserve">and communicate</w:t>
      </w:r>
      <w:r>
        <w:t xml:space="preserve"> </w:t>
      </w:r>
      <w:r>
        <w:t xml:space="preserve">the environmental</w:t>
      </w:r>
      <w:r>
        <w:t xml:space="preserve"> </w:t>
      </w:r>
      <w:r>
        <w:t xml:space="preserve">performance of</w:t>
      </w:r>
      <w:r>
        <w:t xml:space="preserve"> </w:t>
      </w:r>
      <w:r>
        <w:t xml:space="preserve">construction</w:t>
      </w:r>
      <w:r>
        <w:t xml:space="preserve"> </w:t>
      </w:r>
      <w:r>
        <w:t xml:space="preserve">products;</w:t>
      </w:r>
      <w:r>
        <w:t xml:space="preserve"> </w:t>
      </w:r>
      <w:r>
        <w:t xml:space="preserve"></w:t>
      </w:r>
      <w:r>
        <w:t xml:space="preserve"> </w:t>
      </w:r>
      <w:r>
        <w:t xml:space="preserve">Possibly additional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product</w:t>
      </w:r>
      <w:r>
        <w:t xml:space="preserve"> </w:t>
      </w:r>
      <w:r>
        <w:t xml:space="preserve">requirements from</w:t>
      </w:r>
      <w:r>
        <w:t xml:space="preserve"> </w:t>
      </w:r>
      <w:r>
        <w:t xml:space="preserve">SPI;</w:t>
      </w:r>
      <w:r>
        <w:t xml:space="preserve"> </w:t>
      </w:r>
      <w:r>
        <w:t xml:space="preserve"></w:t>
      </w:r>
      <w:r>
        <w:t xml:space="preserve"> </w:t>
      </w:r>
      <w:r>
        <w:t xml:space="preserve">Promoting and</w:t>
      </w:r>
      <w:r>
        <w:t xml:space="preserve"> </w:t>
      </w:r>
      <w:r>
        <w:t xml:space="preserve">incentivising the</w:t>
      </w:r>
      <w:r>
        <w:t xml:space="preserve"> </w:t>
      </w:r>
      <w:r>
        <w:t xml:space="preserve">reuse of</w:t>
      </w:r>
      <w:r>
        <w:t xml:space="preserve"> </w:t>
      </w:r>
      <w:r>
        <w:t xml:space="preserve">construction</w:t>
      </w:r>
      <w:r>
        <w:t xml:space="preserve"> </w:t>
      </w:r>
      <w:r>
        <w:t xml:space="preserve">products, through</w:t>
      </w:r>
      <w:r>
        <w:t xml:space="preserve"> </w:t>
      </w:r>
      <w:r>
        <w:t xml:space="preserve">communicating</w:t>
      </w:r>
      <w:r>
        <w:t xml:space="preserve"> </w:t>
      </w:r>
      <w:r>
        <w:t xml:space="preserve">their performance</w:t>
      </w:r>
      <w:r>
        <w:t xml:space="preserve"> </w:t>
      </w:r>
      <w:r>
        <w:t xml:space="preserve">down the use-chain</w:t>
      </w:r>
      <w:r>
        <w:t xml:space="preserve"> </w:t>
      </w:r>
      <w:r>
        <w:t xml:space="preserve"></w:t>
      </w:r>
      <w:r>
        <w:t xml:space="preserve"> </w:t>
      </w:r>
      <w:r>
        <w:t xml:space="preserve">The same as option</w:t>
      </w:r>
      <w:r>
        <w:t xml:space="preserve"> </w:t>
      </w:r>
      <w:r>
        <w:t xml:space="preserve">B in the remaining</w:t>
      </w:r>
      <w:r>
        <w:t xml:space="preserve"> </w:t>
      </w:r>
      <w:r>
        <w:t xml:space="preserve">harmonised sphere,</w:t>
      </w:r>
      <w:r>
        <w:t xml:space="preserve"> </w:t>
      </w:r>
      <w:r>
        <w:t xml:space="preserve">beyond this</w:t>
      </w:r>
      <w:r>
        <w:t xml:space="preserve"> </w:t>
      </w:r>
      <w:r>
        <w:t xml:space="preserve"></w:t>
      </w:r>
      <w:r>
        <w:t xml:space="preserve"> </w:t>
      </w:r>
      <w:r>
        <w:t xml:space="preserve">C1: Enabling a</w:t>
      </w:r>
      <w:r>
        <w:t xml:space="preserve"> </w:t>
      </w:r>
      <w:r>
        <w:t xml:space="preserve">harmonised</w:t>
      </w:r>
      <w:r>
        <w:t xml:space="preserve"> </w:t>
      </w:r>
      <w:r>
        <w:t xml:space="preserve">framework to assess</w:t>
      </w:r>
      <w:r>
        <w:t xml:space="preserve"> </w:t>
      </w:r>
      <w:r>
        <w:t xml:space="preserve">and communicate</w:t>
      </w:r>
      <w:r>
        <w:t xml:space="preserve"> </w:t>
      </w:r>
      <w:r>
        <w:t xml:space="preserve">the environmental</w:t>
      </w:r>
      <w:r>
        <w:t xml:space="preserve"> </w:t>
      </w:r>
      <w:r>
        <w:t xml:space="preserve">performance of</w:t>
      </w:r>
      <w:r>
        <w:t xml:space="preserve"> </w:t>
      </w:r>
      <w:r>
        <w:t xml:space="preserve">construction</w:t>
      </w:r>
      <w:r>
        <w:t xml:space="preserve"> </w:t>
      </w:r>
      <w:r>
        <w:t xml:space="preserve">products;</w:t>
      </w:r>
      <w:r>
        <w:t xml:space="preserve"> </w:t>
      </w:r>
      <w:r>
        <w:t xml:space="preserve"></w:t>
      </w:r>
      <w:r>
        <w:t xml:space="preserve"> </w:t>
      </w:r>
      <w:r>
        <w:t xml:space="preserve">C1: Possibly</w:t>
      </w:r>
      <w:r>
        <w:t xml:space="preserve"> </w:t>
      </w:r>
      <w:r>
        <w:t xml:space="preserve">additional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product</w:t>
      </w:r>
      <w:r>
        <w:t xml:space="preserve"> </w:t>
      </w:r>
      <w:r>
        <w:t xml:space="preserve">requirements from</w:t>
      </w:r>
      <w:r>
        <w:t xml:space="preserve"> </w:t>
      </w:r>
      <w:r>
        <w:t xml:space="preserve">SPI;</w:t>
      </w:r>
      <w:r>
        <w:t xml:space="preserve"> </w:t>
      </w:r>
      <w:r>
        <w:t xml:space="preserve"></w:t>
      </w:r>
      <w:r>
        <w:t xml:space="preserve"> </w:t>
      </w:r>
      <w:r>
        <w:t xml:space="preserve">C2/C3: SPI would</w:t>
      </w:r>
      <w:r>
        <w:t xml:space="preserve"> </w:t>
      </w:r>
      <w:r>
        <w:t xml:space="preserve">have to address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</w:t>
      </w:r>
      <w:r>
        <w:t xml:space="preserve"> </w:t>
      </w:r>
      <w:r>
        <w:t xml:space="preserve">The same as option</w:t>
      </w:r>
      <w:r>
        <w:t xml:space="preserve"> </w:t>
      </w:r>
      <w:r>
        <w:t xml:space="preserve">B; plus</w:t>
      </w:r>
      <w:r>
        <w:t xml:space="preserve"> </w:t>
      </w:r>
      <w:r>
        <w:t xml:space="preserve"></w:t>
      </w:r>
      <w:r>
        <w:t xml:space="preserve"> </w:t>
      </w:r>
      <w:r>
        <w:t xml:space="preserve">Setting a dedicated</w:t>
      </w:r>
      <w:r>
        <w:t xml:space="preserve"> </w:t>
      </w:r>
      <w:r>
        <w:t xml:space="preserve">process to introduce</w:t>
      </w:r>
      <w:r>
        <w:t xml:space="preserve"> </w:t>
      </w:r>
      <w:r>
        <w:t xml:space="preserve">product inherent</w:t>
      </w:r>
      <w:r>
        <w:t xml:space="preserve"> </w:t>
      </w:r>
      <w:r>
        <w:t xml:space="preserve">requirements in</w:t>
      </w:r>
      <w:r>
        <w:t xml:space="preserve"> </w:t>
      </w:r>
      <w:r>
        <w:t xml:space="preserve">order to enhance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protection</w:t>
      </w:r>
      <w:r>
        <w:t xml:space="preserve"> </w:t>
      </w:r>
      <w:r>
        <w:t xml:space="preserve">(horizontal</w:t>
      </w:r>
      <w:r>
        <w:t xml:space="preserve"> </w:t>
      </w:r>
      <w:r>
        <w:t xml:space="preserve">mandatory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products, where</w:t>
      </w:r>
      <w:r>
        <w:t xml:space="preserve"> </w:t>
      </w:r>
      <w:r>
        <w:t xml:space="preserve">needed</w:t>
      </w:r>
      <w:r>
        <w:t xml:space="preserve"> </w:t>
      </w:r>
      <w:r>
        <w:t xml:space="preserve">complemented by</w:t>
      </w:r>
      <w:r>
        <w:t xml:space="preserve"> </w:t>
      </w:r>
      <w:r>
        <w:t xml:space="preserve">more specific</w:t>
      </w:r>
      <w:r>
        <w:t xml:space="preserve"> </w:t>
      </w:r>
      <w:r>
        <w:t xml:space="preserve">product</w:t>
      </w:r>
      <w:r>
        <w:t xml:space="preserve"> </w:t>
      </w:r>
      <w:r>
        <w:t xml:space="preserve">requirements per</w:t>
      </w:r>
      <w:r>
        <w:t xml:space="preserve"> </w:t>
      </w:r>
      <w:r>
        <w:t xml:space="preserve">categories or group</w:t>
      </w:r>
      <w:r>
        <w:t xml:space="preserve"> </w:t>
      </w:r>
      <w:r>
        <w:t xml:space="preserve">of products) by</w:t>
      </w:r>
      <w:r>
        <w:t xml:space="preserve"> </w:t>
      </w:r>
      <w:r>
        <w:t xml:space="preserve"></w:t>
      </w:r>
      <w:r>
        <w:t xml:space="preserve"> </w:t>
      </w:r>
      <w:r>
        <w:t xml:space="preserve">No environmental</w:t>
      </w:r>
      <w:r>
        <w:t xml:space="preserve"> </w:t>
      </w:r>
      <w:r>
        <w:t xml:space="preserve">performance</w:t>
      </w:r>
      <w:r>
        <w:t xml:space="preserve"> </w:t>
      </w:r>
      <w:r>
        <w:t xml:space="preserve">requirements at EU</w:t>
      </w:r>
      <w:r>
        <w:t xml:space="preserve"> </w:t>
      </w:r>
      <w:r>
        <w:t xml:space="preserve">level stemming</w:t>
      </w:r>
      <w:r>
        <w:t xml:space="preserve"> </w:t>
      </w:r>
      <w:r>
        <w:t xml:space="preserve">from CPR but most</w:t>
      </w:r>
      <w:r>
        <w:t xml:space="preserve"> </w:t>
      </w:r>
      <w:r>
        <w:t xml:space="preserve">likely from SPI and</w:t>
      </w:r>
      <w:r>
        <w:t xml:space="preserve"> </w:t>
      </w:r>
      <w:r>
        <w:t xml:space="preserve">Individual Member</w:t>
      </w:r>
      <w:r>
        <w:t xml:space="preserve"> </w:t>
      </w:r>
      <w:r>
        <w:t xml:space="preserve">States might</w:t>
      </w:r>
      <w:r>
        <w:t xml:space="preserve"> </w:t>
      </w:r>
      <w:r>
        <w:t xml:space="preserve">introduce additional</w:t>
      </w:r>
      <w:r>
        <w:t xml:space="preserve"> </w:t>
      </w:r>
      <w:r>
        <w:t xml:space="preserve">uncoordinated</w:t>
      </w:r>
      <w:r>
        <w:t xml:space="preserve"> </w:t>
      </w:r>
      <w:r>
        <w:t xml:space="preserve">approaches at the</w:t>
      </w:r>
      <w:r>
        <w:t xml:space="preserve"> </w:t>
      </w:r>
      <w:r>
        <w:t xml:space="preserve">national level.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until the preparation</w:t>
      </w:r>
      <w:r>
        <w:t xml:space="preserve"> </w:t>
      </w:r>
      <w:r>
        <w:t xml:space="preserve">of used products for</w:t>
      </w:r>
      <w:r>
        <w:t xml:space="preserve"> </w:t>
      </w:r>
      <w:r>
        <w:t xml:space="preserve">re-use and their</w:t>
      </w:r>
      <w:r>
        <w:t xml:space="preserve"> </w:t>
      </w:r>
      <w:r>
        <w:t xml:space="preserve">second making</w:t>
      </w:r>
      <w:r>
        <w:t xml:space="preserve"> </w:t>
      </w:r>
      <w:r>
        <w:t xml:space="preserve">available on the</w:t>
      </w:r>
      <w:r>
        <w:t xml:space="preserve"> </w:t>
      </w:r>
      <w:r>
        <w:t xml:space="preserve">market.</w:t>
      </w:r>
      <w:r>
        <w:t xml:space="preserve"> </w:t>
      </w:r>
      <w:r>
        <w:t xml:space="preserve">performance</w:t>
      </w:r>
      <w:r>
        <w:t xml:space="preserve"> </w:t>
      </w:r>
      <w:r>
        <w:t xml:space="preserve">aspects of</w:t>
      </w:r>
      <w:r>
        <w:t xml:space="preserve"> </w:t>
      </w:r>
      <w:r>
        <w:t xml:space="preserve">construction</w:t>
      </w:r>
      <w:r>
        <w:t xml:space="preserve"> </w:t>
      </w:r>
      <w:r>
        <w:t xml:space="preserve">products or product</w:t>
      </w:r>
      <w:r>
        <w:t xml:space="preserve"> </w:t>
      </w:r>
      <w:r>
        <w:t xml:space="preserve">requirements.</w:t>
      </w:r>
      <w:r>
        <w:br/>
      </w:r>
      <w:r>
        <w:t xml:space="preserve">either;</w:t>
      </w:r>
      <w:r>
        <w:t xml:space="preserve"> </w:t>
      </w:r>
      <w:r>
        <w:t xml:space="preserve"> D1 – New</w:t>
      </w:r>
      <w:r>
        <w:t xml:space="preserve"> </w:t>
      </w:r>
      <w:r>
        <w:t xml:space="preserve">Legislative</w:t>
      </w:r>
      <w:r>
        <w:t xml:space="preserve"> </w:t>
      </w:r>
      <w:r>
        <w:t xml:space="preserve">Framework</w:t>
      </w:r>
      <w:r>
        <w:t xml:space="preserve"> </w:t>
      </w:r>
      <w:r>
        <w:t xml:space="preserve">approach for</w:t>
      </w:r>
      <w:r>
        <w:t xml:space="preserve"> </w:t>
      </w:r>
      <w:r>
        <w:t xml:space="preserve">product</w:t>
      </w:r>
      <w:r>
        <w:t xml:space="preserve"> </w:t>
      </w:r>
      <w:r>
        <w:t xml:space="preserve">requirements;</w:t>
      </w:r>
      <w:r>
        <w:t xml:space="preserve"> </w:t>
      </w:r>
      <w:r>
        <w:t xml:space="preserve"> D2 – Technical</w:t>
      </w:r>
      <w:r>
        <w:t xml:space="preserve"> </w:t>
      </w:r>
      <w:r>
        <w:t xml:space="preserve">Specifications</w:t>
      </w:r>
      <w:r>
        <w:t xml:space="preserve"> </w:t>
      </w:r>
      <w:r>
        <w:t xml:space="preserve">Approach for</w:t>
      </w:r>
      <w:r>
        <w:t xml:space="preserve"> </w:t>
      </w:r>
      <w:r>
        <w:t xml:space="preserve">product</w:t>
      </w:r>
      <w:r>
        <w:t xml:space="preserve"> </w:t>
      </w:r>
      <w:r>
        <w:t xml:space="preserve">requirements;</w:t>
      </w:r>
      <w:r>
        <w:t xml:space="preserve"> </w:t>
      </w:r>
      <w:r>
        <w:t xml:space="preserve"> D3 – Hybrid of</w:t>
      </w:r>
      <w:r>
        <w:t xml:space="preserve"> </w:t>
      </w:r>
      <w:r>
        <w:t xml:space="preserve">D1/D2.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6.3.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Due to an extremely critical feedback and the fact that certain legally mandatory</w:t>
      </w:r>
      <w:r>
        <w:t xml:space="preserve"> </w:t>
      </w:r>
      <w:r>
        <w:t xml:space="preserve">objectives can, in the case of the CPR, not be reached by voluntary standards, the</w:t>
      </w:r>
      <w:r>
        <w:t xml:space="preserve"> </w:t>
      </w:r>
      <w:r>
        <w:t xml:space="preserve">possibility of relying entirely on voluntary harmonised standards has been limited in</w:t>
      </w:r>
      <w:r>
        <w:t xml:space="preserve"> </w:t>
      </w:r>
      <w:r>
        <w:t xml:space="preserve">terms of scope to the question whether inherent product requirements shall be established</w:t>
      </w:r>
      <w:r>
        <w:t xml:space="preserve"> </w:t>
      </w:r>
      <w:r>
        <w:t xml:space="preserve">by voluntary standards, as under option D1, and also be functionally replaced by sub-</w:t>
      </w:r>
      <w:r>
        <w:t xml:space="preserve"> </w:t>
      </w:r>
      <w:r>
        <w:t xml:space="preserve">option C3.</w:t>
      </w:r>
      <w:r>
        <w:t xml:space="preserve"> </w:t>
      </w:r>
      <w:r>
        <w:t xml:space="preserve">Moreover, the suggestion of a Member State to limit Option B to only a few core</w:t>
      </w:r>
      <w:r>
        <w:t xml:space="preserve"> </w:t>
      </w:r>
      <w:r>
        <w:t xml:space="preserve">elements has been discarded for the following reasons: there are multiple links among the</w:t>
      </w:r>
      <w:r>
        <w:t xml:space="preserve"> </w:t>
      </w:r>
      <w:r>
        <w:t xml:space="preserve">problems and objectives to be addressed. Due to these manifold interrelations, it was</w:t>
      </w:r>
      <w:r>
        <w:t xml:space="preserve"> </w:t>
      </w:r>
      <w:r>
        <w:t xml:space="preserve">necessary to consider potential mitigation for each of the numerous horizontal issues</w:t>
      </w:r>
      <w:r>
        <w:t xml:space="preserve"> </w:t>
      </w:r>
      <w:r>
        <w:t xml:space="preserve">identified. For further information, see Annex 13 on the discarded options.</w:t>
      </w:r>
    </w:p>
    <w:p>
      <w:pPr>
        <w:pStyle w:val="Compact"/>
        <w:numPr>
          <w:ilvl w:val="0"/>
          <w:numId w:val="1009"/>
        </w:numPr>
      </w:pPr>
      <w:r>
        <w:t xml:space="preserve">WHAT ARE THE IMPACTS OF THE POLICY OPTIONS?</w:t>
      </w:r>
      <w:r>
        <w:t xml:space="preserve"> </w:t>
      </w:r>
      <w:r>
        <w:t xml:space="preserve">This section analyses the policy options described in the preceding section, and assesses</w:t>
      </w:r>
      <w:r>
        <w:t xml:space="preserve"> </w:t>
      </w:r>
      <w:r>
        <w:t xml:space="preserve">how they contribute to reaching the specific objectives. It presents particularly the</w:t>
      </w:r>
      <w:r>
        <w:t xml:space="preserve"> </w:t>
      </w:r>
      <w:r>
        <w:t xml:space="preserve">economic, social and environmental impacts, as well as stakeholders’ views. The analysis</w:t>
      </w:r>
      <w:r>
        <w:t xml:space="preserve"> </w:t>
      </w:r>
      <w:r>
        <w:t xml:space="preserve">is quantitative whenever possible, otherwise qualitative.</w:t>
      </w:r>
      <w:r>
        <w:t xml:space="preserve"> </w:t>
      </w:r>
      <w:r>
        <w:t xml:space="preserve">Regardless of the options, the most relevant stakeholders affected by the Regulation in</w:t>
      </w:r>
      <w:r>
        <w:t xml:space="preserve"> </w:t>
      </w:r>
      <w:r>
        <w:t xml:space="preserve">relation to obligations and compliance are the economic operators (manufacturers of</w:t>
      </w:r>
      <w:r>
        <w:t xml:space="preserve"> </w:t>
      </w:r>
      <w:r>
        <w:t xml:space="preserve">construction products). Also affected is the construction ecosystem (construction</w:t>
      </w:r>
      <w:r>
        <w:t xml:space="preserve"> </w:t>
      </w:r>
      <w:r>
        <w:t xml:space="preserve">companies and employed construction workers as the main users of the products). A</w:t>
      </w:r>
      <w:r>
        <w:t xml:space="preserve"> </w:t>
      </w:r>
      <w:r>
        <w:t xml:space="preserve">small number of construction products is sold in hardware stores. Therefore, also</w:t>
      </w:r>
      <w:r>
        <w:t xml:space="preserve"> </w:t>
      </w:r>
      <w:r>
        <w:t xml:space="preserve">consumers might be directly affected. The options have also an impact on Member</w:t>
      </w:r>
      <w:r>
        <w:t xml:space="preserve"> </w:t>
      </w:r>
      <w:r>
        <w:t xml:space="preserve">States’ authorities responsible for the supervision of the safety, environmental and energy</w:t>
      </w:r>
      <w:r>
        <w:t xml:space="preserve"> </w:t>
      </w:r>
      <w:r>
        <w:t xml:space="preserve">requirements applicable to buildings and civil engineering works.</w:t>
      </w:r>
      <w:r>
        <w:br/>
      </w:r>
      <w:r>
        <w:t xml:space="preserve">The main costs for the manufacturers to comply with the Regulation are administrative</w:t>
      </w:r>
      <w:r>
        <w:t xml:space="preserve"> </w:t>
      </w:r>
      <w:r>
        <w:t xml:space="preserve">burden, substantive compliance costs and regulatory charges109. While some</w:t>
      </w:r>
      <w:r>
        <w:t xml:space="preserve"> </w:t>
      </w:r>
      <w:r>
        <w:t xml:space="preserve">quantification of these costs was presented in the study110 supporting this impact</w:t>
      </w:r>
    </w:p>
    <w:p>
      <w:pPr>
        <w:pStyle w:val="FirstParagraph"/>
      </w:pPr>
      <w:r>
        <w:t xml:space="preserve">109 According to the economic impact study conducted in 2016 regulatory charges are fees applicable to the</w:t>
      </w:r>
      <w:r>
        <w:t xml:space="preserve"> </w:t>
      </w:r>
      <w:r>
        <w:t xml:space="preserve">activities of the AVCP systems, fees charged by TABs for the ETA procedure etc.</w:t>
      </w:r>
      <w:r>
        <w:br/>
      </w:r>
      <w:r>
        <w:t xml:space="preserve">110 The study supporting this impact assessment provides relevant evidence for the analysis of the impacts</w:t>
      </w:r>
      <w:r>
        <w:t xml:space="preserve"> </w:t>
      </w:r>
      <w:r>
        <w:t xml:space="preserve">of the different options envisaged for the revision of the CPR. The study collected and complement the</w:t>
      </w:r>
      <w:r>
        <w:t xml:space="preserve"> </w:t>
      </w:r>
      <w:r>
        <w:t xml:space="preserve">available evidence for the analysis of the options and the assessment of their possible impacts.The</w:t>
      </w:r>
      <w:r>
        <w:t xml:space="preserve"> </w:t>
      </w:r>
      <w:r>
        <w:t xml:space="preserve">options have been explored in depth to assess preferences and impacts primarily via a survey among</w:t>
      </w:r>
      <w:r>
        <w:t xml:space="preserve"> </w:t>
      </w:r>
      <w:r>
        <w:t xml:space="preserve">companies and a public consultation. The survey targeted selected experts and aimed at identifying how</w:t>
      </w:r>
      <w:r>
        <w:t xml:space="preserve"> </w:t>
      </w:r>
      <w:r>
        <w:t xml:space="preserve">to address the various horizontal issues identified during the evaluation of the CPR. The public</w:t>
      </w:r>
      <w:r>
        <w:t xml:space="preserve"> </w:t>
      </w:r>
      <w:r>
        <w:t xml:space="preserve">consultation includes a broad range of respondents e.g. companies, business associations, EU citizens,</w:t>
      </w:r>
      <w:r>
        <w:t xml:space="preserve"> </w:t>
      </w:r>
      <w:r>
        <w:t xml:space="preserve">NGOs, academic institutions.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assessment111, certain limitations such as low response rate and lack of detailed feedback</w:t>
      </w:r>
      <w:r>
        <w:t xml:space="preserve"> </w:t>
      </w:r>
      <w:r>
        <w:t xml:space="preserve">on the nature of the costs incurred, affected the analysis of economic impacts. Wherever</w:t>
      </w:r>
      <w:r>
        <w:t xml:space="preserve"> </w:t>
      </w:r>
      <w:r>
        <w:t xml:space="preserve">needed, this analysis is complemented with a qualitative analysis of the options. All other</w:t>
      </w:r>
      <w:r>
        <w:t xml:space="preserve"> </w:t>
      </w:r>
      <w:r>
        <w:t xml:space="preserve">costs are presented in a qualitative manner due to the lack of data.</w:t>
      </w:r>
      <w:r>
        <w:t xml:space="preserve"> </w:t>
      </w:r>
      <w:r>
        <w:t xml:space="preserve">The analysis of environmental impacts and social impacts (especially safety) was carried</w:t>
      </w:r>
      <w:r>
        <w:t xml:space="preserve"> </w:t>
      </w:r>
      <w:r>
        <w:t xml:space="preserve">out in a qualitative manner and whenever data was available in a quantitative manner.</w:t>
      </w:r>
      <w:r>
        <w:t xml:space="preserve"> </w:t>
      </w:r>
      <w:r>
        <w:t xml:space="preserve">With respect to the social impacts, benefits could not be quantified due to the missing</w:t>
      </w:r>
      <w:r>
        <w:t xml:space="preserve"> </w:t>
      </w:r>
      <w:r>
        <w:t xml:space="preserve">data on safety incidents and other data needed for a quantification of risks on health and</w:t>
      </w:r>
      <w:r>
        <w:t xml:space="preserve"> </w:t>
      </w:r>
      <w:r>
        <w:t xml:space="preserve">safety with regards to construction products. Therefore, the impact assessment also</w:t>
      </w:r>
      <w:r>
        <w:t xml:space="preserve"> </w:t>
      </w:r>
      <w:r>
        <w:t xml:space="preserve">includes non-quantified social and environmental benefits and drawbacks.</w:t>
      </w:r>
    </w:p>
    <w:p>
      <w:pPr>
        <w:pStyle w:val="BodyText"/>
      </w:pPr>
      <w:r>
        <w:t xml:space="preserve">7.1.</w:t>
      </w:r>
      <w:r>
        <w:t xml:space="preserve"> </w:t>
      </w:r>
      <w:r>
        <w:t xml:space="preserve">Option A – baseline (no revision)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No change in the CPR implies that the costs for businesses associated with maintaining</w:t>
      </w:r>
      <w:r>
        <w:t xml:space="preserve"> </w:t>
      </w:r>
      <w:r>
        <w:t xml:space="preserve">the CPR will remain initially unchanged. The study estimated these costs for</w:t>
      </w:r>
      <w:r>
        <w:t xml:space="preserve"> </w:t>
      </w:r>
      <w:r>
        <w:t xml:space="preserve">manufacturers to be approx. 2.56 billion EUR annually112. This corresponds to 0.6% of</w:t>
      </w:r>
      <w:r>
        <w:t xml:space="preserve"> </w:t>
      </w:r>
      <w:r>
        <w:t xml:space="preserve">the revenue of these. Previous studies of the costs for the CPR-related manufacturing</w:t>
      </w:r>
      <w:r>
        <w:t xml:space="preserve"> </w:t>
      </w:r>
      <w:r>
        <w:t xml:space="preserve">sector in the EU estimated the annual baseline costs to be between 2.6113 and 3.4 billion</w:t>
      </w:r>
      <w:r>
        <w:t xml:space="preserve"> </w:t>
      </w:r>
      <w:r>
        <w:t xml:space="preserve">EUR114 - so roughly the same magnitude.</w:t>
      </w:r>
      <w:r>
        <w:br/>
      </w:r>
      <w:r>
        <w:t xml:space="preserve">These costs are mainly driven by the administrative burden (estimated at 900 million</w:t>
      </w:r>
      <w:r>
        <w:t xml:space="preserve"> </w:t>
      </w:r>
      <w:r>
        <w:t xml:space="preserve">EUR), substantive compliance costs (estimated at 450 million EUR) and regulatory</w:t>
      </w:r>
      <w:r>
        <w:t xml:space="preserve"> </w:t>
      </w:r>
      <w:r>
        <w:t xml:space="preserve">charges (estimated at 300 million EUR) due to CE marking and Declaration of</w:t>
      </w:r>
      <w:r>
        <w:t xml:space="preserve"> </w:t>
      </w:r>
      <w:r>
        <w:t xml:space="preserve">Performance, and compliance cost due to national requirements of around 300 million</w:t>
      </w:r>
      <w:r>
        <w:t xml:space="preserve"> </w:t>
      </w:r>
      <w:r>
        <w:t xml:space="preserve">EUR115. These costs serve as the comparative basis for the other options in order to</w:t>
      </w:r>
      <w:r>
        <w:t xml:space="preserve"> </w:t>
      </w:r>
      <w:r>
        <w:t xml:space="preserve">provide an indication of the expected economic impacts of the different options.</w:t>
      </w:r>
      <w:r>
        <w:br/>
      </w:r>
      <w:r>
        <w:t xml:space="preserve">The supporting study also estimated for the baseline a foregone revenue for EU</w:t>
      </w:r>
      <w:r>
        <w:t xml:space="preserve"> </w:t>
      </w:r>
      <w:r>
        <w:t xml:space="preserve">manufacturers associated with the shortcomings in market surveillance of more than</w:t>
      </w:r>
      <w:r>
        <w:t xml:space="preserve"> </w:t>
      </w:r>
      <w:r>
        <w:t xml:space="preserve">4 billion EUR annually, corresponding to a little more than 1% of the overall revenue.</w:t>
      </w:r>
      <w:r>
        <w:t xml:space="preserve"> </w:t>
      </w:r>
      <w:r>
        <w:t xml:space="preserve">The findings show that foregone revenue due to competition from non-compliant</w:t>
      </w:r>
      <w:r>
        <w:t xml:space="preserve"> </w:t>
      </w:r>
      <w:r>
        <w:t xml:space="preserve">products is substantial, whereas costs related to identifying and reporting non-compliant</w:t>
      </w:r>
      <w:r>
        <w:t xml:space="preserve"> </w:t>
      </w:r>
      <w:r>
        <w:t xml:space="preserve">competing products can be neglected as part of the aggregate result. Insufficient or</w:t>
      </w:r>
    </w:p>
    <w:p>
      <w:pPr>
        <w:pStyle w:val="BodyText"/>
      </w:pPr>
      <w:r>
        <w:t xml:space="preserve">111 Copenhagen Economics, Danish Technological Institute and Office for Economic Policy and Regional</w:t>
      </w:r>
      <w:r>
        <w:t xml:space="preserve"> </w:t>
      </w:r>
      <w:r>
        <w:t xml:space="preserve">Development Ltd. (2021). Study supporting the Impact Assessment for the CPR revision, Final report.</w:t>
      </w:r>
      <w:r>
        <w:t xml:space="preserve"> </w:t>
      </w:r>
      <w:r>
        <w:t xml:space="preserve">2021.</w:t>
      </w:r>
      <w:r>
        <w:t xml:space="preserve"> </w:t>
      </w:r>
      <w:r>
        <w:t xml:space="preserve">112 Copenhagen Economics, Danish Technological Institute and Office for Economic Policy and Regional</w:t>
      </w:r>
      <w:r>
        <w:t xml:space="preserve"> </w:t>
      </w:r>
      <w:r>
        <w:t xml:space="preserve">Development Ltd. (2021). Study supporting the Impact Assessment for the CPR revision, Final report,</w:t>
      </w:r>
      <w:r>
        <w:t xml:space="preserve"> </w:t>
      </w:r>
      <w:r>
        <w:t xml:space="preserve">p.25. This estimate should be considered with a great degree of caution, due to the limited number of</w:t>
      </w:r>
      <w:r>
        <w:t xml:space="preserve"> </w:t>
      </w:r>
      <w:r>
        <w:t xml:space="preserve">responses received.</w:t>
      </w:r>
      <w:r>
        <w:br/>
      </w:r>
      <w:r>
        <w:t xml:space="preserve">113 VVA Europe, the Danish Technological Institute (DTI) &amp; the Netherlands Organisation for applied</w:t>
      </w:r>
      <w:r>
        <w:t xml:space="preserve"> </w:t>
      </w:r>
      <w:r>
        <w:t xml:space="preserve">scientific research (TNO) (2016). Final Report: Economic Impacts of the Construction Products</w:t>
      </w:r>
      <w:r>
        <w:t xml:space="preserve"> </w:t>
      </w:r>
      <w:r>
        <w:t xml:space="preserve">Regulation, p. 38.</w:t>
      </w:r>
      <w:r>
        <w:t xml:space="preserve"> </w:t>
      </w:r>
      <w:r>
        <w:t xml:space="preserve">114 Economisti Associati, Milieu &amp; CEPS (2016). Supporting study for the Fitness Check on the</w:t>
      </w:r>
      <w:r>
        <w:t xml:space="preserve"> </w:t>
      </w:r>
      <w:r>
        <w:t xml:space="preserve">construction sector: EU internal market and energy efficiency legislation, page 49-50.</w:t>
      </w:r>
      <w:r>
        <w:t xml:space="preserve"> </w:t>
      </w:r>
      <w:r>
        <w:t xml:space="preserve">115 Copenhagen Economics, Danish Technological Institute and Office for Economic Policy and Regional</w:t>
      </w:r>
      <w:r>
        <w:t xml:space="preserve"> </w:t>
      </w:r>
      <w:r>
        <w:t xml:space="preserve">Development Ltd. (2021). Study supporting the Impact Assessment for the CPR revision, Final report,</w:t>
      </w:r>
      <w:r>
        <w:t xml:space="preserve"> </w:t>
      </w:r>
      <w:r>
        <w:t xml:space="preserve">p. 26.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ineffective market surveillance appears to be the reason for this significant impact on</w:t>
      </w:r>
      <w:r>
        <w:t xml:space="preserve"> </w:t>
      </w:r>
      <w:r>
        <w:t xml:space="preserve">medium and small companies and the reason behind this might be that they have fewer</w:t>
      </w:r>
      <w:r>
        <w:t xml:space="preserve"> </w:t>
      </w:r>
      <w:r>
        <w:t xml:space="preserve">brands/products with smaller volume, compared to large companies with stronger brands</w:t>
      </w:r>
      <w:r>
        <w:t xml:space="preserve"> </w:t>
      </w:r>
      <w:r>
        <w:t xml:space="preserve">and wider portfolio116. This makes small and medium companies more vulnerable and</w:t>
      </w:r>
      <w:r>
        <w:t xml:space="preserve"> </w:t>
      </w:r>
      <w:r>
        <w:t xml:space="preserve">exposed to a bigger impact from unfair competition.</w:t>
      </w:r>
      <w:r>
        <w:t xml:space="preserve"> </w:t>
      </w:r>
      <w:r>
        <w:t xml:space="preserve">In the online survey of 2018117, respondents were divided about the future development</w:t>
      </w:r>
      <w:r>
        <w:t xml:space="preserve"> </w:t>
      </w:r>
      <w:r>
        <w:t xml:space="preserve">of these costs under the baseline: manufacturers and national contact points expected a</w:t>
      </w:r>
      <w:r>
        <w:t xml:space="preserve"> </w:t>
      </w:r>
      <w:r>
        <w:t xml:space="preserve">small increase in cost, while testing and certification bodies, market surveillance</w:t>
      </w:r>
      <w:r>
        <w:t xml:space="preserve"> </w:t>
      </w:r>
      <w:r>
        <w:t xml:space="preserve">authorities and end-user organisations expected a small decrease.</w:t>
      </w:r>
      <w:r>
        <w:br/>
      </w:r>
      <w:r>
        <w:t xml:space="preserve">However, taking into account the most likely continuing malfunctioning of the</w:t>
      </w:r>
      <w:r>
        <w:t xml:space="preserve"> </w:t>
      </w:r>
      <w:r>
        <w:t xml:space="preserve">standardisation process and therefore deteriorating conditions for the internal market for</w:t>
      </w:r>
      <w:r>
        <w:t xml:space="preserve"> </w:t>
      </w:r>
      <w:r>
        <w:t xml:space="preserve">construction products, over time rising costs for all stakeholders are expected (i.e. higher</w:t>
      </w:r>
      <w:r>
        <w:t xml:space="preserve"> </w:t>
      </w:r>
      <w:r>
        <w:t xml:space="preserve">cost for manufacturers relying on the EOTA route or more national requirements</w:t>
      </w:r>
      <w:r>
        <w:t xml:space="preserve"> </w:t>
      </w:r>
      <w:r>
        <w:t xml:space="preserve">introduced). This would imply higher costs for construction with less product</w:t>
      </w:r>
      <w:r>
        <w:t xml:space="preserve"> </w:t>
      </w:r>
      <w:r>
        <w:t xml:space="preserve">choice/more national requirements.</w:t>
      </w:r>
      <w:r>
        <w:t xml:space="preserve"> </w:t>
      </w:r>
      <w:r>
        <w:t xml:space="preserve">Social impact</w:t>
      </w:r>
      <w:r>
        <w:t xml:space="preserve"> </w:t>
      </w:r>
      <w:r>
        <w:t xml:space="preserve">The current CPR is following a performance-based approach, meaning that no product</w:t>
      </w:r>
      <w:r>
        <w:t xml:space="preserve"> </w:t>
      </w:r>
      <w:r>
        <w:t xml:space="preserve">requirements for construction products are established within the regulatory framework.</w:t>
      </w:r>
      <w:r>
        <w:t xml:space="preserve"> </w:t>
      </w:r>
      <w:r>
        <w:t xml:space="preserve">Consequently, no particular impact on product safety can be identified. Inherent product</w:t>
      </w:r>
      <w:r>
        <w:t xml:space="preserve"> </w:t>
      </w:r>
      <w:r>
        <w:t xml:space="preserve">safety will continue to be dealt with in an inconsistent manner by Member States and</w:t>
      </w:r>
      <w:r>
        <w:t xml:space="preserve"> </w:t>
      </w:r>
      <w:r>
        <w:t xml:space="preserve">potentially in contrast to the objective of removing technical barriers.</w:t>
      </w:r>
      <w:r>
        <w:br/>
      </w:r>
      <w:r>
        <w:t xml:space="preserve">This has been confirmed by the 2018 online survey, where under the baseline all</w:t>
      </w:r>
      <w:r>
        <w:t xml:space="preserve"> </w:t>
      </w:r>
      <w:r>
        <w:t xml:space="preserve">stakeholder groups expect either no (28%) or a small positive impact (26%) on health</w:t>
      </w:r>
      <w:r>
        <w:t xml:space="preserve"> </w:t>
      </w:r>
      <w:r>
        <w:t xml:space="preserve">and safety118.</w:t>
      </w:r>
      <w:r>
        <w:br/>
      </w:r>
      <w:r>
        <w:t xml:space="preserve">Environmental impact</w:t>
      </w:r>
      <w:r>
        <w:t xml:space="preserve"> </w:t>
      </w:r>
      <w:r>
        <w:t xml:space="preserve">As explained in the problems section, harmonisation provided by the current CPR falls</w:t>
      </w:r>
      <w:r>
        <w:t xml:space="preserve"> </w:t>
      </w:r>
      <w:r>
        <w:t xml:space="preserve">short of covering completely the Basic Work Requirements relevant for environmental</w:t>
      </w:r>
      <w:r>
        <w:t xml:space="preserve"> </w:t>
      </w:r>
      <w:r>
        <w:t xml:space="preserve">impact or sustainability, therefore the construction products are not subject to mandatory</w:t>
      </w:r>
      <w:r>
        <w:t xml:space="preserve"> </w:t>
      </w:r>
      <w:r>
        <w:t xml:space="preserve">assessment and verification of the constancy of performance in these areas. Therefore, at</w:t>
      </w:r>
      <w:r>
        <w:t xml:space="preserve"> </w:t>
      </w:r>
      <w:r>
        <w:t xml:space="preserve">best only a slightly positive environmental impact would be expected from the CPR.</w:t>
      </w:r>
      <w:r>
        <w:br/>
      </w:r>
      <w:r>
        <w:t xml:space="preserve">In view of the political priorities of the EGD and linked initiatives, this may create an</w:t>
      </w:r>
      <w:r>
        <w:t xml:space="preserve"> </w:t>
      </w:r>
      <w:r>
        <w:t xml:space="preserve">obstacle for the sector to contribute and to benefit from the green transition, while also</w:t>
      </w:r>
      <w:r>
        <w:t xml:space="preserve"> </w:t>
      </w:r>
      <w:r>
        <w:t xml:space="preserve">impeding the national authorities from setting measures towards use of greener</w:t>
      </w:r>
      <w:r>
        <w:t xml:space="preserve"> </w:t>
      </w:r>
      <w:r>
        <w:t xml:space="preserve">construction products and greening of construction works. As possible solution, these</w:t>
      </w:r>
      <w:r>
        <w:t xml:space="preserve"> </w:t>
      </w:r>
      <w:r>
        <w:t xml:space="preserve">aspects could be addressed, if needed, under the SPI. This however, may result in</w:t>
      </w:r>
      <w:r>
        <w:t xml:space="preserve"> </w:t>
      </w:r>
      <w:r>
        <w:t xml:space="preserve">unnecessary additional administrative burden, with different aspects of the same product</w:t>
      </w:r>
    </w:p>
    <w:p>
      <w:pPr>
        <w:pStyle w:val="BodyText"/>
      </w:pPr>
      <w:r>
        <w:t xml:space="preserve">116 Copenhagen Economics, Danish Technological Institute and Office for Economic Policy and Regional</w:t>
      </w:r>
      <w:r>
        <w:t xml:space="preserve"> </w:t>
      </w:r>
      <w:r>
        <w:t xml:space="preserve">Development Ltd. (2021). Study supporting the Impact Assessment for the CPR revision, p. 28.</w:t>
      </w:r>
      <w:r>
        <w:t xml:space="preserve"> </w:t>
      </w:r>
      <w:r>
        <w:t xml:space="preserve">117 VVA Economics &amp; Policy, Joint Institute for Innovation Policy (JIIP), Danish Technological Institute</w:t>
      </w:r>
      <w:r>
        <w:t xml:space="preserve"> </w:t>
      </w:r>
      <w:r>
        <w:t xml:space="preserve">(DTI), Global Data Collection Company (2018). Supporting study for the Review of the Construction</w:t>
      </w:r>
      <w:r>
        <w:t xml:space="preserve"> </w:t>
      </w:r>
      <w:r>
        <w:t xml:space="preserve">Products Regulation: Impact Assessment, pp. 56-57.</w:t>
      </w:r>
      <w:r>
        <w:t xml:space="preserve"> </w:t>
      </w:r>
      <w:r>
        <w:t xml:space="preserve">118 VVA Economics &amp; Policy, Joint Institute for Innovation Policy (JIIP), Danish Technological Institute</w:t>
      </w:r>
      <w:r>
        <w:t xml:space="preserve"> </w:t>
      </w:r>
      <w:r>
        <w:t xml:space="preserve">(DTI), Global Data Collection Company (2018). Supporting study for the Review of the Construction</w:t>
      </w:r>
      <w:r>
        <w:t xml:space="preserve"> </w:t>
      </w:r>
      <w:r>
        <w:t xml:space="preserve">Products Regulation: Impact Assessment, p.60.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being regulated under different acts and through separate procedures. This could also put</w:t>
      </w:r>
      <w:r>
        <w:t xml:space="preserve"> </w:t>
      </w:r>
      <w:r>
        <w:t xml:space="preserve">at risk the coherence between safety and sustainability aspects which is crucial</w:t>
      </w:r>
      <w:r>
        <w:t xml:space="preserve"> </w:t>
      </w:r>
      <w:r>
        <w:t xml:space="preserve">considering the role of construction products in construction works.</w:t>
      </w:r>
      <w:r>
        <w:br/>
      </w:r>
      <w:r>
        <w:t xml:space="preserve">Stakeholders’ views</w:t>
      </w:r>
      <w:r>
        <w:t xml:space="preserve"> </w:t>
      </w:r>
      <w:r>
        <w:t xml:space="preserve">Feedback received during the public consultation and the company survey reflects a</w:t>
      </w:r>
      <w:r>
        <w:t xml:space="preserve"> </w:t>
      </w:r>
      <w:r>
        <w:t xml:space="preserve">broad preference for the baseline (Option A) across most stakeholder groups119. At the</w:t>
      </w:r>
      <w:r>
        <w:t xml:space="preserve"> </w:t>
      </w:r>
      <w:r>
        <w:t xml:space="preserve">same time, many of these stakeholders also wished for action to be taken to resolve the</w:t>
      </w:r>
      <w:r>
        <w:t xml:space="preserve"> </w:t>
      </w:r>
      <w:r>
        <w:t xml:space="preserve">issues linked to the implementation of the CPR120 – such action would require a solution</w:t>
      </w:r>
      <w:r>
        <w:t xml:space="preserve"> </w:t>
      </w:r>
      <w:r>
        <w:t xml:space="preserve">closer to Option B or D.</w:t>
      </w:r>
      <w:r>
        <w:t xml:space="preserve"> </w:t>
      </w:r>
      <w:r>
        <w:t xml:space="preserve">During the survey on the Refined indicative options paper, in general, participants have</w:t>
      </w:r>
      <w:r>
        <w:t xml:space="preserve"> </w:t>
      </w:r>
      <w:r>
        <w:t xml:space="preserve">shown concerns about the economic consequences that changes to the CPR (the options</w:t>
      </w:r>
      <w:r>
        <w:t xml:space="preserve"> </w:t>
      </w:r>
      <w:r>
        <w:t xml:space="preserve">apart from option A) would mean for the construction products industry. Participants</w:t>
      </w:r>
      <w:r>
        <w:t xml:space="preserve"> </w:t>
      </w:r>
      <w:r>
        <w:t xml:space="preserve">which were in favour of option A, feared that changes would delay the application of the</w:t>
      </w:r>
      <w:r>
        <w:t xml:space="preserve"> </w:t>
      </w:r>
      <w:r>
        <w:t xml:space="preserve">CPR and create difficulties on the market121. In a similar line, stakeholders outlined that</w:t>
      </w:r>
      <w:r>
        <w:t xml:space="preserve"> </w:t>
      </w:r>
      <w:r>
        <w:t xml:space="preserve">changes in the CPR would result in the need for economic operators to mobilise further</w:t>
      </w:r>
      <w:r>
        <w:t xml:space="preserve"> </w:t>
      </w:r>
      <w:r>
        <w:t xml:space="preserve">resources at a time when most of them are weakened by the Covid-19 crisis and that most</w:t>
      </w:r>
      <w:r>
        <w:t xml:space="preserve"> </w:t>
      </w:r>
      <w:r>
        <w:t xml:space="preserve">companies in the sector were micro or small sized and changes were costly for them122.</w:t>
      </w:r>
    </w:p>
    <w:p>
      <w:pPr>
        <w:pStyle w:val="BodyText"/>
      </w:pPr>
      <w:r>
        <w:t xml:space="preserve">7.2.</w:t>
      </w:r>
      <w:r>
        <w:t xml:space="preserve"> </w:t>
      </w:r>
      <w:r>
        <w:t xml:space="preserve">Option B - Repairing the CPR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Option B addresses all the issues identified in the evaluation as shortcomings in the</w:t>
      </w:r>
      <w:r>
        <w:t xml:space="preserve"> </w:t>
      </w:r>
      <w:r>
        <w:t xml:space="preserve">implementation of the CPR. It would therefore contribute to improved harmonisation at</w:t>
      </w:r>
      <w:r>
        <w:t xml:space="preserve"> </w:t>
      </w:r>
      <w:r>
        <w:t xml:space="preserve">the EU level, facilitating the circulation of construction products on the internal market</w:t>
      </w:r>
      <w:r>
        <w:t xml:space="preserve"> </w:t>
      </w:r>
      <w:r>
        <w:t xml:space="preserve">and benefitting their manufacturers and users. In particular, it is expected that market</w:t>
      </w:r>
      <w:r>
        <w:t xml:space="preserve"> </w:t>
      </w:r>
      <w:r>
        <w:t xml:space="preserve">access would be facilitated and the harmonisation of the internal market for construction</w:t>
      </w:r>
      <w:r>
        <w:t xml:space="preserve"> </w:t>
      </w:r>
      <w:r>
        <w:t xml:space="preserve">products would be deepened. At the same time, substantial benefits are expected to come</w:t>
      </w:r>
      <w:r>
        <w:t xml:space="preserve"> </w:t>
      </w:r>
      <w:r>
        <w:t xml:space="preserve">along with improved market surveillance and enforcement. The possibility of</w:t>
      </w:r>
      <w:r>
        <w:t xml:space="preserve"> </w:t>
      </w:r>
      <w:r>
        <w:t xml:space="preserve">introducing, by delegated acts, minimum number of checks to be performed by the</w:t>
      </w:r>
      <w:r>
        <w:t xml:space="preserve"> </w:t>
      </w:r>
      <w:r>
        <w:t xml:space="preserve">market surveillance and the minimum human resources deployed for market surveillance</w:t>
      </w:r>
      <w:r>
        <w:t xml:space="preserve"> </w:t>
      </w:r>
      <w:r>
        <w:t xml:space="preserve">of construction products is expected to significantly improve the effectiveness. Such</w:t>
      </w:r>
      <w:r>
        <w:t xml:space="preserve"> </w:t>
      </w:r>
      <w:r>
        <w:t xml:space="preserve">delegated acts will be accompanied by a specific assessment of the resources</w:t>
      </w:r>
      <w:r>
        <w:t xml:space="preserve"> </w:t>
      </w:r>
      <w:r>
        <w:t xml:space="preserve">implications.</w:t>
      </w:r>
      <w:r>
        <w:br/>
      </w:r>
      <w:r>
        <w:t xml:space="preserve">Option B also offers some reduction of administrative burden for manufacturers by</w:t>
      </w:r>
      <w:r>
        <w:t xml:space="preserve"> </w:t>
      </w:r>
      <w:r>
        <w:t xml:space="preserve">empowering the Member States to exempt certain micro-enterprises from the obligations</w:t>
      </w:r>
    </w:p>
    <w:p>
      <w:pPr>
        <w:pStyle w:val="BodyText"/>
      </w:pPr>
      <w:r>
        <w:t xml:space="preserve">119 Copenhagen Economics, Danish Technological Institute and Office for Economic Policy and Regional</w:t>
      </w:r>
      <w:r>
        <w:t xml:space="preserve"> </w:t>
      </w:r>
      <w:r>
        <w:t xml:space="preserve">Development Ltd. (2021). Study supporting the Impact Assessment for the CPR revision, Final report,</w:t>
      </w:r>
      <w:r>
        <w:t xml:space="preserve"> </w:t>
      </w:r>
      <w:r>
        <w:t xml:space="preserve">p.30.</w:t>
      </w:r>
      <w:r>
        <w:t xml:space="preserve"> </w:t>
      </w:r>
      <w:r>
        <w:t xml:space="preserve">120 E.g. in the horizontal survey, more than two thirds (68%) of the respondents believe that interpretation</w:t>
      </w:r>
      <w:r>
        <w:t xml:space="preserve"> </w:t>
      </w:r>
      <w:r>
        <w:t xml:space="preserve">issues require a revision of the CPR either in conjunction with guidance (63%) or without any further</w:t>
      </w:r>
      <w:r>
        <w:t xml:space="preserve"> </w:t>
      </w:r>
      <w:r>
        <w:t xml:space="preserve">measures (5%). See Annex 2 for more details.</w:t>
      </w:r>
      <w:r>
        <w:t xml:space="preserve"> </w:t>
      </w:r>
      <w:r>
        <w:t xml:space="preserve">121 European Commission (2020). Review of the Construction Products Regulation (CPR) - Survey on the</w:t>
      </w:r>
      <w:r>
        <w:t xml:space="preserve"> </w:t>
      </w:r>
      <w:r>
        <w:t xml:space="preserve">Option Paper, April-August 2020 – results, Annex I on option A, pages 2, 13.</w:t>
      </w:r>
      <w:r>
        <w:t xml:space="preserve"> </w:t>
      </w:r>
      <w:r>
        <w:t xml:space="preserve">122 European Commission (2020). Review of the Construction Products Regulation (CPR) - Survey on the</w:t>
      </w:r>
      <w:r>
        <w:t xml:space="preserve"> </w:t>
      </w:r>
      <w:r>
        <w:t xml:space="preserve">Option Paper, April-August 2020 – results, Annex I on option A, page 21.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under the CPR, by reducing overlap between the CE (new ECP) marking and the</w:t>
      </w:r>
      <w:r>
        <w:t xml:space="preserve"> </w:t>
      </w:r>
      <w:r>
        <w:t xml:space="preserve">Declaration of Performance; allowing the DoP to be supplied electronically and by</w:t>
      </w:r>
      <w:r>
        <w:t xml:space="preserve"> </w:t>
      </w:r>
      <w:r>
        <w:t xml:space="preserve">combining the DoP with the Declaration of Conformity (DoC).</w:t>
      </w:r>
      <w:r>
        <w:br/>
      </w:r>
      <w:r>
        <w:t xml:space="preserve">The estimates show that a regulatory shift towards Option B would lead to a total</w:t>
      </w:r>
      <w:r>
        <w:t xml:space="preserve"> </w:t>
      </w:r>
      <w:r>
        <w:t xml:space="preserve">reduction of 160 million EUR in costs annually for construction products manufacturers,</w:t>
      </w:r>
      <w:r>
        <w:t xml:space="preserve"> </w:t>
      </w:r>
      <w:r>
        <w:t xml:space="preserve">roughly corresponding to a 6% reduction compared to the baseline compliance costs123.</w:t>
      </w:r>
      <w:r>
        <w:t xml:space="preserve"> </w:t>
      </w:r>
      <w:r>
        <w:t xml:space="preserve">This impact is driven mainly by a decrease in the administrative burden, substantive</w:t>
      </w:r>
      <w:r>
        <w:t xml:space="preserve"> </w:t>
      </w:r>
      <w:r>
        <w:t xml:space="preserve">compliance cost and regulatory charges in relation to the CE marking and Declaration of</w:t>
      </w:r>
      <w:r>
        <w:t xml:space="preserve"> </w:t>
      </w:r>
      <w:r>
        <w:t xml:space="preserve">Performance, and in substantive compliance cost stemming from reduced national</w:t>
      </w:r>
      <w:r>
        <w:t xml:space="preserve"> </w:t>
      </w:r>
      <w:r>
        <w:t xml:space="preserve">requirements. This may not be overwhelming, but nevertheless a non-negligible expected</w:t>
      </w:r>
      <w:r>
        <w:t xml:space="preserve"> </w:t>
      </w:r>
      <w:r>
        <w:t xml:space="preserve">reduction in costs.</w:t>
      </w:r>
      <w:r>
        <w:br/>
      </w:r>
      <w:r>
        <w:t xml:space="preserve">Relying on digital tools, such as a Construction Products database or system will provide</w:t>
      </w:r>
      <w:r>
        <w:t xml:space="preserve"> </w:t>
      </w:r>
      <w:r>
        <w:t xml:space="preserve">the information along the distribution chain, increasing the transparency to the benefit of</w:t>
      </w:r>
      <w:r>
        <w:t xml:space="preserve"> </w:t>
      </w:r>
      <w:r>
        <w:t xml:space="preserve">safety and the environment and save resources of the economic operators, while also</w:t>
      </w:r>
      <w:r>
        <w:t xml:space="preserve"> </w:t>
      </w:r>
      <w:r>
        <w:t xml:space="preserve">ensuring an interface with the Digital Product Passport, ultimately improving the</w:t>
      </w:r>
      <w:r>
        <w:t xml:space="preserve"> </w:t>
      </w:r>
      <w:r>
        <w:t xml:space="preserve">system’s efficiency. Overall, Option B is expected to improve the effectiveness,</w:t>
      </w:r>
      <w:r>
        <w:t xml:space="preserve"> </w:t>
      </w:r>
      <w:r>
        <w:t xml:space="preserve">efficiency and coherence of the regulatory framework.</w:t>
      </w:r>
      <w:r>
        <w:t xml:space="preserve"> </w:t>
      </w:r>
      <w:r>
        <w:t xml:space="preserve">There appear to be significant benefits that can be reaped from improved market</w:t>
      </w:r>
      <w:r>
        <w:t xml:space="preserve"> </w:t>
      </w:r>
      <w:r>
        <w:t xml:space="preserve">surveillance, with a potential 2.5 billion EUR annually to be gained in terms of revenue,</w:t>
      </w:r>
      <w:r>
        <w:t xml:space="preserve"> </w:t>
      </w:r>
      <w:r>
        <w:t xml:space="preserve">equalling more than half the costs (burden) under the baseline. Notwithstanding the</w:t>
      </w:r>
      <w:r>
        <w:t xml:space="preserve"> </w:t>
      </w:r>
      <w:r>
        <w:t xml:space="preserve">significant uncertainties associated with this estimation due to the small number of</w:t>
      </w:r>
      <w:r>
        <w:t xml:space="preserve"> </w:t>
      </w:r>
      <w:r>
        <w:t xml:space="preserve">observations that it is based on, this would be a remarkable result. Notably, about half of</w:t>
      </w:r>
      <w:r>
        <w:t xml:space="preserve"> </w:t>
      </w:r>
      <w:r>
        <w:t xml:space="preserve">this benefit accrues to small companies, where aggregated revenue gains are estimated to</w:t>
      </w:r>
      <w:r>
        <w:t xml:space="preserve"> </w:t>
      </w:r>
      <w:r>
        <w:t xml:space="preserve">amount to roughly 1.3 billion EUR annually corresponding to 1% of the total revenue for</w:t>
      </w:r>
      <w:r>
        <w:t xml:space="preserve"> </w:t>
      </w:r>
      <w:r>
        <w:t xml:space="preserve">that group124.</w:t>
      </w:r>
      <w:r>
        <w:t xml:space="preserve"> </w:t>
      </w:r>
      <w:r>
        <w:t xml:space="preserve">The above suggests that the improvement in market surveillance would lead to</w:t>
      </w:r>
      <w:r>
        <w:t xml:space="preserve"> </w:t>
      </w:r>
      <w:r>
        <w:t xml:space="preserve">significant benefits, which together with harmonisation of decision-making of authorities</w:t>
      </w:r>
      <w:r>
        <w:t xml:space="preserve"> </w:t>
      </w:r>
      <w:r>
        <w:t xml:space="preserve">and Notified Bodies should also enhance the legal certainty as regards the role and</w:t>
      </w:r>
      <w:r>
        <w:t xml:space="preserve"> </w:t>
      </w:r>
      <w:r>
        <w:t xml:space="preserve">obligations of economic operators and Notified Bodies. This, in turn, could increase the</w:t>
      </w:r>
      <w:r>
        <w:t xml:space="preserve"> </w:t>
      </w:r>
      <w:r>
        <w:t xml:space="preserve">assurance that compliance with the legal rules and requirements benefits the operators</w:t>
      </w:r>
      <w:r>
        <w:t xml:space="preserve"> </w:t>
      </w:r>
      <w:r>
        <w:t xml:space="preserve">and enhance the functioning of the internal market.</w:t>
      </w:r>
      <w:r>
        <w:t xml:space="preserve"> </w:t>
      </w:r>
      <w:r>
        <w:t xml:space="preserve">Social impact</w:t>
      </w:r>
      <w:r>
        <w:t xml:space="preserve"> </w:t>
      </w:r>
      <w:r>
        <w:t xml:space="preserve">Improving the market integration of construction products would contribute to enhanced</w:t>
      </w:r>
      <w:r>
        <w:t xml:space="preserve"> </w:t>
      </w:r>
      <w:r>
        <w:t xml:space="preserve">access to these products across different Member States, benefitting the users and</w:t>
      </w:r>
      <w:r>
        <w:t xml:space="preserve"> </w:t>
      </w:r>
      <w:r>
        <w:t xml:space="preserve">consumers. Thanks to the improved legal clarity of the framework and harmonised</w:t>
      </w:r>
      <w:r>
        <w:t xml:space="preserve"> </w:t>
      </w:r>
      <w:r>
        <w:t xml:space="preserve">methods for assessing and communicating environmental performance the users would</w:t>
      </w:r>
      <w:r>
        <w:t xml:space="preserve"> </w:t>
      </w:r>
      <w:r>
        <w:t xml:space="preserve">have access to reliable information on the performance of construction products,</w:t>
      </w:r>
      <w:r>
        <w:t xml:space="preserve"> </w:t>
      </w:r>
      <w:r>
        <w:t xml:space="preserve">eventually contributing to more conscious and informed choices made, particularly in</w:t>
      </w:r>
      <w:r>
        <w:t xml:space="preserve"> </w:t>
      </w:r>
      <w:r>
        <w:t xml:space="preserve">terms of construction works to be executed. Better streamlined market surveillance and</w:t>
      </w:r>
    </w:p>
    <w:p>
      <w:pPr>
        <w:pStyle w:val="BodyText"/>
      </w:pPr>
      <w:r>
        <w:t xml:space="preserve">123 Copenhagen Economics, Danish Technological Institute and Office for Economic Policy and Regional</w:t>
      </w:r>
      <w:r>
        <w:t xml:space="preserve"> </w:t>
      </w:r>
      <w:r>
        <w:t xml:space="preserve">Development Ltd. (2021). Study supporting the Impact Assessment for the CPR revision, Final report,</w:t>
      </w:r>
      <w:r>
        <w:t xml:space="preserve"> </w:t>
      </w:r>
      <w:r>
        <w:t xml:space="preserve">p.33.</w:t>
      </w:r>
      <w:r>
        <w:t xml:space="preserve"> </w:t>
      </w:r>
      <w:r>
        <w:t xml:space="preserve">124 Copenhagen Economics, Danish Technological Institute and Office for Economic Policy and Regional</w:t>
      </w:r>
      <w:r>
        <w:t xml:space="preserve"> </w:t>
      </w:r>
      <w:r>
        <w:t xml:space="preserve">Development Ltd. (2021). Study supporting the Impact Assessment for the CPR revision, Final report,</w:t>
      </w:r>
      <w:r>
        <w:t xml:space="preserve"> </w:t>
      </w:r>
      <w:r>
        <w:t xml:space="preserve">p.35. See Annex 2 on stakeholders’ consultation.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enforcement is also expected to improve the reliability of performance declarations,</w:t>
      </w:r>
      <w:r>
        <w:t xml:space="preserve"> </w:t>
      </w:r>
      <w:r>
        <w:t xml:space="preserve">increasing the users’ trust.</w:t>
      </w:r>
      <w:r>
        <w:br/>
      </w:r>
      <w:r>
        <w:t xml:space="preserve">Moreover, including in the scope of the CPR also prefabricated (small one-family)</w:t>
      </w:r>
      <w:r>
        <w:t xml:space="preserve"> </w:t>
      </w:r>
      <w:r>
        <w:t xml:space="preserve">houses would allow the creation of an internal market for entire small houses, permitting</w:t>
      </w:r>
      <w:r>
        <w:t xml:space="preserve"> </w:t>
      </w:r>
      <w:r>
        <w:t xml:space="preserve">economies of scale and increasing competition, thereby favourably influencing the</w:t>
      </w:r>
      <w:r>
        <w:t xml:space="preserve"> </w:t>
      </w:r>
      <w:r>
        <w:t xml:space="preserve">prices, ultimately fostering their affordability and deployment. Pre-fabricated houses</w:t>
      </w:r>
      <w:r>
        <w:t xml:space="preserve"> </w:t>
      </w:r>
      <w:r>
        <w:t xml:space="preserve">could also be an important factor when addressing crisis social situations, like in the</w:t>
      </w:r>
      <w:r>
        <w:t xml:space="preserve"> </w:t>
      </w:r>
      <w:r>
        <w:t xml:space="preserve">aftermath of recent weather-related disasters where citizens were in urgent need of</w:t>
      </w:r>
      <w:r>
        <w:t xml:space="preserve"> </w:t>
      </w:r>
      <w:r>
        <w:t xml:space="preserve">housing solutions.</w:t>
      </w:r>
      <w:r>
        <w:br/>
      </w:r>
      <w:r>
        <w:t xml:space="preserve">Respondents to the public consultation125 (see also Annex 2), who prefer option B,</w:t>
      </w:r>
      <w:r>
        <w:t xml:space="preserve"> </w:t>
      </w:r>
      <w:r>
        <w:t xml:space="preserve">primarily expect it to lead to an increase in construction product innovation, construction</w:t>
      </w:r>
      <w:r>
        <w:t xml:space="preserve"> </w:t>
      </w:r>
      <w:r>
        <w:t xml:space="preserve">product safety, and economic actors’ compliance with relevant rules and regulations.</w:t>
      </w:r>
      <w:r>
        <w:br/>
      </w:r>
      <w:r>
        <w:t xml:space="preserve">Environmental impact</w:t>
      </w:r>
      <w:r>
        <w:t xml:space="preserve"> </w:t>
      </w:r>
      <w:r>
        <w:t xml:space="preserve">A harmonised method for assessing and communicating the climate and environmental</w:t>
      </w:r>
      <w:r>
        <w:t xml:space="preserve"> </w:t>
      </w:r>
      <w:r>
        <w:t xml:space="preserve">performance of construction products would contribute to the green transition of the</w:t>
      </w:r>
      <w:r>
        <w:t xml:space="preserve"> </w:t>
      </w:r>
      <w:r>
        <w:t xml:space="preserve">sector and to a better built environment, by providing the relevant environmental data</w:t>
      </w:r>
      <w:r>
        <w:t xml:space="preserve"> </w:t>
      </w:r>
      <w:r>
        <w:t xml:space="preserve">allowing the Member States to assess the climate and environmental performance of</w:t>
      </w:r>
      <w:r>
        <w:t xml:space="preserve"> </w:t>
      </w:r>
      <w:r>
        <w:t xml:space="preserve">construction works, thereby supporting the implementation of relevant national and EU</w:t>
      </w:r>
      <w:r>
        <w:t xml:space="preserve"> </w:t>
      </w:r>
      <w:r>
        <w:t xml:space="preserve">legislation (e.g. the Energy Performance of Buildings Directive) and avoid market</w:t>
      </w:r>
      <w:r>
        <w:t xml:space="preserve"> </w:t>
      </w:r>
      <w:r>
        <w:t xml:space="preserve">fragmentation.</w:t>
      </w:r>
      <w:r>
        <w:t xml:space="preserve"> </w:t>
      </w:r>
      <w:r>
        <w:t xml:space="preserve">Respondents in the consultation126 who prefer option B primarily expect it to lead to an</w:t>
      </w:r>
      <w:r>
        <w:t xml:space="preserve"> </w:t>
      </w:r>
      <w:r>
        <w:t xml:space="preserve">increase in the sustainable use of resources for producing construction products and the</w:t>
      </w:r>
      <w:r>
        <w:t xml:space="preserve"> </w:t>
      </w:r>
      <w:r>
        <w:t xml:space="preserve">quality of the built environment in the EU.</w:t>
      </w:r>
      <w:r>
        <w:t xml:space="preserve"> </w:t>
      </w:r>
      <w:r>
        <w:t xml:space="preserve">Stakeholders’ views</w:t>
      </w:r>
      <w:r>
        <w:t xml:space="preserve"> </w:t>
      </w:r>
      <w:r>
        <w:t xml:space="preserve">The only stakeholder group preferring option B overall was EU citizens. However, in</w:t>
      </w:r>
      <w:r>
        <w:t xml:space="preserve"> </w:t>
      </w:r>
      <w:r>
        <w:t xml:space="preserve">relation to multiple elements, NGOs and public authorities also prefer Option B, this</w:t>
      </w:r>
      <w:r>
        <w:t xml:space="preserve"> </w:t>
      </w:r>
      <w:r>
        <w:t xml:space="preserve">particularly in terms of improvements on market surveillance and enforcement. Business</w:t>
      </w:r>
      <w:r>
        <w:t xml:space="preserve"> </w:t>
      </w:r>
      <w:r>
        <w:t xml:space="preserve">associations and companies/business organisations do not prefer option B altogether.</w:t>
      </w:r>
      <w:r>
        <w:br/>
      </w:r>
      <w:r>
        <w:t xml:space="preserve">During the survey on the option paper, stakeholders pointed out that they welcomed the</w:t>
      </w:r>
      <w:r>
        <w:t xml:space="preserve"> </w:t>
      </w:r>
      <w:r>
        <w:t xml:space="preserve">Commission’s initiative to review the CPR with the aim to improve the functioning of</w:t>
      </w:r>
      <w:r>
        <w:t xml:space="preserve"> </w:t>
      </w:r>
      <w:r>
        <w:t xml:space="preserve">the single market for construction products, but the feared that a revision of the CPR</w:t>
      </w:r>
      <w:r>
        <w:t xml:space="preserve"> </w:t>
      </w:r>
      <w:r>
        <w:t xml:space="preserve">would require additional resources (manpower and finances) from industry to adapting to</w:t>
      </w:r>
      <w:r>
        <w:t xml:space="preserve"> </w:t>
      </w:r>
      <w:r>
        <w:t xml:space="preserve">new procedures and processes127.</w:t>
      </w:r>
    </w:p>
    <w:p>
      <w:pPr>
        <w:pStyle w:val="BodyText"/>
      </w:pPr>
      <w:r>
        <w:t xml:space="preserve">125 Copenhagen Economics, Danish Technological Institute and Office for Economic Policy and Regional</w:t>
      </w:r>
      <w:r>
        <w:t xml:space="preserve"> </w:t>
      </w:r>
      <w:r>
        <w:t xml:space="preserve">Development Ltd. (2021). Study supporting the Impact Assessment for the CPR revision, Final report,</w:t>
      </w:r>
      <w:r>
        <w:t xml:space="preserve"> </w:t>
      </w:r>
      <w:r>
        <w:t xml:space="preserve">p.35.</w:t>
      </w:r>
      <w:r>
        <w:t xml:space="preserve"> </w:t>
      </w:r>
      <w:r>
        <w:t xml:space="preserve">126 Copenhagen Economics, Danish Technological Institute and Office for Economic Policy and Regional</w:t>
      </w:r>
      <w:r>
        <w:t xml:space="preserve"> </w:t>
      </w:r>
      <w:r>
        <w:t xml:space="preserve">Development Ltd. (2021). Study supporting the Impact Assessment for the CPR revision, Final report,</w:t>
      </w:r>
      <w:r>
        <w:t xml:space="preserve"> </w:t>
      </w:r>
      <w:r>
        <w:t xml:space="preserve">p.35.</w:t>
      </w:r>
      <w:r>
        <w:t xml:space="preserve"> </w:t>
      </w:r>
      <w:r>
        <w:t xml:space="preserve">127 European Commission (2020). Review of the Construction Products Regulation (CPR) - Survey on the</w:t>
      </w:r>
      <w:r>
        <w:t xml:space="preserve"> </w:t>
      </w:r>
      <w:r>
        <w:t xml:space="preserve">Option Paper, April-August 2020 – results, Annex I on option A.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7.3.</w:t>
      </w:r>
      <w:r>
        <w:t xml:space="preserve"> </w:t>
      </w:r>
      <w:r>
        <w:t xml:space="preserve">Option C - Focusing the CPR</w:t>
      </w:r>
      <w:r>
        <w:t xml:space="preserve"> </w:t>
      </w:r>
      <w:r>
        <w:t xml:space="preserve">Option C builds on Option B, to the extent there is compatibility between the two. Option</w:t>
      </w:r>
      <w:r>
        <w:t xml:space="preserve"> </w:t>
      </w:r>
      <w:r>
        <w:t xml:space="preserve">C includes three additional sub-options, which can be combined. The impacts of this</w:t>
      </w:r>
      <w:r>
        <w:t xml:space="preserve"> </w:t>
      </w:r>
      <w:r>
        <w:t xml:space="preserve">option can then be considered comparable to those of Option B, where compatible128</w:t>
      </w:r>
      <w:r>
        <w:t xml:space="preserve"> </w:t>
      </w:r>
      <w:r>
        <w:t xml:space="preserve">(e.g. improvements in area of market surveillance, legal clarity, simplification etc.).</w:t>
      </w:r>
      <w:r>
        <w:t xml:space="preserve"> </w:t>
      </w:r>
      <w:r>
        <w:t xml:space="preserve">At the same time, sub-option C1 would mean focusing the CPR’s scope on assessment</w:t>
      </w:r>
      <w:r>
        <w:t xml:space="preserve"> </w:t>
      </w:r>
      <w:r>
        <w:t xml:space="preserve">methods only, with no performance thresholds nor characteristics established at the EU</w:t>
      </w:r>
      <w:r>
        <w:t xml:space="preserve"> </w:t>
      </w:r>
      <w:r>
        <w:t xml:space="preserve">level. This in the end would not improve the degree of harmonisation at the EU level, nor</w:t>
      </w:r>
      <w:r>
        <w:t xml:space="preserve"> </w:t>
      </w:r>
      <w:r>
        <w:t xml:space="preserve">would it be the case when focusing the CPR on core areas only (sub-option C2); further</w:t>
      </w:r>
      <w:r>
        <w:t xml:space="preserve"> </w:t>
      </w:r>
      <w:r>
        <w:t xml:space="preserve">national provisions would emerge, thereby creating possible obstacles to the free</w:t>
      </w:r>
      <w:r>
        <w:t xml:space="preserve"> </w:t>
      </w:r>
      <w:r>
        <w:t xml:space="preserve">circulation of construction products within the EU.</w:t>
      </w:r>
      <w:r>
        <w:br/>
      </w:r>
      <w:r>
        <w:t xml:space="preserve">Economic impact</w:t>
      </w:r>
      <w:r>
        <w:t xml:space="preserve"> </w:t>
      </w:r>
      <w:r>
        <w:t xml:space="preserve">According to the estimates of the study, option C (the three sub-options combined) would</w:t>
      </w:r>
      <w:r>
        <w:t xml:space="preserve"> </w:t>
      </w:r>
      <w:r>
        <w:t xml:space="preserve">lead to a small reduction of 23 million EUR annually in costs for manufacturers</w:t>
      </w:r>
      <w:r>
        <w:t xml:space="preserve"> </w:t>
      </w:r>
      <w:r>
        <w:t xml:space="preserve">associated with the CPR. This corresponds to less than 1% of the baseline costs of</w:t>
      </w:r>
      <w:r>
        <w:t xml:space="preserve"> </w:t>
      </w:r>
      <w:r>
        <w:t xml:space="preserve">2.6 billion EUR. Benefits (reduction of foregone revenue due to improved market</w:t>
      </w:r>
      <w:r>
        <w:t xml:space="preserve"> </w:t>
      </w:r>
      <w:r>
        <w:t xml:space="preserve">surveillance) are the same as for option B. However, these estimates should be</w:t>
      </w:r>
      <w:r>
        <w:t xml:space="preserve"> </w:t>
      </w:r>
      <w:r>
        <w:t xml:space="preserve">considered with caution as they were calculated on the basis of responses of stakeholders</w:t>
      </w:r>
      <w:r>
        <w:t xml:space="preserve"> </w:t>
      </w:r>
      <w:r>
        <w:t xml:space="preserve">preferring option C and it remains unclear to what extent these respondents reflected on</w:t>
      </w:r>
      <w:r>
        <w:t xml:space="preserve"> </w:t>
      </w:r>
      <w:r>
        <w:t xml:space="preserve">the risk that there could be more fragmentation of the internal market; hence implying</w:t>
      </w:r>
      <w:r>
        <w:t xml:space="preserve"> </w:t>
      </w:r>
      <w:r>
        <w:t xml:space="preserve">limitations on the representativeness of the data.</w:t>
      </w:r>
      <w:r>
        <w:t xml:space="preserve"> </w:t>
      </w:r>
      <w:r>
        <w:t xml:space="preserve">Option C implies limiting the scope of the CPR to assessment methods (sub-option C1)</w:t>
      </w:r>
      <w:r>
        <w:t xml:space="preserve"> </w:t>
      </w:r>
      <w:r>
        <w:t xml:space="preserve">and to core areas only (sub-option C2). As the harmonisation area covered under the CPR</w:t>
      </w:r>
      <w:r>
        <w:t xml:space="preserve"> </w:t>
      </w:r>
      <w:r>
        <w:t xml:space="preserve">would be more focused (covering less aspects compared to the baseline), further national</w:t>
      </w:r>
      <w:r>
        <w:t xml:space="preserve"> </w:t>
      </w:r>
      <w:r>
        <w:t xml:space="preserve">provisions would very likely emerge, thereby creating possible obstacles to free</w:t>
      </w:r>
      <w:r>
        <w:t xml:space="preserve"> </w:t>
      </w:r>
      <w:r>
        <w:t xml:space="preserve">circulation of construction products within the EU. Consequently, the functioning of the</w:t>
      </w:r>
      <w:r>
        <w:t xml:space="preserve"> </w:t>
      </w:r>
      <w:r>
        <w:t xml:space="preserve">internal market could be impeded. Moreover, concerns about the effectiveness of this</w:t>
      </w:r>
      <w:r>
        <w:t xml:space="preserve"> </w:t>
      </w:r>
      <w:r>
        <w:t xml:space="preserve">option might arise since there could be an indirect risk of having access to products with</w:t>
      </w:r>
      <w:r>
        <w:t xml:space="preserve"> </w:t>
      </w:r>
      <w:r>
        <w:t xml:space="preserve">varying degrees of requirements implemented which could lead to an increased need for</w:t>
      </w:r>
      <w:r>
        <w:t xml:space="preserve"> </w:t>
      </w:r>
      <w:r>
        <w:t xml:space="preserve">market control.</w:t>
      </w:r>
      <w:r>
        <w:t xml:space="preserve"> </w:t>
      </w:r>
      <w:r>
        <w:t xml:space="preserve">Under sub-option C3, the common technical language would be voluntary, meaning that</w:t>
      </w:r>
      <w:r>
        <w:t xml:space="preserve"> </w:t>
      </w:r>
      <w:r>
        <w:t xml:space="preserve">the manufacturers could choose for an alternative route to demonstrate performance</w:t>
      </w:r>
    </w:p>
    <w:p>
      <w:pPr>
        <w:pStyle w:val="BodyText"/>
      </w:pPr>
      <w:r>
        <w:t xml:space="preserve">128 See Figure 6.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rather than the assessment method prescribed in the harmonised technical</w:t>
      </w:r>
      <w:r>
        <w:t xml:space="preserve"> </w:t>
      </w:r>
      <w:r>
        <w:t xml:space="preserve">specifications129 (if offered by the respective Member States). Manufacturers would most</w:t>
      </w:r>
      <w:r>
        <w:t xml:space="preserve"> </w:t>
      </w:r>
      <w:r>
        <w:t xml:space="preserve">likely choose this alternative route if the regulation would be lighter and if they only</w:t>
      </w:r>
      <w:r>
        <w:t xml:space="preserve"> </w:t>
      </w:r>
      <w:r>
        <w:t xml:space="preserve">would target the respective market. On the one hand this could have positive impact on</w:t>
      </w:r>
      <w:r>
        <w:t xml:space="preserve"> </w:t>
      </w:r>
      <w:r>
        <w:t xml:space="preserve">SMEs. However, on the other hand the level of protection of human safety or of the</w:t>
      </w:r>
      <w:r>
        <w:t xml:space="preserve"> </w:t>
      </w:r>
      <w:r>
        <w:t xml:space="preserve">environment could be lowered and it might disrupt the internal market.</w:t>
      </w:r>
      <w:r>
        <w:br/>
      </w:r>
      <w:r>
        <w:t xml:space="preserve">Social impact</w:t>
      </w:r>
      <w:r>
        <w:t xml:space="preserve"> </w:t>
      </w:r>
      <w:r>
        <w:t xml:space="preserve">Due to the fact that, under sub-option C3, the Member States would be allowed to</w:t>
      </w:r>
      <w:r>
        <w:t xml:space="preserve"> </w:t>
      </w:r>
      <w:r>
        <w:t xml:space="preserve">regulate an alternative path to market access, a risk exists that users could be negatively</w:t>
      </w:r>
      <w:r>
        <w:t xml:space="preserve"> </w:t>
      </w:r>
      <w:r>
        <w:t xml:space="preserve">affected by diverging requirements followed by manufacturers who choose not to rely on</w:t>
      </w:r>
      <w:r>
        <w:t xml:space="preserve"> </w:t>
      </w:r>
      <w:r>
        <w:t xml:space="preserve">the harmonised standards. This risk would stem from allowing test methods which are</w:t>
      </w:r>
      <w:r>
        <w:t xml:space="preserve"> </w:t>
      </w:r>
      <w:r>
        <w:t xml:space="preserve">less stringent than the ones foreseen at EU level or by refraining from minimum</w:t>
      </w:r>
      <w:r>
        <w:t xml:space="preserve"> </w:t>
      </w:r>
      <w:r>
        <w:t xml:space="preserve">threshold levels, which might lead to endangering the safety of construction products and</w:t>
      </w:r>
      <w:r>
        <w:t xml:space="preserve"> </w:t>
      </w:r>
      <w:r>
        <w:t xml:space="preserve">having a negative impact on end-users health.</w:t>
      </w:r>
      <w:r>
        <w:br/>
      </w:r>
      <w:r>
        <w:t xml:space="preserve">Due to differences in national legislations, it is expected that users will not have access to</w:t>
      </w:r>
      <w:r>
        <w:t xml:space="preserve"> </w:t>
      </w:r>
      <w:r>
        <w:t xml:space="preserve">products of the same level of performance on the market.</w:t>
      </w:r>
      <w:r>
        <w:t xml:space="preserve"> </w:t>
      </w:r>
      <w:r>
        <w:t xml:space="preserve">With respect to sub-option C3 (making common technical language optional), the online</w:t>
      </w:r>
      <w:r>
        <w:t xml:space="preserve"> </w:t>
      </w:r>
      <w:r>
        <w:t xml:space="preserve">survey results show that all stakeholder groups considered this policy option would result</w:t>
      </w:r>
      <w:r>
        <w:t xml:space="preserve"> </w:t>
      </w:r>
      <w:r>
        <w:t xml:space="preserve">in negative impacts on health and safety (39%)130. Such negative effects would lead to a</w:t>
      </w:r>
      <w:r>
        <w:t xml:space="preserve"> </w:t>
      </w:r>
      <w:r>
        <w:t xml:space="preserve">risk of more grave accidents, with associated negative social consequences.</w:t>
      </w:r>
      <w:r>
        <w:br/>
      </w:r>
      <w:r>
        <w:t xml:space="preserve">Environmental impact</w:t>
      </w:r>
      <w:r>
        <w:t xml:space="preserve"> </w:t>
      </w:r>
      <w:r>
        <w:t xml:space="preserve">As this approach would deprive the Commission and the Member States of the</w:t>
      </w:r>
      <w:r>
        <w:t xml:space="preserve"> </w:t>
      </w:r>
      <w:r>
        <w:t xml:space="preserve">possibility to react, in a harmonised manner, to new regulatory needs in relation to</w:t>
      </w:r>
      <w:r>
        <w:t xml:space="preserve"> </w:t>
      </w:r>
      <w:r>
        <w:t xml:space="preserve">environmental or safety needs for construction products, the risk exists that progress on</w:t>
      </w:r>
      <w:r>
        <w:t xml:space="preserve"> </w:t>
      </w:r>
      <w:r>
        <w:t xml:space="preserve">these sub-options will differ among the Member States – due to emerging national</w:t>
      </w:r>
      <w:r>
        <w:t xml:space="preserve"> </w:t>
      </w:r>
      <w:r>
        <w:t xml:space="preserve">requirements – and that the progress towards green and safe construction products will be</w:t>
      </w:r>
      <w:r>
        <w:t xml:space="preserve"> </w:t>
      </w:r>
      <w:r>
        <w:t xml:space="preserve">overall hindered.</w:t>
      </w:r>
      <w:r>
        <w:t xml:space="preserve"> </w:t>
      </w:r>
      <w:r>
        <w:t xml:space="preserve">With respect to sub-option C3 (making common technical language optional), the online</w:t>
      </w:r>
      <w:r>
        <w:t xml:space="preserve"> </w:t>
      </w:r>
      <w:r>
        <w:t xml:space="preserve">survey results show that all stakeholder groups thought this policy option would result in</w:t>
      </w:r>
      <w:r>
        <w:t xml:space="preserve"> </w:t>
      </w:r>
      <w:r>
        <w:t xml:space="preserve">a negative impact on the environment (35%)131.</w:t>
      </w:r>
      <w:r>
        <w:br/>
      </w:r>
      <w:r>
        <w:t xml:space="preserve">Among the feedback received on the Refined indicative options paper132, some</w:t>
      </w:r>
      <w:r>
        <w:t xml:space="preserve"> </w:t>
      </w:r>
      <w:r>
        <w:t xml:space="preserve">stakeholders have voiced negative views on this option by stating that the advantage and</w:t>
      </w:r>
      <w:r>
        <w:t xml:space="preserve"> </w:t>
      </w:r>
      <w:r>
        <w:t xml:space="preserve">the relevance of this option for the environment or for citizens in terms of safety and</w:t>
      </w:r>
      <w:r>
        <w:t xml:space="preserve"> </w:t>
      </w:r>
      <w:r>
        <w:t xml:space="preserve">market relevance and the practical meaning of limiting the scope of the CPR is not</w:t>
      </w:r>
      <w:r>
        <w:t xml:space="preserve"> </w:t>
      </w:r>
      <w:r>
        <w:t xml:space="preserve">obvious.</w:t>
      </w:r>
    </w:p>
    <w:p>
      <w:pPr>
        <w:pStyle w:val="BodyText"/>
      </w:pPr>
      <w:r>
        <w:t xml:space="preserve">129 Either by harmonised standards or by Commission acts containing technical specifications</w:t>
      </w:r>
      <w:r>
        <w:t xml:space="preserve"> </w:t>
      </w:r>
      <w:r>
        <w:t xml:space="preserve">130 VVA Economics &amp; Policy, Joint Institute for Innovation Policy (JIIP), Danish Technological Institute</w:t>
      </w:r>
      <w:r>
        <w:t xml:space="preserve"> </w:t>
      </w:r>
      <w:r>
        <w:t xml:space="preserve">(DTI), Global Data Collection Company (2018). Supporting study for the Review of the Construction</w:t>
      </w:r>
      <w:r>
        <w:t xml:space="preserve"> </w:t>
      </w:r>
      <w:r>
        <w:t xml:space="preserve">Products Regulation: Impact Assessment, p. 83.</w:t>
      </w:r>
      <w:r>
        <w:t xml:space="preserve"> </w:t>
      </w:r>
      <w:r>
        <w:t xml:space="preserve">131 VVA Economics &amp; Policy, Joint Institute for Innovation Policy (JIIP), Danish Technological Institute</w:t>
      </w:r>
      <w:r>
        <w:t xml:space="preserve"> </w:t>
      </w:r>
      <w:r>
        <w:t xml:space="preserve">(DTI), Global Data Collection Company (2018). Supporting study for the Review of the Construction</w:t>
      </w:r>
      <w:r>
        <w:t xml:space="preserve"> </w:t>
      </w:r>
      <w:r>
        <w:t xml:space="preserve">Products Regulation: Impact Assessment, p. 83.</w:t>
      </w:r>
      <w:r>
        <w:t xml:space="preserve"> </w:t>
      </w:r>
      <w:r>
        <w:t xml:space="preserve">132 see Annex 12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Overall, this option will at most only be able to partially address the goals stemming</w:t>
      </w:r>
      <w:r>
        <w:t xml:space="preserve"> </w:t>
      </w:r>
      <w:r>
        <w:t xml:space="preserve">from the European Green Deal, the Circular Economy Action Plan and other linked</w:t>
      </w:r>
      <w:r>
        <w:t xml:space="preserve"> </w:t>
      </w:r>
      <w:r>
        <w:t xml:space="preserve">initiatives, as regards to construction products. Therefore, it would have to be</w:t>
      </w:r>
      <w:r>
        <w:t xml:space="preserve"> </w:t>
      </w:r>
      <w:r>
        <w:t xml:space="preserve">complemented by the SPI covering also construction products.</w:t>
      </w:r>
      <w:r>
        <w:br/>
      </w:r>
      <w:r>
        <w:t xml:space="preserve">Stakeholders’ views</w:t>
      </w:r>
      <w:r>
        <w:t xml:space="preserve"> </w:t>
      </w:r>
      <w:r>
        <w:t xml:space="preserve">In the 2020 survey on the Refined indicative options paper, only 11% of respondents,</w:t>
      </w:r>
      <w:r>
        <w:t xml:space="preserve"> </w:t>
      </w:r>
      <w:r>
        <w:t xml:space="preserve">including business representatives, companies, technical bodies, NGOs, and public</w:t>
      </w:r>
      <w:r>
        <w:t xml:space="preserve"> </w:t>
      </w:r>
      <w:r>
        <w:t xml:space="preserve">authorities fully or partly supported sub-option C1, 9% sub-option C2 and 9% sub-option</w:t>
      </w:r>
      <w:r>
        <w:t xml:space="preserve"> </w:t>
      </w:r>
      <w:r>
        <w:t xml:space="preserve">C3133. In the 2020 company survey, option C was the least preferred revision option, with</w:t>
      </w:r>
      <w:r>
        <w:t xml:space="preserve"> </w:t>
      </w:r>
      <w:r>
        <w:t xml:space="preserve">the share of respondents stating their preferred option was option C varying between</w:t>
      </w:r>
      <w:r>
        <w:t xml:space="preserve"> </w:t>
      </w:r>
      <w:r>
        <w:t xml:space="preserve">6 and 11%134. In the 2020 public consultation, option C likewise was the least preferred</w:t>
      </w:r>
      <w:r>
        <w:t xml:space="preserve"> </w:t>
      </w:r>
      <w:r>
        <w:t xml:space="preserve">revision option, with the share of respondents stating their preferred option was option C</w:t>
      </w:r>
      <w:r>
        <w:t xml:space="preserve"> </w:t>
      </w:r>
      <w:r>
        <w:t xml:space="preserve">varying between 3 and 11%.</w:t>
      </w:r>
      <w:r>
        <w:br/>
      </w:r>
      <w:r>
        <w:t xml:space="preserve">Concerning sub-option C3, the company phone survey results showed that this approach</w:t>
      </w:r>
      <w:r>
        <w:t xml:space="preserve"> </w:t>
      </w:r>
      <w:r>
        <w:t xml:space="preserve">could potentially result in very small (&lt;1,000 EUR per annum) per manufacturer cost</w:t>
      </w:r>
      <w:r>
        <w:t xml:space="preserve"> </w:t>
      </w:r>
      <w:r>
        <w:t xml:space="preserve">savings in all size groups and across the sector as a whole: potentially a total cost saving</w:t>
      </w:r>
      <w:r>
        <w:t xml:space="preserve"> </w:t>
      </w:r>
      <w:r>
        <w:t xml:space="preserve">of between EUR 8.5 million annually and EUR 9.5 million annually, a negligibly small</w:t>
      </w:r>
      <w:r>
        <w:t xml:space="preserve"> </w:t>
      </w:r>
      <w:r>
        <w:t xml:space="preserve">amount considering the size of the sector135.</w:t>
      </w:r>
      <w:r>
        <w:t xml:space="preserve"> </w:t>
      </w:r>
      <w:r>
        <w:t xml:space="preserve">In addition, regarding sub-option C3, the general perception of this option was well</w:t>
      </w:r>
      <w:r>
        <w:t xml:space="preserve"> </w:t>
      </w:r>
      <w:r>
        <w:t xml:space="preserve">summarised by a market surveillance authority who stated that “making the common</w:t>
      </w:r>
      <w:r>
        <w:t xml:space="preserve"> </w:t>
      </w:r>
      <w:r>
        <w:t xml:space="preserve">technical language voluntary would not cure the conceptual defects of the CPR, but it</w:t>
      </w:r>
      <w:r>
        <w:t xml:space="preserve"> </w:t>
      </w:r>
      <w:r>
        <w:t xml:space="preserve">would increase uncertainty and create chaos”136. In the 2020 survey, where a broad</w:t>
      </w:r>
      <w:r>
        <w:t xml:space="preserve"> </w:t>
      </w:r>
      <w:r>
        <w:t xml:space="preserve">selection of the stakeholder groups took part, the participants noted that “if the</w:t>
      </w:r>
      <w:r>
        <w:t xml:space="preserve"> </w:t>
      </w:r>
      <w:r>
        <w:t xml:space="preserve">harmonised standards become the preferred but non-exclusive means of proof, thus</w:t>
      </w:r>
      <w:r>
        <w:t xml:space="preserve"> </w:t>
      </w:r>
      <w:r>
        <w:t xml:space="preserve">making CE marking optional (not compulsory by regulation), a two-speed system would</w:t>
      </w:r>
      <w:r>
        <w:t xml:space="preserve"> </w:t>
      </w:r>
      <w:r>
        <w:t xml:space="preserve">create confusion for all stakeholders in construction”137.</w:t>
      </w:r>
      <w:r>
        <w:t xml:space="preserve"> </w:t>
      </w:r>
      <w:r>
        <w:t xml:space="preserve">It is clear that the sub-options of this option could create, in fact, new barriers to trade</w:t>
      </w:r>
      <w:r>
        <w:t xml:space="preserve"> </w:t>
      </w:r>
      <w:r>
        <w:t xml:space="preserve">within the European internal market since there might be significant divergence in</w:t>
      </w:r>
      <w:r>
        <w:t xml:space="preserve"> </w:t>
      </w:r>
      <w:r>
        <w:t xml:space="preserve">Member States’ requirements. Among the feedback received on the Refined indicative</w:t>
      </w:r>
      <w:r>
        <w:t xml:space="preserve"> </w:t>
      </w:r>
      <w:r>
        <w:t xml:space="preserve">options paper, many stakeholders expressed that “It is not obvious what the practical</w:t>
      </w:r>
      <w:r>
        <w:t xml:space="preserve"> </w:t>
      </w:r>
      <w:r>
        <w:t xml:space="preserve">added value would be of limiting the scope of the revised regulation” and notably that</w:t>
      </w:r>
      <w:r>
        <w:t xml:space="preserve"> </w:t>
      </w:r>
      <w:r>
        <w:t xml:space="preserve">“All three options outlined by the Commission for so-called ‘focussing’ of the CPR</w:t>
      </w:r>
      <w:r>
        <w:t xml:space="preserve"> </w:t>
      </w:r>
      <w:r>
        <w:t xml:space="preserve">(option C) would significantly impact the existing internal market. Construction products</w:t>
      </w:r>
      <w:r>
        <w:t xml:space="preserve"> </w:t>
      </w:r>
      <w:r>
        <w:t xml:space="preserve">already harmonized (product categories) would be de-harmonised again. This was</w:t>
      </w:r>
    </w:p>
    <w:p>
      <w:pPr>
        <w:pStyle w:val="BodyText"/>
      </w:pPr>
      <w:r>
        <w:t xml:space="preserve">133 https://ec.europa.eu/docsroom/documents/43103, questions 30, 31 and 32.</w:t>
      </w:r>
      <w:r>
        <w:t xml:space="preserve"> </w:t>
      </w:r>
      <w:r>
        <w:t xml:space="preserve">134Copenhagen Economics, Danish Technological Institute and Office for Economic Policy and Regional</w:t>
      </w:r>
      <w:r>
        <w:t xml:space="preserve"> </w:t>
      </w:r>
      <w:r>
        <w:t xml:space="preserve">Development Ltd. (2021). Study supporting the Impact Assessment for the CPR revision, Final report</w:t>
      </w:r>
      <w:r>
        <w:t xml:space="preserve"> </w:t>
      </w:r>
      <w:r>
        <w:t xml:space="preserve">2021, Annex 7, questions about preferred variant across the 3 elements considered individually for</w:t>
      </w:r>
      <w:r>
        <w:t xml:space="preserve"> </w:t>
      </w:r>
      <w:r>
        <w:t xml:space="preserve">option C.</w:t>
      </w:r>
      <w:r>
        <w:t xml:space="preserve"> </w:t>
      </w:r>
      <w:r>
        <w:t xml:space="preserve">135 VVA Economics &amp; Policy, Joint Institute for Innovation Policy (JIIP), Danish Technological Institute</w:t>
      </w:r>
      <w:r>
        <w:t xml:space="preserve"> </w:t>
      </w:r>
      <w:r>
        <w:t xml:space="preserve">(DTI), Global Data Collection Company (2018). Supporting study for the Review of the Construction</w:t>
      </w:r>
      <w:r>
        <w:t xml:space="preserve"> </w:t>
      </w:r>
      <w:r>
        <w:t xml:space="preserve">Products Regulation: Impact Assessment, p.80.</w:t>
      </w:r>
      <w:r>
        <w:t xml:space="preserve"> </w:t>
      </w:r>
      <w:r>
        <w:t xml:space="preserve">136 VVA Economics &amp; Policy, Joint Institute for Innovation Policy (JIIP), Danish Technological Institute</w:t>
      </w:r>
      <w:r>
        <w:t xml:space="preserve"> </w:t>
      </w:r>
      <w:r>
        <w:t xml:space="preserve">(DTI), Global Data Collection Company (2018). Supporting study for the Review of the Construction</w:t>
      </w:r>
      <w:r>
        <w:t xml:space="preserve"> </w:t>
      </w:r>
      <w:r>
        <w:t xml:space="preserve">Products Regulation: Impact Assessment, p.79.</w:t>
      </w:r>
      <w:r>
        <w:t xml:space="preserve"> </w:t>
      </w:r>
      <w:r>
        <w:t xml:space="preserve">137 See Results of the Survey on the Refined indicative options paper, April-August 2020, Annex III on</w:t>
      </w:r>
      <w:r>
        <w:t xml:space="preserve"> </w:t>
      </w:r>
      <w:r>
        <w:t xml:space="preserve">option C, available: https://ec.europa.eu/docsroom/documents/43103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considered as unnecessary as it would weaken the internal market and adversely affect all</w:t>
      </w:r>
      <w:r>
        <w:t xml:space="preserve"> </w:t>
      </w:r>
      <w:r>
        <w:t xml:space="preserve">stakeholders138.</w:t>
      </w:r>
      <w:r>
        <w:br/>
      </w:r>
      <w:r>
        <w:t xml:space="preserve">The overall support for the sub-options of option C is thus very limited as they are</w:t>
      </w:r>
      <w:r>
        <w:t xml:space="preserve"> </w:t>
      </w:r>
      <w:r>
        <w:t xml:space="preserve">considered to weaken the current regulatory system. The sub-options would even less fit</w:t>
      </w:r>
      <w:r>
        <w:t xml:space="preserve"> </w:t>
      </w:r>
      <w:r>
        <w:t xml:space="preserve">into a CPR framework which tries to be more ambitious regarding the European Green</w:t>
      </w:r>
      <w:r>
        <w:t xml:space="preserve"> </w:t>
      </w:r>
      <w:r>
        <w:t xml:space="preserve">Deal goals. In terms of environmental impacts and circularity of construction products,</w:t>
      </w:r>
      <w:r>
        <w:t xml:space="preserve"> </w:t>
      </w:r>
      <w:r>
        <w:t xml:space="preserve">option C would not be effective in reaching the objective and the CPR would not become</w:t>
      </w:r>
      <w:r>
        <w:t xml:space="preserve"> </w:t>
      </w:r>
      <w:r>
        <w:t xml:space="preserve">more focused in the meaning of that option.</w:t>
      </w:r>
    </w:p>
    <w:p>
      <w:pPr>
        <w:pStyle w:val="BodyText"/>
      </w:pPr>
      <w:r>
        <w:t xml:space="preserve">7.4.</w:t>
      </w:r>
      <w:r>
        <w:t xml:space="preserve"> </w:t>
      </w:r>
      <w:r>
        <w:t xml:space="preserve">Option D - Enhancing the CPR</w:t>
      </w:r>
      <w:r>
        <w:t xml:space="preserve"> </w:t>
      </w:r>
      <w:r>
        <w:t xml:space="preserve">Option D, building on Option B but distinguished from other options by introducing</w:t>
      </w:r>
      <w:r>
        <w:t xml:space="preserve"> </w:t>
      </w:r>
      <w:r>
        <w:t xml:space="preserve">product requirements addressing health, safety and the environment, is expected –</w:t>
      </w:r>
      <w:r>
        <w:t xml:space="preserve"> </w:t>
      </w:r>
      <w:r>
        <w:t xml:space="preserve">according to the companies preferring this option in the public consultation – to have a</w:t>
      </w:r>
      <w:r>
        <w:t xml:space="preserve"> </w:t>
      </w:r>
      <w:r>
        <w:t xml:space="preserve">positive impact particularly on safety, compliance and quality of the built environment139.</w:t>
      </w:r>
      <w:r>
        <w:t xml:space="preserve"> </w:t>
      </w:r>
      <w:r>
        <w:t xml:space="preserve">Pursuing this option would allow a consistent approach for the environmental assessment</w:t>
      </w:r>
      <w:r>
        <w:t xml:space="preserve"> </w:t>
      </w:r>
      <w:r>
        <w:t xml:space="preserve">of construction products under the CPR and the SPI140. As the sub-options only differ in</w:t>
      </w:r>
      <w:r>
        <w:t xml:space="preserve"> </w:t>
      </w:r>
      <w:r>
        <w:t xml:space="preserve">the path to develop the product-specific requirements, the same impact can be expected</w:t>
      </w:r>
      <w:r>
        <w:t xml:space="preserve"> </w:t>
      </w:r>
      <w:r>
        <w:t xml:space="preserve">for all three.</w:t>
      </w:r>
      <w:r>
        <w:br/>
      </w:r>
      <w:r>
        <w:t xml:space="preserve">Economic impact</w:t>
      </w:r>
      <w:r>
        <w:t xml:space="preserve"> </w:t>
      </w:r>
      <w:r>
        <w:t xml:space="preserve">According to the estimates of the study, option D is expected to lead to an increase of</w:t>
      </w:r>
      <w:r>
        <w:t xml:space="preserve"> </w:t>
      </w:r>
      <w:r>
        <w:t xml:space="preserve">approx. 200 million EUR in costs among manufacturers associated with the CPR, equal</w:t>
      </w:r>
      <w:r>
        <w:t xml:space="preserve"> </w:t>
      </w:r>
      <w:r>
        <w:t xml:space="preserve">to approximately 8% of the baseline costs. This is due to an expected increase in costs</w:t>
      </w:r>
      <w:r>
        <w:t xml:space="preserve"> </w:t>
      </w:r>
      <w:r>
        <w:t xml:space="preserve">associated with preparing the CE marking and the Declaration of Performance. The</w:t>
      </w:r>
      <w:r>
        <w:t xml:space="preserve"> </w:t>
      </w:r>
      <w:r>
        <w:t xml:space="preserve">benefits (reduction of foregone revenue due to improved market surveillance) are the</w:t>
      </w:r>
      <w:r>
        <w:t xml:space="preserve"> </w:t>
      </w:r>
      <w:r>
        <w:t xml:space="preserve">same as for option B. However, as the concrete requirements for relevant products</w:t>
      </w:r>
      <w:r>
        <w:t xml:space="preserve"> </w:t>
      </w:r>
      <w:r>
        <w:t xml:space="preserve">(groups) will be defined only at a later stage, through Commission Acts, a more accurate</w:t>
      </w:r>
      <w:r>
        <w:t xml:space="preserve"> </w:t>
      </w:r>
      <w:r>
        <w:t xml:space="preserve">estimation of the costs incurred by the manufacturers will only be possible at a later</w:t>
      </w:r>
      <w:r>
        <w:t xml:space="preserve"> </w:t>
      </w:r>
      <w:r>
        <w:t xml:space="preserve">stage, when developing subsequent legal acts.</w:t>
      </w:r>
    </w:p>
    <w:p>
      <w:pPr>
        <w:pStyle w:val="BodyText"/>
      </w:pPr>
      <w:r>
        <w:t xml:space="preserve">138 See Results of the Survey on the Refined indicative options paper, April-August 2020, Annex III on</w:t>
      </w:r>
      <w:r>
        <w:t xml:space="preserve"> </w:t>
      </w:r>
      <w:r>
        <w:t xml:space="preserve">option C, available: https://ec.europa.eu/docsroom/documents/43103.</w:t>
      </w:r>
      <w:r>
        <w:t xml:space="preserve"> </w:t>
      </w:r>
      <w:r>
        <w:t xml:space="preserve">139 Copenhagen Economics (CE), Danish Technological Institute (DTI) and Office for Economic Policy</w:t>
      </w:r>
      <w:r>
        <w:t xml:space="preserve"> </w:t>
      </w:r>
      <w:r>
        <w:t xml:space="preserve">and Regional Development Ltd. (EPRD) (2021). Supporting study for the impact assessment of the CPR</w:t>
      </w:r>
      <w:r>
        <w:t xml:space="preserve"> </w:t>
      </w:r>
      <w:r>
        <w:t xml:space="preserve">Review, p. 42.</w:t>
      </w:r>
      <w:r>
        <w:t xml:space="preserve"> </w:t>
      </w:r>
      <w:r>
        <w:t xml:space="preserve">140 This method has not yet been determined at this point in time. However, see in this context e.g. </w:t>
      </w:r>
      <w:r>
        <w:t xml:space="preserve"> </w:t>
      </w:r>
      <w:r>
        <w:t xml:space="preserve">Commission Recommendation (2013/179/EU) of 9 April 2013 on the use of common methods to</w:t>
      </w:r>
      <w:r>
        <w:t xml:space="preserve"> </w:t>
      </w:r>
      <w:r>
        <w:t xml:space="preserve">measure and communicate the life cycle environmental performance of products and organisations.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As Option D, similarly to Option B, addresses the main shortcomings of the current CPR</w:t>
      </w:r>
      <w:r>
        <w:t xml:space="preserve"> </w:t>
      </w:r>
      <w:r>
        <w:t xml:space="preserve">framework, including the possibility for the Member States to exclude certain micro-</w:t>
      </w:r>
      <w:r>
        <w:t xml:space="preserve"> </w:t>
      </w:r>
      <w:r>
        <w:t xml:space="preserve">companies from the CPR obligations, it would potentially enable further cost savings for</w:t>
      </w:r>
      <w:r>
        <w:t xml:space="preserve"> </w:t>
      </w:r>
      <w:r>
        <w:t xml:space="preserve">micro companies, currently facing the highest compliance burden as a share of their</w:t>
      </w:r>
      <w:r>
        <w:t xml:space="preserve"> </w:t>
      </w:r>
      <w:r>
        <w:t xml:space="preserve">turnover (estimated at 1.3% of turnover on average)141.</w:t>
      </w:r>
      <w:r>
        <w:t xml:space="preserve"> </w:t>
      </w:r>
      <w:r>
        <w:t xml:space="preserve">Social impact</w:t>
      </w:r>
      <w:r>
        <w:t xml:space="preserve"> </w:t>
      </w:r>
      <w:r>
        <w:t xml:space="preserve">On top of the social impacts described under Option B and relevant also for Option D,</w:t>
      </w:r>
      <w:r>
        <w:t xml:space="preserve"> </w:t>
      </w:r>
      <w:r>
        <w:t xml:space="preserve">the social impact linked to the introduction of product safety requirements would imply</w:t>
      </w:r>
      <w:r>
        <w:t xml:space="preserve"> </w:t>
      </w:r>
      <w:r>
        <w:t xml:space="preserve">improving the safety and protection of end-users of construction products. This decrease</w:t>
      </w:r>
      <w:r>
        <w:t xml:space="preserve"> </w:t>
      </w:r>
      <w:r>
        <w:t xml:space="preserve">in the level of potential risks for users is driven by ensuring that the products are</w:t>
      </w:r>
      <w:r>
        <w:t xml:space="preserve"> </w:t>
      </w:r>
      <w:r>
        <w:t xml:space="preserve">appropriately assessed before they reach them.</w:t>
      </w:r>
      <w:r>
        <w:t xml:space="preserve"> </w:t>
      </w:r>
      <w:r>
        <w:t xml:space="preserve">With respect to this positive social impact of policy option D on safety (improving the</w:t>
      </w:r>
      <w:r>
        <w:t xml:space="preserve"> </w:t>
      </w:r>
      <w:r>
        <w:t xml:space="preserve">safety and protection of end-users), it is important to note that SMEs in the construction</w:t>
      </w:r>
      <w:r>
        <w:t xml:space="preserve"> </w:t>
      </w:r>
      <w:r>
        <w:t xml:space="preserve">contractors sub-sector employing less than 250 people account for approximately 91% of</w:t>
      </w:r>
      <w:r>
        <w:t xml:space="preserve"> </w:t>
      </w:r>
      <w:r>
        <w:t xml:space="preserve">all employees142. This suggests that the majority of benefits in terms of cost savings from</w:t>
      </w:r>
      <w:r>
        <w:t xml:space="preserve"> </w:t>
      </w:r>
      <w:r>
        <w:t xml:space="preserve">a reduction in risks of accidents accrue to SMEs. This is crucial as in some Member</w:t>
      </w:r>
      <w:r>
        <w:t xml:space="preserve"> </w:t>
      </w:r>
      <w:r>
        <w:t xml:space="preserve">States, national authorities reported that safety incidents tend to be higher among</w:t>
      </w:r>
      <w:r>
        <w:t xml:space="preserve"> </w:t>
      </w:r>
      <w:r>
        <w:t xml:space="preserve">SMEs143. In general, by improving the product safety, thereby contributing to protecting</w:t>
      </w:r>
      <w:r>
        <w:t xml:space="preserve"> </w:t>
      </w:r>
      <w:r>
        <w:t xml:space="preserve">workers from accidents and health risks, the legislation makes a positive contribution to</w:t>
      </w:r>
      <w:r>
        <w:t xml:space="preserve"> </w:t>
      </w:r>
      <w:r>
        <w:t xml:space="preserve">improving the human capital basis of the sector144.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In response to the European Green Deal objectives Option D is expected to address these</w:t>
      </w:r>
      <w:r>
        <w:t xml:space="preserve"> </w:t>
      </w:r>
      <w:r>
        <w:t xml:space="preserve">effectively, rendering the revised CPR framework future-proof as the revised CPR will</w:t>
      </w:r>
      <w:r>
        <w:t xml:space="preserve"> </w:t>
      </w:r>
      <w:r>
        <w:t xml:space="preserve">be able to deliver on broader policy priorities, particularly the green and digital transition.</w:t>
      </w:r>
      <w:r>
        <w:t xml:space="preserve"> </w:t>
      </w:r>
      <w:r>
        <w:t xml:space="preserve">Environmental impacts of Option B, i.e. offering a harmonised approach for assessing</w:t>
      </w:r>
      <w:r>
        <w:t xml:space="preserve"> </w:t>
      </w:r>
      <w:r>
        <w:t xml:space="preserve">and communicating the climate and environmental performance of construction products</w:t>
      </w:r>
      <w:r>
        <w:t xml:space="preserve"> </w:t>
      </w:r>
      <w:r>
        <w:t xml:space="preserve">and providing access to reliable and comprehensive data in terms of environmental</w:t>
      </w:r>
      <w:r>
        <w:t xml:space="preserve"> </w:t>
      </w:r>
      <w:r>
        <w:t xml:space="preserve">performance (through the Digital Product Passport) contribute to the Circular Economy</w:t>
      </w:r>
      <w:r>
        <w:t xml:space="preserve"> </w:t>
      </w:r>
      <w:r>
        <w:t xml:space="preserve">Action Plan, Renovation Wave and other linked initiatives, and are relevant also for</w:t>
      </w:r>
      <w:r>
        <w:t xml:space="preserve"> </w:t>
      </w:r>
      <w:r>
        <w:t xml:space="preserve">Option D. Additionally, Option D would ensure that protection of climate and</w:t>
      </w:r>
      <w:r>
        <w:t xml:space="preserve"> </w:t>
      </w:r>
      <w:r>
        <w:t xml:space="preserve">environment and safety would be safeguarded, by foreseeing a possibility of introducing</w:t>
      </w:r>
      <w:r>
        <w:t xml:space="preserve"> </w:t>
      </w:r>
      <w:r>
        <w:t xml:space="preserve">product requirements. It is therefore apt to reflect the framework expected to be</w:t>
      </w:r>
      <w:r>
        <w:t xml:space="preserve"> </w:t>
      </w:r>
      <w:r>
        <w:t xml:space="preserve">introduced for other products under the SPI (for more details, see Annex 11 on the</w:t>
      </w:r>
      <w:r>
        <w:t xml:space="preserve"> </w:t>
      </w:r>
      <w:r>
        <w:t xml:space="preserve">interaction between the future CPR and SPI).</w:t>
      </w:r>
      <w:r>
        <w:t xml:space="preserve"> </w:t>
      </w:r>
      <w:r>
        <w:t xml:space="preserve">As this option is the only one fully suited to effectively address the goals stemming from</w:t>
      </w:r>
      <w:r>
        <w:t xml:space="preserve"> </w:t>
      </w:r>
      <w:r>
        <w:t xml:space="preserve">the European Green Deal, the Circular Economy Action Plan and other linked initiatives,</w:t>
      </w:r>
    </w:p>
    <w:p>
      <w:pPr>
        <w:pStyle w:val="BodyText"/>
      </w:pPr>
      <w:r>
        <w:t xml:space="preserve">141 VVA Europe, the Danish Technological Institute (DTI) &amp; the Netherlands Organisation for applied</w:t>
      </w:r>
      <w:r>
        <w:t xml:space="preserve"> </w:t>
      </w:r>
      <w:r>
        <w:t xml:space="preserve">scientific research (TNO) (2016). Final Report: Economic Impacts of the Construction Products</w:t>
      </w:r>
      <w:r>
        <w:t xml:space="preserve"> </w:t>
      </w:r>
      <w:r>
        <w:t xml:space="preserve">Regulation. European Commission, p. 71.</w:t>
      </w:r>
      <w:r>
        <w:t xml:space="preserve"> </w:t>
      </w:r>
      <w:r>
        <w:t xml:space="preserve">142 RPA(2016) Supporting Study for Fitness Check on the Construction Sector – The Second Phase on EU</w:t>
      </w:r>
      <w:r>
        <w:t xml:space="preserve"> </w:t>
      </w:r>
      <w:r>
        <w:t xml:space="preserve">Environment, Health and Safety Legislation, p. 163.</w:t>
      </w:r>
      <w:r>
        <w:t xml:space="preserve"> </w:t>
      </w:r>
      <w:r>
        <w:t xml:space="preserve">143 RPA(2016) Supporting Study for Fitness Check on the Construction Sector – The Second Phase on EU</w:t>
      </w:r>
      <w:r>
        <w:t xml:space="preserve"> </w:t>
      </w:r>
      <w:r>
        <w:t xml:space="preserve">Environment, Health and Safety Legislation, p. 88.</w:t>
      </w:r>
      <w:r>
        <w:t xml:space="preserve"> </w:t>
      </w:r>
      <w:r>
        <w:t xml:space="preserve">144 RPA(2016) Supporting Study for Fitness Check on the Construction Sector – The Second Phase on EU</w:t>
      </w:r>
      <w:r>
        <w:t xml:space="preserve"> </w:t>
      </w:r>
      <w:r>
        <w:t xml:space="preserve">Environment, Health and Safety Legislation, p. 156.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in the context of construction products, it can ensure the full support towards circular use</w:t>
      </w:r>
      <w:r>
        <w:t xml:space="preserve"> </w:t>
      </w:r>
      <w:r>
        <w:t xml:space="preserve">of products and materials and ameliorating the built environment. Option D allows for</w:t>
      </w:r>
      <w:r>
        <w:t xml:space="preserve"> </w:t>
      </w:r>
      <w:r>
        <w:t xml:space="preserve">synergies with other initiatives, including the SPI, EPBD or transition pathways for the</w:t>
      </w:r>
      <w:r>
        <w:t xml:space="preserve"> </w:t>
      </w:r>
      <w:r>
        <w:t xml:space="preserve">construction ecosystem.</w:t>
      </w:r>
      <w:r>
        <w:br/>
      </w:r>
      <w:r>
        <w:t xml:space="preserve">Stakeholders’ views</w:t>
      </w:r>
      <w:r>
        <w:t xml:space="preserve"> </w:t>
      </w:r>
      <w:r>
        <w:t xml:space="preserve">In the company survey and the public consultation, Option D gained relatively low</w:t>
      </w:r>
      <w:r>
        <w:t xml:space="preserve"> </w:t>
      </w:r>
      <w:r>
        <w:t xml:space="preserve">support of 13% and 16% of consulted stakeholders respectively. There was, however, a</w:t>
      </w:r>
      <w:r>
        <w:t xml:space="preserve"> </w:t>
      </w:r>
      <w:r>
        <w:t xml:space="preserve">variation among different groups of stakeholders, with NGOs preferring Option D (sub-</w:t>
      </w:r>
      <w:r>
        <w:t xml:space="preserve"> </w:t>
      </w:r>
      <w:r>
        <w:t xml:space="preserve">option D2) as compared to the other options. In both surveys, there was a stronger</w:t>
      </w:r>
      <w:r>
        <w:t xml:space="preserve"> </w:t>
      </w:r>
      <w:r>
        <w:t xml:space="preserve">preference for introducing construction product requirements via the New Legislative</w:t>
      </w:r>
      <w:r>
        <w:t xml:space="preserve"> </w:t>
      </w:r>
      <w:r>
        <w:t xml:space="preserve">Framework approach (sub-option D1) than via the Technical Specifications approach</w:t>
      </w:r>
      <w:r>
        <w:t xml:space="preserve"> </w:t>
      </w:r>
      <w:r>
        <w:t xml:space="preserve">(sub-option D2).145</w:t>
      </w:r>
    </w:p>
    <w:p>
      <w:pPr>
        <w:pStyle w:val="BodyText"/>
      </w:pPr>
      <w:r>
        <w:t xml:space="preserve">7.5.</w:t>
      </w:r>
      <w:r>
        <w:t xml:space="preserve"> </w:t>
      </w:r>
      <w:r>
        <w:t xml:space="preserve">Option E – Repealing the CPR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The stakeholders expect a large negative impact due to lacking CPR-based market</w:t>
      </w:r>
      <w:r>
        <w:t xml:space="preserve"> </w:t>
      </w:r>
      <w:r>
        <w:t xml:space="preserve">surveillance. Repealing the CPR would also imply limited free circulation of construction</w:t>
      </w:r>
      <w:r>
        <w:t xml:space="preserve"> </w:t>
      </w:r>
      <w:r>
        <w:t xml:space="preserve">products compared to the baseline. The objectives of protection of safety or environment</w:t>
      </w:r>
      <w:r>
        <w:t xml:space="preserve"> </w:t>
      </w:r>
      <w:r>
        <w:t xml:space="preserve">relevant for construction products could not be pursued in a harmonised manner without</w:t>
      </w:r>
      <w:r>
        <w:t xml:space="preserve"> </w:t>
      </w:r>
      <w:r>
        <w:t xml:space="preserve">the CPR framework being in place. Correspondingly, the main economic impact of a</w:t>
      </w:r>
      <w:r>
        <w:t xml:space="preserve"> </w:t>
      </w:r>
      <w:r>
        <w:t xml:space="preserve">repeal of the CPR is expected to be a deterioration of the market surveillance situation. A</w:t>
      </w:r>
      <w:r>
        <w:t xml:space="preserve"> </w:t>
      </w:r>
      <w:r>
        <w:t xml:space="preserve">substantial majority of respondents consider that repealing the CPR would result in</w:t>
      </w:r>
      <w:r>
        <w:t xml:space="preserve"> </w:t>
      </w:r>
      <w:r>
        <w:t xml:space="preserve">increased fragmentation of the market and in Member States putting up new or</w:t>
      </w:r>
      <w:r>
        <w:t xml:space="preserve"> </w:t>
      </w:r>
      <w:r>
        <w:t xml:space="preserve">strengthened barriers146. The interviewed stakeholders state that insufficient market</w:t>
      </w:r>
      <w:r>
        <w:t xml:space="preserve"> </w:t>
      </w:r>
      <w:r>
        <w:t xml:space="preserve">surveillance and enforcement prevents benefits in terms of opening up markets and</w:t>
      </w:r>
      <w:r>
        <w:t xml:space="preserve"> </w:t>
      </w:r>
      <w:r>
        <w:t xml:space="preserve">levelling the playing field for competitors from materialising fully147. Also, a</w:t>
      </w:r>
      <w:r>
        <w:t xml:space="preserve"> </w:t>
      </w:r>
      <w:r>
        <w:t xml:space="preserve">deterioration in the market surveillance situation can lead to market distortion and</w:t>
      </w:r>
    </w:p>
    <w:p>
      <w:pPr>
        <w:pStyle w:val="BodyText"/>
      </w:pPr>
      <w:r>
        <w:t xml:space="preserve">145 Sub-option D3 was developed after the company survey and the public consultation. Therefore, it is not</w:t>
      </w:r>
      <w:r>
        <w:t xml:space="preserve"> </w:t>
      </w:r>
      <w:r>
        <w:t xml:space="preserve">included here.</w:t>
      </w:r>
      <w:r>
        <w:br/>
      </w:r>
      <w:r>
        <w:t xml:space="preserve">146 Evaluation of Regulation (EU) No 305/2011 laying down harmonised conditions for the marketing of</w:t>
      </w:r>
      <w:r>
        <w:t xml:space="preserve"> </w:t>
      </w:r>
      <w:r>
        <w:t xml:space="preserve">construction products and repealing Council Directive 89/106/EEC, SWD(2019)1770, p.44.</w:t>
      </w:r>
      <w:r>
        <w:t xml:space="preserve"> </w:t>
      </w:r>
      <w:r>
        <w:t xml:space="preserve">147 VVA Economics &amp; Policy, Joint Institute for Innovation Policy (JIIP), Danish Technological Institute</w:t>
      </w:r>
      <w:r>
        <w:t xml:space="preserve"> </w:t>
      </w:r>
      <w:r>
        <w:t xml:space="preserve">(DTI), Global Data Collection Company (2018). Supporting study for the Review of the Construction</w:t>
      </w:r>
      <w:r>
        <w:t xml:space="preserve"> </w:t>
      </w:r>
      <w:r>
        <w:t xml:space="preserve">Products Regulation: Evaluation, p. 84.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mistrust in the system among economic operators. A lack of trust is one of the many</w:t>
      </w:r>
      <w:r>
        <w:t xml:space="preserve"> </w:t>
      </w:r>
      <w:r>
        <w:t xml:space="preserve">obstacles that could lead to negative impacts on cross-border trade.</w:t>
      </w:r>
      <w:r>
        <w:br/>
      </w:r>
      <w:r>
        <w:t xml:space="preserve">In the 2018 study, this option was assessed negatively with regard to all assessment</w:t>
      </w:r>
      <w:r>
        <w:t xml:space="preserve"> </w:t>
      </w:r>
      <w:r>
        <w:t xml:space="preserve">parameters. Most stakeholders (companies, technical bodies, public authorities) think it</w:t>
      </w:r>
      <w:r>
        <w:t xml:space="preserve"> </w:t>
      </w:r>
      <w:r>
        <w:t xml:space="preserve">would produce negative impacts, resulting in compliance cost increases and a reduction</w:t>
      </w:r>
      <w:r>
        <w:t xml:space="preserve"> </w:t>
      </w:r>
      <w:r>
        <w:t xml:space="preserve">in market opportunities for companies. While the impact on product quality is uncertain,</w:t>
      </w:r>
      <w:r>
        <w:t xml:space="preserve"> </w:t>
      </w:r>
      <w:r>
        <w:t xml:space="preserve">respondents believe the repeal would be detrimental for product information, surveillance</w:t>
      </w:r>
      <w:r>
        <w:t xml:space="preserve"> </w:t>
      </w:r>
      <w:r>
        <w:t xml:space="preserve">and enforcements costs148. Many respondents stated in free text that a repeal of the CPR</w:t>
      </w:r>
      <w:r>
        <w:t xml:space="preserve"> </w:t>
      </w:r>
      <w:r>
        <w:t xml:space="preserve">would lead to a collapse of the EU Single Market for construction products149. In the</w:t>
      </w:r>
      <w:r>
        <w:t xml:space="preserve"> </w:t>
      </w:r>
      <w:r>
        <w:t xml:space="preserve">online survey, one market surveillance authority said that “the fact that mutual</w:t>
      </w:r>
      <w:r>
        <w:t xml:space="preserve"> </w:t>
      </w:r>
      <w:r>
        <w:t xml:space="preserve">recognition didn’t work was the very reason why the CPD was introduced in 1989;</w:t>
      </w:r>
      <w:r>
        <w:t xml:space="preserve"> </w:t>
      </w:r>
      <w:r>
        <w:t xml:space="preserve">mutual recognition was not strong enough a tool to eliminate barriers to trade.”150</w:t>
      </w:r>
      <w:r>
        <w:br/>
      </w:r>
      <w:r>
        <w:t xml:space="preserve">Based on the company phone survey, it is estimated that this option could lead to</w:t>
      </w:r>
      <w:r>
        <w:t xml:space="preserve"> </w:t>
      </w:r>
      <w:r>
        <w:t xml:space="preserve">negligible cost increases (&lt;1,000 EUR per annum) per manufacturer for manufacturers</w:t>
      </w:r>
      <w:r>
        <w:t xml:space="preserve"> </w:t>
      </w:r>
      <w:r>
        <w:t xml:space="preserve">across all size groups. For the manufacturing sector, option E could result in cost</w:t>
      </w:r>
      <w:r>
        <w:t xml:space="preserve"> </w:t>
      </w:r>
      <w:r>
        <w:t xml:space="preserve">increases of between EUR 5.6 million and EUR 6.4 million per annum (not reflecting the</w:t>
      </w:r>
      <w:r>
        <w:t xml:space="preserve"> </w:t>
      </w:r>
      <w:r>
        <w:t xml:space="preserve">costs of the market fragmentation).151 However, the few respondents who prefer variants</w:t>
      </w:r>
      <w:r>
        <w:t xml:space="preserve"> </w:t>
      </w:r>
      <w:r>
        <w:t xml:space="preserve">of option E expect it primarily to lead to a small decrease in administrative burden152.</w:t>
      </w:r>
      <w:r>
        <w:br/>
      </w:r>
      <w:r>
        <w:t xml:space="preserve">Social Impact</w:t>
      </w:r>
      <w:r>
        <w:t xml:space="preserve"> </w:t>
      </w:r>
      <w:r>
        <w:t xml:space="preserve">The results from the online survey confirm that all stakeholder groups consider this</w:t>
      </w:r>
      <w:r>
        <w:t xml:space="preserve"> </w:t>
      </w:r>
      <w:r>
        <w:t xml:space="preserve">option to produce either very little change (i.e. product quality) or have a negative impact</w:t>
      </w:r>
      <w:r>
        <w:t xml:space="preserve"> </w:t>
      </w:r>
      <w:r>
        <w:t xml:space="preserve">on health and safety (72%)153. Negative effects on health and safety would manifest in a</w:t>
      </w:r>
      <w:r>
        <w:t xml:space="preserve"> </w:t>
      </w:r>
      <w:r>
        <w:t xml:space="preserve">higher number of grave accidents, with associated negative social consequences. Further,</w:t>
      </w:r>
      <w:r>
        <w:t xml:space="preserve"> </w:t>
      </w:r>
      <w:r>
        <w:t xml:space="preserve">the deterioration in the level of safety might increase the risk of safety hazards for end</w:t>
      </w:r>
      <w:r>
        <w:t xml:space="preserve"> </w:t>
      </w:r>
      <w:r>
        <w:t xml:space="preserve">users.</w:t>
      </w:r>
    </w:p>
    <w:p>
      <w:pPr>
        <w:pStyle w:val="BodyText"/>
      </w:pPr>
      <w:r>
        <w:t xml:space="preserve">148 VVA Economics &amp; Policy, Joint Institute for Innovation Policy (JIIP), Danish Technological Institute</w:t>
      </w:r>
      <w:r>
        <w:t xml:space="preserve"> </w:t>
      </w:r>
      <w:r>
        <w:t xml:space="preserve">(DTI), Global Data Collection Company (2018). Supporting study for the Review of the Construction</w:t>
      </w:r>
      <w:r>
        <w:t xml:space="preserve"> </w:t>
      </w:r>
      <w:r>
        <w:t xml:space="preserve">Products Regulation: Impact Assessment, p. 99, p.104.</w:t>
      </w:r>
      <w:r>
        <w:t xml:space="preserve"> </w:t>
      </w:r>
      <w:r>
        <w:t xml:space="preserve">149 Copenhagen Economics (CE), Danish Technological Institute (DTI) and Office for Economic Policy</w:t>
      </w:r>
      <w:r>
        <w:t xml:space="preserve"> </w:t>
      </w:r>
      <w:r>
        <w:t xml:space="preserve">and Regional Development Ltd. (EPRD) (2021). Supporting study for the impact assessment of the CPR</w:t>
      </w:r>
      <w:r>
        <w:t xml:space="preserve"> </w:t>
      </w:r>
      <w:r>
        <w:t xml:space="preserve">Review. Annexes: First Findings report, page 143.</w:t>
      </w:r>
      <w:r>
        <w:t xml:space="preserve"> </w:t>
      </w:r>
      <w:r>
        <w:t xml:space="preserve">150 VVA Economics &amp; Policy, Joint Institute for Innovation Policy (JIIP), Danish Technological Institute</w:t>
      </w:r>
      <w:r>
        <w:t xml:space="preserve"> </w:t>
      </w:r>
      <w:r>
        <w:t xml:space="preserve">(DTI), Global Data Collection Company (2018). Supporting study for the Review of the Construction</w:t>
      </w:r>
      <w:r>
        <w:t xml:space="preserve"> </w:t>
      </w:r>
      <w:r>
        <w:t xml:space="preserve">Products Regulation: Evaluation, p. 94.</w:t>
      </w:r>
      <w:r>
        <w:t xml:space="preserve"> </w:t>
      </w:r>
      <w:r>
        <w:t xml:space="preserve">151 VVA Economics &amp; Policy, Joint Institute for Innovation Policy (JIIP), Danish Technological Institute</w:t>
      </w:r>
      <w:r>
        <w:t xml:space="preserve"> </w:t>
      </w:r>
      <w:r>
        <w:t xml:space="preserve">(DTI), Global Data Collection Company (2018). Supporting study for the Review of the Construction</w:t>
      </w:r>
      <w:r>
        <w:t xml:space="preserve"> </w:t>
      </w:r>
      <w:r>
        <w:t xml:space="preserve">Products Regulation: Impact Assessment, p. 98.</w:t>
      </w:r>
      <w:r>
        <w:t xml:space="preserve"> </w:t>
      </w:r>
      <w:r>
        <w:t xml:space="preserve">152 Copenhagen Economics (CE), Danish Technological Institute (DTI) and Office for Economic Policy</w:t>
      </w:r>
      <w:r>
        <w:t xml:space="preserve"> </w:t>
      </w:r>
      <w:r>
        <w:t xml:space="preserve">and Regional Development Ltd. (EPRD) (2021). Supporting study for the impact assessment of the CPR</w:t>
      </w:r>
      <w:r>
        <w:t xml:space="preserve"> </w:t>
      </w:r>
      <w:r>
        <w:t xml:space="preserve">Review. Annexes: First Findings report, page 143.</w:t>
      </w:r>
      <w:r>
        <w:t xml:space="preserve"> </w:t>
      </w:r>
      <w:r>
        <w:t xml:space="preserve">153 VVA Economics &amp; Policy, Joint Institute for Innovation Policy (JIIP), Danish Technological Institute</w:t>
      </w:r>
      <w:r>
        <w:t xml:space="preserve"> </w:t>
      </w:r>
      <w:r>
        <w:t xml:space="preserve">(DTI), Global Data Collection Company (2018). Supporting study for the Review of the Construction</w:t>
      </w:r>
      <w:r>
        <w:t xml:space="preserve"> </w:t>
      </w:r>
      <w:r>
        <w:t xml:space="preserve">Products Regulation: Impact Assessment, p. 99.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The results from the online survey confirm that all stakeholder groups consider this</w:t>
      </w:r>
      <w:r>
        <w:t xml:space="preserve"> </w:t>
      </w:r>
      <w:r>
        <w:t xml:space="preserve">option to produce either very little change (i.e. product quality) or have a negative impact</w:t>
      </w:r>
      <w:r>
        <w:t xml:space="preserve"> </w:t>
      </w:r>
      <w:r>
        <w:t xml:space="preserve">on the environment (71%)154.</w:t>
      </w:r>
      <w:r>
        <w:t xml:space="preserve"> </w:t>
      </w:r>
      <w:r>
        <w:t xml:space="preserve">Ultimately, among the feedback received on the Refined indicative options paper, many</w:t>
      </w:r>
      <w:r>
        <w:t xml:space="preserve"> </w:t>
      </w:r>
      <w:r>
        <w:t xml:space="preserve">stakeholders, including business representatives, companies, technical bodies, NGOs etc.,</w:t>
      </w:r>
      <w:r>
        <w:t xml:space="preserve"> </w:t>
      </w:r>
      <w:r>
        <w:t xml:space="preserve">have voiced their negative views such as: “repealing the CPR, in addition to being a</w:t>
      </w:r>
      <w:r>
        <w:t xml:space="preserve"> </w:t>
      </w:r>
      <w:r>
        <w:t xml:space="preserve">significant step back for the safety of European Citizens, would be a missed opportunity</w:t>
      </w:r>
      <w:r>
        <w:t xml:space="preserve"> </w:t>
      </w:r>
      <w:r>
        <w:t xml:space="preserve">to raise to the challenges of the European Green Deal”. Therefore, the environmental</w:t>
      </w:r>
      <w:r>
        <w:t xml:space="preserve"> </w:t>
      </w:r>
      <w:r>
        <w:t xml:space="preserve">sustainability would have to be addressed by the SPI.</w:t>
      </w:r>
      <w:r>
        <w:br/>
      </w:r>
      <w:r>
        <w:t xml:space="preserve">Stakeholders’ views</w:t>
      </w:r>
      <w:r>
        <w:t xml:space="preserve"> </w:t>
      </w:r>
      <w:r>
        <w:t xml:space="preserve">Among all responses received during the public consultation and the company survey,</w:t>
      </w:r>
      <w:r>
        <w:t xml:space="preserve"> </w:t>
      </w:r>
      <w:r>
        <w:t xml:space="preserve">option E was considered as preferred option by the lowest share of respondents, in all</w:t>
      </w:r>
      <w:r>
        <w:t xml:space="preserve"> </w:t>
      </w:r>
      <w:r>
        <w:t xml:space="preserve">stakeholder groups and across all sub-options155. This reflects the adverse consequences</w:t>
      </w:r>
      <w:r>
        <w:t xml:space="preserve"> </w:t>
      </w:r>
      <w:r>
        <w:t xml:space="preserve">to which repealing the CPR could potentially lead.</w:t>
      </w:r>
      <w:r>
        <w:t xml:space="preserve"> </w:t>
      </w:r>
      <w:r>
        <w:t xml:space="preserve">Further, stakeholders expected that option E would have limited or no impact on key</w:t>
      </w:r>
      <w:r>
        <w:t xml:space="preserve"> </w:t>
      </w:r>
      <w:r>
        <w:t xml:space="preserve">parameters except for some expecting a reduction in the administrative burden (although</w:t>
      </w:r>
      <w:r>
        <w:t xml:space="preserve"> </w:t>
      </w:r>
      <w:r>
        <w:t xml:space="preserve">it should be kept in mind that this is based on replies from respondents preferring option</w:t>
      </w:r>
      <w:r>
        <w:t xml:space="preserve"> </w:t>
      </w:r>
      <w:r>
        <w:t xml:space="preserve">E). Moreover, it is important to acknowledge that companies who have cross-border</w:t>
      </w:r>
      <w:r>
        <w:t xml:space="preserve"> </w:t>
      </w:r>
      <w:r>
        <w:t xml:space="preserve">trade would have to comply with the national legislations of each country they trade with,</w:t>
      </w:r>
      <w:r>
        <w:t xml:space="preserve"> </w:t>
      </w:r>
      <w:r>
        <w:t xml:space="preserve">resulting in an increase in administrative burdens for them. However, while</w:t>
      </w:r>
      <w:r>
        <w:t xml:space="preserve"> </w:t>
      </w:r>
      <w:r>
        <w:t xml:space="preserve">administrative burdens directly associated with the CPR would disappear, other cost</w:t>
      </w:r>
      <w:r>
        <w:t xml:space="preserve"> </w:t>
      </w:r>
      <w:r>
        <w:t xml:space="preserve">factors (or even market losses) were considered likely to emerge.</w:t>
      </w:r>
    </w:p>
    <w:p>
      <w:pPr>
        <w:pStyle w:val="BodyText"/>
      </w:pPr>
      <w:r>
        <w:t xml:space="preserve">154 VVA Economics &amp; Policy, Joint Institute for Innovation Policy (JIIP), Danish Technological Institute</w:t>
      </w:r>
      <w:r>
        <w:t xml:space="preserve"> </w:t>
      </w:r>
      <w:r>
        <w:t xml:space="preserve">(DTI), Global Data Collection Company (2018). Supporting study for the Review of the Construction</w:t>
      </w:r>
      <w:r>
        <w:t xml:space="preserve"> </w:t>
      </w:r>
      <w:r>
        <w:t xml:space="preserve">Products Regulation: Impact Assessment, p. 99.</w:t>
      </w:r>
      <w:r>
        <w:t xml:space="preserve"> </w:t>
      </w:r>
      <w:r>
        <w:t xml:space="preserve">155 See Annex 2 on consultation activities.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8.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8.1.</w:t>
      </w:r>
      <w:r>
        <w:t xml:space="preserve"> </w:t>
      </w:r>
      <w:r>
        <w:t xml:space="preserve">Comparison of the options</w:t>
      </w:r>
      <w:r>
        <w:t xml:space="preserve"> </w:t>
      </w:r>
      <w:r>
        <w:t xml:space="preserve">This chapter provides an overview of the effectiveness and efficiency of the policy</w:t>
      </w:r>
      <w:r>
        <w:t xml:space="preserve"> </w:t>
      </w:r>
      <w:r>
        <w:t xml:space="preserve">options with regards to the specific objectives that triggered the initiative.</w:t>
      </w:r>
      <w:r>
        <w:t xml:space="preserve"> </w:t>
      </w:r>
      <w:r>
        <w:t xml:space="preserve">The three key assessment criteria are understood as follows156:</w:t>
      </w:r>
      <w:r>
        <w:t xml:space="preserve"> </w:t>
      </w:r>
      <w:r>
        <w:t xml:space="preserve"> Effectiveness: the degree to which the policy options allow achieving the general</w:t>
      </w:r>
      <w:r>
        <w:t xml:space="preserve"> </w:t>
      </w:r>
      <w:r>
        <w:t xml:space="preserve">and specific objectives;</w:t>
      </w:r>
      <w:r>
        <w:t xml:space="preserve"> </w:t>
      </w:r>
      <w:r>
        <w:t xml:space="preserve"> Efficiency: the likely costs and benefits of the policy options on different</w:t>
      </w:r>
      <w:r>
        <w:t xml:space="preserve"> </w:t>
      </w:r>
      <w:r>
        <w:t xml:space="preserve">stakeholders;</w:t>
      </w:r>
      <w:r>
        <w:t xml:space="preserve"> </w:t>
      </w:r>
      <w:r>
        <w:t xml:space="preserve"> Coherence: the fitting of the goals of other legislations and initiatives.</w:t>
      </w:r>
      <w:r>
        <w:t xml:space="preserve"> </w:t>
      </w:r>
      <w:r>
        <w:t xml:space="preserve">Table 2 summarises the effectiveness of the policy options in terms of achieving the</w:t>
      </w:r>
      <w:r>
        <w:t xml:space="preserve"> </w:t>
      </w:r>
      <w:r>
        <w:t xml:space="preserve">specific objectives.</w:t>
      </w:r>
      <w:r>
        <w:t xml:space="preserve"> </w:t>
      </w:r>
      <w:r>
        <w:t xml:space="preserve">Table 2: Effectiveness of the policy options against the specific objectives</w:t>
      </w:r>
    </w:p>
    <w:p>
      <w:pPr>
        <w:pStyle w:val="BodyText"/>
      </w:pPr>
      <w:r>
        <w:t xml:space="preserve">Unblocking</w:t>
      </w:r>
      <w:r>
        <w:t xml:space="preserve"> </w:t>
      </w:r>
      <w:r>
        <w:t xml:space="preserve">the technical</w:t>
      </w:r>
      <w:r>
        <w:t xml:space="preserve"> </w:t>
      </w:r>
      <w:r>
        <w:t xml:space="preserve">harmonisation</w:t>
      </w:r>
      <w:r>
        <w:t xml:space="preserve"> </w:t>
      </w:r>
      <w:r>
        <w:t xml:space="preserve">system</w:t>
      </w:r>
      <w:r>
        <w:t xml:space="preserve"> </w:t>
      </w:r>
      <w:r>
        <w:t xml:space="preserve">Reducing</w:t>
      </w:r>
      <w:r>
        <w:t xml:space="preserve"> </w:t>
      </w:r>
      <w:r>
        <w:t xml:space="preserve">national</w:t>
      </w:r>
      <w:r>
        <w:t xml:space="preserve"> </w:t>
      </w:r>
      <w:r>
        <w:t xml:space="preserve">barriers</w:t>
      </w:r>
      <w:r>
        <w:t xml:space="preserve"> </w:t>
      </w:r>
      <w:r>
        <w:t xml:space="preserve">to trade</w:t>
      </w:r>
      <w:r>
        <w:t xml:space="preserve"> </w:t>
      </w:r>
      <w:r>
        <w:t xml:space="preserve">for</w:t>
      </w:r>
      <w:r>
        <w:t xml:space="preserve"> </w:t>
      </w:r>
      <w:r>
        <w:t xml:space="preserve">products</w:t>
      </w:r>
      <w:r>
        <w:t xml:space="preserve"> </w:t>
      </w:r>
      <w:r>
        <w:t xml:space="preserve">covered</w:t>
      </w:r>
      <w:r>
        <w:t xml:space="preserve"> </w:t>
      </w:r>
      <w:r>
        <w:t xml:space="preserve">by the</w:t>
      </w:r>
      <w:r>
        <w:t xml:space="preserve"> </w:t>
      </w:r>
      <w:r>
        <w:t xml:space="preserve">CPR</w:t>
      </w:r>
      <w:r>
        <w:t xml:space="preserve"> </w:t>
      </w:r>
      <w:r>
        <w:t xml:space="preserve">Improving</w:t>
      </w:r>
      <w:r>
        <w:t xml:space="preserve"> </w:t>
      </w:r>
      <w:r>
        <w:t xml:space="preserve">enforcement and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Improving</w:t>
      </w:r>
      <w:r>
        <w:t xml:space="preserve"> </w:t>
      </w:r>
      <w:r>
        <w:t xml:space="preserve">simplification,</w:t>
      </w:r>
      <w:r>
        <w:t xml:space="preserve"> </w:t>
      </w:r>
      <w:r>
        <w:t xml:space="preserve">clarity and</w:t>
      </w:r>
      <w:r>
        <w:t xml:space="preserve"> </w:t>
      </w:r>
      <w:r>
        <w:t xml:space="preserve">reducing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Ensure safe</w:t>
      </w:r>
      <w:r>
        <w:t xml:space="preserve"> </w:t>
      </w:r>
      <w:r>
        <w:t xml:space="preserve">construction</w:t>
      </w:r>
      <w:r>
        <w:t xml:space="preserve"> </w:t>
      </w:r>
      <w:r>
        <w:t xml:space="preserve">products</w:t>
      </w:r>
      <w:r>
        <w:t xml:space="preserve"> </w:t>
      </w:r>
      <w:r>
        <w:t xml:space="preserve">Contributing to</w:t>
      </w:r>
      <w:r>
        <w:t xml:space="preserve"> </w:t>
      </w:r>
      <w:r>
        <w:t xml:space="preserve">the reduction of</w:t>
      </w:r>
      <w:r>
        <w:t xml:space="preserve"> </w:t>
      </w:r>
      <w:r>
        <w:t xml:space="preserve">the climate 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 of</w:t>
      </w:r>
      <w:r>
        <w:t xml:space="preserve"> </w:t>
      </w:r>
      <w:r>
        <w:t xml:space="preserve">construction</w:t>
      </w:r>
      <w:r>
        <w:t xml:space="preserve"> </w:t>
      </w:r>
      <w:r>
        <w:t xml:space="preserve">products</w:t>
      </w:r>
      <w:r>
        <w:br/>
      </w:r>
      <w:r>
        <w:t xml:space="preserve">Net effect</w:t>
      </w:r>
      <w:r>
        <w:t xml:space="preserve"> </w:t>
      </w:r>
      <w:r>
        <w:t xml:space="preserve">Option</w:t>
      </w:r>
      <w:r>
        <w:t xml:space="preserve"> </w:t>
      </w:r>
      <w:r>
        <w:t xml:space="preserve">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</w:t>
      </w:r>
      <w:r>
        <w:t xml:space="preserve"> </w:t>
      </w:r>
      <w:r>
        <w:t xml:space="preserve">B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</w:t>
      </w:r>
      <w:r>
        <w:t xml:space="preserve"> </w:t>
      </w:r>
      <w:r>
        <w:t xml:space="preserve">C1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</w:t>
      </w:r>
      <w:r>
        <w:t xml:space="preserve"> </w:t>
      </w:r>
      <w:r>
        <w:t xml:space="preserve">C2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-/+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</w:t>
      </w:r>
      <w:r>
        <w:t xml:space="preserve"> </w:t>
      </w:r>
      <w:r>
        <w:t xml:space="preserve">C3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Option</w:t>
      </w:r>
      <w:r>
        <w:t xml:space="preserve"> </w:t>
      </w:r>
      <w:r>
        <w:t xml:space="preserve">C1-C3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Option</w:t>
      </w:r>
      <w:r>
        <w:t xml:space="preserve"> </w:t>
      </w:r>
      <w:r>
        <w:t xml:space="preserve">D1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Option</w:t>
      </w:r>
      <w:r>
        <w:t xml:space="preserve"> </w:t>
      </w:r>
      <w:r>
        <w:t xml:space="preserve">D2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Option</w:t>
      </w:r>
      <w:r>
        <w:t xml:space="preserve"> </w:t>
      </w:r>
      <w:r>
        <w:t xml:space="preserve">D3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Option</w:t>
      </w:r>
      <w:r>
        <w:t xml:space="preserve"> </w:t>
      </w:r>
      <w:r>
        <w:t xml:space="preserve">E</w:t>
      </w:r>
      <w:r>
        <w:t xml:space="preserve"> </w:t>
      </w:r>
      <w:r>
        <w:t xml:space="preserve">+++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—</w:t>
      </w:r>
      <w:r>
        <w:t xml:space="preserve"> </w:t>
      </w:r>
      <w:r>
        <w:t xml:space="preserve">—</w:t>
      </w:r>
      <w:r>
        <w:t xml:space="preserve"> </w:t>
      </w:r>
      <w:r>
        <w:t xml:space="preserve">–</w:t>
      </w:r>
      <w:r>
        <w:t xml:space="preserve"> </w:t>
      </w:r>
      <w:r>
        <w:t xml:space="preserve">Legend: 0- almost no impact/no change; + reduced positive impact; ++ positive impact; ++ very</w:t>
      </w:r>
      <w:r>
        <w:t xml:space="preserve"> </w:t>
      </w:r>
      <w:r>
        <w:t xml:space="preserve">positive impact; - reduced negative impact; – negative impact; — very negative impact</w:t>
      </w:r>
    </w:p>
    <w:p>
      <w:pPr>
        <w:pStyle w:val="BodyText"/>
      </w:pPr>
      <w:r>
        <w:t xml:space="preserve">156 Better regulation guidelines. https://ec.europa.eu/info/law/law-making-process/planning-and-proposing-</w:t>
      </w:r>
      <w:r>
        <w:t xml:space="preserve"> </w:t>
      </w:r>
      <w:r>
        <w:t xml:space="preserve">law/better-regulation-why-and-how/better-regulation-guidelines-and-toolbox_en.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The following Table 3 presents an overview of the policy options in terms of</w:t>
      </w:r>
      <w:r>
        <w:t xml:space="preserve"> </w:t>
      </w:r>
      <w:r>
        <w:t xml:space="preserve">effectiveness (how each option achieves the specific objectives), efficiency (cost-benefit</w:t>
      </w:r>
      <w:r>
        <w:t xml:space="preserve"> </w:t>
      </w:r>
      <w:r>
        <w:t xml:space="preserve">analysis) and coherence with other pieces of the EU law.</w:t>
      </w:r>
      <w:r>
        <w:t xml:space="preserve"> </w:t>
      </w:r>
      <w:r>
        <w:t xml:space="preserve">Table 3: comparison of the policy options against the Better Regulation criteria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Option 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B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C1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C2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C3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C1-C3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D1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Option D2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Option D3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Option E</w:t>
      </w:r>
      <w:r>
        <w:t xml:space="preserve"> </w:t>
      </w:r>
      <w:r>
        <w:t xml:space="preserve">–</w:t>
      </w:r>
      <w:r>
        <w:t xml:space="preserve"> </w:t>
      </w:r>
      <w:r>
        <w:t xml:space="preserve">—</w:t>
      </w:r>
      <w:r>
        <w:t xml:space="preserve"> </w:t>
      </w:r>
      <w:r>
        <w:t xml:space="preserve">—</w:t>
      </w:r>
      <w:r>
        <w:t xml:space="preserve"> </w:t>
      </w:r>
      <w:r>
        <w:t xml:space="preserve">Legend: 0- almost no impact/no change; + reduced positive impact; ++ positive impact; ++ very</w:t>
      </w:r>
      <w:r>
        <w:t xml:space="preserve"> </w:t>
      </w:r>
      <w:r>
        <w:t xml:space="preserve">positive impact; - reduced negative impact; – negative impact; — very negative impact</w:t>
      </w:r>
      <w:r>
        <w:t xml:space="preserve"> </w:t>
      </w:r>
      <w:r>
        <w:t xml:space="preserve">Effectiveness</w:t>
      </w:r>
      <w:r>
        <w:t xml:space="preserve"> </w:t>
      </w:r>
      <w:r>
        <w:t xml:space="preserve">In terms of harmonisation and reduction of national barriers to trade, a fully</w:t>
      </w:r>
      <w:r>
        <w:t xml:space="preserve"> </w:t>
      </w:r>
      <w:r>
        <w:t xml:space="preserve">operational CPR under Option B will provide better clarification of the scope of</w:t>
      </w:r>
      <w:r>
        <w:t xml:space="preserve"> </w:t>
      </w:r>
      <w:r>
        <w:t xml:space="preserve">harmonised sphere at the EU level, address the current underperformance of</w:t>
      </w:r>
      <w:r>
        <w:t xml:space="preserve"> </w:t>
      </w:r>
      <w:r>
        <w:t xml:space="preserve">standardisation system and prevent national requirements. In this sense it outperforms</w:t>
      </w:r>
      <w:r>
        <w:t xml:space="preserve"> </w:t>
      </w:r>
      <w:r>
        <w:t xml:space="preserve">Option C (where the CPR would cover less aspects than under option B, hence more</w:t>
      </w:r>
      <w:r>
        <w:t xml:space="preserve"> </w:t>
      </w:r>
      <w:r>
        <w:t xml:space="preserve">national provisions would create obstacles), but is less effective than Option D which, on</w:t>
      </w:r>
      <w:r>
        <w:t xml:space="preserve"> </w:t>
      </w:r>
      <w:r>
        <w:t xml:space="preserve">top of addressing the current issues also adds product requirements; as such, Option D</w:t>
      </w:r>
      <w:r>
        <w:t xml:space="preserve"> </w:t>
      </w:r>
      <w:r>
        <w:t xml:space="preserve">will provide an even stronger level of harmonisation, contributing to improved free</w:t>
      </w:r>
      <w:r>
        <w:t xml:space="preserve"> </w:t>
      </w:r>
      <w:r>
        <w:t xml:space="preserve">circulation of construction products. Option E would eliminate the harmonisation as no</w:t>
      </w:r>
      <w:r>
        <w:t xml:space="preserve"> </w:t>
      </w:r>
      <w:r>
        <w:t xml:space="preserve">regulatory framework at EU level would be set.</w:t>
      </w:r>
      <w:r>
        <w:t xml:space="preserve"> </w:t>
      </w:r>
      <w:r>
        <w:t xml:space="preserve">In terms of market surveillance and enforcement, simplification and legal clarity</w:t>
      </w:r>
      <w:r>
        <w:t xml:space="preserve"> </w:t>
      </w:r>
      <w:r>
        <w:t xml:space="preserve">Options B, C and D have a similar degree of effectiveness, because they build on the</w:t>
      </w:r>
      <w:r>
        <w:t xml:space="preserve"> </w:t>
      </w:r>
      <w:r>
        <w:t xml:space="preserve">same set of measures as explained previously for Option B. In particular, option D has</w:t>
      </w:r>
      <w:r>
        <w:t xml:space="preserve"> </w:t>
      </w:r>
      <w:r>
        <w:t xml:space="preserve">the highest degree of effectiveness, followed by option B, and then option C. Option E</w:t>
      </w:r>
      <w:r>
        <w:t xml:space="preserve"> </w:t>
      </w:r>
      <w:r>
        <w:t xml:space="preserve">would imply repealing of the regulatory framework at the EU level, hence addressing the</w:t>
      </w:r>
      <w:r>
        <w:t xml:space="preserve"> </w:t>
      </w:r>
      <w:r>
        <w:t xml:space="preserve">above specific objectives is not feasible.</w:t>
      </w:r>
      <w:r>
        <w:br/>
      </w:r>
      <w:r>
        <w:t xml:space="preserve">In terms of contributing to the reduction of the climate and environmental impact of</w:t>
      </w:r>
      <w:r>
        <w:t xml:space="preserve"> </w:t>
      </w:r>
      <w:r>
        <w:t xml:space="preserve">construction products, Option D offers the possibility to create inherent environmental</w:t>
      </w:r>
      <w:r>
        <w:t xml:space="preserve"> </w:t>
      </w:r>
      <w:r>
        <w:t xml:space="preserve">product requirements, making the regulatory system complete: construction works</w:t>
      </w:r>
      <w:r>
        <w:t xml:space="preserve"> </w:t>
      </w:r>
      <w:r>
        <w:t xml:space="preserve">related environmental performance aspects can already now be regulated by thresholds,</w:t>
      </w:r>
      <w:r>
        <w:t xml:space="preserve"> </w:t>
      </w:r>
      <w:r>
        <w:t xml:space="preserve">but not the inherent environmental aspects. Effectiveness of this option in terms of</w:t>
      </w:r>
      <w:r>
        <w:t xml:space="preserve"> </w:t>
      </w:r>
      <w:r>
        <w:t xml:space="preserve">environment is thus highest, as compared with other options.</w:t>
      </w:r>
      <w:r>
        <w:br/>
      </w:r>
      <w:r>
        <w:t xml:space="preserve">Moreover, the impacts in terms of effectiveness of option D in the context of pursuing</w:t>
      </w:r>
      <w:r>
        <w:t xml:space="preserve"> </w:t>
      </w:r>
      <w:r>
        <w:t xml:space="preserve">the political objectives set by initiatives related to sustainability of products should be</w:t>
      </w:r>
      <w:r>
        <w:t xml:space="preserve"> </w:t>
      </w:r>
      <w:r>
        <w:t xml:space="preserve">considered as very significant, even against possible costs related to the implementation</w:t>
      </w:r>
      <w:r>
        <w:t xml:space="preserve"> </w:t>
      </w:r>
      <w:r>
        <w:t xml:space="preserve">of this option. As construction products absorb more than 40% of all raw materials in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terms of quantity, the revised CPR will have a systemic impact on the European Green</w:t>
      </w:r>
      <w:r>
        <w:t xml:space="preserve"> </w:t>
      </w:r>
      <w:r>
        <w:t xml:space="preserve">Deal and Circular Economy Action Plan as such. This not just by a possibility to</w:t>
      </w:r>
      <w:r>
        <w:t xml:space="preserve"> </w:t>
      </w:r>
      <w:r>
        <w:t xml:space="preserve">determine a minimum quota of recycled materials to be used, but also by many other</w:t>
      </w:r>
      <w:r>
        <w:t xml:space="preserve"> </w:t>
      </w:r>
      <w:r>
        <w:t xml:space="preserve">fine-tuned, product-specific requirements still to be developed under the future</w:t>
      </w:r>
      <w:r>
        <w:t xml:space="preserve"> </w:t>
      </w:r>
      <w:r>
        <w:t xml:space="preserve">Commission acts and technical specifications. The uptake of progressive, environment-</w:t>
      </w:r>
      <w:r>
        <w:t xml:space="preserve"> </w:t>
      </w:r>
      <w:r>
        <w:t xml:space="preserve">friendly regulatory solutions in the CPR is thus crucial for the success of the EGD and</w:t>
      </w:r>
      <w:r>
        <w:t xml:space="preserve"> </w:t>
      </w:r>
      <w:r>
        <w:t xml:space="preserve">the CEAP.</w:t>
      </w:r>
      <w:r>
        <w:br/>
      </w:r>
      <w:r>
        <w:t xml:space="preserve">In contrast, option A can hardly address the sustainability aspects, option C only partly.</w:t>
      </w:r>
      <w:r>
        <w:t xml:space="preserve"> </w:t>
      </w:r>
      <w:r>
        <w:t xml:space="preserve">Option B is less effective than option D as it does not foresee the possibility of</w:t>
      </w:r>
      <w:r>
        <w:t xml:space="preserve"> </w:t>
      </w:r>
      <w:r>
        <w:t xml:space="preserve">introducing inherent product requirements. Therefore, options A, B and C would rely on</w:t>
      </w:r>
      <w:r>
        <w:t xml:space="preserve"> </w:t>
      </w:r>
      <w:r>
        <w:t xml:space="preserve">the SPI taking over – at least partially – to reach the same ambition in a less effective</w:t>
      </w:r>
      <w:r>
        <w:t xml:space="preserve"> </w:t>
      </w:r>
      <w:r>
        <w:t xml:space="preserve">way.</w:t>
      </w:r>
      <w:r>
        <w:t xml:space="preserve"> </w:t>
      </w:r>
      <w:r>
        <w:t xml:space="preserve">In terms of ensuring safe construction products, Option D offers the possibility to</w:t>
      </w:r>
      <w:r>
        <w:t xml:space="preserve"> </w:t>
      </w:r>
      <w:r>
        <w:t xml:space="preserve">create inherent safety product requirements, making the regulatory system complete:</w:t>
      </w:r>
      <w:r>
        <w:t xml:space="preserve"> </w:t>
      </w:r>
      <w:r>
        <w:t xml:space="preserve">safety performance aspects related to construction works can already now be regulated</w:t>
      </w:r>
      <w:r>
        <w:t xml:space="preserve"> </w:t>
      </w:r>
      <w:r>
        <w:t xml:space="preserve">by thresholds (e.g. smoke detectors), but not the inherent safety aspects (e.g. need for an</w:t>
      </w:r>
      <w:r>
        <w:t xml:space="preserve"> </w:t>
      </w:r>
      <w:r>
        <w:t xml:space="preserve">anti-entrapment device in a door). Effectiveness of this option in terms of product safety</w:t>
      </w:r>
      <w:r>
        <w:t xml:space="preserve"> </w:t>
      </w:r>
      <w:r>
        <w:t xml:space="preserve">is thus highest, as compared with other options.</w:t>
      </w:r>
      <w:r>
        <w:br/>
      </w:r>
      <w:r>
        <w:t xml:space="preserve">Efficiency</w:t>
      </w:r>
      <w:r>
        <w:t xml:space="preserve"> </w:t>
      </w:r>
      <w:r>
        <w:t xml:space="preserve">In terms of costs and benefits, the study supporting the Impact Assessment estimated that</w:t>
      </w:r>
      <w:r>
        <w:t xml:space="preserve"> </w:t>
      </w:r>
      <w:r>
        <w:t xml:space="preserve">Option B is most efficient. This estimate should be considered with a great degree of</w:t>
      </w:r>
      <w:r>
        <w:t xml:space="preserve"> </w:t>
      </w:r>
      <w:r>
        <w:t xml:space="preserve">caution as it was based on the feedback from consulted stakeholders and often limited in</w:t>
      </w:r>
      <w:r>
        <w:t xml:space="preserve"> </w:t>
      </w:r>
      <w:r>
        <w:t xml:space="preserve">terms of representativeness, due to limited number of responses received. Negative</w:t>
      </w:r>
      <w:r>
        <w:t xml:space="preserve"> </w:t>
      </w:r>
      <w:r>
        <w:t xml:space="preserve">impacts in terms of efficiency of Option D were considered to be driven particularly by</w:t>
      </w:r>
      <w:r>
        <w:t xml:space="preserve"> </w:t>
      </w:r>
      <w:r>
        <w:t xml:space="preserve">the expected increase of costs incurred due to the regulatory change from baseline to</w:t>
      </w:r>
      <w:r>
        <w:t xml:space="preserve"> </w:t>
      </w:r>
      <w:r>
        <w:t xml:space="preserve">Option D. However, it needs to be stressed that such concrete costs cannot be estimated</w:t>
      </w:r>
      <w:r>
        <w:t xml:space="preserve"> </w:t>
      </w:r>
      <w:r>
        <w:t xml:space="preserve">at this stage yet, because concrete product requirements would still need to be developed,</w:t>
      </w:r>
      <w:r>
        <w:t xml:space="preserve"> </w:t>
      </w:r>
      <w:r>
        <w:t xml:space="preserve">where relevant, at a later stage. A targeted assessment of the costs and benefits will only</w:t>
      </w:r>
      <w:r>
        <w:t xml:space="preserve"> </w:t>
      </w:r>
      <w:r>
        <w:t xml:space="preserve">be feasible at that point. Furthermore, the study did not take account of the SPI. For</w:t>
      </w:r>
      <w:r>
        <w:t xml:space="preserve"> </w:t>
      </w:r>
      <w:r>
        <w:t xml:space="preserve">addressing the climate and environmental impact of construction products, option D is</w:t>
      </w:r>
      <w:r>
        <w:t xml:space="preserve"> </w:t>
      </w:r>
      <w:r>
        <w:t xml:space="preserve">much more efficient than a combination of the other options with the SPI. Therefore,</w:t>
      </w:r>
      <w:r>
        <w:t xml:space="preserve"> </w:t>
      </w:r>
      <w:r>
        <w:t xml:space="preserve">option D is considered as the most efficient option.</w:t>
      </w:r>
      <w:r>
        <w:br/>
      </w:r>
      <w:r>
        <w:t xml:space="preserve">Finally, it needs to be stressed that such concrete costs cannot be estimated at this stage</w:t>
      </w:r>
      <w:r>
        <w:t xml:space="preserve"> </w:t>
      </w:r>
      <w:r>
        <w:t xml:space="preserve">yet, because concrete product requirements would still need to be developed, where</w:t>
      </w:r>
      <w:r>
        <w:t xml:space="preserve"> </w:t>
      </w:r>
      <w:r>
        <w:t xml:space="preserve">relevant, at a later stage. A targeted assessment of the costs and benefits will only be</w:t>
      </w:r>
      <w:r>
        <w:t xml:space="preserve"> </w:t>
      </w:r>
      <w:r>
        <w:t xml:space="preserve">feasible at that point.</w:t>
      </w:r>
      <w:r>
        <w:br/>
      </w:r>
      <w:r>
        <w:t xml:space="preserve">Coherence</w:t>
      </w:r>
      <w:r>
        <w:br/>
      </w:r>
      <w:r>
        <w:t xml:space="preserve">In terms of coherency with other existing EU legislation, and as explained in the</w:t>
      </w:r>
      <w:r>
        <w:t xml:space="preserve"> </w:t>
      </w:r>
      <w:r>
        <w:t xml:space="preserve">Problems section (Problem 3), without any intervention, overlaps will continue to exist</w:t>
      </w:r>
      <w:r>
        <w:t xml:space="preserve"> </w:t>
      </w:r>
      <w:r>
        <w:t xml:space="preserve">and are expected to increase, particularly in relation to the future SPI. In addition, the</w:t>
      </w:r>
      <w:r>
        <w:t xml:space="preserve"> </w:t>
      </w:r>
      <w:r>
        <w:t xml:space="preserve">CPR framework could hardly address the goals of the EGD. Option B foresees</w:t>
      </w:r>
      <w:r>
        <w:t xml:space="preserve"> </w:t>
      </w:r>
      <w:r>
        <w:t xml:space="preserve">significant improvements in these respects, by addressing the scope of harmonisation,</w:t>
      </w:r>
      <w:r>
        <w:t xml:space="preserve"> </w:t>
      </w:r>
      <w:r>
        <w:t xml:space="preserve">providing for clear definitions and collision rules, thereby eliminating overlaps, except</w:t>
      </w:r>
      <w:r>
        <w:t xml:space="preserve"> </w:t>
      </w:r>
      <w:r>
        <w:t xml:space="preserve">with the SPI, or loopholes. It would also bring the CPR more in line with the EGD.</w:t>
      </w:r>
      <w:r>
        <w:t xml:space="preserve"> </w:t>
      </w:r>
      <w:r>
        <w:t xml:space="preserve">Option D, which builds on the measures foreseen in Option B, responds favourably to the</w:t>
      </w:r>
      <w:r>
        <w:t xml:space="preserve"> </w:t>
      </w:r>
      <w:r>
        <w:t xml:space="preserve">objectives of the EGD and CEAP, by anticipating, and – where relevant – contributing to</w:t>
      </w:r>
      <w:r>
        <w:t xml:space="preserve"> </w:t>
      </w:r>
      <w:r>
        <w:t xml:space="preserve">the actions stemming from linked policy initiatives. It becomes more pressing to avoid</w:t>
      </w:r>
      <w:r>
        <w:t xml:space="preserve"> </w:t>
      </w:r>
      <w:r>
        <w:t xml:space="preserve">overlapping requirements in the context of the SPI, expected to provide for the setting of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specific requirements linked to a list of aspects set out in the CEAP. Thus, Option D</w:t>
      </w:r>
      <w:r>
        <w:t xml:space="preserve"> </w:t>
      </w:r>
      <w:r>
        <w:t xml:space="preserve">offers the most coherent approach for a future-proof CPR. For more details on the CPR-</w:t>
      </w:r>
      <w:r>
        <w:t xml:space="preserve"> </w:t>
      </w:r>
      <w:r>
        <w:t xml:space="preserve">SPI interface, see Annex 11.</w:t>
      </w:r>
    </w:p>
    <w:p>
      <w:pPr>
        <w:pStyle w:val="BodyText"/>
      </w:pPr>
      <w:r>
        <w:t xml:space="preserve">8.2.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In light of the analysis in the previous chapters, Option D is considered the preferred</w:t>
      </w:r>
      <w:r>
        <w:t xml:space="preserve"> </w:t>
      </w:r>
      <w:r>
        <w:t xml:space="preserve">option, in particular in view of the objectives to be achieved. Option D provides the</w:t>
      </w:r>
      <w:r>
        <w:t xml:space="preserve"> </w:t>
      </w:r>
      <w:r>
        <w:t xml:space="preserve">necessary means to achieve the objectives satisfactorily by addressing the main</w:t>
      </w:r>
      <w:r>
        <w:t xml:space="preserve"> </w:t>
      </w:r>
      <w:r>
        <w:t xml:space="preserve">shortcomings of the current CPR framework, including standardisation, national barriers</w:t>
      </w:r>
      <w:r>
        <w:t xml:space="preserve"> </w:t>
      </w:r>
      <w:r>
        <w:t xml:space="preserve">to trade, ineffective market surveillance, lack of clarity and of simplification; while at the</w:t>
      </w:r>
      <w:r>
        <w:t xml:space="preserve"> </w:t>
      </w:r>
      <w:r>
        <w:t xml:space="preserve">same time, it is the only one fully suited to effectively address the goals stemming from</w:t>
      </w:r>
      <w:r>
        <w:t xml:space="preserve"> </w:t>
      </w:r>
      <w:r>
        <w:t xml:space="preserve">the European Green Deal, the Circular Economy Action Plan and other linked initiatives,</w:t>
      </w:r>
      <w:r>
        <w:t xml:space="preserve"> </w:t>
      </w:r>
      <w:r>
        <w:t xml:space="preserve">in the context of construction products.</w:t>
      </w:r>
      <w:r>
        <w:br/>
      </w:r>
      <w:r>
        <w:t xml:space="preserve">The very significant benefits and effectiveness of the Option D, as described above,</w:t>
      </w:r>
      <w:r>
        <w:t xml:space="preserve"> </w:t>
      </w:r>
      <w:r>
        <w:t xml:space="preserve">substantiate its choice as the preferred one. Option D represents the approach with the</w:t>
      </w:r>
      <w:r>
        <w:t xml:space="preserve"> </w:t>
      </w:r>
      <w:r>
        <w:t xml:space="preserve">highest degree of effectiveness and coherence, even though it may lead to additional</w:t>
      </w:r>
      <w:r>
        <w:t xml:space="preserve"> </w:t>
      </w:r>
      <w:r>
        <w:t xml:space="preserve">costs for the economic operators. The additional costs would be justified by the positive</w:t>
      </w:r>
      <w:r>
        <w:t xml:space="preserve"> </w:t>
      </w:r>
      <w:r>
        <w:t xml:space="preserve">impacts on economic operators, consumers and the environment in the long run. These</w:t>
      </w:r>
      <w:r>
        <w:t xml:space="preserve"> </w:t>
      </w:r>
      <w:r>
        <w:t xml:space="preserve">costs cannot be quantified at this stage but will need to be considered when developing</w:t>
      </w:r>
      <w:r>
        <w:t xml:space="preserve"> </w:t>
      </w:r>
      <w:r>
        <w:t xml:space="preserve">the technical specifications.</w:t>
      </w:r>
      <w:r>
        <w:br/>
      </w:r>
      <w:r>
        <w:t xml:space="preserve">As explained in the previous section, Option D builds on Option B, including the need of</w:t>
      </w:r>
      <w:r>
        <w:t xml:space="preserve"> </w:t>
      </w:r>
      <w:r>
        <w:t xml:space="preserve">mandatory harmonised standards for assessment of products’ performance. A</w:t>
      </w:r>
      <w:r>
        <w:t xml:space="preserve"> </w:t>
      </w:r>
      <w:r>
        <w:t xml:space="preserve">complementary element, clearly distinguishing it from option B, is the possibility of</w:t>
      </w:r>
      <w:r>
        <w:t xml:space="preserve"> </w:t>
      </w:r>
      <w:r>
        <w:t xml:space="preserve">setting mandatory product requirements in the CPR.</w:t>
      </w:r>
      <w:r>
        <w:br/>
      </w:r>
      <w:r>
        <w:t xml:space="preserve">Out of the three sub-options D3 is the preferred one as it can be seen as enhancement of</w:t>
      </w:r>
      <w:r>
        <w:t xml:space="preserve"> </w:t>
      </w:r>
      <w:r>
        <w:t xml:space="preserve">the sub-options D1 and D2. The approach is in practice similar to the one of the EDD and</w:t>
      </w:r>
      <w:r>
        <w:t xml:space="preserve"> </w:t>
      </w:r>
      <w:r>
        <w:t xml:space="preserve">of the future SPI.</w:t>
      </w:r>
      <w:r>
        <w:br/>
      </w:r>
      <w:r>
        <w:t xml:space="preserve">While this preferred option may bring about some additional costs for the manufacturers</w:t>
      </w:r>
      <w:r>
        <w:t xml:space="preserve"> </w:t>
      </w:r>
      <w:r>
        <w:t xml:space="preserve">(see section 7.4), it is expected that in other areas it will generate costs savings. In</w:t>
      </w:r>
      <w:r>
        <w:t xml:space="preserve"> </w:t>
      </w:r>
      <w:r>
        <w:t xml:space="preserve">particular, given the expected better performing standardisation process supporting the</w:t>
      </w:r>
      <w:r>
        <w:t xml:space="preserve"> </w:t>
      </w:r>
      <w:r>
        <w:t xml:space="preserve">CPR framework, potential cost savings in terms of administrative burdens would occur.</w:t>
      </w:r>
      <w:r>
        <w:t xml:space="preserve"> </w:t>
      </w:r>
      <w:r>
        <w:t xml:space="preserve">The decrease in ambiguity in the provisions should allow cost savings due to reduced</w:t>
      </w:r>
      <w:r>
        <w:t xml:space="preserve"> </w:t>
      </w:r>
      <w:r>
        <w:t xml:space="preserve">overlaps and duplication of obligations with other EU legislation. A small decrease in</w:t>
      </w:r>
      <w:r>
        <w:t xml:space="preserve"> </w:t>
      </w:r>
      <w:r>
        <w:t xml:space="preserve">regulatory charges and compliance costs is expected as a result of the clarification and</w:t>
      </w:r>
      <w:r>
        <w:t xml:space="preserve"> </w:t>
      </w:r>
      <w:r>
        <w:t xml:space="preserve">enhancement of the harmonisation scope at the EU level. Altogether, Option D is</w:t>
      </w:r>
      <w:r>
        <w:t xml:space="preserve"> </w:t>
      </w:r>
      <w:r>
        <w:t xml:space="preserve">expected to result in a net reduction of administrative burden of approx. 180 million EUR</w:t>
      </w:r>
      <w:r>
        <w:t xml:space="preserve"> </w:t>
      </w:r>
      <w:r>
        <w:t xml:space="preserve">(for more details, see Annex 3). Finally, due to the anticipated better market surveillance</w:t>
      </w:r>
      <w:r>
        <w:t xml:space="preserve"> </w:t>
      </w:r>
      <w:r>
        <w:t xml:space="preserve">and enforcement, a reduction of foregone revenue of roughly 2.5 billion EUR for</w:t>
      </w:r>
      <w:r>
        <w:t xml:space="preserve"> </w:t>
      </w:r>
      <w:r>
        <w:t xml:space="preserve">manufacturers of compliant products is expected.</w:t>
      </w:r>
    </w:p>
    <w:p>
      <w:pPr>
        <w:pStyle w:val="Compact"/>
        <w:numPr>
          <w:ilvl w:val="0"/>
          <w:numId w:val="1010"/>
        </w:numPr>
      </w:pPr>
      <w:r>
        <w:t xml:space="preserve">REFIT (SIMPLIFICATION AND IMPROVED EFFICIENCY)</w:t>
      </w:r>
      <w:r>
        <w:t xml:space="preserve"> </w:t>
      </w:r>
      <w:r>
        <w:t xml:space="preserve">The assessment of the economic impacts demonstrates several cost savings with respect</w:t>
      </w:r>
      <w:r>
        <w:t xml:space="preserve"> </w:t>
      </w:r>
      <w:r>
        <w:t xml:space="preserve">to the preferred option, namely option D. It is expected that the costs savings would be</w:t>
      </w:r>
    </w:p>
    <w:p>
      <w:pPr>
        <w:pStyle w:val="FirstParagraph"/>
      </w:pPr>
      <w:r>
        <w:t xml:space="preserve">57</w:t>
      </w:r>
      <w:r>
        <w:t xml:space="preserve"> </w:t>
      </w:r>
      <w:r>
        <w:t xml:space="preserve">for manufacturers and would include a decrease of administrative burden, regulatory</w:t>
      </w:r>
      <w:r>
        <w:t xml:space="preserve"> </w:t>
      </w:r>
      <w:r>
        <w:t xml:space="preserve">charges and compliance costs. Furthermore, for manufacturers falling under the</w:t>
      </w:r>
      <w:r>
        <w:t xml:space="preserve"> </w:t>
      </w:r>
      <w:r>
        <w:t xml:space="preserve">simplification provisions, costs savings are also expected due to decrease in the level of</w:t>
      </w:r>
      <w:r>
        <w:t xml:space="preserve"> </w:t>
      </w:r>
      <w:r>
        <w:t xml:space="preserve">ambiguity. These costs savings could potentially balance to some extent the costs which</w:t>
      </w:r>
      <w:r>
        <w:t xml:space="preserve"> </w:t>
      </w:r>
      <w:r>
        <w:t xml:space="preserve">are expected with this option. This is important for manufacturers in the long run.</w:t>
      </w:r>
      <w:r>
        <w:br/>
      </w:r>
      <w:r>
        <w:t xml:space="preserve">Table 4: REFIT Cost Savings – Preferred Option(s)</w:t>
      </w:r>
      <w:r>
        <w:t xml:space="preserve"> </w:t>
      </w:r>
      <w:r>
        <w:t xml:space="preserve">REFIT Cost Savings – Preferred Option(s)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Well-performing standardisation process</w:t>
      </w:r>
      <w:r>
        <w:t xml:space="preserve"> </w:t>
      </w:r>
      <w:r>
        <w:t xml:space="preserve">supporting the CPR framework</w:t>
      </w:r>
      <w:r>
        <w:t xml:space="preserve"> </w:t>
      </w:r>
      <w:r>
        <w:t xml:space="preserve">n/a</w:t>
      </w:r>
      <w:r>
        <w:t xml:space="preserve"> </w:t>
      </w:r>
      <w:r>
        <w:t xml:space="preserve">Cost savings in terms of administrative</w:t>
      </w:r>
      <w:r>
        <w:t xml:space="preserve"> </w:t>
      </w:r>
      <w:r>
        <w:t xml:space="preserve">burdens expected for the standardisers,</w:t>
      </w:r>
      <w:r>
        <w:t xml:space="preserve"> </w:t>
      </w:r>
      <w:r>
        <w:t xml:space="preserve">manufacturers and construction ecosystem</w:t>
      </w:r>
      <w:r>
        <w:t xml:space="preserve"> </w:t>
      </w:r>
      <w:r>
        <w:t xml:space="preserve">Less ambiguity in the provisions and application</w:t>
      </w:r>
      <w:r>
        <w:t xml:space="preserve"> </w:t>
      </w:r>
      <w:r>
        <w:t xml:space="preserve">of digital tools (e.g. Digital Product Passport)</w:t>
      </w:r>
      <w:r>
        <w:t xml:space="preserve"> </w:t>
      </w:r>
      <w:r>
        <w:t xml:space="preserve">n/a</w:t>
      </w:r>
      <w:r>
        <w:t xml:space="preserve"> </w:t>
      </w:r>
      <w:r>
        <w:t xml:space="preserve">Cost savings expected particularly for</w:t>
      </w:r>
      <w:r>
        <w:t xml:space="preserve"> </w:t>
      </w:r>
      <w:r>
        <w:t xml:space="preserve">manufacturers due to reduced overlaps and</w:t>
      </w:r>
      <w:r>
        <w:t xml:space="preserve"> </w:t>
      </w:r>
      <w:r>
        <w:t xml:space="preserve">duplication of obligations with other EU</w:t>
      </w:r>
      <w:r>
        <w:t xml:space="preserve"> </w:t>
      </w:r>
      <w:r>
        <w:t xml:space="preserve">legislation , as well as due to application of</w:t>
      </w:r>
      <w:r>
        <w:t xml:space="preserve"> </w:t>
      </w:r>
      <w:r>
        <w:t xml:space="preserve">digital tools for e.g. products declarations and</w:t>
      </w:r>
      <w:r>
        <w:t xml:space="preserve"> </w:t>
      </w:r>
      <w:r>
        <w:t xml:space="preserve">access to information</w:t>
      </w:r>
      <w:r>
        <w:t xml:space="preserve"> </w:t>
      </w:r>
      <w:r>
        <w:t xml:space="preserve">Clarification and enhancement of harmonisation</w:t>
      </w:r>
      <w:r>
        <w:t xml:space="preserve"> </w:t>
      </w:r>
      <w:r>
        <w:t xml:space="preserve">scope at the EU level would, to a significant</w:t>
      </w:r>
      <w:r>
        <w:t xml:space="preserve"> </w:t>
      </w:r>
      <w:r>
        <w:t xml:space="preserve">extent, make national requirements redundant</w:t>
      </w:r>
      <w:r>
        <w:t xml:space="preserve"> </w:t>
      </w:r>
      <w:r>
        <w:t xml:space="preserve">n/a</w:t>
      </w:r>
      <w:r>
        <w:t xml:space="preserve"> </w:t>
      </w:r>
      <w:r>
        <w:t xml:space="preserve">Small cost saving in regulatory charges and</w:t>
      </w:r>
      <w:r>
        <w:t xml:space="preserve"> </w:t>
      </w:r>
      <w:r>
        <w:t xml:space="preserve">compliance costs expected</w:t>
      </w:r>
      <w:r>
        <w:t xml:space="preserve"> </w:t>
      </w:r>
      <w:r>
        <w:t xml:space="preserve">Better market surveillance and enforcement</w:t>
      </w:r>
      <w:r>
        <w:t xml:space="preserve"> </w:t>
      </w:r>
      <w:r>
        <w:t xml:space="preserve">2.5 billion EUR 157</w:t>
      </w:r>
      <w:r>
        <w:br/>
      </w:r>
      <w:r>
        <w:t xml:space="preserve">Cost saving (reduction of foregone revenue)</w:t>
      </w:r>
      <w:r>
        <w:t xml:space="preserve"> </w:t>
      </w:r>
      <w:r>
        <w:t xml:space="preserve">coming from improved market surveillance</w:t>
      </w:r>
      <w:r>
        <w:t xml:space="preserve"> </w:t>
      </w:r>
      <w:r>
        <w:t xml:space="preserve">Net reduction of administrative burden</w:t>
      </w:r>
      <w:r>
        <w:t xml:space="preserve"> </w:t>
      </w:r>
      <w:r>
        <w:t xml:space="preserve">180 million EUR</w:t>
      </w:r>
      <w:r>
        <w:t xml:space="preserve"> </w:t>
      </w:r>
      <w:r>
        <w:t xml:space="preserve">Net cost savings, see Annex 3</w:t>
      </w:r>
      <w:r>
        <w:t xml:space="preserve"> </w:t>
      </w:r>
      <w:r>
        <w:t xml:space="preserve">10. HOW WILL ACTUAL IMPACTS BE MONITORED AND EVALUATED?</w:t>
      </w:r>
      <w:r>
        <w:t xml:space="preserve"> </w:t>
      </w:r>
      <w:r>
        <w:t xml:space="preserve">Policy monitoring and evaluation going forward related to the revision of the CPR would</w:t>
      </w:r>
      <w:r>
        <w:t xml:space="preserve"> </w:t>
      </w:r>
      <w:r>
        <w:t xml:space="preserve">be centred around the core issues to be addressed by the revision. The successful</w:t>
      </w:r>
      <w:r>
        <w:t xml:space="preserve"> </w:t>
      </w:r>
      <w:r>
        <w:t xml:space="preserve">implementation of the revised Construction Product Regulation depends on several</w:t>
      </w:r>
      <w:r>
        <w:t xml:space="preserve"> </w:t>
      </w:r>
      <w:r>
        <w:t xml:space="preserve">factors. This chapter proposes several indicators to monitor and evaluate the</w:t>
      </w:r>
      <w:r>
        <w:t xml:space="preserve"> </w:t>
      </w:r>
      <w:r>
        <w:t xml:space="preserve">implementation of the changes. More indicators could be formulated depending on the</w:t>
      </w:r>
      <w:r>
        <w:t xml:space="preserve"> </w:t>
      </w:r>
      <w:r>
        <w:t xml:space="preserve">contents of the final revision of the CPR, if any.</w:t>
      </w:r>
    </w:p>
    <w:p>
      <w:pPr>
        <w:pStyle w:val="BodyText"/>
      </w:pPr>
      <w:r>
        <w:t xml:space="preserve">Monitoring of the implementation of the (revised) CPR would start right after the</w:t>
      </w:r>
      <w:r>
        <w:t xml:space="preserve"> </w:t>
      </w:r>
      <w:r>
        <w:t xml:space="preserve">adoption of the CPR, focused on its implementation. Table 5 presents suggested key</w:t>
      </w:r>
      <w:r>
        <w:t xml:space="preserve"> </w:t>
      </w:r>
      <w:r>
        <w:t xml:space="preserve">indicators for monitoring and evaluation.</w:t>
      </w:r>
      <w:r>
        <w:br/>
      </w:r>
      <w:r>
        <w:t xml:space="preserve">The starting point for indicators in the area of standardisation is the number of references</w:t>
      </w:r>
      <w:r>
        <w:t xml:space="preserve"> </w:t>
      </w:r>
      <w:r>
        <w:t xml:space="preserve">of harmonised standards (hENs) cited in the OJEU out of the total number of hENs</w:t>
      </w:r>
      <w:r>
        <w:t xml:space="preserve"> </w:t>
      </w:r>
      <w:r>
        <w:t xml:space="preserve">submitted to the Commission for citation. This indicator allows to calculate the</w:t>
      </w:r>
      <w:r>
        <w:t xml:space="preserve"> </w:t>
      </w:r>
      <w:r>
        <w:t xml:space="preserve">percentage of citation and to better monitor and identify the reasons for non-citations or</w:t>
      </w:r>
      <w:r>
        <w:t xml:space="preserve"> </w:t>
      </w:r>
      <w:r>
        <w:t xml:space="preserve">withholding citation, if any are still present. Also, an improvement of data completeness</w:t>
      </w:r>
      <w:r>
        <w:t xml:space="preserve"> </w:t>
      </w:r>
      <w:r>
        <w:t xml:space="preserve">will be to add the number (or share) of rejections by the Commission of proposed</w:t>
      </w:r>
    </w:p>
    <w:p>
      <w:pPr>
        <w:pStyle w:val="BodyText"/>
      </w:pPr>
      <w:r>
        <w:t xml:space="preserve">157 Estimate by the study supporting this Impact Assessment. This represents a benefit for producers of</w:t>
      </w:r>
      <w:r>
        <w:t xml:space="preserve"> </w:t>
      </w:r>
      <w:r>
        <w:t xml:space="preserve">compliant products (to the detriment of producers of non-compliant products). While this is a</w:t>
      </w:r>
      <w:r>
        <w:t xml:space="preserve"> </w:t>
      </w:r>
      <w:r>
        <w:t xml:space="preserve">redistribution, improved market surveillance implies that the products sold are more compliant, hence it</w:t>
      </w:r>
      <w:r>
        <w:t xml:space="preserve"> </w:t>
      </w:r>
      <w:r>
        <w:t xml:space="preserve">could be considered a real benefit.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standards. Moreover, the average length of the process from issuing a standardisation</w:t>
      </w:r>
      <w:r>
        <w:t xml:space="preserve"> </w:t>
      </w:r>
      <w:r>
        <w:t xml:space="preserve">request by the Commission to delivery of draft standards by CEN is important as it will</w:t>
      </w:r>
      <w:r>
        <w:t xml:space="preserve"> </w:t>
      </w:r>
      <w:r>
        <w:t xml:space="preserve">allow to assess whether one of the problems identified by stakeholders of the</w:t>
      </w:r>
      <w:r>
        <w:t xml:space="preserve"> </w:t>
      </w:r>
      <w:r>
        <w:t xml:space="preserve">standardisation process, namely lengthiness of the standardisation process, is</w:t>
      </w:r>
      <w:r>
        <w:t xml:space="preserve"> </w:t>
      </w:r>
      <w:r>
        <w:t xml:space="preserve">solved/improved. This can also be compared with the work in EOTA using similar</w:t>
      </w:r>
      <w:r>
        <w:t xml:space="preserve"> </w:t>
      </w:r>
      <w:r>
        <w:t xml:space="preserve">indicators.</w:t>
      </w:r>
      <w:r>
        <w:br/>
      </w:r>
      <w:r>
        <w:t xml:space="preserve">Another indicator of success would be data for environmental and product safety</w:t>
      </w:r>
      <w:r>
        <w:t xml:space="preserve"> </w:t>
      </w:r>
      <w:r>
        <w:t xml:space="preserve">information, and environmental and product safety requirements incorporated in</w:t>
      </w:r>
      <w:r>
        <w:t xml:space="preserve"> </w:t>
      </w:r>
      <w:r>
        <w:t xml:space="preserve">technical specifications. The number of technical specifications (or product families)</w:t>
      </w:r>
      <w:r>
        <w:t xml:space="preserve"> </w:t>
      </w:r>
      <w:r>
        <w:t xml:space="preserve">with environmental information and requirements, and their relative importance in terms</w:t>
      </w:r>
      <w:r>
        <w:t xml:space="preserve"> </w:t>
      </w:r>
      <w:r>
        <w:t xml:space="preserve">of environment is a crucial factor to evaluate the extent to which environmental</w:t>
      </w:r>
      <w:r>
        <w:t xml:space="preserve"> </w:t>
      </w:r>
      <w:r>
        <w:t xml:space="preserve">consideration has increased as a result of the review of the CPR.</w:t>
      </w:r>
      <w:r>
        <w:br/>
      </w:r>
      <w:r>
        <w:t xml:space="preserve">To measure an improved market surveillance the Commission could consult the Member</w:t>
      </w:r>
      <w:r>
        <w:t xml:space="preserve"> </w:t>
      </w:r>
      <w:r>
        <w:t xml:space="preserve">States. A successful implementation would be supposed to lead first to detecting more</w:t>
      </w:r>
      <w:r>
        <w:t xml:space="preserve"> </w:t>
      </w:r>
      <w:r>
        <w:t xml:space="preserve">non-compliant construction products and then to a reduction of this number. An indicator</w:t>
      </w:r>
      <w:r>
        <w:t xml:space="preserve"> </w:t>
      </w:r>
      <w:r>
        <w:t xml:space="preserve">for monitoring could be the level of trust among economic operators, for which an</w:t>
      </w:r>
      <w:r>
        <w:t xml:space="preserve"> </w:t>
      </w:r>
      <w:r>
        <w:t xml:space="preserve">evaluation after four to five years could provide information through stakeholder</w:t>
      </w:r>
      <w:r>
        <w:t xml:space="preserve"> </w:t>
      </w:r>
      <w:r>
        <w:t xml:space="preserve">consultations. Relevant stakeholders could be consulted to evaluate the impact of the</w:t>
      </w:r>
      <w:r>
        <w:t xml:space="preserve"> </w:t>
      </w:r>
      <w:r>
        <w:t xml:space="preserve">revision, in particular with respect to market surveillance.</w:t>
      </w:r>
      <w:r>
        <w:t xml:space="preserve"> </w:t>
      </w:r>
      <w:r>
        <w:t xml:space="preserve">An expected impact of the preferred option is an improvement of the functioning of the</w:t>
      </w:r>
      <w:r>
        <w:t xml:space="preserve"> </w:t>
      </w:r>
      <w:r>
        <w:t xml:space="preserve">internal market for construction products. This should have a positive impact on cross-</w:t>
      </w:r>
      <w:r>
        <w:t xml:space="preserve"> </w:t>
      </w:r>
      <w:r>
        <w:t xml:space="preserve">border trade within the EU. Accordingly, the data on trade values and trade volumes can</w:t>
      </w:r>
      <w:r>
        <w:t xml:space="preserve"> </w:t>
      </w:r>
      <w:r>
        <w:t xml:space="preserve">be compared to the figures before the review of the CPR and to the production data.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Table 5: Suggested key indicators including source and timing of data collection</w:t>
      </w:r>
      <w:r>
        <w:t xml:space="preserve"> </w:t>
      </w:r>
      <w:r>
        <w:t xml:space="preserve">Area</w:t>
      </w:r>
      <w:r>
        <w:t xml:space="preserve"> </w:t>
      </w:r>
      <w:r>
        <w:t xml:space="preserve">Indicator</w:t>
      </w:r>
      <w:r>
        <w:t xml:space="preserve"> </w:t>
      </w:r>
      <w:r>
        <w:t xml:space="preserve">Unit</w:t>
      </w:r>
      <w:r>
        <w:t xml:space="preserve"> </w:t>
      </w:r>
      <w:r>
        <w:t xml:space="preserve">Source and timing</w:t>
      </w:r>
      <w:r>
        <w:t xml:space="preserve"> </w:t>
      </w:r>
      <w:r>
        <w:t xml:space="preserve">Standardisation</w:t>
      </w:r>
      <w:r>
        <w:t xml:space="preserve"> </w:t>
      </w:r>
      <w:r>
        <w:t xml:space="preserve">Number of cited references to hENS</w:t>
      </w:r>
      <w:r>
        <w:t xml:space="preserve"> </w:t>
      </w:r>
      <w:r>
        <w:t xml:space="preserve">out of number of hENS submitted to</w:t>
      </w:r>
      <w:r>
        <w:t xml:space="preserve"> </w:t>
      </w:r>
      <w:r>
        <w:t xml:space="preserve">COM for citation</w:t>
      </w:r>
      <w:r>
        <w:t xml:space="preserve"> </w:t>
      </w:r>
      <w:r>
        <w:t xml:space="preserve">Number and %</w:t>
      </w:r>
      <w:r>
        <w:t xml:space="preserve"> </w:t>
      </w:r>
      <w:r>
        <w:t xml:space="preserve">Internal Commission data; to</w:t>
      </w:r>
      <w:r>
        <w:t xml:space="preserve"> </w:t>
      </w:r>
      <w:r>
        <w:t xml:space="preserve">be tracked by Commission</w:t>
      </w:r>
      <w:r>
        <w:t xml:space="preserve"> </w:t>
      </w:r>
      <w:r>
        <w:t xml:space="preserve">(as is done already)</w:t>
      </w:r>
      <w:r>
        <w:t xml:space="preserve"> </w:t>
      </w:r>
      <w:r>
        <w:t xml:space="preserve">Timing: bi-annual or annual</w:t>
      </w:r>
      <w:r>
        <w:t xml:space="preserve"> </w:t>
      </w:r>
      <w:r>
        <w:t xml:space="preserve">Number (or share) of rejections by</w:t>
      </w:r>
      <w:r>
        <w:t xml:space="preserve"> </w:t>
      </w:r>
      <w:r>
        <w:t xml:space="preserve">the COM of proposed standards</w:t>
      </w:r>
      <w:r>
        <w:t xml:space="preserve"> </w:t>
      </w:r>
      <w:r>
        <w:t xml:space="preserve">Number and %</w:t>
      </w:r>
      <w:r>
        <w:t xml:space="preserve"> </w:t>
      </w:r>
      <w:r>
        <w:t xml:space="preserve">Same as above</w:t>
      </w:r>
      <w:r>
        <w:t xml:space="preserve"> </w:t>
      </w:r>
      <w:r>
        <w:t xml:space="preserve">Average length of process from</w:t>
      </w:r>
      <w:r>
        <w:t xml:space="preserve"> </w:t>
      </w:r>
      <w:r>
        <w:t xml:space="preserve">issuing a standardisation request by</w:t>
      </w:r>
      <w:r>
        <w:t xml:space="preserve"> </w:t>
      </w:r>
      <w:r>
        <w:t xml:space="preserve">the Commission to delivery of draft</w:t>
      </w:r>
      <w:r>
        <w:t xml:space="preserve"> </w:t>
      </w:r>
      <w:r>
        <w:t xml:space="preserve">standards by CEN</w:t>
      </w:r>
      <w:r>
        <w:t xml:space="preserve"> </w:t>
      </w:r>
      <w:r>
        <w:t xml:space="preserve">Months</w:t>
      </w:r>
      <w:r>
        <w:t xml:space="preserve"> </w:t>
      </w:r>
      <w:r>
        <w:t xml:space="preserve">Same as above</w:t>
      </w:r>
      <w:r>
        <w:t xml:space="preserve"> </w:t>
      </w:r>
      <w:r>
        <w:t xml:space="preserve">Number of cited EADs out of number</w:t>
      </w:r>
      <w:r>
        <w:t xml:space="preserve"> </w:t>
      </w:r>
      <w:r>
        <w:t xml:space="preserve">of EADs submitted to COM for</w:t>
      </w:r>
      <w:r>
        <w:t xml:space="preserve"> </w:t>
      </w:r>
      <w:r>
        <w:t xml:space="preserve">citation</w:t>
      </w:r>
      <w:r>
        <w:t xml:space="preserve"> </w:t>
      </w:r>
      <w:r>
        <w:t xml:space="preserve">Number and %</w:t>
      </w:r>
      <w:r>
        <w:t xml:space="preserve"> </w:t>
      </w:r>
      <w:r>
        <w:t xml:space="preserve">EOTA and Commission data</w:t>
      </w:r>
      <w:r>
        <w:t xml:space="preserve"> </w:t>
      </w:r>
      <w:r>
        <w:t xml:space="preserve">Market surveillance</w:t>
      </w:r>
      <w:r>
        <w:t xml:space="preserve"> </w:t>
      </w:r>
      <w:r>
        <w:t xml:space="preserve">and enforcement</w:t>
      </w:r>
      <w:r>
        <w:t xml:space="preserve"> </w:t>
      </w:r>
      <w:r>
        <w:t xml:space="preserve">Non-compliant construction products</w:t>
      </w:r>
      <w:r>
        <w:t xml:space="preserve"> </w:t>
      </w:r>
      <w:r>
        <w:t xml:space="preserve">detected (with reference to CPR)158</w:t>
      </w:r>
      <w:r>
        <w:t xml:space="preserve"> </w:t>
      </w:r>
      <w:r>
        <w:t xml:space="preserve">Number of products/</w:t>
      </w:r>
      <w:r>
        <w:t xml:space="preserve"> </w:t>
      </w:r>
      <w:r>
        <w:t xml:space="preserve">cases</w:t>
      </w:r>
      <w:r>
        <w:t xml:space="preserve"> </w:t>
      </w:r>
      <w:r>
        <w:t xml:space="preserve">Data from MS, reported to</w:t>
      </w:r>
      <w:r>
        <w:t xml:space="preserve"> </w:t>
      </w:r>
      <w:r>
        <w:t xml:space="preserve">Commission</w:t>
      </w:r>
      <w:r>
        <w:t xml:space="preserve"> </w:t>
      </w:r>
      <w:r>
        <w:t xml:space="preserve">Timing: annual</w:t>
      </w:r>
      <w:r>
        <w:t xml:space="preserve"> </w:t>
      </w:r>
      <w:r>
        <w:t xml:space="preserve">Production and cross-</w:t>
      </w:r>
      <w:r>
        <w:t xml:space="preserve"> </w:t>
      </w:r>
      <w:r>
        <w:t xml:space="preserve">border trade of</w:t>
      </w:r>
      <w:r>
        <w:t xml:space="preserve"> </w:t>
      </w:r>
      <w:r>
        <w:t xml:space="preserve">construction products</w:t>
      </w:r>
      <w:r>
        <w:t xml:space="preserve"> </w:t>
      </w:r>
      <w:r>
        <w:t xml:space="preserve">Production and cross-border trade of</w:t>
      </w:r>
      <w:r>
        <w:t xml:space="preserve"> </w:t>
      </w:r>
      <w:r>
        <w:t xml:space="preserve">construction products in/within the EU</w:t>
      </w:r>
      <w:r>
        <w:t xml:space="preserve"> </w:t>
      </w:r>
      <w:r>
        <w:t xml:space="preserve">(proxy indicator for the extent of trade</w:t>
      </w:r>
      <w:r>
        <w:t xml:space="preserve"> </w:t>
      </w:r>
      <w:r>
        <w:t xml:space="preserve">barriers)</w:t>
      </w:r>
      <w:r>
        <w:t xml:space="preserve"> </w:t>
      </w:r>
      <w:r>
        <w:t xml:space="preserve">Volume in EUR</w:t>
      </w:r>
      <w:r>
        <w:t xml:space="preserve"> </w:t>
      </w:r>
      <w:r>
        <w:t xml:space="preserve">(adjusted for inflation, if</w:t>
      </w:r>
      <w:r>
        <w:t xml:space="preserve"> </w:t>
      </w:r>
      <w:r>
        <w:t xml:space="preserve">relevant)</w:t>
      </w:r>
      <w:r>
        <w:br/>
      </w:r>
      <w:r>
        <w:t xml:space="preserve">Volume in kg could also</w:t>
      </w:r>
      <w:r>
        <w:t xml:space="preserve"> </w:t>
      </w:r>
      <w:r>
        <w:t xml:space="preserve">be a relevant unit</w:t>
      </w:r>
      <w:r>
        <w:t xml:space="preserve"> </w:t>
      </w:r>
      <w:r>
        <w:t xml:space="preserve">Dedicated study (external or</w:t>
      </w:r>
      <w:r>
        <w:t xml:space="preserve"> </w:t>
      </w:r>
      <w:r>
        <w:t xml:space="preserve">internal) could be foreseen,</w:t>
      </w:r>
      <w:r>
        <w:t xml:space="preserve"> </w:t>
      </w:r>
      <w:r>
        <w:t xml:space="preserve">based on EU trade statistics.</w:t>
      </w:r>
      <w:r>
        <w:t xml:space="preserve"> </w:t>
      </w:r>
      <w:r>
        <w:t xml:space="preserve">Timing: Baseline (year 0)</w:t>
      </w:r>
      <w:r>
        <w:t xml:space="preserve"> </w:t>
      </w:r>
      <w:r>
        <w:t xml:space="preserve">and follow-up (year 4, in</w:t>
      </w:r>
      <w:r>
        <w:t xml:space="preserve"> </w:t>
      </w:r>
      <w:r>
        <w:t xml:space="preserve">connection with evaluation)</w:t>
      </w:r>
      <w:r>
        <w:t xml:space="preserve"> </w:t>
      </w:r>
      <w:r>
        <w:t xml:space="preserve">Sustainability and</w:t>
      </w:r>
      <w:r>
        <w:t xml:space="preserve"> </w:t>
      </w:r>
      <w:r>
        <w:t xml:space="preserve">product safety</w:t>
      </w:r>
      <w:r>
        <w:br/>
      </w:r>
      <w:r>
        <w:t xml:space="preserve">Environmental and product safety</w:t>
      </w:r>
      <w:r>
        <w:t xml:space="preserve"> </w:t>
      </w:r>
      <w:r>
        <w:t xml:space="preserve">information incorporated in technical</w:t>
      </w:r>
      <w:r>
        <w:t xml:space="preserve"> </w:t>
      </w:r>
      <w:r>
        <w:t xml:space="preserve">specifications</w:t>
      </w:r>
      <w:r>
        <w:t xml:space="preserve"> </w:t>
      </w:r>
      <w:r>
        <w:t xml:space="preserve">E.g. Number and share</w:t>
      </w:r>
      <w:r>
        <w:t xml:space="preserve"> </w:t>
      </w:r>
      <w:r>
        <w:t xml:space="preserve">of technical</w:t>
      </w:r>
      <w:r>
        <w:t xml:space="preserve"> </w:t>
      </w:r>
      <w:r>
        <w:t xml:space="preserve">specifications (or</w:t>
      </w:r>
      <w:r>
        <w:t xml:space="preserve"> </w:t>
      </w:r>
      <w:r>
        <w:t xml:space="preserve">product families) with</w:t>
      </w:r>
      <w:r>
        <w:t xml:space="preserve"> </w:t>
      </w:r>
      <w:r>
        <w:t xml:space="preserve">environmental or</w:t>
      </w:r>
      <w:r>
        <w:t xml:space="preserve"> </w:t>
      </w:r>
      <w:r>
        <w:t xml:space="preserve">product safety</w:t>
      </w:r>
      <w:r>
        <w:t xml:space="preserve"> </w:t>
      </w:r>
      <w:r>
        <w:t xml:space="preserve">information and their</w:t>
      </w:r>
      <w:r>
        <w:t xml:space="preserve"> </w:t>
      </w:r>
      <w:r>
        <w:t xml:space="preserve">relative importance in</w:t>
      </w:r>
      <w:r>
        <w:t xml:space="preserve"> </w:t>
      </w:r>
      <w:r>
        <w:t xml:space="preserve">terms of environment</w:t>
      </w:r>
      <w:r>
        <w:t xml:space="preserve"> </w:t>
      </w:r>
      <w:r>
        <w:t xml:space="preserve">and health and safety</w:t>
      </w:r>
      <w:r>
        <w:t xml:space="preserve"> </w:t>
      </w:r>
      <w:r>
        <w:t xml:space="preserve">Data from draft/published</w:t>
      </w:r>
      <w:r>
        <w:t xml:space="preserve"> </w:t>
      </w:r>
      <w:r>
        <w:t xml:space="preserve">standards as tracked by</w:t>
      </w:r>
      <w:r>
        <w:t xml:space="preserve"> </w:t>
      </w:r>
      <w:r>
        <w:t xml:space="preserve">Commission services</w:t>
      </w:r>
      <w:r>
        <w:t xml:space="preserve"> </w:t>
      </w:r>
      <w:r>
        <w:t xml:space="preserve">Environmental e.g. on minimum</w:t>
      </w:r>
      <w:r>
        <w:t xml:space="preserve"> </w:t>
      </w:r>
      <w:r>
        <w:t xml:space="preserve">recycled content) and product safety</w:t>
      </w:r>
      <w:r>
        <w:t xml:space="preserve"> </w:t>
      </w:r>
      <w:r>
        <w:t xml:space="preserve">requirements (incorporated in</w:t>
      </w:r>
      <w:r>
        <w:t xml:space="preserve"> </w:t>
      </w:r>
      <w:r>
        <w:t xml:space="preserve">technical specifications</w:t>
      </w:r>
      <w:r>
        <w:t xml:space="preserve"> </w:t>
      </w:r>
      <w:r>
        <w:t xml:space="preserve">E.g. Number of</w:t>
      </w:r>
      <w:r>
        <w:t xml:space="preserve"> </w:t>
      </w:r>
      <w:r>
        <w:t xml:space="preserve">technical specifications</w:t>
      </w:r>
      <w:r>
        <w:t xml:space="preserve"> </w:t>
      </w:r>
      <w:r>
        <w:t xml:space="preserve">(or product families)</w:t>
      </w:r>
      <w:r>
        <w:t xml:space="preserve"> </w:t>
      </w:r>
      <w:r>
        <w:t xml:space="preserve">with environmental and</w:t>
      </w:r>
      <w:r>
        <w:t xml:space="preserve"> </w:t>
      </w:r>
      <w:r>
        <w:t xml:space="preserve">product safety</w:t>
      </w:r>
      <w:r>
        <w:t xml:space="preserve"> </w:t>
      </w:r>
      <w:r>
        <w:t xml:space="preserve">requirements and their</w:t>
      </w:r>
      <w:r>
        <w:t xml:space="preserve"> </w:t>
      </w:r>
      <w:r>
        <w:t xml:space="preserve">relative importance in</w:t>
      </w:r>
      <w:r>
        <w:t xml:space="preserve"> </w:t>
      </w:r>
      <w:r>
        <w:t xml:space="preserve">terms of environment</w:t>
      </w:r>
      <w:r>
        <w:t xml:space="preserve"> </w:t>
      </w:r>
      <w:r>
        <w:t xml:space="preserve">and health and safety</w:t>
      </w:r>
      <w:r>
        <w:t xml:space="preserve"> </w:t>
      </w:r>
      <w:r>
        <w:t xml:space="preserve">Data from draft/published</w:t>
      </w:r>
      <w:r>
        <w:t xml:space="preserve"> </w:t>
      </w:r>
      <w:r>
        <w:t xml:space="preserve">technical specifications as</w:t>
      </w:r>
      <w:r>
        <w:t xml:space="preserve"> </w:t>
      </w:r>
      <w:r>
        <w:t xml:space="preserve">tracked by Commission</w:t>
      </w:r>
      <w:r>
        <w:t xml:space="preserve"> </w:t>
      </w:r>
      <w:r>
        <w:t xml:space="preserve">services</w:t>
      </w:r>
      <w:r>
        <w:t xml:space="preserve"> </w:t>
      </w:r>
      <w:r>
        <w:t xml:space="preserve">Evaluation</w:t>
      </w:r>
      <w:r>
        <w:t xml:space="preserve"> </w:t>
      </w:r>
      <w:r>
        <w:t xml:space="preserve">It is proposed that an evaluation of a revised CPR should take place within 4 to 5 years</w:t>
      </w:r>
      <w:r>
        <w:t xml:space="preserve"> </w:t>
      </w:r>
      <w:r>
        <w:t xml:space="preserve">after the date of entry into force.</w:t>
      </w:r>
      <w:r>
        <w:t xml:space="preserve"> </w:t>
      </w:r>
      <w:r>
        <w:t xml:space="preserve">Such an evaluation should, in particular, assess the effectiveness of the revised legislation</w:t>
      </w:r>
      <w:r>
        <w:t xml:space="preserve"> </w:t>
      </w:r>
      <w:r>
        <w:t xml:space="preserve">– with a special, but not exclusive, focus on the issues covered by the suggested</w:t>
      </w:r>
      <w:r>
        <w:t xml:space="preserve"> </w:t>
      </w:r>
      <w:r>
        <w:t xml:space="preserve">indicators above - as well as its efficiency, relevance, coherence and EU value added.</w:t>
      </w:r>
      <w:r>
        <w:t xml:space="preserve"> </w:t>
      </w:r>
      <w:r>
        <w:t xml:space="preserve">Options for further modification, update or enhancement of requirements should be</w:t>
      </w:r>
      <w:r>
        <w:t xml:space="preserve"> </w:t>
      </w:r>
      <w:r>
        <w:t xml:space="preserve">considered by the evaluation, as is standard for any full-scale evaluation.</w:t>
      </w:r>
    </w:p>
    <w:p>
      <w:pPr>
        <w:pStyle w:val="BodyText"/>
      </w:pPr>
      <w:r>
        <w:t xml:space="preserve">158 This indicator would need to be elaborated in more detail after careful consideration of the fact that an</w:t>
      </w:r>
      <w:r>
        <w:t xml:space="preserve"> </w:t>
      </w:r>
      <w:r>
        <w:t xml:space="preserve">increase in the number of non-compliance cases might indicate a more effective market surveillance and</w:t>
      </w:r>
      <w:r>
        <w:t xml:space="preserve"> </w:t>
      </w:r>
      <w:r>
        <w:t xml:space="preserve">enforcement, whereas the ultimate goal would be to decrease the number of infractions.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Lead DG: Directorate-General for Internal Market, Industry, Entrepreneurship and</w:t>
      </w:r>
      <w:r>
        <w:t xml:space="preserve"> </w:t>
      </w:r>
      <w:r>
        <w:t xml:space="preserve">SMEs.</w:t>
      </w:r>
      <w:r>
        <w:t xml:space="preserve"> </w:t>
      </w:r>
      <w:r>
        <w:t xml:space="preserve">Decide Planning reference: PLAN/2017/972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European Commission announced in the ‘Clean Energy for All Europeans’</w:t>
      </w:r>
      <w:r>
        <w:t xml:space="preserve"> </w:t>
      </w:r>
      <w:r>
        <w:t xml:space="preserve">Communication of 30 November 2016 that the then ongoing consultation process with</w:t>
      </w:r>
      <w:r>
        <w:t xml:space="preserve"> </w:t>
      </w:r>
      <w:r>
        <w:t xml:space="preserve">stakeholders (in particular the technical platforms launched as a follow-up to the CPR</w:t>
      </w:r>
      <w:r>
        <w:t xml:space="preserve"> </w:t>
      </w:r>
      <w:r>
        <w:t xml:space="preserve">implementation report of 7 July 2015) might possibly lead to revision of the CPR. The</w:t>
      </w:r>
      <w:r>
        <w:t xml:space="preserve"> </w:t>
      </w:r>
      <w:r>
        <w:t xml:space="preserve">CPR review was initially planned as a back-to-back evaluation and impact assessment</w:t>
      </w:r>
      <w:r>
        <w:t xml:space="preserve"> </w:t>
      </w:r>
      <w:r>
        <w:t xml:space="preserve">when included in the planning on 29 March 2017.</w:t>
      </w:r>
      <w:r>
        <w:t xml:space="preserve"> </w:t>
      </w:r>
      <w:r>
        <w:t xml:space="preserve">This approach was presented in the inception impact assessment, published in June 2017.</w:t>
      </w:r>
      <w:r>
        <w:t xml:space="preserve"> </w:t>
      </w:r>
      <w:r>
        <w:t xml:space="preserve">However, considering the evidence collected through the supporting studies and public</w:t>
      </w:r>
      <w:r>
        <w:t xml:space="preserve"> </w:t>
      </w:r>
      <w:r>
        <w:t xml:space="preserve">consultation, the Commission decided to decouple the retrospective and prospective</w:t>
      </w:r>
      <w:r>
        <w:t xml:space="preserve"> </w:t>
      </w:r>
      <w:r>
        <w:t xml:space="preserve">assessments. In fact, the assessment proved to be more complicated than expected. This</w:t>
      </w:r>
      <w:r>
        <w:t xml:space="preserve"> </w:t>
      </w:r>
      <w:r>
        <w:t xml:space="preserve">was partly due to the complexity of the CPR itself, but also due to the high expectations</w:t>
      </w:r>
      <w:r>
        <w:t xml:space="preserve"> </w:t>
      </w:r>
      <w:r>
        <w:t xml:space="preserve">expressed by the stakeholders and Member States, in particular the political pressure</w:t>
      </w:r>
      <w:r>
        <w:t xml:space="preserve"> </w:t>
      </w:r>
      <w:r>
        <w:t xml:space="preserve">caused by a case pending at that time at the European Court of Justice . These combined</w:t>
      </w:r>
      <w:r>
        <w:t xml:space="preserve"> </w:t>
      </w:r>
      <w:r>
        <w:t xml:space="preserve">factors made clear that it was necessary to establish a clear and comprehensive picture of</w:t>
      </w:r>
      <w:r>
        <w:t xml:space="preserve"> </w:t>
      </w:r>
      <w:r>
        <w:t xml:space="preserve">the present situation before identifying all of the key horizontal issues and the assessment</w:t>
      </w:r>
      <w:r>
        <w:t xml:space="preserve"> </w:t>
      </w:r>
      <w:r>
        <w:t xml:space="preserve">of potential options for the future.</w:t>
      </w:r>
      <w:r>
        <w:t xml:space="preserve"> </w:t>
      </w:r>
      <w:r>
        <w:t xml:space="preserve">The evaluation of the CPR was published on 24 October 2019, together with the Report</w:t>
      </w:r>
      <w:r>
        <w:t xml:space="preserve"> </w:t>
      </w:r>
      <w:r>
        <w:t xml:space="preserve">on the relevance of the tasks of the European Organisation for Technical Assessment</w:t>
      </w:r>
      <w:r>
        <w:t xml:space="preserve"> </w:t>
      </w:r>
      <w:r>
        <w:t xml:space="preserve">(EOTA).</w:t>
      </w:r>
      <w:r>
        <w:t xml:space="preserve"> </w:t>
      </w:r>
      <w:r>
        <w:t xml:space="preserve">Two dedicated meetings with the Member States took place on 4 March159 and</w:t>
      </w:r>
      <w:r>
        <w:t xml:space="preserve"> </w:t>
      </w:r>
      <w:r>
        <w:t xml:space="preserve">22 September 2020160. A so-called “Refined indicative options paper”, aimed at</w:t>
      </w:r>
      <w:r>
        <w:t xml:space="preserve"> </w:t>
      </w:r>
      <w:r>
        <w:t xml:space="preserve">presenting the options for a potential revision of the CPR, was published on 8 April</w:t>
      </w:r>
      <w:r>
        <w:t xml:space="preserve"> </w:t>
      </w:r>
      <w:r>
        <w:t xml:space="preserve">2020161 (see Annex 12). A survey on it took place between 15 April and 31 August</w:t>
      </w:r>
      <w:r>
        <w:t xml:space="preserve"> </w:t>
      </w:r>
      <w:r>
        <w:t xml:space="preserve">2020162. A revised Inception Impact Assessment was published on 17 June 2020163.</w:t>
      </w:r>
      <w:r>
        <w:t xml:space="preserve"> </w:t>
      </w:r>
      <w:r>
        <w:t xml:space="preserve">Feedback on this IIA was gathered in the period between 17 June 2020 and 19 August</w:t>
      </w:r>
      <w:r>
        <w:t xml:space="preserve"> </w:t>
      </w:r>
      <w:r>
        <w:t xml:space="preserve">2020. Dedicated Q&amp;A sessions for stakeholders were organised on 22 June, 6 July and</w:t>
      </w:r>
      <w:r>
        <w:t xml:space="preserve"> </w:t>
      </w:r>
      <w:r>
        <w:t xml:space="preserve">20 July 2020. A technical stakeholders’ conference on the CPR revision was organised</w:t>
      </w:r>
      <w:r>
        <w:t xml:space="preserve"> </w:t>
      </w:r>
      <w:r>
        <w:t xml:space="preserve">on 7 September 2020164. A public consultation followed in the period between</w:t>
      </w:r>
      <w:r>
        <w:t xml:space="preserve"> </w:t>
      </w:r>
      <w:r>
        <w:t xml:space="preserve">4 September 2020 and 25 December 2020.</w:t>
      </w:r>
    </w:p>
    <w:p>
      <w:pPr>
        <w:pStyle w:val="BodyText"/>
      </w:pPr>
      <w:r>
        <w:t xml:space="preserve">159 DocsRoom - European Commission (europa.eu).</w:t>
      </w:r>
      <w:r>
        <w:t xml:space="preserve"> </w:t>
      </w:r>
      <w:r>
        <w:t xml:space="preserve">160 DocsRoom - European Commission (europa.eu).</w:t>
      </w:r>
      <w:r>
        <w:t xml:space="preserve"> </w:t>
      </w:r>
      <w:r>
        <w:t xml:space="preserve">161 DocsRoom - European Commission (europa.eu).</w:t>
      </w:r>
      <w:r>
        <w:t xml:space="preserve"> </w:t>
      </w:r>
      <w:r>
        <w:t xml:space="preserve">162 https://ec.europa.eu/docsroom/documents/43103.</w:t>
      </w:r>
      <w:r>
        <w:t xml:space="preserve"> </w:t>
      </w:r>
      <w:r>
        <w:t xml:space="preserve">163 Ares(2020)3153709.</w:t>
      </w:r>
      <w:r>
        <w:t xml:space="preserve"> </w:t>
      </w:r>
      <w:r>
        <w:t xml:space="preserve">164 https://ec.europa.eu/docsroom/documents/43001.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An inter-service steering group (ISSG) was set up in September 2019 to follow the</w:t>
      </w:r>
      <w:r>
        <w:t xml:space="preserve"> </w:t>
      </w:r>
      <w:r>
        <w:t xml:space="preserve">process of developing a study165 launched in support of the Impact Assessment and the</w:t>
      </w:r>
      <w:r>
        <w:t xml:space="preserve"> </w:t>
      </w:r>
      <w:r>
        <w:t xml:space="preserve">preparation of the Impact Assessment itself. The group included the following services:</w:t>
      </w:r>
      <w:r>
        <w:t xml:space="preserve"> </w:t>
      </w:r>
      <w:r>
        <w:t xml:space="preserve">Secretariat-General, Legal Service, DG Energy, DG Environment, DG Climate Action,</w:t>
      </w:r>
      <w:r>
        <w:t xml:space="preserve"> </w:t>
      </w:r>
      <w:r>
        <w:t xml:space="preserve">DG Employment, social affairs and inclusion, DG Competition, DG Justice and</w:t>
      </w:r>
      <w:r>
        <w:t xml:space="preserve"> </w:t>
      </w:r>
      <w:r>
        <w:t xml:space="preserve">consumers, DG Research and innovation, Joint Research Centre.</w:t>
      </w:r>
      <w:r>
        <w:t xml:space="preserve"> </w:t>
      </w:r>
      <w:r>
        <w:t xml:space="preserve">The ISSG met on 25 September 2019 (kick-off meeting), 21 November 2019 (inception</w:t>
      </w:r>
      <w:r>
        <w:t xml:space="preserve"> </w:t>
      </w:r>
      <w:r>
        <w:t xml:space="preserve">report), 19 February 2020 (first progress report), 8 December (second progress report),</w:t>
      </w:r>
      <w:r>
        <w:t xml:space="preserve"> </w:t>
      </w:r>
      <w:r>
        <w:t xml:space="preserve">5 February 2021 (first findings report), 29 April 2021 (draft final report), 19 May 2021</w:t>
      </w:r>
      <w:r>
        <w:t xml:space="preserve"> </w:t>
      </w:r>
      <w:r>
        <w:t xml:space="preserve">(draft Impact Assessment), 15 June 2021 (Impact Assessment) and 30 November 2021</w:t>
      </w:r>
      <w:r>
        <w:t xml:space="preserve"> </w:t>
      </w:r>
      <w:r>
        <w:t xml:space="preserve">(revised IA).</w:t>
      </w:r>
      <w:r>
        <w:t xml:space="preserve"> </w:t>
      </w:r>
      <w:r>
        <w:t xml:space="preserve">The ISSG was consulted on the consultation strategy (25 June 2020) and on the questions</w:t>
      </w:r>
      <w:r>
        <w:t xml:space="preserve"> </w:t>
      </w:r>
      <w:r>
        <w:t xml:space="preserve">for the study validation workshop (4 February 2021). The validation workshop took</w:t>
      </w:r>
      <w:r>
        <w:t xml:space="preserve"> </w:t>
      </w:r>
      <w:r>
        <w:t xml:space="preserve">place on 24 March 2021.</w:t>
      </w:r>
      <w:r>
        <w:t xml:space="preserve"> </w:t>
      </w:r>
      <w:r>
        <w:t xml:space="preserve">3. Consultation of the RSB</w:t>
      </w:r>
      <w:r>
        <w:t xml:space="preserve"> </w:t>
      </w:r>
      <w:r>
        <w:t xml:space="preserve">An upstream meeting took place on 17 March 2021.</w:t>
      </w:r>
      <w:r>
        <w:t xml:space="preserve"> </w:t>
      </w:r>
      <w:r>
        <w:t xml:space="preserve">Feedback from the Regulatory Scrutiny Board (RSB) was sought on the way to construct</w:t>
      </w:r>
      <w:r>
        <w:t xml:space="preserve"> </w:t>
      </w:r>
      <w:r>
        <w:t xml:space="preserve">and compare the policy options as well as more general issues related to objectives,</w:t>
      </w:r>
      <w:r>
        <w:t xml:space="preserve"> </w:t>
      </w:r>
      <w:r>
        <w:t xml:space="preserve">impacts and evidence.</w:t>
      </w:r>
      <w:r>
        <w:t xml:space="preserve"> </w:t>
      </w:r>
      <w:r>
        <w:t xml:space="preserve">The Impact Assessment was discussed at a meeting with the RSB on 22 July 2021.</w:t>
      </w:r>
      <w:r>
        <w:t xml:space="preserve"> </w:t>
      </w:r>
      <w:r>
        <w:t xml:space="preserve">Following the negative opinion of the RSB from 26 July 2021, changes were made to the</w:t>
      </w:r>
      <w:r>
        <w:t xml:space="preserve"> </w:t>
      </w:r>
      <w:r>
        <w:t xml:space="preserve">Impact Assessment report in order to reflect the recommendations of the Board. Table 6</w:t>
      </w:r>
      <w:r>
        <w:t xml:space="preserve"> </w:t>
      </w:r>
      <w:r>
        <w:t xml:space="preserve">below presents an overview of the RSB’s comments and how these have been addressed.</w:t>
      </w:r>
      <w:r>
        <w:t xml:space="preserve"> </w:t>
      </w:r>
      <w:r>
        <w:t xml:space="preserve">The revised Impact Assessment was resubmitted to the RSB on 16 December 2021. The</w:t>
      </w:r>
      <w:r>
        <w:t xml:space="preserve"> </w:t>
      </w:r>
      <w:r>
        <w:t xml:space="preserve">RSB delivered a positive opinion with reservations on 26 January 2022. Table 7 below</w:t>
      </w:r>
      <w:r>
        <w:t xml:space="preserve"> </w:t>
      </w:r>
      <w:r>
        <w:t xml:space="preserve">presents an overview of the RSB’s comments and how these have been addressed.</w:t>
      </w:r>
      <w:r>
        <w:br/>
      </w:r>
      <w:r>
        <w:t xml:space="preserve">Table 6: RSB recommendations I and how they have been addressed</w:t>
      </w:r>
      <w:r>
        <w:t xml:space="preserve"> </w:t>
      </w:r>
      <w:r>
        <w:t xml:space="preserve">RSB recommendations</w:t>
      </w:r>
      <w:r>
        <w:t xml:space="preserve"> </w:t>
      </w:r>
      <w:r>
        <w:t xml:space="preserve">Revisions introduced</w:t>
      </w:r>
      <w:r>
        <w:t xml:space="preserve"> </w:t>
      </w:r>
      <w:r>
        <w:t xml:space="preserve">(B) Summary of findings</w:t>
      </w:r>
      <w:r>
        <w:t xml:space="preserve"> </w:t>
      </w:r>
      <w:r>
        <w:t xml:space="preserve">(1) The report does not sufficiently analyse and</w:t>
      </w:r>
      <w:r>
        <w:t xml:space="preserve"> </w:t>
      </w:r>
      <w:r>
        <w:t xml:space="preserve">substantiate with evidence the key problems it aims</w:t>
      </w:r>
      <w:r>
        <w:t xml:space="preserve"> </w:t>
      </w:r>
      <w:r>
        <w:t xml:space="preserve">to tackle. It is not sufficiently clear to what extent</w:t>
      </w:r>
      <w:r>
        <w:t xml:space="preserve"> </w:t>
      </w:r>
      <w:r>
        <w:t xml:space="preserve">the Sustainable Product Initiative (SPI) determines</w:t>
      </w:r>
      <w:r>
        <w:t xml:space="preserve"> </w:t>
      </w:r>
      <w:r>
        <w:t xml:space="preserve">the scope and measures of the initiative and how</w:t>
      </w:r>
      <w:r>
        <w:t xml:space="preserve"> </w:t>
      </w:r>
      <w:r>
        <w:t xml:space="preserve">this interaction is reflected in the baseline.</w:t>
      </w:r>
      <w:r>
        <w:t xml:space="preserve"> </w:t>
      </w:r>
      <w:r>
        <w:t xml:space="preserve">The problem analysis has been complemented by</w:t>
      </w:r>
      <w:r>
        <w:t xml:space="preserve"> </w:t>
      </w:r>
      <w:r>
        <w:t xml:space="preserve">available evidence from studies in section 2. It has</w:t>
      </w:r>
      <w:r>
        <w:t xml:space="preserve"> </w:t>
      </w:r>
      <w:r>
        <w:t xml:space="preserve">been identified clearly the most important problems</w:t>
      </w:r>
      <w:r>
        <w:t xml:space="preserve"> </w:t>
      </w:r>
      <w:r>
        <w:t xml:space="preserve">to be addressed. The report has established clear</w:t>
      </w:r>
      <w:r>
        <w:t xml:space="preserve"> </w:t>
      </w:r>
      <w:r>
        <w:t xml:space="preserve">links between the problems and the drivers.</w:t>
      </w:r>
      <w:r>
        <w:br/>
      </w:r>
      <w:r>
        <w:t xml:space="preserve">The links and planned interaction with the SPI</w:t>
      </w:r>
      <w:r>
        <w:t xml:space="preserve"> </w:t>
      </w:r>
      <w:r>
        <w:t xml:space="preserve">initiative and its interaction with the preferred</w:t>
      </w:r>
      <w:r>
        <w:t xml:space="preserve"> </w:t>
      </w:r>
      <w:r>
        <w:t xml:space="preserve">option have been better explained in the text and in</w:t>
      </w:r>
      <w:r>
        <w:t xml:space="preserve"> </w:t>
      </w:r>
      <w:r>
        <w:t xml:space="preserve">Annex 11.</w:t>
      </w:r>
      <w:r>
        <w:t xml:space="preserve"> </w:t>
      </w:r>
      <w:r>
        <w:t xml:space="preserve">(2) The report does not provide a clear presentation</w:t>
      </w:r>
      <w:r>
        <w:t xml:space="preserve"> </w:t>
      </w:r>
      <w:r>
        <w:t xml:space="preserve">of the options and how they differ from each other.</w:t>
      </w:r>
      <w:r>
        <w:t xml:space="preserve"> </w:t>
      </w:r>
      <w:r>
        <w:t xml:space="preserve">The available policy choices are not brought out</w:t>
      </w:r>
      <w:r>
        <w:t xml:space="preserve"> </w:t>
      </w:r>
      <w:r>
        <w:t xml:space="preserve">clearly enough. The links between the options, the</w:t>
      </w:r>
      <w:r>
        <w:t xml:space="preserve"> </w:t>
      </w:r>
      <w:r>
        <w:t xml:space="preserve">specific objectives and the problem drivers are not</w:t>
      </w:r>
      <w:r>
        <w:t xml:space="preserve"> </w:t>
      </w:r>
      <w:r>
        <w:t xml:space="preserve">The following have been added in section 6:</w:t>
      </w:r>
      <w:r>
        <w:t xml:space="preserve"> </w:t>
      </w:r>
      <w:r>
        <w:t xml:space="preserve">-</w:t>
      </w:r>
      <w:r>
        <w:t xml:space="preserve"> </w:t>
      </w:r>
      <w:r>
        <w:t xml:space="preserve">A clearer presentation of the options has</w:t>
      </w:r>
      <w:r>
        <w:t xml:space="preserve"> </w:t>
      </w:r>
      <w:r>
        <w:t xml:space="preserve">been provided;</w:t>
      </w:r>
      <w:r>
        <w:br/>
      </w:r>
      <w:r>
        <w:t xml:space="preserve">-</w:t>
      </w:r>
      <w:r>
        <w:t xml:space="preserve"> </w:t>
      </w:r>
      <w:r>
        <w:t xml:space="preserve">The narrative of the report has been made</w:t>
      </w:r>
      <w:r>
        <w:t xml:space="preserve"> </w:t>
      </w:r>
      <w:r>
        <w:t xml:space="preserve">more comprehensible in order to explain to</w:t>
      </w:r>
    </w:p>
    <w:p>
      <w:pPr>
        <w:pStyle w:val="BodyText"/>
      </w:pPr>
      <w:r>
        <w:t xml:space="preserve">165 Supporting study for the impact assessment for the CPR Review 738/PP/GRO/IMA/19/1133/11072.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well established.</w:t>
      </w:r>
      <w:r>
        <w:t xml:space="preserve"> </w:t>
      </w:r>
      <w:r>
        <w:t xml:space="preserve">the non-expert reader the available policy</w:t>
      </w:r>
      <w:r>
        <w:t xml:space="preserve"> </w:t>
      </w:r>
      <w:r>
        <w:t xml:space="preserve">options.</w:t>
      </w:r>
      <w:r>
        <w:br/>
      </w:r>
      <w:r>
        <w:t xml:space="preserve">-</w:t>
      </w:r>
      <w:r>
        <w:t xml:space="preserve"> </w:t>
      </w:r>
      <w:r>
        <w:t xml:space="preserve">In addition to a much clearer presentation</w:t>
      </w:r>
      <w:r>
        <w:t xml:space="preserve"> </w:t>
      </w:r>
      <w:r>
        <w:t xml:space="preserve">of the problem drivers and the general and</w:t>
      </w:r>
      <w:r>
        <w:t xml:space="preserve"> </w:t>
      </w:r>
      <w:r>
        <w:t xml:space="preserve">specific objectives in section 5, Figure 4</w:t>
      </w:r>
      <w:r>
        <w:t xml:space="preserve"> </w:t>
      </w:r>
      <w:r>
        <w:t xml:space="preserve">(the intervention logic) was strengthened</w:t>
      </w:r>
      <w:r>
        <w:t xml:space="preserve"> </w:t>
      </w:r>
      <w:r>
        <w:t xml:space="preserve">by linking problems, problem drivers,</w:t>
      </w:r>
      <w:r>
        <w:t xml:space="preserve"> </w:t>
      </w:r>
      <w:r>
        <w:t xml:space="preserve">objectives and options.</w:t>
      </w:r>
      <w:r>
        <w:t xml:space="preserve"> </w:t>
      </w:r>
      <w:r>
        <w:t xml:space="preserve">(3) The analysis of impacts on administrative costs,</w:t>
      </w:r>
      <w:r>
        <w:t xml:space="preserve"> </w:t>
      </w:r>
      <w:r>
        <w:t xml:space="preserve">simplification and SMEs is underdeveloped.</w:t>
      </w:r>
      <w:r>
        <w:t xml:space="preserve"> </w:t>
      </w:r>
      <w:r>
        <w:t xml:space="preserve">In Section 7, the impacts of the various options on</w:t>
      </w:r>
      <w:r>
        <w:t xml:space="preserve"> </w:t>
      </w:r>
      <w:r>
        <w:t xml:space="preserve">SMEs have been systematically described and</w:t>
      </w:r>
      <w:r>
        <w:t xml:space="preserve"> </w:t>
      </w:r>
      <w:r>
        <w:t xml:space="preserve">assessed fully using the available evidence.</w:t>
      </w:r>
      <w:r>
        <w:t xml:space="preserve"> </w:t>
      </w:r>
      <w:r>
        <w:t xml:space="preserve">An annex on SME-specific impacts (SME test) has</w:t>
      </w:r>
      <w:r>
        <w:t xml:space="preserve"> </w:t>
      </w:r>
      <w:r>
        <w:t xml:space="preserve">been developed and included in the report (Annex</w:t>
      </w:r>
      <w:r>
        <w:t xml:space="preserve"> </w:t>
      </w:r>
      <w:r>
        <w:t xml:space="preserve">5).</w:t>
      </w:r>
      <w:r>
        <w:t xml:space="preserve"> </w:t>
      </w:r>
      <w:r>
        <w:t xml:space="preserve">(4) The comparison of options does not reflect all</w:t>
      </w:r>
      <w:r>
        <w:t xml:space="preserve"> </w:t>
      </w:r>
      <w:r>
        <w:t xml:space="preserve">available evidence, it is not coherent and its</w:t>
      </w:r>
      <w:r>
        <w:t xml:space="preserve"> </w:t>
      </w:r>
      <w:r>
        <w:t xml:space="preserve">conclusions are not clearly justified.</w:t>
      </w:r>
      <w:r>
        <w:t xml:space="preserve"> </w:t>
      </w:r>
      <w:r>
        <w:t xml:space="preserve">The statements and arguments of the report have</w:t>
      </w:r>
      <w:r>
        <w:t xml:space="preserve"> </w:t>
      </w:r>
      <w:r>
        <w:t xml:space="preserve">been backed-up with further facts and evidence.</w:t>
      </w:r>
      <w:r>
        <w:t xml:space="preserve"> </w:t>
      </w:r>
      <w:r>
        <w:t xml:space="preserve">Namely, additional information from the following</w:t>
      </w:r>
      <w:r>
        <w:t xml:space="preserve"> </w:t>
      </w:r>
      <w:r>
        <w:t xml:space="preserve">studies has been added to the various sections and</w:t>
      </w:r>
      <w:r>
        <w:t xml:space="preserve"> </w:t>
      </w:r>
      <w:r>
        <w:t xml:space="preserve">annexes:</w:t>
      </w:r>
      <w:r>
        <w:t xml:space="preserve"> </w:t>
      </w:r>
      <w:r>
        <w:t xml:space="preserve">-</w:t>
      </w:r>
      <w:r>
        <w:t xml:space="preserve"> </w:t>
      </w:r>
      <w:r>
        <w:t xml:space="preserve">the 2016 Supporting studies for the Fitness</w:t>
      </w:r>
      <w:r>
        <w:t xml:space="preserve"> </w:t>
      </w:r>
      <w:r>
        <w:t xml:space="preserve">Check on the construction sector;</w:t>
      </w:r>
      <w:r>
        <w:t xml:space="preserve"> </w:t>
      </w:r>
      <w:r>
        <w:t xml:space="preserve">-</w:t>
      </w:r>
      <w:r>
        <w:t xml:space="preserve"> </w:t>
      </w:r>
      <w:r>
        <w:t xml:space="preserve">the</w:t>
      </w:r>
      <w:r>
        <w:t xml:space="preserve"> </w:t>
      </w:r>
      <w:r>
        <w:t xml:space="preserve">Commission’s</w:t>
      </w:r>
      <w:r>
        <w:t xml:space="preserve"> </w:t>
      </w:r>
      <w:r>
        <w:t xml:space="preserve">July</w:t>
      </w:r>
      <w:r>
        <w:t xml:space="preserve"> </w:t>
      </w:r>
      <w:r>
        <w:t xml:space="preserve">2016</w:t>
      </w:r>
      <w:r>
        <w:t xml:space="preserve"> </w:t>
      </w:r>
      <w:r>
        <w:t xml:space="preserve">implementation report on the CPR;</w:t>
      </w:r>
      <w:r>
        <w:t xml:space="preserve"> </w:t>
      </w:r>
      <w:r>
        <w:t xml:space="preserve">-</w:t>
      </w:r>
      <w:r>
        <w:t xml:space="preserve"> </w:t>
      </w:r>
      <w:r>
        <w:t xml:space="preserve">the REFIT Platform recommendations;</w:t>
      </w:r>
      <w:r>
        <w:t xml:space="preserve"> </w:t>
      </w:r>
      <w:r>
        <w:t xml:space="preserve">-</w:t>
      </w:r>
      <w:r>
        <w:t xml:space="preserve"> </w:t>
      </w:r>
      <w:r>
        <w:t xml:space="preserve">several Judgments of the Court of Justice</w:t>
      </w:r>
      <w:r>
        <w:t xml:space="preserve"> </w:t>
      </w:r>
      <w:r>
        <w:t xml:space="preserve">of the EU;</w:t>
      </w:r>
      <w:r>
        <w:t xml:space="preserve"> </w:t>
      </w:r>
      <w:r>
        <w:t xml:space="preserve">-</w:t>
      </w:r>
      <w:r>
        <w:t xml:space="preserve"> </w:t>
      </w:r>
      <w:r>
        <w:t xml:space="preserve">the 2021 EP own initiative report on the</w:t>
      </w:r>
      <w:r>
        <w:t xml:space="preserve"> </w:t>
      </w:r>
      <w:r>
        <w:t xml:space="preserve">implementation of the CPR;</w:t>
      </w:r>
      <w:r>
        <w:t xml:space="preserve"> </w:t>
      </w:r>
      <w:r>
        <w:t xml:space="preserve">-</w:t>
      </w:r>
      <w:r>
        <w:t xml:space="preserve"> </w:t>
      </w:r>
      <w:r>
        <w:t xml:space="preserve">the 2018 supporting study for the Review</w:t>
      </w:r>
      <w:r>
        <w:t xml:space="preserve"> </w:t>
      </w:r>
      <w:r>
        <w:t xml:space="preserve">of the Construction Products Regulation;</w:t>
      </w:r>
      <w:r>
        <w:t xml:space="preserve"> </w:t>
      </w:r>
      <w:r>
        <w:t xml:space="preserve">-</w:t>
      </w:r>
      <w:r>
        <w:t xml:space="preserve"> </w:t>
      </w:r>
      <w:r>
        <w:t xml:space="preserve">the 2016 Report on the Economic Impacts</w:t>
      </w:r>
      <w:r>
        <w:t xml:space="preserve"> </w:t>
      </w:r>
      <w:r>
        <w:t xml:space="preserve">of the Construction Products Regulation.</w:t>
      </w:r>
      <w:r>
        <w:t xml:space="preserve"> </w:t>
      </w:r>
      <w:r>
        <w:t xml:space="preserve">(C) What to improve</w:t>
      </w:r>
      <w:r>
        <w:t xml:space="preserve"> </w:t>
      </w:r>
      <w:r>
        <w:t xml:space="preserve">(1) The report should better explain what the key</w:t>
      </w:r>
      <w:r>
        <w:t xml:space="preserve"> </w:t>
      </w:r>
      <w:r>
        <w:t xml:space="preserve">problems are and how they inter-relate. It should</w:t>
      </w:r>
      <w:r>
        <w:t xml:space="preserve"> </w:t>
      </w:r>
      <w:r>
        <w:t xml:space="preserve">better explain what aspects of the Regulation’s</w:t>
      </w:r>
      <w:r>
        <w:t xml:space="preserve"> </w:t>
      </w:r>
      <w:r>
        <w:t xml:space="preserve">underperformance are within the scope of this</w:t>
      </w:r>
      <w:r>
        <w:t xml:space="preserve"> </w:t>
      </w:r>
      <w:r>
        <w:t xml:space="preserve">revision and which are not.</w:t>
      </w:r>
      <w:r>
        <w:t xml:space="preserve"> </w:t>
      </w:r>
      <w:r>
        <w:t xml:space="preserve">The problems with highest priority to be addressed</w:t>
      </w:r>
      <w:r>
        <w:t xml:space="preserve"> </w:t>
      </w:r>
      <w:r>
        <w:t xml:space="preserve">and their inter-relation have been better explained in</w:t>
      </w:r>
      <w:r>
        <w:t xml:space="preserve"> </w:t>
      </w:r>
      <w:r>
        <w:t xml:space="preserve">section 2. Also, the explanation of the drivers of the</w:t>
      </w:r>
      <w:r>
        <w:t xml:space="preserve"> </w:t>
      </w:r>
      <w:r>
        <w:t xml:space="preserve">problems was enhanced in section 2.</w:t>
      </w:r>
      <w:r>
        <w:t xml:space="preserve"> </w:t>
      </w:r>
      <w:r>
        <w:t xml:space="preserve">The report further elaborated on the links between</w:t>
      </w:r>
      <w:r>
        <w:t xml:space="preserve"> </w:t>
      </w:r>
      <w:r>
        <w:t xml:space="preserve">the problems and the drivers in section 2.</w:t>
      </w:r>
      <w:r>
        <w:t xml:space="preserve"> </w:t>
      </w:r>
      <w:r>
        <w:t xml:space="preserve">(2) The report should make better use of the</w:t>
      </w:r>
      <w:r>
        <w:t xml:space="preserve"> </w:t>
      </w:r>
      <w:r>
        <w:t xml:space="preserve">evidence available in the implementation and</w:t>
      </w:r>
      <w:r>
        <w:t xml:space="preserve"> </w:t>
      </w:r>
      <w:r>
        <w:t xml:space="preserve">evaluation reports and the support studies. It should</w:t>
      </w:r>
      <w:r>
        <w:t xml:space="preserve"> </w:t>
      </w:r>
      <w:r>
        <w:t xml:space="preserve">present the key findings upfront, so that the reader</w:t>
      </w:r>
      <w:r>
        <w:t xml:space="preserve"> </w:t>
      </w:r>
      <w:r>
        <w:t xml:space="preserve">knows from the problem description what the key</w:t>
      </w:r>
      <w:r>
        <w:t xml:space="preserve"> </w:t>
      </w:r>
      <w:r>
        <w:t xml:space="preserve">design and implementation issues with this</w:t>
      </w:r>
      <w:r>
        <w:t xml:space="preserve"> </w:t>
      </w:r>
      <w:r>
        <w:t xml:space="preserve">Regulation are. It should substantiate with evidence</w:t>
      </w:r>
      <w:r>
        <w:t xml:space="preserve"> </w:t>
      </w:r>
      <w:r>
        <w:t xml:space="preserve">the environmental protection and sustainability</w:t>
      </w:r>
      <w:r>
        <w:t xml:space="preserve"> </w:t>
      </w:r>
      <w:r>
        <w:t xml:space="preserve">problems related to construction products, so that</w:t>
      </w:r>
      <w:r>
        <w:t xml:space="preserve"> </w:t>
      </w:r>
      <w:r>
        <w:t xml:space="preserve">the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harmonised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performance methods can be properly assessed. It</w:t>
      </w:r>
      <w:r>
        <w:t xml:space="preserve"> </w:t>
      </w:r>
      <w:r>
        <w:t xml:space="preserve">should provide clear evidence for the need for</w:t>
      </w:r>
      <w:r>
        <w:t xml:space="preserve"> </w:t>
      </w:r>
      <w:r>
        <w:t xml:space="preserve">action in the safety area and as regards pre-</w:t>
      </w:r>
      <w:r>
        <w:t xml:space="preserve"> </w:t>
      </w:r>
      <w:r>
        <w:t xml:space="preserve">fabricated small houses.</w:t>
      </w:r>
      <w:r>
        <w:t xml:space="preserve"> </w:t>
      </w:r>
      <w:r>
        <w:t xml:space="preserve">The following has been added:</w:t>
      </w:r>
      <w:r>
        <w:t xml:space="preserve"> </w:t>
      </w:r>
      <w:r>
        <w:t xml:space="preserve">-</w:t>
      </w:r>
      <w:r>
        <w:t xml:space="preserve"> </w:t>
      </w:r>
      <w:r>
        <w:t xml:space="preserve">Further qualitative and quantitative data</w:t>
      </w:r>
      <w:r>
        <w:t xml:space="preserve"> </w:t>
      </w:r>
      <w:r>
        <w:t xml:space="preserve">and analysis has been added in the section</w:t>
      </w:r>
      <w:r>
        <w:t xml:space="preserve"> </w:t>
      </w:r>
      <w:r>
        <w:t xml:space="preserve">3.2 and section 7;</w:t>
      </w:r>
      <w:r>
        <w:t xml:space="preserve"> </w:t>
      </w:r>
      <w:r>
        <w:t xml:space="preserve">-</w:t>
      </w:r>
      <w:r>
        <w:t xml:space="preserve"> </w:t>
      </w:r>
      <w:r>
        <w:t xml:space="preserve">A new Annex 5 (SME test);</w:t>
      </w:r>
      <w:r>
        <w:br/>
      </w:r>
      <w:r>
        <w:t xml:space="preserve">-</w:t>
      </w:r>
      <w:r>
        <w:t xml:space="preserve"> </w:t>
      </w:r>
      <w:r>
        <w:t xml:space="preserve">The problems description in section 2 has</w:t>
      </w:r>
      <w:r>
        <w:t xml:space="preserve"> </w:t>
      </w:r>
      <w:r>
        <w:t xml:space="preserve">been complemented by additional findings</w:t>
      </w:r>
      <w:r>
        <w:t xml:space="preserve"> </w:t>
      </w:r>
      <w:r>
        <w:t xml:space="preserve">and evidence from various sources (e.g. the</w:t>
      </w:r>
      <w:r>
        <w:t xml:space="preserve"> </w:t>
      </w:r>
      <w:r>
        <w:t xml:space="preserve">2019 evaluation, the 2018 Evaluation,</w:t>
      </w:r>
      <w:r>
        <w:t xml:space="preserve"> </w:t>
      </w:r>
      <w:r>
        <w:t xml:space="preserve">supporting study, the REFIT Platform</w:t>
      </w:r>
      <w:r>
        <w:t xml:space="preserve"> </w:t>
      </w:r>
      <w:r>
        <w:t xml:space="preserve">recommendations);</w:t>
      </w:r>
      <w:r>
        <w:t xml:space="preserve"> </w:t>
      </w:r>
      <w:r>
        <w:t xml:space="preserve">-</w:t>
      </w:r>
      <w:r>
        <w:t xml:space="preserve"> </w:t>
      </w:r>
      <w:r>
        <w:t xml:space="preserve">Evidence on the environmental protection</w:t>
      </w:r>
      <w:r>
        <w:t xml:space="preserve"> </w:t>
      </w:r>
      <w:r>
        <w:t xml:space="preserve">and sustainability problems related to</w:t>
      </w:r>
      <w:r>
        <w:t xml:space="preserve"> </w:t>
      </w:r>
      <w:r>
        <w:t xml:space="preserve">construction products in section 2 and a</w:t>
      </w:r>
      <w:r>
        <w:t xml:space="preserve"> </w:t>
      </w:r>
      <w:r>
        <w:t xml:space="preserve">new Annex 9 (environmental impacts of</w:t>
      </w:r>
      <w:r>
        <w:t xml:space="preserve"> </w:t>
      </w:r>
      <w:r>
        <w:t xml:space="preserve">construction products);</w:t>
      </w:r>
      <w:r>
        <w:t xml:space="preserve"> </w:t>
      </w:r>
      <w:r>
        <w:t xml:space="preserve">-</w:t>
      </w:r>
      <w:r>
        <w:t xml:space="preserve"> </w:t>
      </w:r>
      <w:r>
        <w:t xml:space="preserve">Evidence on the need to act regarding the</w:t>
      </w:r>
      <w:r>
        <w:t xml:space="preserve"> </w:t>
      </w:r>
      <w:r>
        <w:t xml:space="preserve">safety of construction products, as well as</w:t>
      </w:r>
      <w:r>
        <w:t xml:space="preserve"> </w:t>
      </w:r>
      <w:r>
        <w:t xml:space="preserve">regards the pre-fabricated small houses;</w:t>
      </w:r>
      <w:r>
        <w:t xml:space="preserve"> </w:t>
      </w:r>
      <w:r>
        <w:t xml:space="preserve">-</w:t>
      </w:r>
      <w:r>
        <w:t xml:space="preserve"> </w:t>
      </w:r>
      <w:r>
        <w:t xml:space="preserve">In section 2, the report has further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underlined new general objectives linked to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initiatives</w:t>
      </w:r>
      <w:r>
        <w:t xml:space="preserve"> </w:t>
      </w:r>
      <w:r>
        <w:t xml:space="preserve">on</w:t>
      </w:r>
      <w:r>
        <w:t xml:space="preserve"> </w:t>
      </w:r>
      <w:r>
        <w:t xml:space="preserve">environmental sustainability and how they</w:t>
      </w:r>
      <w:r>
        <w:t xml:space="preserve"> </w:t>
      </w:r>
      <w:r>
        <w:t xml:space="preserve">relate to construction products.</w:t>
      </w:r>
      <w:r>
        <w:t xml:space="preserve"> </w:t>
      </w:r>
      <w:r>
        <w:t xml:space="preserve">(3) The report should better explain the planned</w:t>
      </w:r>
      <w:r>
        <w:t xml:space="preserve"> </w:t>
      </w:r>
      <w:r>
        <w:t xml:space="preserve">interaction with the SPI. It should consider possible</w:t>
      </w:r>
      <w:r>
        <w:t xml:space="preserve"> </w:t>
      </w:r>
      <w:r>
        <w:t xml:space="preserve">options to avoid loopholes and overlaps with the</w:t>
      </w:r>
      <w:r>
        <w:t xml:space="preserve"> </w:t>
      </w:r>
      <w:r>
        <w:t xml:space="preserve">SPI. It should clarify how the SPI is reflected in a</w:t>
      </w:r>
      <w:r>
        <w:t xml:space="preserve"> </w:t>
      </w:r>
      <w:r>
        <w:t xml:space="preserve">consistent manner in the baseline scenario and in</w:t>
      </w:r>
      <w:r>
        <w:t xml:space="preserve"> </w:t>
      </w:r>
      <w:r>
        <w:t xml:space="preserve">the presentation and comparison of options.</w:t>
      </w:r>
      <w:r>
        <w:t xml:space="preserve"> </w:t>
      </w:r>
      <w:r>
        <w:t xml:space="preserve">The baseline scenario now already presumes the</w:t>
      </w:r>
      <w:r>
        <w:t xml:space="preserve"> </w:t>
      </w:r>
      <w:r>
        <w:t xml:space="preserve">introduction of the SPI. It is described how all</w:t>
      </w:r>
      <w:r>
        <w:t xml:space="preserve"> </w:t>
      </w:r>
      <w:r>
        <w:t xml:space="preserve">options interact with the SPI. The coverage of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performance</w:t>
      </w:r>
      <w:r>
        <w:t xml:space="preserve"> </w:t>
      </w:r>
      <w:r>
        <w:t xml:space="preserve">and</w:t>
      </w:r>
      <w:r>
        <w:t xml:space="preserve"> </w:t>
      </w:r>
      <w:r>
        <w:t xml:space="preserve">product</w:t>
      </w:r>
      <w:r>
        <w:t xml:space="preserve"> </w:t>
      </w:r>
      <w:r>
        <w:t xml:space="preserve">requirements by relevant options is described in</w:t>
      </w:r>
      <w:r>
        <w:t xml:space="preserve"> </w:t>
      </w:r>
      <w:r>
        <w:t xml:space="preserve">Section 6, while the interface between the future</w:t>
      </w:r>
      <w:r>
        <w:t xml:space="preserve"> </w:t>
      </w:r>
      <w:r>
        <w:t xml:space="preserve">CPR and the SPI has been explained in details in</w:t>
      </w:r>
      <w:r>
        <w:t xml:space="preserve"> </w:t>
      </w:r>
      <w:r>
        <w:t xml:space="preserve">Annex 11. Furthermore, in Annex 11, an example,</w:t>
      </w:r>
      <w:r>
        <w:t xml:space="preserve"> </w:t>
      </w:r>
      <w:r>
        <w:t xml:space="preserve">namely bricks, has been elaborated with the aim to</w:t>
      </w:r>
      <w:r>
        <w:t xml:space="preserve"> </w:t>
      </w:r>
      <w:r>
        <w:t xml:space="preserve">illustrate in a comprehensive and exhaustive way</w:t>
      </w:r>
      <w:r>
        <w:t xml:space="preserve"> </w:t>
      </w:r>
      <w:r>
        <w:t xml:space="preserve">the planned interaction with the SPI.</w:t>
      </w:r>
      <w:r>
        <w:t xml:space="preserve"> </w:t>
      </w:r>
      <w:r>
        <w:t xml:space="preserve">(4) The report should provide a clearer presentation</w:t>
      </w:r>
      <w:r>
        <w:t xml:space="preserve"> </w:t>
      </w:r>
      <w:r>
        <w:t xml:space="preserve">of options covering the full set of policy choices. It</w:t>
      </w:r>
      <w:r>
        <w:t xml:space="preserve"> </w:t>
      </w:r>
      <w:r>
        <w:t xml:space="preserve">should</w:t>
      </w:r>
      <w:r>
        <w:t xml:space="preserve"> </w:t>
      </w:r>
      <w:r>
        <w:t xml:space="preserve">clearly</w:t>
      </w:r>
      <w:r>
        <w:t xml:space="preserve"> </w:t>
      </w:r>
      <w:r>
        <w:t xml:space="preserve">explain</w:t>
      </w:r>
      <w:r>
        <w:t xml:space="preserve"> </w:t>
      </w:r>
      <w:r>
        <w:t xml:space="preserve">the</w:t>
      </w:r>
      <w:r>
        <w:t xml:space="preserve"> </w:t>
      </w:r>
      <w:r>
        <w:t xml:space="preserve">difference,</w:t>
      </w:r>
      <w:r>
        <w:t xml:space="preserve"> </w:t>
      </w:r>
      <w:r>
        <w:t xml:space="preserve">and</w:t>
      </w:r>
      <w:r>
        <w:t xml:space="preserve"> </w:t>
      </w:r>
      <w:r>
        <w:t xml:space="preserve">interdependence, between the options as well as the</w:t>
      </w:r>
      <w:r>
        <w:t xml:space="preserve"> </w:t>
      </w:r>
      <w:r>
        <w:t xml:space="preserve">measures that would be part of each option. It</w:t>
      </w:r>
      <w:r>
        <w:t xml:space="preserve"> </w:t>
      </w:r>
      <w:r>
        <w:t xml:space="preserve">should be clear how the policy options each address</w:t>
      </w:r>
      <w:r>
        <w:t xml:space="preserve"> </w:t>
      </w:r>
      <w:r>
        <w:t xml:space="preserve">the objectives and there should be a clear link</w:t>
      </w:r>
      <w:r>
        <w:t xml:space="preserve"> </w:t>
      </w:r>
      <w:r>
        <w:t xml:space="preserve">between objectives and problems. It should better</w:t>
      </w:r>
      <w:r>
        <w:t xml:space="preserve"> </w:t>
      </w:r>
      <w:r>
        <w:t xml:space="preserve">explain how the options incorporate the new EU</w:t>
      </w:r>
      <w:r>
        <w:t xml:space="preserve"> </w:t>
      </w:r>
      <w:r>
        <w:t xml:space="preserve">sustainability ambitions set out in recent initiatives.</w:t>
      </w:r>
      <w:r>
        <w:t xml:space="preserve"> </w:t>
      </w:r>
      <w:r>
        <w:t xml:space="preserve">The following have been added in section 6:</w:t>
      </w:r>
      <w:r>
        <w:t xml:space="preserve"> </w:t>
      </w:r>
      <w:r>
        <w:t xml:space="preserve">-</w:t>
      </w:r>
      <w:r>
        <w:t xml:space="preserve"> </w:t>
      </w:r>
      <w:r>
        <w:t xml:space="preserve">More</w:t>
      </w:r>
      <w:r>
        <w:t xml:space="preserve"> </w:t>
      </w:r>
      <w:r>
        <w:t xml:space="preserve">comprehensive</w:t>
      </w:r>
      <w:r>
        <w:t xml:space="preserve"> </w:t>
      </w:r>
      <w:r>
        <w:t xml:space="preserve">and</w:t>
      </w:r>
      <w:r>
        <w:t xml:space="preserve"> </w:t>
      </w:r>
      <w:r>
        <w:t xml:space="preserve">coherent</w:t>
      </w:r>
      <w:r>
        <w:t xml:space="preserve"> </w:t>
      </w:r>
      <w:r>
        <w:t xml:space="preserve">overview of the options and their measures,</w:t>
      </w:r>
      <w:r>
        <w:t xml:space="preserve"> </w:t>
      </w:r>
      <w:r>
        <w:t xml:space="preserve">including where relevant the sustainability</w:t>
      </w:r>
      <w:r>
        <w:t xml:space="preserve"> </w:t>
      </w:r>
      <w:r>
        <w:t xml:space="preserve">ambitions set out in recent initiatives.</w:t>
      </w:r>
      <w:r>
        <w:t xml:space="preserve"> </w:t>
      </w:r>
      <w:r>
        <w:t xml:space="preserve">The following have been added in sections 5 and 6:</w:t>
      </w:r>
      <w:r>
        <w:t xml:space="preserve"> </w:t>
      </w:r>
      <w:r>
        <w:t xml:space="preserve">-</w:t>
      </w:r>
      <w:r>
        <w:t xml:space="preserve"> </w:t>
      </w:r>
      <w:r>
        <w:t xml:space="preserve">Figure 4 (the intervention logic) was</w:t>
      </w:r>
      <w:r>
        <w:t xml:space="preserve"> </w:t>
      </w:r>
      <w:r>
        <w:t xml:space="preserve">strengthened by linking problems, problem</w:t>
      </w:r>
      <w:r>
        <w:t xml:space="preserve"> </w:t>
      </w:r>
      <w:r>
        <w:t xml:space="preserve">drivers, objectives and options;</w:t>
      </w:r>
      <w:r>
        <w:t xml:space="preserve"> </w:t>
      </w:r>
      <w:r>
        <w:t xml:space="preserve">-</w:t>
      </w:r>
      <w:r>
        <w:t xml:space="preserve"> </w:t>
      </w:r>
      <w:r>
        <w:t xml:space="preserve">Figure 6 detailing the clear link between</w:t>
      </w:r>
      <w:r>
        <w:t xml:space="preserve"> </w:t>
      </w:r>
      <w:r>
        <w:t xml:space="preserve">problems, objectives and options. In</w:t>
      </w:r>
      <w:r>
        <w:t xml:space="preserve"> </w:t>
      </w:r>
      <w:r>
        <w:t xml:space="preserve">particular,</w:t>
      </w:r>
      <w:r>
        <w:t xml:space="preserve"> </w:t>
      </w:r>
      <w:r>
        <w:t xml:space="preserve">the</w:t>
      </w:r>
      <w:r>
        <w:t xml:space="preserve"> </w:t>
      </w:r>
      <w:r>
        <w:t xml:space="preserve">figure</w:t>
      </w:r>
      <w:r>
        <w:t xml:space="preserve"> </w:t>
      </w:r>
      <w:r>
        <w:t xml:space="preserve">illustrates</w:t>
      </w:r>
      <w:r>
        <w:t xml:space="preserve"> </w:t>
      </w:r>
      <w:r>
        <w:t xml:space="preserve">the</w:t>
      </w:r>
      <w:r>
        <w:t xml:space="preserve"> </w:t>
      </w:r>
      <w:r>
        <w:t xml:space="preserve">comparison of the options against the</w:t>
      </w:r>
      <w:r>
        <w:t xml:space="preserve"> </w:t>
      </w:r>
      <w:r>
        <w:t xml:space="preserve">specific objectives;</w:t>
      </w:r>
      <w:r>
        <w:t xml:space="preserve"> </w:t>
      </w:r>
      <w:r>
        <w:t xml:space="preserve">-</w:t>
      </w:r>
      <w:r>
        <w:t xml:space="preserve"> </w:t>
      </w:r>
      <w:r>
        <w:t xml:space="preserve">In section 7 (impacts of the options), an</w:t>
      </w:r>
      <w:r>
        <w:t xml:space="preserve"> </w:t>
      </w:r>
      <w:r>
        <w:t xml:space="preserve">explanation whether each option addresses</w:t>
      </w:r>
      <w:r>
        <w:t xml:space="preserve"> </w:t>
      </w:r>
      <w:r>
        <w:t xml:space="preserve">the new EU sustainability initiative;</w:t>
      </w:r>
      <w:r>
        <w:br/>
      </w:r>
      <w:r>
        <w:t xml:space="preserve">-</w:t>
      </w:r>
      <w:r>
        <w:t xml:space="preserve"> </w:t>
      </w:r>
      <w:r>
        <w:t xml:space="preserve">In section 7, in the case when an option</w:t>
      </w:r>
      <w:r>
        <w:t xml:space="preserve"> </w:t>
      </w:r>
      <w:r>
        <w:t xml:space="preserve">integrates the new initiatives, there is a</w:t>
      </w:r>
      <w:r>
        <w:t xml:space="preserve"> </w:t>
      </w:r>
      <w:r>
        <w:t xml:space="preserve">description how/to what extent the option</w:t>
      </w:r>
      <w:r>
        <w:t xml:space="preserve"> </w:t>
      </w:r>
      <w:r>
        <w:t xml:space="preserve">encompasses the new EU sustainability</w:t>
      </w:r>
      <w:r>
        <w:t xml:space="preserve"> </w:t>
      </w:r>
      <w:r>
        <w:t xml:space="preserve">initiative;</w:t>
      </w:r>
      <w:r>
        <w:t xml:space="preserve"> </w:t>
      </w:r>
      <w:r>
        <w:t xml:space="preserve">-</w:t>
      </w:r>
      <w:r>
        <w:t xml:space="preserve"> </w:t>
      </w:r>
      <w:r>
        <w:t xml:space="preserve">In section 7, after each sub-section, tables</w:t>
      </w:r>
      <w:r>
        <w:t xml:space="preserve"> </w:t>
      </w:r>
      <w:r>
        <w:t xml:space="preserve">illustrating and summarizing the negative</w:t>
      </w:r>
      <w:r>
        <w:t xml:space="preserve"> </w:t>
      </w:r>
      <w:r>
        <w:t xml:space="preserve">and the positive impacts of each option.</w:t>
      </w:r>
      <w:r>
        <w:t xml:space="preserve"> </w:t>
      </w:r>
      <w:r>
        <w:t xml:space="preserve">In section 8, the following have been added:</w:t>
      </w:r>
      <w:r>
        <w:t xml:space="preserve"> </w:t>
      </w:r>
      <w:r>
        <w:t xml:space="preserve">-</w:t>
      </w:r>
      <w:r>
        <w:t xml:space="preserve"> </w:t>
      </w:r>
      <w:r>
        <w:t xml:space="preserve">a comparison of the options against the</w:t>
      </w:r>
      <w:r>
        <w:t xml:space="preserve"> </w:t>
      </w:r>
      <w:r>
        <w:t xml:space="preserve">specific objectives has been introduced, to</w:t>
      </w:r>
      <w:r>
        <w:t xml:space="preserve"> </w:t>
      </w:r>
      <w:r>
        <w:t xml:space="preserve">show the effectiveness of every option</w:t>
      </w:r>
      <w:r>
        <w:t xml:space="preserve"> </w:t>
      </w:r>
      <w:r>
        <w:t xml:space="preserve">(Table 2);</w:t>
      </w:r>
      <w:r>
        <w:t xml:space="preserve"> </w:t>
      </w:r>
      <w:r>
        <w:t xml:space="preserve">-</w:t>
      </w:r>
      <w:r>
        <w:t xml:space="preserve"> </w:t>
      </w:r>
      <w:r>
        <w:t xml:space="preserve">a comparison of the policy options</w:t>
      </w:r>
      <w:r>
        <w:t xml:space="preserve"> </w:t>
      </w:r>
      <w:r>
        <w:t xml:space="preserve">against the Better Regulation criteria</w:t>
      </w:r>
      <w:r>
        <w:t xml:space="preserve"> </w:t>
      </w:r>
      <w:r>
        <w:t xml:space="preserve">(Table 3).</w:t>
      </w:r>
      <w:r>
        <w:t xml:space="preserve"> </w:t>
      </w:r>
      <w:r>
        <w:t xml:space="preserve">(5) The report should analyse more thoroughly the</w:t>
      </w:r>
      <w:r>
        <w:t xml:space="preserve"> </w:t>
      </w:r>
      <w:r>
        <w:t xml:space="preserve">impacts of the different options in terms of costs,</w:t>
      </w:r>
      <w:r>
        <w:t xml:space="preserve"> </w:t>
      </w:r>
      <w:r>
        <w:t xml:space="preserve">burden reduction and simplification potential.</w:t>
      </w:r>
      <w:r>
        <w:t xml:space="preserve"> </w:t>
      </w:r>
      <w:r>
        <w:t xml:space="preserve">Given that SMEs play a particular role in the</w:t>
      </w:r>
      <w:r>
        <w:t xml:space="preserve"> </w:t>
      </w:r>
      <w:r>
        <w:t xml:space="preserve">construction product sector and that the current</w:t>
      </w:r>
      <w:r>
        <w:t xml:space="preserve"> </w:t>
      </w:r>
      <w:r>
        <w:t xml:space="preserve">ineffective exemption for SMEs is part of the</w:t>
      </w:r>
      <w:r>
        <w:t xml:space="preserve"> </w:t>
      </w:r>
      <w:r>
        <w:t xml:space="preserve">problem, the impacts of the various options on them</w:t>
      </w:r>
      <w:r>
        <w:t xml:space="preserve"> </w:t>
      </w:r>
      <w:r>
        <w:t xml:space="preserve">should be systematically assessed. If sector</w:t>
      </w:r>
      <w:r>
        <w:t xml:space="preserve"> </w:t>
      </w:r>
      <w:r>
        <w:t xml:space="preserve">competitiveness is considered as a problem to be</w:t>
      </w:r>
      <w:r>
        <w:t xml:space="preserve"> </w:t>
      </w:r>
      <w:r>
        <w:t xml:space="preserve">tackled, the report should assess the corresponding</w:t>
      </w:r>
      <w:r>
        <w:t xml:space="preserve"> </w:t>
      </w:r>
      <w:r>
        <w:t xml:space="preserve">impacts of the options. The report needs to present</w:t>
      </w:r>
      <w:r>
        <w:t xml:space="preserve"> </w:t>
      </w:r>
      <w:r>
        <w:t xml:space="preserve">the costs better and should clearly summarise them</w:t>
      </w:r>
      <w:r>
        <w:t xml:space="preserve"> </w:t>
      </w:r>
      <w:r>
        <w:t xml:space="preserve">The following elements have been added in</w:t>
      </w:r>
      <w:r>
        <w:t xml:space="preserve"> </w:t>
      </w:r>
      <w:r>
        <w:t xml:space="preserve">section 7:</w:t>
      </w:r>
      <w:r>
        <w:t xml:space="preserve"> </w:t>
      </w:r>
      <w:r>
        <w:t xml:space="preserve">-</w:t>
      </w:r>
      <w:r>
        <w:t xml:space="preserve"> </w:t>
      </w:r>
      <w:r>
        <w:t xml:space="preserve">More in depth analysis of the impacts of</w:t>
      </w:r>
      <w:r>
        <w:t xml:space="preserve"> </w:t>
      </w:r>
      <w:r>
        <w:t xml:space="preserve">the different options in terms of economic,</w:t>
      </w:r>
      <w:r>
        <w:t xml:space="preserve"> </w:t>
      </w:r>
      <w:r>
        <w:t xml:space="preserve">social and environmental aspect has been</w:t>
      </w:r>
      <w:r>
        <w:t xml:space="preserve"> </w:t>
      </w:r>
      <w:r>
        <w:t xml:space="preserve">added, including an assessment of the costs</w:t>
      </w:r>
      <w:r>
        <w:t xml:space="preserve"> </w:t>
      </w:r>
      <w:r>
        <w:t xml:space="preserve">and implications on administrative burden;</w:t>
      </w:r>
      <w:r>
        <w:t xml:space="preserve"> </w:t>
      </w:r>
      <w:r>
        <w:t xml:space="preserve">-</w:t>
      </w:r>
      <w:r>
        <w:t xml:space="preserve"> </w:t>
      </w:r>
      <w:r>
        <w:t xml:space="preserve">The impacts of the various options on</w:t>
      </w:r>
      <w:r>
        <w:t xml:space="preserve"> </w:t>
      </w:r>
      <w:r>
        <w:t xml:space="preserve">SMEs have been systematically assessed;</w:t>
      </w:r>
      <w:r>
        <w:t xml:space="preserve"> </w:t>
      </w:r>
      <w:r>
        <w:t xml:space="preserve">-</w:t>
      </w:r>
      <w:r>
        <w:t xml:space="preserve"> </w:t>
      </w:r>
      <w:r>
        <w:t xml:space="preserve">An annex 5 with the SME test was</w:t>
      </w:r>
      <w:r>
        <w:t xml:space="preserve"> </w:t>
      </w:r>
      <w:r>
        <w:t xml:space="preserve">developed;</w:t>
      </w:r>
      <w:r>
        <w:t xml:space="preserve"> </w:t>
      </w:r>
      <w:r>
        <w:t xml:space="preserve">-</w:t>
      </w:r>
      <w:r>
        <w:t xml:space="preserve"> </w:t>
      </w:r>
      <w:r>
        <w:t xml:space="preserve">After each option’s impact, a table clearly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in the cost/benefit table in annex, while clarifying</w:t>
      </w:r>
      <w:r>
        <w:t xml:space="preserve"> </w:t>
      </w:r>
      <w:r>
        <w:t xml:space="preserve">who has to bear the costs.</w:t>
      </w:r>
      <w:r>
        <w:t xml:space="preserve"> </w:t>
      </w:r>
      <w:r>
        <w:t xml:space="preserve">presenting the benefits and the costs to</w:t>
      </w:r>
      <w:r>
        <w:t xml:space="preserve"> </w:t>
      </w:r>
      <w:r>
        <w:t xml:space="preserve">different stakeholders;</w:t>
      </w:r>
      <w:r>
        <w:t xml:space="preserve"> </w:t>
      </w:r>
      <w:r>
        <w:t xml:space="preserve">-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options</w:t>
      </w:r>
      <w:r>
        <w:t xml:space="preserve"> </w:t>
      </w:r>
      <w:r>
        <w:t xml:space="preserve">on</w:t>
      </w:r>
      <w:r>
        <w:t xml:space="preserve"> </w:t>
      </w:r>
      <w:r>
        <w:t xml:space="preserve">competitiveness has been taken into</w:t>
      </w:r>
      <w:r>
        <w:t xml:space="preserve"> </w:t>
      </w:r>
      <w:r>
        <w:t xml:space="preserve">account, wherever relevant;</w:t>
      </w:r>
      <w:r>
        <w:br/>
      </w:r>
      <w:r>
        <w:t xml:space="preserve">-</w:t>
      </w:r>
      <w:r>
        <w:t xml:space="preserve"> </w:t>
      </w:r>
      <w:r>
        <w:t xml:space="preserve">Table showing the overall comparison of</w:t>
      </w:r>
      <w:r>
        <w:t xml:space="preserve"> </w:t>
      </w:r>
      <w:r>
        <w:t xml:space="preserve">the options, including, but not limited to</w:t>
      </w:r>
      <w:r>
        <w:t xml:space="preserve"> </w:t>
      </w:r>
      <w:r>
        <w:t xml:space="preserve">the comparison of the impact of each</w:t>
      </w:r>
      <w:r>
        <w:t xml:space="preserve"> </w:t>
      </w:r>
      <w:r>
        <w:t xml:space="preserve">option in terms of effectiveness, efficiency</w:t>
      </w:r>
      <w:r>
        <w:t xml:space="preserve"> </w:t>
      </w:r>
      <w:r>
        <w:t xml:space="preserve">and coherence;</w:t>
      </w:r>
      <w:r>
        <w:t xml:space="preserve"> </w:t>
      </w:r>
      <w:r>
        <w:t xml:space="preserve">-</w:t>
      </w:r>
      <w:r>
        <w:t xml:space="preserve"> </w:t>
      </w:r>
      <w:r>
        <w:t xml:space="preserve">In Annex 3, the methodology used to</w:t>
      </w:r>
      <w:r>
        <w:t xml:space="preserve"> </w:t>
      </w:r>
      <w:r>
        <w:t xml:space="preserve">estimate the direct benefits in terms of</w:t>
      </w:r>
      <w:r>
        <w:t xml:space="preserve"> </w:t>
      </w:r>
      <w:r>
        <w:t xml:space="preserve">improved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was</w:t>
      </w:r>
      <w:r>
        <w:t xml:space="preserve"> </w:t>
      </w:r>
      <w:r>
        <w:t xml:space="preserve">described.</w:t>
      </w:r>
      <w:r>
        <w:t xml:space="preserve"> </w:t>
      </w:r>
      <w:r>
        <w:t xml:space="preserve">(6) The report should strengthen the comparison of</w:t>
      </w:r>
      <w:r>
        <w:t xml:space="preserve"> </w:t>
      </w:r>
      <w:r>
        <w:t xml:space="preserve">options and the analysis leading to the choice of the</w:t>
      </w:r>
      <w:r>
        <w:t xml:space="preserve"> </w:t>
      </w:r>
      <w:r>
        <w:t xml:space="preserve">preferred option. It should use all available</w:t>
      </w:r>
      <w:r>
        <w:t xml:space="preserve"> </w:t>
      </w:r>
      <w:r>
        <w:t xml:space="preserve">evidence to present a coherent analysis of the</w:t>
      </w:r>
      <w:r>
        <w:t xml:space="preserve"> </w:t>
      </w:r>
      <w:r>
        <w:t xml:space="preserve">implications of the different options, in comparison</w:t>
      </w:r>
      <w:r>
        <w:t xml:space="preserve"> </w:t>
      </w:r>
      <w:r>
        <w:t xml:space="preserve">with a dynamic baseline. It should avoid relying</w:t>
      </w:r>
      <w:r>
        <w:t xml:space="preserve"> </w:t>
      </w:r>
      <w:r>
        <w:t xml:space="preserve">almost exclusively on stakeholder views. The report</w:t>
      </w:r>
      <w:r>
        <w:t xml:space="preserve"> </w:t>
      </w:r>
      <w:r>
        <w:t xml:space="preserve">should justify how it aggregates scores across the</w:t>
      </w:r>
      <w:r>
        <w:t xml:space="preserve"> </w:t>
      </w:r>
      <w:r>
        <w:t xml:space="preserve">assessment criteria. The costs and benefits of the</w:t>
      </w:r>
      <w:r>
        <w:t xml:space="preserve"> </w:t>
      </w:r>
      <w:r>
        <w:t xml:space="preserve">preferred option need to be more clearly identified</w:t>
      </w:r>
      <w:r>
        <w:t xml:space="preserve"> </w:t>
      </w:r>
      <w:r>
        <w:t xml:space="preserve">and its choice better justified.</w:t>
      </w:r>
      <w:r>
        <w:t xml:space="preserve"> </w:t>
      </w:r>
      <w:r>
        <w:t xml:space="preserve">The comparison of the options and the analysis</w:t>
      </w:r>
      <w:r>
        <w:t xml:space="preserve"> </w:t>
      </w:r>
      <w:r>
        <w:t xml:space="preserve">leading to the choice of the preferred option have</w:t>
      </w:r>
      <w:r>
        <w:t xml:space="preserve"> </w:t>
      </w:r>
      <w:r>
        <w:t xml:space="preserve">been strengthened in section 8 by adding findings</w:t>
      </w:r>
      <w:r>
        <w:t xml:space="preserve"> </w:t>
      </w:r>
      <w:r>
        <w:t xml:space="preserve">and evidence from various sources (e.g. the 2016</w:t>
      </w:r>
      <w:r>
        <w:t xml:space="preserve"> </w:t>
      </w:r>
      <w:r>
        <w:t xml:space="preserve">Supporting studies for the Fitness Check on the</w:t>
      </w:r>
      <w:r>
        <w:t xml:space="preserve"> </w:t>
      </w:r>
      <w:r>
        <w:t xml:space="preserve">construction sector, the 2018 supporting study for</w:t>
      </w:r>
      <w:r>
        <w:t xml:space="preserve"> </w:t>
      </w:r>
      <w:r>
        <w:t xml:space="preserve">the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Construction</w:t>
      </w:r>
      <w:r>
        <w:t xml:space="preserve"> </w:t>
      </w:r>
      <w:r>
        <w:t xml:space="preserve">Products</w:t>
      </w:r>
      <w:r>
        <w:t xml:space="preserve"> </w:t>
      </w:r>
      <w:r>
        <w:t xml:space="preserve">Regulation, the 2019 evaluation).</w:t>
      </w:r>
      <w:r>
        <w:br/>
      </w:r>
      <w:r>
        <w:t xml:space="preserve">The cost and the benefits of the preferred option</w:t>
      </w:r>
      <w:r>
        <w:t xml:space="preserve"> </w:t>
      </w:r>
      <w:r>
        <w:t xml:space="preserve">have been clearly identified and presented in table in</w:t>
      </w:r>
      <w:r>
        <w:t xml:space="preserve"> </w:t>
      </w:r>
      <w:r>
        <w:t xml:space="preserve">section 8.</w:t>
      </w:r>
      <w:r>
        <w:t xml:space="preserve"> </w:t>
      </w:r>
      <w:r>
        <w:t xml:space="preserve">Section 8 has been elaborated in more detail to</w:t>
      </w:r>
      <w:r>
        <w:t xml:space="preserve"> </w:t>
      </w:r>
      <w:r>
        <w:t xml:space="preserve">clearly present the analysis of the options against the</w:t>
      </w:r>
      <w:r>
        <w:t xml:space="preserve"> </w:t>
      </w:r>
      <w:r>
        <w:t xml:space="preserve">criteria of effectiveness, efficiency and coherence</w:t>
      </w:r>
      <w:r>
        <w:t xml:space="preserve"> </w:t>
      </w:r>
      <w:r>
        <w:t xml:space="preserve">(including</w:t>
      </w:r>
      <w:r>
        <w:t xml:space="preserve"> </w:t>
      </w:r>
      <w:r>
        <w:t xml:space="preserve">Table</w:t>
      </w:r>
      <w:r>
        <w:t xml:space="preserve"> </w:t>
      </w:r>
      <w:r>
        <w:t xml:space="preserve">2).</w:t>
      </w:r>
      <w:r>
        <w:t xml:space="preserve"> </w:t>
      </w:r>
      <w:r>
        <w:t xml:space="preserve">Separate</w:t>
      </w:r>
      <w:r>
        <w:t xml:space="preserve"> </w:t>
      </w:r>
      <w:r>
        <w:t xml:space="preserve">Table</w:t>
      </w:r>
      <w:r>
        <w:t xml:space="preserve"> </w:t>
      </w:r>
      <w:r>
        <w:t xml:space="preserve">3</w:t>
      </w:r>
      <w:r>
        <w:t xml:space="preserve"> </w:t>
      </w:r>
      <w:r>
        <w:t xml:space="preserve">on</w:t>
      </w:r>
      <w:r>
        <w:t xml:space="preserve"> </w:t>
      </w:r>
      <w:r>
        <w:t xml:space="preserve">effectiveness of the options as compared with the</w:t>
      </w:r>
      <w:r>
        <w:t xml:space="preserve"> </w:t>
      </w:r>
      <w:r>
        <w:t xml:space="preserve">specific objectives has also been introduced in this</w:t>
      </w:r>
      <w:r>
        <w:t xml:space="preserve"> </w:t>
      </w:r>
      <w:r>
        <w:t xml:space="preserve">section.</w:t>
      </w:r>
      <w:r>
        <w:br/>
      </w:r>
      <w:r>
        <w:t xml:space="preserve">(7) The report should make better use of the</w:t>
      </w:r>
      <w:r>
        <w:t xml:space="preserve"> </w:t>
      </w:r>
      <w:r>
        <w:t xml:space="preserve">feedback from stakeholders and in particular</w:t>
      </w:r>
      <w:r>
        <w:t xml:space="preserve"> </w:t>
      </w:r>
      <w:r>
        <w:t xml:space="preserve">illustrate better how different stakeholder groups</w:t>
      </w:r>
      <w:r>
        <w:t xml:space="preserve"> </w:t>
      </w:r>
      <w:r>
        <w:t xml:space="preserve">view the policy options and the associated costs and</w:t>
      </w:r>
      <w:r>
        <w:t xml:space="preserve"> </w:t>
      </w:r>
      <w:r>
        <w:t xml:space="preserve">benefits.</w:t>
      </w:r>
      <w:r>
        <w:t xml:space="preserve"> </w:t>
      </w:r>
      <w:r>
        <w:t xml:space="preserve">In section 7, the analysis of the impacts of the</w:t>
      </w:r>
      <w:r>
        <w:t xml:space="preserve"> </w:t>
      </w:r>
      <w:r>
        <w:t xml:space="preserve">different</w:t>
      </w:r>
      <w:r>
        <w:t xml:space="preserve"> </w:t>
      </w:r>
      <w:r>
        <w:t xml:space="preserve">options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improved</w:t>
      </w:r>
      <w:r>
        <w:t xml:space="preserve"> </w:t>
      </w:r>
      <w:r>
        <w:t xml:space="preserve">by</w:t>
      </w:r>
      <w:r>
        <w:t xml:space="preserve"> </w:t>
      </w:r>
      <w:r>
        <w:t xml:space="preserve">distinguishing between the different stakeholder</w:t>
      </w:r>
      <w:r>
        <w:t xml:space="preserve"> </w:t>
      </w:r>
      <w:r>
        <w:t xml:space="preserve">groups to the maximum extent of the available</w:t>
      </w:r>
      <w:r>
        <w:t xml:space="preserve"> </w:t>
      </w:r>
      <w:r>
        <w:t xml:space="preserve">evidence (e.g. manufacturers, users, consumers,</w:t>
      </w:r>
      <w:r>
        <w:t xml:space="preserve"> </w:t>
      </w:r>
      <w:r>
        <w:t xml:space="preserve">citizens).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Table 7: RSB recommendations II and how they have been addressed</w:t>
      </w:r>
      <w:r>
        <w:t xml:space="preserve"> </w:t>
      </w:r>
      <w:r>
        <w:t xml:space="preserve">RSB recommendations</w:t>
      </w:r>
      <w:r>
        <w:t xml:space="preserve"> </w:t>
      </w:r>
      <w:r>
        <w:t xml:space="preserve">Revisions introduced</w:t>
      </w:r>
      <w:r>
        <w:t xml:space="preserve"> </w:t>
      </w:r>
      <w:r>
        <w:t xml:space="preserve">(B) Summary of findings</w:t>
      </w:r>
      <w:r>
        <w:t xml:space="preserve"> </w:t>
      </w:r>
      <w:r>
        <w:t xml:space="preserve">(1) The report is not sufficiently clear about the</w:t>
      </w:r>
      <w:r>
        <w:t xml:space="preserve"> </w:t>
      </w:r>
      <w:r>
        <w:t xml:space="preserve">problems that the initiative aims to tackle and how</w:t>
      </w:r>
      <w:r>
        <w:t xml:space="preserve"> </w:t>
      </w:r>
      <w:r>
        <w:t xml:space="preserve">these link to the objectives and options. It is not</w:t>
      </w:r>
      <w:r>
        <w:t xml:space="preserve"> </w:t>
      </w:r>
      <w:r>
        <w:t xml:space="preserve">clear how the baseline scenario, options and impact</w:t>
      </w:r>
      <w:r>
        <w:t xml:space="preserve"> </w:t>
      </w:r>
      <w:r>
        <w:t xml:space="preserve">analysis reflect and articulate with the expected</w:t>
      </w:r>
      <w:r>
        <w:t xml:space="preserve"> </w:t>
      </w:r>
      <w:r>
        <w:t xml:space="preserve">effects of the parallel SPI.</w:t>
      </w:r>
      <w:r>
        <w:t xml:space="preserve"> </w:t>
      </w:r>
      <w:r>
        <w:t xml:space="preserve">In section 2, the report has established clearly the</w:t>
      </w:r>
      <w:r>
        <w:t xml:space="preserve"> </w:t>
      </w:r>
      <w:r>
        <w:t xml:space="preserve">problems that the initiative aims to tackle and how</w:t>
      </w:r>
      <w:r>
        <w:t xml:space="preserve"> </w:t>
      </w:r>
      <w:r>
        <w:t xml:space="preserve">these link to the objectives and the options. In</w:t>
      </w:r>
      <w:r>
        <w:t xml:space="preserve"> </w:t>
      </w:r>
      <w:r>
        <w:t xml:space="preserve">addition, it has been explained how the baseline</w:t>
      </w:r>
      <w:r>
        <w:t xml:space="preserve"> </w:t>
      </w:r>
      <w:r>
        <w:t xml:space="preserve">scenario, options and impact analysis reflect and</w:t>
      </w:r>
      <w:r>
        <w:t xml:space="preserve"> </w:t>
      </w:r>
      <w:r>
        <w:t xml:space="preserve">articulate with the expected effects of the parallel</w:t>
      </w:r>
      <w:r>
        <w:t xml:space="preserve"> </w:t>
      </w:r>
      <w:r>
        <w:t xml:space="preserve">SPI.</w:t>
      </w:r>
      <w:r>
        <w:t xml:space="preserve"> </w:t>
      </w:r>
      <w:r>
        <w:t xml:space="preserve">(2) The report is not sufficiently clear whether all of</w:t>
      </w:r>
      <w:r>
        <w:t xml:space="preserve"> </w:t>
      </w:r>
      <w:r>
        <w:t xml:space="preserve">the options identified can tackle all of the problems,</w:t>
      </w:r>
      <w:r>
        <w:t xml:space="preserve"> </w:t>
      </w:r>
      <w:r>
        <w:t xml:space="preserve">whether the selection of measures contained in the</w:t>
      </w:r>
      <w:r>
        <w:t xml:space="preserve"> </w:t>
      </w:r>
      <w:r>
        <w:t xml:space="preserve">preferred option is the best performing combination</w:t>
      </w:r>
      <w:r>
        <w:t xml:space="preserve"> </w:t>
      </w:r>
      <w:r>
        <w:t xml:space="preserve">and whether all measures are necessary.</w:t>
      </w:r>
      <w:r>
        <w:br/>
      </w:r>
      <w:r>
        <w:t xml:space="preserve">In section 8, the analysis has been complemented</w:t>
      </w:r>
      <w:r>
        <w:t xml:space="preserve"> </w:t>
      </w:r>
      <w:r>
        <w:t xml:space="preserve">by information concerning whether all of the</w:t>
      </w:r>
      <w:r>
        <w:t xml:space="preserve"> </w:t>
      </w:r>
      <w:r>
        <w:t xml:space="preserve">options identified tackle all the problems. The</w:t>
      </w:r>
      <w:r>
        <w:t xml:space="preserve"> </w:t>
      </w:r>
      <w:r>
        <w:t xml:space="preserve">report has established whether the selection of</w:t>
      </w:r>
      <w:r>
        <w:t xml:space="preserve"> </w:t>
      </w:r>
      <w:r>
        <w:t xml:space="preserve">measures contained in the preferred option is the</w:t>
      </w:r>
      <w:r>
        <w:t xml:space="preserve"> </w:t>
      </w:r>
      <w:r>
        <w:t xml:space="preserve">best performing combination.</w:t>
      </w:r>
      <w:r>
        <w:br/>
      </w:r>
      <w:r>
        <w:t xml:space="preserve">(3) The report is not sufficiently clear on the net</w:t>
      </w:r>
      <w:r>
        <w:t xml:space="preserve"> </w:t>
      </w:r>
      <w:r>
        <w:t xml:space="preserve">benefits, efficiency advantages and justification of</w:t>
      </w:r>
      <w:r>
        <w:t xml:space="preserve"> </w:t>
      </w:r>
      <w:r>
        <w:t xml:space="preserve">incorporating sustainable product requirements into</w:t>
      </w:r>
      <w:r>
        <w:t xml:space="preserve"> </w:t>
      </w:r>
      <w:r>
        <w:t xml:space="preserve">the CPR, compared to addressing them in the</w:t>
      </w:r>
      <w:r>
        <w:t xml:space="preserve"> </w:t>
      </w:r>
      <w:r>
        <w:t xml:space="preserve">horizontal SPI framework as for other products.</w:t>
      </w:r>
      <w:r>
        <w:br/>
      </w:r>
      <w:r>
        <w:t xml:space="preserve">A clear presentation of the net benefits, efficiency</w:t>
      </w:r>
      <w:r>
        <w:t xml:space="preserve"> </w:t>
      </w:r>
      <w:r>
        <w:t xml:space="preserve">advantages and justification of incorporating</w:t>
      </w:r>
      <w:r>
        <w:t xml:space="preserve"> </w:t>
      </w:r>
      <w:r>
        <w:t xml:space="preserve">sustainable product requirements into the CPR has</w:t>
      </w:r>
      <w:r>
        <w:t xml:space="preserve"> </w:t>
      </w:r>
      <w:r>
        <w:t xml:space="preserve">been offered in the report.</w:t>
      </w:r>
      <w:r>
        <w:t xml:space="preserve"> </w:t>
      </w:r>
      <w:r>
        <w:t xml:space="preserve">(4) The summary comparison of options is not</w:t>
      </w:r>
      <w:r>
        <w:t xml:space="preserve"> </w:t>
      </w:r>
      <w:r>
        <w:t xml:space="preserve">sufficiently clear or robust on the cost and benefit</w:t>
      </w:r>
      <w:r>
        <w:t xml:space="preserve"> </w:t>
      </w:r>
      <w:r>
        <w:t xml:space="preserve">estimates of the options. Some of the effectiveness</w:t>
      </w:r>
      <w:r>
        <w:t xml:space="preserve"> </w:t>
      </w:r>
      <w:r>
        <w:t xml:space="preserve">and efficiency scores are not convincingly justified.</w:t>
      </w:r>
      <w:r>
        <w:t xml:space="preserve"> </w:t>
      </w:r>
      <w:r>
        <w:t xml:space="preserve">The summary comparison of the options in section</w:t>
      </w:r>
      <w:r>
        <w:t xml:space="preserve"> </w:t>
      </w:r>
      <w:r>
        <w:t xml:space="preserve">8 has been strengthened in order to ensure the</w:t>
      </w:r>
      <w:r>
        <w:t xml:space="preserve"> </w:t>
      </w:r>
      <w:r>
        <w:t xml:space="preserve">robustness of the cost and benefit estimates of the</w:t>
      </w:r>
      <w:r>
        <w:t xml:space="preserve"> </w:t>
      </w:r>
      <w:r>
        <w:t xml:space="preserve">options. Moreover, the effectiveness and efficiency</w:t>
      </w:r>
      <w:r>
        <w:t xml:space="preserve"> </w:t>
      </w:r>
      <w:r>
        <w:t xml:space="preserve">scores have been additionally justified.</w:t>
      </w:r>
      <w:r>
        <w:t xml:space="preserve"> </w:t>
      </w:r>
      <w:r>
        <w:t xml:space="preserve">(C) What to improve</w:t>
      </w:r>
      <w:r>
        <w:t xml:space="preserve"> </w:t>
      </w:r>
      <w:r>
        <w:t xml:space="preserve">(1) The problem section should be further improved</w:t>
      </w:r>
      <w:r>
        <w:t xml:space="preserve"> </w:t>
      </w:r>
      <w:r>
        <w:t xml:space="preserve">to ensure problems and their drivers are clearly</w:t>
      </w:r>
      <w:r>
        <w:t xml:space="preserve"> </w:t>
      </w:r>
      <w:r>
        <w:t xml:space="preserve">differentiated and that the issues identified are</w:t>
      </w:r>
      <w:r>
        <w:t xml:space="preserve"> </w:t>
      </w:r>
      <w:r>
        <w:t xml:space="preserve">sufficiently explained. The report should be more</w:t>
      </w:r>
      <w:r>
        <w:t xml:space="preserve"> </w:t>
      </w:r>
      <w:r>
        <w:t xml:space="preserve">explicit about the safety issue and clarify whether it</w:t>
      </w:r>
      <w:r>
        <w:t xml:space="preserve"> </w:t>
      </w:r>
      <w:r>
        <w:t xml:space="preserve">is (i) a self-standing problem beyond the functioning</w:t>
      </w:r>
      <w:r>
        <w:t xml:space="preserve"> </w:t>
      </w:r>
      <w:r>
        <w:t xml:space="preserve">of the internal market and harmonising the way</w:t>
      </w:r>
      <w:r>
        <w:t xml:space="preserve"> </w:t>
      </w:r>
      <w:r>
        <w:t xml:space="preserve">performance is communicated across Member States</w:t>
      </w:r>
      <w:r>
        <w:t xml:space="preserve"> </w:t>
      </w:r>
      <w:r>
        <w:t xml:space="preserve">(and therefore to be tackled by the options) or (ii) an</w:t>
      </w:r>
      <w:r>
        <w:t xml:space="preserve"> </w:t>
      </w:r>
      <w:r>
        <w:t xml:space="preserve">issue already covered by other EU instruments. In</w:t>
      </w:r>
      <w:r>
        <w:t xml:space="preserve"> </w:t>
      </w:r>
      <w:r>
        <w:t xml:space="preserve">this context, the explanation and evidence related to</w:t>
      </w:r>
      <w:r>
        <w:t xml:space="preserve"> </w:t>
      </w:r>
      <w:r>
        <w:t xml:space="preserve">the inclusion of 3D printed products as well as</w:t>
      </w:r>
      <w:r>
        <w:t xml:space="preserve"> </w:t>
      </w:r>
      <w:r>
        <w:t xml:space="preserve">prefabricated small houses should be clearer.</w:t>
      </w:r>
      <w:r>
        <w:t xml:space="preserve"> </w:t>
      </w:r>
      <w:r>
        <w:t xml:space="preserve">The narrative of the problem section 2 has been</w:t>
      </w:r>
      <w:r>
        <w:t xml:space="preserve"> </w:t>
      </w:r>
      <w:r>
        <w:t xml:space="preserve">made more comprehensive to ensure that the</w:t>
      </w:r>
      <w:r>
        <w:t xml:space="preserve"> </w:t>
      </w:r>
      <w:r>
        <w:t xml:space="preserve">problems and their drivers are differentiated</w:t>
      </w:r>
      <w:r>
        <w:t xml:space="preserve"> </w:t>
      </w:r>
      <w:r>
        <w:t xml:space="preserve">enough.</w:t>
      </w:r>
      <w:r>
        <w:br/>
      </w:r>
      <w:r>
        <w:t xml:space="preserve">The narrative provided in the report on the safety</w:t>
      </w:r>
      <w:r>
        <w:t xml:space="preserve"> </w:t>
      </w:r>
      <w:r>
        <w:t xml:space="preserve">issue has been made more explicit with the aim to</w:t>
      </w:r>
      <w:r>
        <w:t xml:space="preserve"> </w:t>
      </w:r>
      <w:r>
        <w:t xml:space="preserve">clarify that inherent product safety (safety aspects</w:t>
      </w:r>
      <w:r>
        <w:t xml:space="preserve"> </w:t>
      </w:r>
      <w:r>
        <w:t xml:space="preserve">not related to the safety of construction works), is</w:t>
      </w:r>
      <w:r>
        <w:t xml:space="preserve"> </w:t>
      </w:r>
      <w:r>
        <w:t xml:space="preserve">not dealt with in a consistent manner for</w:t>
      </w:r>
      <w:r>
        <w:t xml:space="preserve"> </w:t>
      </w:r>
      <w:r>
        <w:t xml:space="preserve">construction products and is largely left to the</w:t>
      </w:r>
      <w:r>
        <w:t xml:space="preserve"> </w:t>
      </w:r>
      <w:r>
        <w:t xml:space="preserve">Member States, despite Article 114 TFEU (the</w:t>
      </w:r>
      <w:r>
        <w:t xml:space="preserve"> </w:t>
      </w:r>
      <w:r>
        <w:t xml:space="preserve">legal basis for the current CPR) requiring to strive</w:t>
      </w:r>
      <w:r>
        <w:t xml:space="preserve"> </w:t>
      </w:r>
      <w:r>
        <w:t xml:space="preserve">for a high level of protection of safety and</w:t>
      </w:r>
      <w:r>
        <w:t xml:space="preserve"> </w:t>
      </w:r>
      <w:r>
        <w:t xml:space="preserve">consumers.</w:t>
      </w:r>
      <w:r>
        <w:br/>
      </w:r>
      <w:r>
        <w:t xml:space="preserve">(2) When describing the difficulties with</w:t>
      </w:r>
      <w:r>
        <w:t xml:space="preserve"> </w:t>
      </w:r>
      <w:r>
        <w:t xml:space="preserve">implementation and enforcement of the current</w:t>
      </w:r>
      <w:r>
        <w:t xml:space="preserve"> </w:t>
      </w:r>
      <w:r>
        <w:t xml:space="preserve">CPR, the way the problem is described implies that</w:t>
      </w:r>
      <w:r>
        <w:t xml:space="preserve"> </w:t>
      </w:r>
      <w:r>
        <w:t xml:space="preserve">clearer CPR provisions would solve this. However,</w:t>
      </w:r>
      <w:r>
        <w:t xml:space="preserve"> </w:t>
      </w:r>
      <w:r>
        <w:t xml:space="preserve">the issue of lack of administrative capacity in</w:t>
      </w:r>
      <w:r>
        <w:t xml:space="preserve"> </w:t>
      </w:r>
      <w:r>
        <w:t xml:space="preserve">Member States is not addressed. The report should</w:t>
      </w:r>
      <w:r>
        <w:t xml:space="preserve"> </w:t>
      </w:r>
      <w:r>
        <w:t xml:space="preserve">be clearer about how a revised CPR would address</w:t>
      </w:r>
      <w:r>
        <w:t xml:space="preserve"> </w:t>
      </w:r>
      <w:r>
        <w:t xml:space="preserve">this core problem, especially if the framework</w:t>
      </w:r>
      <w:r>
        <w:t xml:space="preserve"> </w:t>
      </w:r>
      <w:r>
        <w:t xml:space="preserve">becomes more complex as proposed, since it would</w:t>
      </w:r>
      <w:r>
        <w:t xml:space="preserve"> </w:t>
      </w:r>
      <w:r>
        <w:t xml:space="preserve">not only regulate how information on the products is</w:t>
      </w:r>
      <w:r>
        <w:t xml:space="preserve"> </w:t>
      </w:r>
      <w:r>
        <w:t xml:space="preserve">presented across the EU but also include</w:t>
      </w:r>
      <w:r>
        <w:t xml:space="preserve"> </w:t>
      </w:r>
      <w:r>
        <w:t xml:space="preserve">sustainability requirements.</w:t>
      </w:r>
      <w:r>
        <w:t xml:space="preserve"> </w:t>
      </w:r>
      <w:r>
        <w:t xml:space="preserve">The statements and the arguments of the report with</w:t>
      </w:r>
      <w:r>
        <w:t xml:space="preserve"> </w:t>
      </w:r>
      <w:r>
        <w:t xml:space="preserve">respect to the issue of lack of administrative</w:t>
      </w:r>
      <w:r>
        <w:t xml:space="preserve"> </w:t>
      </w:r>
      <w:r>
        <w:t xml:space="preserve">capacity have been completed by explaining how</w:t>
      </w:r>
      <w:r>
        <w:t xml:space="preserve"> </w:t>
      </w:r>
      <w:r>
        <w:t xml:space="preserve">the revised CPR would address this core problem,</w:t>
      </w:r>
      <w:r>
        <w:t xml:space="preserve"> </w:t>
      </w:r>
      <w:r>
        <w:t xml:space="preserve">i.e. through empowerment for delegated acts on</w:t>
      </w:r>
      <w:r>
        <w:t xml:space="preserve"> </w:t>
      </w:r>
      <w:r>
        <w:t xml:space="preserve">minimum number of checks to be performed and on</w:t>
      </w:r>
      <w:r>
        <w:t xml:space="preserve"> </w:t>
      </w:r>
      <w:r>
        <w:t xml:space="preserve">minimum human resources to be deployed for</w:t>
      </w:r>
      <w:r>
        <w:t xml:space="preserve"> </w:t>
      </w:r>
      <w:r>
        <w:t xml:space="preserve">construction products.</w:t>
      </w:r>
      <w:r>
        <w:br/>
      </w:r>
      <w:r>
        <w:t xml:space="preserve">(3) The report should be clearer about the links</w:t>
      </w:r>
      <w:r>
        <w:t xml:space="preserve"> </w:t>
      </w:r>
      <w:r>
        <w:t xml:space="preserve">between options, problems and objectives. For</w:t>
      </w:r>
      <w:r>
        <w:t xml:space="preserve"> </w:t>
      </w:r>
      <w:r>
        <w:t xml:space="preserve">instance the report should clarify whether: (i) sub-</w:t>
      </w:r>
      <w:r>
        <w:t xml:space="preserve"> </w:t>
      </w:r>
      <w:r>
        <w:t xml:space="preserve">option C3 (making the common technical language</w:t>
      </w:r>
      <w:r>
        <w:t xml:space="preserve"> </w:t>
      </w:r>
      <w:r>
        <w:t xml:space="preserve">The report has established clear links between the</w:t>
      </w:r>
      <w:r>
        <w:t xml:space="preserve"> </w:t>
      </w:r>
      <w:r>
        <w:t xml:space="preserve">options, problems and the objectives. It has been</w:t>
      </w:r>
      <w:r>
        <w:t xml:space="preserve"> </w:t>
      </w:r>
      <w:r>
        <w:t xml:space="preserve">clarified whether sub-option C3 would not</w:t>
      </w:r>
      <w:r>
        <w:t xml:space="preserve"> </w:t>
      </w:r>
      <w:r>
        <w:t xml:space="preserve">undermine the objective related to the functioning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voluntary) would not undermine the objective</w:t>
      </w:r>
      <w:r>
        <w:t xml:space="preserve"> </w:t>
      </w:r>
      <w:r>
        <w:t xml:space="preserve">related to the functioning of the single market, (ii)</w:t>
      </w:r>
      <w:r>
        <w:t xml:space="preserve"> </w:t>
      </w:r>
      <w:r>
        <w:t xml:space="preserve">sub-option D1 (voluntary standards leading to a</w:t>
      </w:r>
      <w:r>
        <w:t xml:space="preserve"> </w:t>
      </w:r>
      <w:r>
        <w:t xml:space="preserve">presumption of conformity, while allowing for other</w:t>
      </w:r>
      <w:r>
        <w:t xml:space="preserve"> </w:t>
      </w:r>
      <w:r>
        <w:t xml:space="preserve">means to prove conformity) would not further lead</w:t>
      </w:r>
      <w:r>
        <w:t xml:space="preserve"> </w:t>
      </w:r>
      <w:r>
        <w:t xml:space="preserve">to diverging approaches and make it more difficult</w:t>
      </w:r>
      <w:r>
        <w:t xml:space="preserve"> </w:t>
      </w:r>
      <w:r>
        <w:t xml:space="preserve">for the objective related to market surveillance</w:t>
      </w:r>
      <w:r>
        <w:t xml:space="preserve"> </w:t>
      </w:r>
      <w:r>
        <w:t xml:space="preserve">authorities to be achieved.</w:t>
      </w:r>
      <w:r>
        <w:t xml:space="preserve"> </w:t>
      </w:r>
      <w:r>
        <w:t xml:space="preserve">of the single market, and whether sub-option D1</w:t>
      </w:r>
      <w:r>
        <w:t xml:space="preserve"> </w:t>
      </w:r>
      <w:r>
        <w:t xml:space="preserve">would not further lead to diverging approaches and</w:t>
      </w:r>
      <w:r>
        <w:t xml:space="preserve"> </w:t>
      </w:r>
      <w:r>
        <w:t xml:space="preserve">thus make it more difficult for the objective related</w:t>
      </w:r>
      <w:r>
        <w:t xml:space="preserve"> </w:t>
      </w:r>
      <w:r>
        <w:t xml:space="preserve">to market surveillance authorities to be achieved.</w:t>
      </w:r>
      <w:r>
        <w:t xml:space="preserve"> </w:t>
      </w:r>
      <w:r>
        <w:t xml:space="preserve">(4) While the report provides a better explanation of</w:t>
      </w:r>
      <w:r>
        <w:t xml:space="preserve"> </w:t>
      </w:r>
      <w:r>
        <w:t xml:space="preserve">the envisaged interaction between the future CPR</w:t>
      </w:r>
      <w:r>
        <w:t xml:space="preserve"> </w:t>
      </w:r>
      <w:r>
        <w:t xml:space="preserve">and the SPI, it still needs to better explain how the</w:t>
      </w:r>
      <w:r>
        <w:t xml:space="preserve"> </w:t>
      </w:r>
      <w:r>
        <w:t xml:space="preserve">SPI is reflected in a consistent manner in the</w:t>
      </w:r>
      <w:r>
        <w:t xml:space="preserve"> </w:t>
      </w:r>
      <w:r>
        <w:t xml:space="preserve">baseline scenario and in the presentation, assessment</w:t>
      </w:r>
      <w:r>
        <w:t xml:space="preserve"> </w:t>
      </w:r>
      <w:r>
        <w:t xml:space="preserve">and comparison of options.</w:t>
      </w:r>
      <w:r>
        <w:t xml:space="preserve"> </w:t>
      </w:r>
      <w:r>
        <w:t xml:space="preserve">The explanation of the envisaged interaction</w:t>
      </w:r>
      <w:r>
        <w:t xml:space="preserve"> </w:t>
      </w:r>
      <w:r>
        <w:t xml:space="preserve">between the future CPR and the SPI has been</w:t>
      </w:r>
      <w:r>
        <w:t xml:space="preserve"> </w:t>
      </w:r>
      <w:r>
        <w:t xml:space="preserve">strengthened by additional explanations on how the</w:t>
      </w:r>
      <w:r>
        <w:t xml:space="preserve"> </w:t>
      </w:r>
      <w:r>
        <w:t xml:space="preserve">SPI has been reflected in the baseline scenario and</w:t>
      </w:r>
      <w:r>
        <w:t xml:space="preserve"> </w:t>
      </w:r>
      <w:r>
        <w:t xml:space="preserve">in the presentation, assessment and comparison of</w:t>
      </w:r>
      <w:r>
        <w:t xml:space="preserve"> </w:t>
      </w:r>
      <w:r>
        <w:t xml:space="preserve">the options.</w:t>
      </w:r>
      <w:r>
        <w:t xml:space="preserve"> </w:t>
      </w:r>
      <w:r>
        <w:t xml:space="preserve">(5) The report should clearly explain whether the</w:t>
      </w:r>
      <w:r>
        <w:t xml:space="preserve"> </w:t>
      </w:r>
      <w:r>
        <w:t xml:space="preserve">options considered are realistic and can effectively</w:t>
      </w:r>
      <w:r>
        <w:t xml:space="preserve"> </w:t>
      </w:r>
      <w:r>
        <w:t xml:space="preserve">deliver all the objectives of the proposed initiative</w:t>
      </w:r>
      <w:r>
        <w:t xml:space="preserve"> </w:t>
      </w:r>
      <w:r>
        <w:t xml:space="preserve">(i.e. product safety, sustainability). It should also</w:t>
      </w:r>
      <w:r>
        <w:t xml:space="preserve"> </w:t>
      </w:r>
      <w:r>
        <w:t xml:space="preserve">explain whether the selection of measures contained</w:t>
      </w:r>
      <w:r>
        <w:t xml:space="preserve"> </w:t>
      </w:r>
      <w:r>
        <w:t xml:space="preserve">in the preferred option is the best performing</w:t>
      </w:r>
      <w:r>
        <w:t xml:space="preserve"> </w:t>
      </w:r>
      <w:r>
        <w:t xml:space="preserve">combination and whether all envisaged measures are</w:t>
      </w:r>
      <w:r>
        <w:t xml:space="preserve"> </w:t>
      </w:r>
      <w:r>
        <w:t xml:space="preserve">necessary. It should identify the hybrid sub-option</w:t>
      </w:r>
      <w:r>
        <w:t xml:space="preserve"> </w:t>
      </w:r>
      <w:r>
        <w:t xml:space="preserve">D1/D2 upfront and then compare it with the two</w:t>
      </w:r>
      <w:r>
        <w:t xml:space="preserve"> </w:t>
      </w:r>
      <w:r>
        <w:t xml:space="preserve">stand-alone sub-options, including in terms of</w:t>
      </w:r>
      <w:r>
        <w:t xml:space="preserve"> </w:t>
      </w:r>
      <w:r>
        <w:t xml:space="preserve">adding legal complexity. It should provide more</w:t>
      </w:r>
      <w:r>
        <w:t xml:space="preserve"> </w:t>
      </w:r>
      <w:r>
        <w:t xml:space="preserve">detail on the envisaged empowerment of Member</w:t>
      </w:r>
      <w:r>
        <w:t xml:space="preserve"> </w:t>
      </w:r>
      <w:r>
        <w:t xml:space="preserve">States to exempt micro-enterprises and explain how</w:t>
      </w:r>
      <w:r>
        <w:t xml:space="preserve"> </w:t>
      </w:r>
      <w:r>
        <w:t xml:space="preserve">this would be in line with the envisaged single</w:t>
      </w:r>
      <w:r>
        <w:t xml:space="preserve"> </w:t>
      </w:r>
      <w:r>
        <w:t xml:space="preserve">market objectives.</w:t>
      </w:r>
      <w:r>
        <w:t xml:space="preserve"> </w:t>
      </w:r>
      <w:r>
        <w:t xml:space="preserve">The analysis of the options in section 7 has been</w:t>
      </w:r>
      <w:r>
        <w:t xml:space="preserve"> </w:t>
      </w:r>
      <w:r>
        <w:t xml:space="preserve">complemented by information whether the options</w:t>
      </w:r>
      <w:r>
        <w:t xml:space="preserve"> </w:t>
      </w:r>
      <w:r>
        <w:t xml:space="preserve">could effectively deliver all the objectives. The</w:t>
      </w:r>
      <w:r>
        <w:t xml:space="preserve"> </w:t>
      </w:r>
      <w:r>
        <w:t xml:space="preserve">selection of measures contained in the preferred</w:t>
      </w:r>
      <w:r>
        <w:t xml:space="preserve"> </w:t>
      </w:r>
      <w:r>
        <w:t xml:space="preserve">option has been further proved with explanations to</w:t>
      </w:r>
      <w:r>
        <w:t xml:space="preserve"> </w:t>
      </w:r>
      <w:r>
        <w:t xml:space="preserve">be the best performing combination. In section 6,</w:t>
      </w:r>
      <w:r>
        <w:t xml:space="preserve"> </w:t>
      </w:r>
      <w:r>
        <w:t xml:space="preserve">the hybrid option D1/D2 (now D3) has been</w:t>
      </w:r>
      <w:r>
        <w:t xml:space="preserve"> </w:t>
      </w:r>
      <w:r>
        <w:t xml:space="preserve">identified upfront and then compared with the two</w:t>
      </w:r>
      <w:r>
        <w:t xml:space="preserve"> </w:t>
      </w:r>
      <w:r>
        <w:t xml:space="preserve">stand-alone options. Additional information has</w:t>
      </w:r>
      <w:r>
        <w:t xml:space="preserve"> </w:t>
      </w:r>
      <w:r>
        <w:t xml:space="preserve">been provided on the envisaged empowerment of</w:t>
      </w:r>
      <w:r>
        <w:t xml:space="preserve"> </w:t>
      </w:r>
      <w:r>
        <w:t xml:space="preserve">Member States to exempt micro-enterprises.</w:t>
      </w:r>
      <w:r>
        <w:t xml:space="preserve"> </w:t>
      </w:r>
      <w:r>
        <w:t xml:space="preserve">Further explanations how this empowerment would</w:t>
      </w:r>
      <w:r>
        <w:t xml:space="preserve"> </w:t>
      </w:r>
      <w:r>
        <w:t xml:space="preserve">be in line with the envisaged single market</w:t>
      </w:r>
      <w:r>
        <w:t xml:space="preserve"> </w:t>
      </w:r>
      <w:r>
        <w:t xml:space="preserve">objectives have been presented in the report.</w:t>
      </w:r>
      <w:r>
        <w:t xml:space="preserve"> </w:t>
      </w:r>
      <w:r>
        <w:t xml:space="preserve">(6) The report should better explain how the</w:t>
      </w:r>
      <w:r>
        <w:t xml:space="preserve"> </w:t>
      </w:r>
      <w:r>
        <w:t xml:space="preserve">simplification provisions would be implemented and</w:t>
      </w:r>
      <w:r>
        <w:t xml:space="preserve"> </w:t>
      </w:r>
      <w:r>
        <w:t xml:space="preserve">enforced compared to the current situation, to ensure</w:t>
      </w:r>
      <w:r>
        <w:t xml:space="preserve"> </w:t>
      </w:r>
      <w:r>
        <w:t xml:space="preserve">they actually deliver the described benefits. It should</w:t>
      </w:r>
      <w:r>
        <w:t xml:space="preserve"> </w:t>
      </w:r>
      <w:r>
        <w:t xml:space="preserve">be clearer on the net benefits and efficiency gains of</w:t>
      </w:r>
      <w:r>
        <w:t xml:space="preserve"> </w:t>
      </w:r>
      <w:r>
        <w:t xml:space="preserve">incorporating sustainable product requirements into</w:t>
      </w:r>
      <w:r>
        <w:t xml:space="preserve"> </w:t>
      </w:r>
      <w:r>
        <w:t xml:space="preserve">the CPR compared to regulating these issues</w:t>
      </w:r>
      <w:r>
        <w:t xml:space="preserve"> </w:t>
      </w:r>
      <w:r>
        <w:t xml:space="preserve">exclusively in the horizontal SPI framework as for</w:t>
      </w:r>
      <w:r>
        <w:t xml:space="preserve"> </w:t>
      </w:r>
      <w:r>
        <w:t xml:space="preserve">other products. It should better explain how</w:t>
      </w:r>
      <w:r>
        <w:t xml:space="preserve"> </w:t>
      </w:r>
      <w:r>
        <w:t xml:space="preserve">coherence would be ensured and legal complexity</w:t>
      </w:r>
      <w:r>
        <w:t xml:space="preserve"> </w:t>
      </w:r>
      <w:r>
        <w:t xml:space="preserve">avoided.</w:t>
      </w:r>
      <w:r>
        <w:t xml:space="preserve"> </w:t>
      </w:r>
      <w:r>
        <w:t xml:space="preserve">The procedure with respect to the way that the</w:t>
      </w:r>
      <w:r>
        <w:t xml:space="preserve"> </w:t>
      </w:r>
      <w:r>
        <w:t xml:space="preserve">simplification provisions would be implemented</w:t>
      </w:r>
      <w:r>
        <w:t xml:space="preserve"> </w:t>
      </w:r>
      <w:r>
        <w:t xml:space="preserve">and enforced, compared to the current situation has</w:t>
      </w:r>
      <w:r>
        <w:t xml:space="preserve"> </w:t>
      </w:r>
      <w:r>
        <w:t xml:space="preserve">been outlined.</w:t>
      </w:r>
      <w:r>
        <w:br/>
      </w:r>
      <w:r>
        <w:t xml:space="preserve">Information on the net benefits and efficiency gains</w:t>
      </w:r>
      <w:r>
        <w:t xml:space="preserve"> </w:t>
      </w:r>
      <w:r>
        <w:t xml:space="preserve">of incorporating sustainable product requirements</w:t>
      </w:r>
      <w:r>
        <w:t xml:space="preserve"> </w:t>
      </w:r>
      <w:r>
        <w:t xml:space="preserve">into the CPR compared to regulating these issues</w:t>
      </w:r>
      <w:r>
        <w:t xml:space="preserve"> </w:t>
      </w:r>
      <w:r>
        <w:t xml:space="preserve">exclusively in the horizontal SPI framework as for</w:t>
      </w:r>
      <w:r>
        <w:t xml:space="preserve"> </w:t>
      </w:r>
      <w:r>
        <w:t xml:space="preserve">other products has been clarified in the report.</w:t>
      </w:r>
      <w:r>
        <w:t xml:space="preserve"> </w:t>
      </w:r>
      <w:r>
        <w:t xml:space="preserve">Explanation on how coherence would be ensured</w:t>
      </w:r>
      <w:r>
        <w:t xml:space="preserve"> </w:t>
      </w:r>
      <w:r>
        <w:t xml:space="preserve">has been provided.</w:t>
      </w:r>
      <w:r>
        <w:t xml:space="preserve"> </w:t>
      </w:r>
      <w:r>
        <w:t xml:space="preserve">(7) While the comparison of options has improved,</w:t>
      </w:r>
      <w:r>
        <w:t xml:space="preserve"> </w:t>
      </w:r>
      <w:r>
        <w:t xml:space="preserve">the report still needs to better justify and substantiate</w:t>
      </w:r>
      <w:r>
        <w:t xml:space="preserve"> </w:t>
      </w:r>
      <w:r>
        <w:t xml:space="preserve">the scores presented in the comparison overview</w:t>
      </w:r>
      <w:r>
        <w:t xml:space="preserve"> </w:t>
      </w:r>
      <w:r>
        <w:t xml:space="preserve">tables. For instance, it is not clear why (i) option D</w:t>
      </w:r>
      <w:r>
        <w:t xml:space="preserve"> </w:t>
      </w:r>
      <w:r>
        <w:t xml:space="preserve">receives a higher score in contributing to the</w:t>
      </w:r>
      <w:r>
        <w:t xml:space="preserve"> </w:t>
      </w:r>
      <w:r>
        <w:t xml:space="preserve">reduction of the climate and environmental impact</w:t>
      </w:r>
      <w:r>
        <w:t xml:space="preserve"> </w:t>
      </w:r>
      <w:r>
        <w:t xml:space="preserve">than option B (in combination with the horizontal</w:t>
      </w:r>
      <w:r>
        <w:t xml:space="preserve"> </w:t>
      </w:r>
      <w:r>
        <w:t xml:space="preserve">SPI framework) or (ii) option B is considered more</w:t>
      </w:r>
      <w:r>
        <w:t xml:space="preserve"> </w:t>
      </w:r>
      <w:r>
        <w:t xml:space="preserve">efficient than D given that efficiency arguments are</w:t>
      </w:r>
      <w:r>
        <w:t xml:space="preserve"> </w:t>
      </w:r>
      <w:r>
        <w:t xml:space="preserve">considered as the main reason for bringing</w:t>
      </w:r>
      <w:r>
        <w:t xml:space="preserve"> </w:t>
      </w:r>
      <w:r>
        <w:t xml:space="preserve">sustainability requirements under the remit of the</w:t>
      </w:r>
      <w:r>
        <w:t xml:space="preserve"> </w:t>
      </w:r>
      <w:r>
        <w:t xml:space="preserve">CPR. Overall, the report should provide a clearer</w:t>
      </w:r>
      <w:r>
        <w:t xml:space="preserve"> </w:t>
      </w:r>
      <w:r>
        <w:t xml:space="preserve">comparison of the costs and benefits of the options,</w:t>
      </w:r>
      <w:r>
        <w:t xml:space="preserve"> </w:t>
      </w:r>
      <w:r>
        <w:t xml:space="preserve">including quantitative estimates as available to</w:t>
      </w:r>
      <w:r>
        <w:t xml:space="preserve"> </w:t>
      </w:r>
      <w:r>
        <w:t xml:space="preserve">support the efficiency analysis.</w:t>
      </w:r>
      <w:r>
        <w:t xml:space="preserve"> </w:t>
      </w:r>
      <w:r>
        <w:t xml:space="preserve">The scores presented in the comparison overview</w:t>
      </w:r>
      <w:r>
        <w:t xml:space="preserve"> </w:t>
      </w:r>
      <w:r>
        <w:t xml:space="preserve">tables in section 8 has been justified and</w:t>
      </w:r>
      <w:r>
        <w:t xml:space="preserve"> </w:t>
      </w:r>
      <w:r>
        <w:t xml:space="preserve">substantiated with additional information.</w:t>
      </w:r>
      <w:r>
        <w:t xml:space="preserve"> </w:t>
      </w:r>
      <w:r>
        <w:t xml:space="preserve">A clearer comparison of the costs and benefits of</w:t>
      </w:r>
      <w:r>
        <w:t xml:space="preserve"> </w:t>
      </w:r>
      <w:r>
        <w:t xml:space="preserve">the options has been elaborated in section 8.</w:t>
      </w:r>
      <w:r>
        <w:br/>
      </w:r>
      <w:r>
        <w:t xml:space="preserve">(8) While the report is transparent about the overall</w:t>
      </w:r>
      <w:r>
        <w:t xml:space="preserve"> </w:t>
      </w:r>
      <w:r>
        <w:t xml:space="preserve">preference of stakeholders for the baseline scenario,</w:t>
      </w:r>
      <w:r>
        <w:t xml:space="preserve"> </w:t>
      </w:r>
      <w:r>
        <w:t xml:space="preserve">it should more explicitly discuss the reasons why</w:t>
      </w:r>
      <w:r>
        <w:t xml:space="preserve"> </w:t>
      </w:r>
      <w:r>
        <w:t xml:space="preserve">The analysis in section 7 has been backed-up with</w:t>
      </w:r>
      <w:r>
        <w:t xml:space="preserve"> </w:t>
      </w:r>
      <w:r>
        <w:t xml:space="preserve">the reasons, outlined by various stakeholders in the</w:t>
      </w:r>
      <w:r>
        <w:t xml:space="preserve"> </w:t>
      </w:r>
      <w:r>
        <w:t xml:space="preserve">survey on the options paper, why they did not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there is only very limited support for any of the</w:t>
      </w:r>
      <w:r>
        <w:t xml:space="preserve"> </w:t>
      </w:r>
      <w:r>
        <w:t xml:space="preserve">policy change options (e.g. empowering the</w:t>
      </w:r>
      <w:r>
        <w:t xml:space="preserve"> </w:t>
      </w:r>
      <w:r>
        <w:t xml:space="preserve">Commission, integrating sustainability</w:t>
      </w:r>
      <w:r>
        <w:t xml:space="preserve"> </w:t>
      </w:r>
      <w:r>
        <w:t xml:space="preserve">requirements), given the expected significant</w:t>
      </w:r>
      <w:r>
        <w:t xml:space="preserve"> </w:t>
      </w:r>
      <w:r>
        <w:t xml:space="preserve">benefits.</w:t>
      </w:r>
      <w:r>
        <w:br/>
      </w:r>
      <w:r>
        <w:t xml:space="preserve">support the policy change options, given the</w:t>
      </w:r>
      <w:r>
        <w:t xml:space="preserve"> </w:t>
      </w:r>
      <w:r>
        <w:t xml:space="preserve">expected significant benefits.</w:t>
      </w:r>
    </w:p>
    <w:p>
      <w:pPr>
        <w:pStyle w:val="Compact"/>
        <w:numPr>
          <w:ilvl w:val="0"/>
          <w:numId w:val="1011"/>
        </w:numPr>
      </w:pPr>
      <w:r>
        <w:t xml:space="preserve">Evidence, sources and quality</w:t>
      </w:r>
      <w:r>
        <w:t xml:space="preserve"> </w:t>
      </w:r>
      <w:r>
        <w:t xml:space="preserve">Available report and studies, in particular:</w:t>
      </w:r>
    </w:p>
    <w:p>
      <w:pPr>
        <w:pStyle w:val="Compact"/>
        <w:numPr>
          <w:ilvl w:val="0"/>
          <w:numId w:val="1012"/>
        </w:numPr>
      </w:pPr>
      <w:r>
        <w:t xml:space="preserve">Copenhagen Economics, Danish Technological Institute and Office for Economic</w:t>
      </w:r>
      <w:r>
        <w:t xml:space="preserve"> </w:t>
      </w:r>
      <w:r>
        <w:t xml:space="preserve">Policy and Regional Development Ltd. (2021). Study supporting the Impact Assessment</w:t>
      </w:r>
      <w:r>
        <w:t xml:space="preserve"> </w:t>
      </w:r>
      <w:r>
        <w:t xml:space="preserve">for the CPR revision, Final report. Available at: https://op.europa.eu/en/publication-</w:t>
      </w:r>
      <w:r>
        <w:t xml:space="preserve"> </w:t>
      </w:r>
      <w:r>
        <w:t xml:space="preserve">detail/-/publication/20f672b4-1503-11ec-b4fe-01aa75ed71a1/language-en</w:t>
      </w:r>
    </w:p>
    <w:p>
      <w:pPr>
        <w:pStyle w:val="Compact"/>
        <w:numPr>
          <w:ilvl w:val="0"/>
          <w:numId w:val="1012"/>
        </w:numPr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(2019b).</w:t>
      </w:r>
      <w:r>
        <w:t xml:space="preserve"> </w:t>
      </w:r>
      <w:r>
        <w:t xml:space="preserve">Commission</w:t>
      </w:r>
      <w:r>
        <w:t xml:space="preserve"> </w:t>
      </w:r>
      <w:r>
        <w:t xml:space="preserve">Staff</w:t>
      </w:r>
      <w:r>
        <w:t xml:space="preserve"> </w:t>
      </w:r>
      <w:r>
        <w:t xml:space="preserve">Working</w:t>
      </w:r>
      <w:r>
        <w:t xml:space="preserve"> </w:t>
      </w:r>
      <w:r>
        <w:t xml:space="preserve">Document</w:t>
      </w:r>
      <w:r>
        <w:t xml:space="preserve"> </w:t>
      </w:r>
      <w:r>
        <w:t xml:space="preserve">SWD(2019)1770 - Evaluation of Regulation (EU) No 305/2011 laying down harmonised</w:t>
      </w:r>
      <w:r>
        <w:t xml:space="preserve"> </w:t>
      </w:r>
      <w:r>
        <w:t xml:space="preserve">conditions for the marketing of construction products and repealing Council Directive</w:t>
      </w:r>
      <w:r>
        <w:t xml:space="preserve"> </w:t>
      </w:r>
      <w:r>
        <w:t xml:space="preserve">89/106/EEC. Available at: https://ec.europa.eu/docsroom/documents/37827.</w:t>
      </w:r>
    </w:p>
    <w:p>
      <w:pPr>
        <w:pStyle w:val="Compact"/>
        <w:numPr>
          <w:ilvl w:val="0"/>
          <w:numId w:val="1012"/>
        </w:numPr>
      </w:pPr>
      <w:r>
        <w:t xml:space="preserve">European Commission (2019c). COM(2019) 800 Final. Report from the Commission to</w:t>
      </w:r>
      <w:r>
        <w:t xml:space="preserve"> </w:t>
      </w:r>
      <w:r>
        <w:t xml:space="preserve">the European Parliament and the Council on the outcome of the evaluation of the</w:t>
      </w:r>
      <w:r>
        <w:t xml:space="preserve"> </w:t>
      </w:r>
      <w:r>
        <w:t xml:space="preserve">relevance of the tasks set out in Article 31(4) that receive Union financing pursuant to</w:t>
      </w:r>
      <w:r>
        <w:t xml:space="preserve"> </w:t>
      </w:r>
      <w:r>
        <w:t xml:space="preserve">Article 34(2) of Regulation (EO) No 305/2011 of the European Parliament and of the</w:t>
      </w:r>
      <w:r>
        <w:t xml:space="preserve"> </w:t>
      </w:r>
      <w:r>
        <w:t xml:space="preserve">Council of 9 March 2011 laying down harmonised conditions for the marketing of</w:t>
      </w:r>
      <w:r>
        <w:t xml:space="preserve"> </w:t>
      </w:r>
      <w:r>
        <w:t xml:space="preserve">construction products and repealing Council Directive 89/106/EEC. Available at:</w:t>
      </w:r>
      <w:r>
        <w:t xml:space="preserve"> </w:t>
      </w:r>
      <w:r>
        <w:t xml:space="preserve">https://eur-</w:t>
      </w:r>
      <w:r>
        <w:t xml:space="preserve"> </w:t>
      </w:r>
      <w:r>
        <w:t xml:space="preserve">lex.europa.eu/legalcontent/EN/TXT/?qid=1571917158693&amp;uri=COM:2019:800:FIN.</w:t>
      </w:r>
    </w:p>
    <w:p>
      <w:pPr>
        <w:pStyle w:val="Compact"/>
        <w:numPr>
          <w:ilvl w:val="0"/>
          <w:numId w:val="1012"/>
        </w:numPr>
      </w:pPr>
      <w:r>
        <w:t xml:space="preserve">European Commission (2020a). Refined indicative options for the review of the</w:t>
      </w:r>
      <w:r>
        <w:t xml:space="preserve"> </w:t>
      </w:r>
      <w:r>
        <w:t xml:space="preserve">Construction</w:t>
      </w:r>
      <w:r>
        <w:t xml:space="preserve"> </w:t>
      </w:r>
      <w:r>
        <w:t xml:space="preserve">Products</w:t>
      </w:r>
      <w:r>
        <w:t xml:space="preserve"> </w:t>
      </w:r>
      <w:r>
        <w:t xml:space="preserve">Regulation.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https://ec.europa.eu/docsroom/documents/40762.</w:t>
      </w:r>
    </w:p>
    <w:p>
      <w:pPr>
        <w:pStyle w:val="Compact"/>
        <w:numPr>
          <w:ilvl w:val="0"/>
          <w:numId w:val="1012"/>
        </w:numPr>
      </w:pPr>
      <w:r>
        <w:t xml:space="preserve">European Commission (2020c). Review of the Construction Products Regulation (CPR)</w:t>
      </w:r>
    </w:p>
    <w:p>
      <w:pPr>
        <w:pStyle w:val="Compact"/>
        <w:numPr>
          <w:ilvl w:val="0"/>
          <w:numId w:val="1012"/>
        </w:numPr>
      </w:pPr>
      <w:r>
        <w:t xml:space="preserve">Survey on the Option Paper, April-August 2020 – results. Available at:</w:t>
      </w:r>
      <w:r>
        <w:t xml:space="preserve"> </w:t>
      </w:r>
      <w:r>
        <w:t xml:space="preserve">https://ec.europa.eu/docsroom/documents/43103.</w:t>
      </w:r>
    </w:p>
    <w:p>
      <w:pPr>
        <w:pStyle w:val="Compact"/>
        <w:numPr>
          <w:ilvl w:val="0"/>
          <w:numId w:val="1012"/>
        </w:numPr>
      </w:pPr>
      <w:r>
        <w:t xml:space="preserve">VVA, JIIP, Danish Technological Institute and GDCC (2018a). Supporting study for</w:t>
      </w:r>
      <w:r>
        <w:t xml:space="preserve"> </w:t>
      </w:r>
      <w:r>
        <w:t xml:space="preserve">the Review of the Construction Products Regulation: Evaluation. European Commission.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https://op.europa.eu/en/publication-detail/-/publication/e771a8cf-ed42-</w:t>
      </w:r>
      <w:r>
        <w:t xml:space="preserve"> </w:t>
      </w:r>
      <w:r>
        <w:t xml:space="preserve">11e8-b690-01aa75ed71a1/language-en.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VVA, JIIP, Danish Technological Institute and GDCC (2018b). Supporting study for</w:t>
      </w:r>
      <w:r>
        <w:t xml:space="preserve"> </w:t>
      </w:r>
      <w:r>
        <w:t xml:space="preserve">the Review of the Construction Products Regulation: Impact Assessment. European</w:t>
      </w:r>
      <w:r>
        <w:t xml:space="preserve"> </w:t>
      </w:r>
      <w:r>
        <w:t xml:space="preserve">Commission.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https://op.europa.eu/en/publication-detail/-</w:t>
      </w:r>
      <w:r>
        <w:t xml:space="preserve"> </w:t>
      </w:r>
      <w:r>
        <w:t xml:space="preserve">/publication/57fd5ffaed41-11e8-b690-01aa75ed71a1/language-en.</w:t>
      </w:r>
      <w:r>
        <w:t xml:space="preserve"> </w:t>
      </w:r>
      <w:r>
        <w:t xml:space="preserve">Use was made of expert advice, in particular through the following channels:</w:t>
      </w:r>
    </w:p>
    <w:p>
      <w:pPr>
        <w:pStyle w:val="Compact"/>
        <w:numPr>
          <w:ilvl w:val="0"/>
          <w:numId w:val="1012"/>
        </w:numPr>
      </w:pPr>
      <w:r>
        <w:t xml:space="preserve">The CPR review technical platforms: six meetings were held between March and</w:t>
      </w:r>
      <w:r>
        <w:t xml:space="preserve"> </w:t>
      </w:r>
      <w:r>
        <w:t xml:space="preserve">September 2020, with Member State representatives, business associations, companies,</w:t>
      </w:r>
      <w:r>
        <w:t xml:space="preserve"> </w:t>
      </w:r>
      <w:r>
        <w:t xml:space="preserve">technical bodies and testing bodies. The following topics were addressed:</w:t>
      </w:r>
    </w:p>
    <w:p>
      <w:pPr>
        <w:pStyle w:val="FirstParagraph"/>
      </w:pPr>
      <w:r>
        <w:t xml:space="preserve">68</w:t>
      </w:r>
      <w:r>
        <w:t xml:space="preserve"> </w:t>
      </w:r>
      <w:r>
        <w:t xml:space="preserve">standardisation, simplification, information needs, coexistence of EU and national</w:t>
      </w:r>
      <w:r>
        <w:t xml:space="preserve"> </w:t>
      </w:r>
      <w:r>
        <w:t xml:space="preserve">systems, environmental requirements and the future of EOTA166.</w:t>
      </w:r>
      <w:r>
        <w:t xml:space="preserve"> </w:t>
      </w:r>
      <w:r>
        <w:t xml:space="preserve">- A validation workshop gathered 225 participants on 24 March 2021, including Member</w:t>
      </w:r>
      <w:r>
        <w:t xml:space="preserve"> </w:t>
      </w:r>
      <w:r>
        <w:t xml:space="preserve">State representatives, business associations, companies, technical bodies and testing</w:t>
      </w:r>
      <w:r>
        <w:t xml:space="preserve"> </w:t>
      </w:r>
      <w:r>
        <w:t xml:space="preserve">bodies. The workshop presented and validated the draft findings and conclusions from</w:t>
      </w:r>
      <w:r>
        <w:t xml:space="preserve"> </w:t>
      </w:r>
      <w:r>
        <w:t xml:space="preserve">the study.</w:t>
      </w:r>
      <w:r>
        <w:t xml:space="preserve"> </w:t>
      </w:r>
      <w:r>
        <w:t xml:space="preserve">- Economisti Associati, Milieu and CEPS, with contributions from BPIE and DBRI</w:t>
      </w:r>
      <w:r>
        <w:t xml:space="preserve"> </w:t>
      </w:r>
      <w:r>
        <w:t xml:space="preserve">(2016) Supporting study for the Fitness Check on the construction sector: EU internal</w:t>
      </w:r>
      <w:r>
        <w:t xml:space="preserve"> </w:t>
      </w:r>
      <w:r>
        <w:t xml:space="preserve">market</w:t>
      </w:r>
      <w:r>
        <w:t xml:space="preserve"> </w:t>
      </w:r>
      <w:r>
        <w:t xml:space="preserve">and</w:t>
      </w:r>
      <w:r>
        <w:t xml:space="preserve"> </w:t>
      </w:r>
      <w:r>
        <w:t xml:space="preserve">energy</w:t>
      </w:r>
      <w:r>
        <w:t xml:space="preserve"> </w:t>
      </w:r>
      <w:r>
        <w:t xml:space="preserve">efficiency</w:t>
      </w:r>
      <w:r>
        <w:t xml:space="preserve"> </w:t>
      </w:r>
      <w:r>
        <w:t xml:space="preserve">legislation.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https://ec.europa.eu/docsroom/documents/19343</w:t>
      </w:r>
      <w:r>
        <w:br/>
      </w:r>
      <w:r>
        <w:t xml:space="preserve">- RPA(2016). Supporting Study for Fitness Check on the Construction Sector – The</w:t>
      </w:r>
      <w:r>
        <w:t xml:space="preserve"> </w:t>
      </w:r>
      <w:r>
        <w:t xml:space="preserve">Second Phase on EU Environment, Health and Safety Legislation. Available at:</w:t>
      </w:r>
      <w:r>
        <w:t xml:space="preserve"> </w:t>
      </w:r>
      <w:r>
        <w:t xml:space="preserve">https://ec.europa.eu/docsroom/documents/19661</w:t>
      </w:r>
      <w:r>
        <w:br/>
      </w:r>
      <w:r>
        <w:t xml:space="preserve">- VVA, DTI and TNO (2016). Economic Impacts of the Construction Products</w:t>
      </w:r>
      <w:r>
        <w:t xml:space="preserve"> </w:t>
      </w:r>
      <w:r>
        <w:t xml:space="preserve">Regulation. Available at: https://ec.europa.eu/docsroom/documents/20903</w:t>
      </w:r>
      <w:r>
        <w:br/>
      </w:r>
      <w:r>
        <w:t xml:space="preserve">-</w:t>
      </w:r>
      <w:r>
        <w:t xml:space="preserve"> </w:t>
      </w:r>
      <w:r>
        <w:t xml:space="preserve">Refit</w:t>
      </w:r>
      <w:r>
        <w:t xml:space="preserve"> </w:t>
      </w:r>
      <w:r>
        <w:t xml:space="preserve">platform</w:t>
      </w:r>
      <w:r>
        <w:t xml:space="preserve"> </w:t>
      </w:r>
      <w:r>
        <w:t xml:space="preserve">recommendations.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https://wayback.archive-</w:t>
      </w:r>
      <w:r>
        <w:t xml:space="preserve"> </w:t>
      </w:r>
      <w:r>
        <w:t xml:space="preserve">it.org/12090/20200221170910/https://ec.europa.eu/info/law/law-making-</w:t>
      </w:r>
      <w:r>
        <w:t xml:space="preserve"> </w:t>
      </w:r>
      <w:r>
        <w:t xml:space="preserve">process/evaluating-and-improving-existing-laws/refit-making-eu-law-simpler-and-less-</w:t>
      </w:r>
      <w:r>
        <w:t xml:space="preserve"> </w:t>
      </w:r>
      <w:r>
        <w:t xml:space="preserve">costly/refit-platform/refit-platform-recommendations-and-other-work_en</w:t>
      </w:r>
      <w:r>
        <w:br/>
      </w:r>
      <w:r>
        <w:t xml:space="preserve">- BRE, Ecorys, and Vito (2016), Supporting study for the evaluation of the relevance of</w:t>
      </w:r>
      <w:r>
        <w:t xml:space="preserve"> </w:t>
      </w:r>
      <w:r>
        <w:t xml:space="preserve">EOTA</w:t>
      </w:r>
      <w:r>
        <w:t xml:space="preserve"> </w:t>
      </w:r>
      <w:r>
        <w:t xml:space="preserve">tasks.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https://op.europa.eu/en/publication-detail/-</w:t>
      </w:r>
      <w:r>
        <w:t xml:space="preserve"> </w:t>
      </w:r>
      <w:r>
        <w:t xml:space="preserve">/publication/62e85006-d313-11e6-ad7c-01aa75ed71a1</w:t>
      </w:r>
      <w:r>
        <w:br/>
      </w:r>
      <w:r>
        <w:t xml:space="preserve">- RPA(2015). Analysis of the implementation of the Construction Products Regulation.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https://op.europa.eu/en/publication-detail/-/publication/d3449aa6-8775-</w:t>
      </w:r>
      <w:r>
        <w:t xml:space="preserve"> </w:t>
      </w:r>
      <w:r>
        <w:t xml:space="preserve">11e5-b8b7-01aa75ed71a1</w:t>
      </w:r>
      <w:r>
        <w:br/>
      </w:r>
      <w:r>
        <w:t xml:space="preserve">- Centre for Industrial Studies (2017). Cross-border trade for construction products.</w:t>
      </w:r>
      <w:r>
        <w:t xml:space="preserve"> </w:t>
      </w:r>
      <w:r>
        <w:t xml:space="preserve">Available at: https://ec.europa.eu/docsroom/documents/27301</w:t>
      </w:r>
      <w:r>
        <w:br/>
      </w:r>
      <w:r>
        <w:t xml:space="preserve">- Centre for Industrial Studies (2020). EADs and ETAs: Added value to the construction</w:t>
      </w:r>
      <w:r>
        <w:t xml:space="preserve"> </w:t>
      </w:r>
      <w:r>
        <w:t xml:space="preserve">sector.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https://www.eota.eu/sites/default/files/uploads/EOTA%20positions/2020-csil-eota-</w:t>
      </w:r>
      <w:r>
        <w:t xml:space="preserve"> </w:t>
      </w:r>
      <w:r>
        <w:t xml:space="preserve">report-0109.pdf</w:t>
      </w:r>
      <w:r>
        <w:t xml:space="preserve"> </w:t>
      </w:r>
      <w:r>
        <w:t xml:space="preserve">Report from the Commission to the European Parliament and the Council on the</w:t>
      </w:r>
      <w:r>
        <w:t xml:space="preserve"> </w:t>
      </w:r>
      <w:r>
        <w:t xml:space="preserve">implementation of Regulation (EU) No 305/2011 of the European Parliament and of the</w:t>
      </w:r>
      <w:r>
        <w:t xml:space="preserve"> </w:t>
      </w:r>
      <w:r>
        <w:t xml:space="preserve">Council of 9 March 2011 laying down harmonised conditions for the marketing of</w:t>
      </w:r>
      <w:r>
        <w:t xml:space="preserve"> </w:t>
      </w:r>
      <w:r>
        <w:t xml:space="preserve">construction products and repealing Council Directive 89/106/EEC, COM/2016/0445</w:t>
      </w:r>
      <w:r>
        <w:t xml:space="preserve"> </w:t>
      </w:r>
      <w:r>
        <w:t xml:space="preserve">final, 7.7.2016.</w:t>
      </w:r>
      <w:r>
        <w:t xml:space="preserve"> </w:t>
      </w:r>
      <w:r>
        <w:t xml:space="preserve">Judgement of 27 October 2016, James Elliot Construction, C-613/14,</w:t>
      </w:r>
      <w:r>
        <w:t xml:space="preserve"> </w:t>
      </w:r>
      <w:r>
        <w:t xml:space="preserve">ECLI:EU:C:2016:821,</w:t>
      </w:r>
    </w:p>
    <w:p>
      <w:pPr>
        <w:pStyle w:val="BodyText"/>
      </w:pPr>
      <w:r>
        <w:t xml:space="preserve">166 Minutes available at: Review of the CPR | Internal Market, Industry, Entrepreneurship and SMEs</w:t>
      </w:r>
      <w:r>
        <w:t xml:space="preserve"> </w:t>
      </w:r>
      <w:r>
        <w:t xml:space="preserve">(europa.eu).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http://curia.europa.eu/juris/document/document.jsf?text=&amp;docid=184891&amp;pageIndex=0</w:t>
      </w:r>
      <w:r>
        <w:t xml:space="preserve"> </w:t>
      </w:r>
      <w:r>
        <w:t xml:space="preserve">&amp;doclang=en&amp;mode=lst&amp;dir=&amp;occ=first&amp;part=1&amp;cid=5620375.</w:t>
      </w:r>
      <w:r>
        <w:t xml:space="preserve"> </w:t>
      </w:r>
      <w:r>
        <w:t xml:space="preserve">Judgement of 13 June 1958, Meroni v High Authority, C-10/56, ECLI:EU:C:1958:8,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content/EN/TXT/PDF/?uri=CELEX:61956CJ0010&amp;from=EN.</w:t>
      </w:r>
      <w:r>
        <w:br/>
      </w:r>
      <w:r>
        <w:t xml:space="preserve">Judgement of 5 September 2012, Parliament v Council, C‑355/10,</w:t>
      </w:r>
      <w:r>
        <w:t xml:space="preserve"> </w:t>
      </w:r>
      <w:r>
        <w:t xml:space="preserve">ECLI:EU:C:2012:516, paras. 64-82,</w:t>
      </w:r>
      <w:r>
        <w:t xml:space="preserve"> </w:t>
      </w:r>
      <w:r>
        <w:t xml:space="preserve">http://curia.europa.eu/juris/document/document.jsf?text=&amp;docid=126363&amp;pageIndex=0</w:t>
      </w:r>
      <w:r>
        <w:t xml:space="preserve"> </w:t>
      </w:r>
      <w:r>
        <w:t xml:space="preserve">&amp;doclang=EN&amp;mode=lst&amp;dir=&amp;occ=first&amp;part=1&amp;cid=935739.</w:t>
      </w:r>
      <w:r>
        <w:br/>
      </w:r>
      <w:r>
        <w:t xml:space="preserve">Judgement of 22 January 2014, UK v Council and Parliament, C-270/12,</w:t>
      </w:r>
      <w:r>
        <w:t xml:space="preserve"> </w:t>
      </w:r>
      <w:r>
        <w:t xml:space="preserve">ECLI:EU:C:2014:18, paras. 41-55,</w:t>
      </w:r>
      <w:r>
        <w:t xml:space="preserve"> </w:t>
      </w:r>
      <w:r>
        <w:t xml:space="preserve">http://curia.europa.eu/juris/document/document.jsf?text=&amp;docid=146621&amp;pageIndex=0</w:t>
      </w:r>
      <w:r>
        <w:t xml:space="preserve"> </w:t>
      </w:r>
      <w:r>
        <w:t xml:space="preserve">&amp;doclang=en&amp;mode=lst&amp;dir=&amp;occ=first&amp;part=1&amp;cid=5618770.</w:t>
      </w:r>
      <w:r>
        <w:br/>
      </w:r>
      <w:r>
        <w:t xml:space="preserve">Report on the implementation of Regulation (EU) No 305/2011 laying down harmonised</w:t>
      </w:r>
      <w:r>
        <w:t xml:space="preserve"> </w:t>
      </w:r>
      <w:r>
        <w:t xml:space="preserve">conditions for the marketing of construction products (the Construction Products</w:t>
      </w:r>
      <w:r>
        <w:t xml:space="preserve"> </w:t>
      </w:r>
      <w:r>
        <w:t xml:space="preserve">Regulation), 2021, https://www.europarl.europa.eu/doceo/document/A-9-2021-</w:t>
      </w:r>
      <w:r>
        <w:t xml:space="preserve"> </w:t>
      </w:r>
      <w:r>
        <w:t xml:space="preserve">0012_EN.html.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ANNEX 2: STAKEHOLDER CONSULTATION</w:t>
      </w:r>
      <w:r>
        <w:br/>
      </w:r>
      <w:r>
        <w:t xml:space="preserve">In the context of the impact assessment study on the revision of the Construction</w:t>
      </w:r>
      <w:r>
        <w:t xml:space="preserve"> </w:t>
      </w:r>
      <w:r>
        <w:t xml:space="preserve">Products Regulation (Regulation (EU) No 305/2011) various consultation activities were</w:t>
      </w:r>
      <w:r>
        <w:t xml:space="preserve"> </w:t>
      </w:r>
      <w:r>
        <w:t xml:space="preserve">conducted between October 2019 and December 2020. The aim was to assess the</w:t>
      </w:r>
      <w:r>
        <w:t xml:space="preserve"> </w:t>
      </w:r>
      <w:r>
        <w:t xml:space="preserve">potential areas of revision and the impacts of the suggested policy options on different</w:t>
      </w:r>
      <w:r>
        <w:t xml:space="preserve"> </w:t>
      </w:r>
      <w:r>
        <w:t xml:space="preserve">stakeholder groups. This Annex presents the results of the consultation activities carried</w:t>
      </w:r>
      <w:r>
        <w:t xml:space="preserve"> </w:t>
      </w:r>
      <w:r>
        <w:t xml:space="preserve">out.</w:t>
      </w:r>
      <w:r>
        <w:t xml:space="preserve"> </w:t>
      </w:r>
      <w:r>
        <w:t xml:space="preserve">The consultation activities167 included a horizontal online survey (survey on horizontal</w:t>
      </w:r>
      <w:r>
        <w:t xml:space="preserve"> </w:t>
      </w:r>
      <w:r>
        <w:t xml:space="preserve">issues), a company survey and a public consultation. The horizontal survey targeted</w:t>
      </w:r>
      <w:r>
        <w:t xml:space="preserve"> </w:t>
      </w:r>
      <w:r>
        <w:t xml:space="preserve">selected experts and aimed at identifying how to address the various horizontal issues</w:t>
      </w:r>
      <w:r>
        <w:t xml:space="preserve"> </w:t>
      </w:r>
      <w:r>
        <w:t xml:space="preserve">identified during the evaluation of the CPR in order to collect input to be used for the</w:t>
      </w:r>
      <w:r>
        <w:t xml:space="preserve"> </w:t>
      </w:r>
      <w:r>
        <w:t xml:space="preserve">further refinement of the draft options. With respect to the company survey, the survey</w:t>
      </w:r>
      <w:r>
        <w:t xml:space="preserve"> </w:t>
      </w:r>
      <w:r>
        <w:t xml:space="preserve">targeted companies relevant to the construction products market and therefore the</w:t>
      </w:r>
      <w:r>
        <w:t xml:space="preserve"> </w:t>
      </w:r>
      <w:r>
        <w:t xml:space="preserve">questionnaire was sent out to economic operators in the construction products sector.</w:t>
      </w:r>
      <w:r>
        <w:t xml:space="preserve"> </w:t>
      </w:r>
      <w:r>
        <w:t xml:space="preserve">Concerning the public consultation, the consultation was publicly accessible, thus also</w:t>
      </w:r>
      <w:r>
        <w:t xml:space="preserve"> </w:t>
      </w:r>
      <w:r>
        <w:t xml:space="preserve">open to companies, as well as any other types of respondents.</w:t>
      </w:r>
      <w:r>
        <w:t xml:space="preserve"> </w:t>
      </w:r>
      <w:r>
        <w:t xml:space="preserve">In addition, two ad hoc meeting with Member States’ experts on the Review of the CPR</w:t>
      </w:r>
      <w:r>
        <w:t xml:space="preserve"> </w:t>
      </w:r>
      <w:r>
        <w:t xml:space="preserve">took place in the year 2020. The goal of the first meeting in March was to discuss this</w:t>
      </w:r>
      <w:r>
        <w:t xml:space="preserve"> </w:t>
      </w:r>
      <w:r>
        <w:t xml:space="preserve">process and to answer questions about the options paper distributed ahead of the meeting.</w:t>
      </w:r>
      <w:r>
        <w:t xml:space="preserve"> </w:t>
      </w:r>
      <w:r>
        <w:t xml:space="preserve">In the second meeting, in September, the Commission services aimed at giving the floor</w:t>
      </w:r>
      <w:r>
        <w:t xml:space="preserve"> </w:t>
      </w:r>
      <w:r>
        <w:t xml:space="preserve">to Member States’ experts to collect their views on the four main agenda topic: Scope</w:t>
      </w:r>
      <w:r>
        <w:t xml:space="preserve"> </w:t>
      </w:r>
      <w:r>
        <w:t xml:space="preserve">and relationship with other EU law, Harmonised sphere, national law and information</w:t>
      </w:r>
      <w:r>
        <w:t xml:space="preserve"> </w:t>
      </w:r>
      <w:r>
        <w:t xml:space="preserve">needs, Annex I (basic requirements for construction works), Environmental</w:t>
      </w:r>
      <w:r>
        <w:t xml:space="preserve"> </w:t>
      </w:r>
      <w:r>
        <w:t xml:space="preserve">requirements.</w:t>
      </w:r>
      <w:r>
        <w:t xml:space="preserve"> </w:t>
      </w:r>
      <w:r>
        <w:t xml:space="preserve">1. OVERVIEW OF THE PARTICIPANTS</w:t>
      </w:r>
      <w:r>
        <w:t xml:space="preserve"> </w:t>
      </w:r>
      <w:r>
        <w:t xml:space="preserve">For all consultation activities, the main stakeholder groups addressed were:</w:t>
      </w:r>
      <w:r>
        <w:t xml:space="preserve"> </w:t>
      </w:r>
      <w:r>
        <w:t xml:space="preserve"> European technical bodies and associations (EOTA and “other” incl. consumer</w:t>
      </w:r>
      <w:r>
        <w:t xml:space="preserve"> </w:t>
      </w:r>
      <w:r>
        <w:t xml:space="preserve">and standardisation organisations) and other stakeholders involved in</w:t>
      </w:r>
      <w:r>
        <w:t xml:space="preserve"> </w:t>
      </w:r>
      <w:r>
        <w:t xml:space="preserve">standardisation;</w:t>
      </w:r>
      <w:r>
        <w:t xml:space="preserve"> </w:t>
      </w:r>
      <w:r>
        <w:t xml:space="preserve"> Companies/manufacturers, importers and distributors;</w:t>
      </w:r>
      <w:r>
        <w:t xml:space="preserve"> </w:t>
      </w:r>
      <w:r>
        <w:t xml:space="preserve"> Consumer associations;</w:t>
      </w:r>
      <w:r>
        <w:t xml:space="preserve"> </w:t>
      </w:r>
      <w:r>
        <w:t xml:space="preserve"> European/international organisations (industry associations);</w:t>
      </w:r>
      <w:r>
        <w:t xml:space="preserve"> </w:t>
      </w:r>
      <w:r>
        <w:t xml:space="preserve"> Market Surveillance Authorities;</w:t>
      </w:r>
      <w:r>
        <w:t xml:space="preserve"> </w:t>
      </w:r>
      <w:r>
        <w:t xml:space="preserve"> National authorities;</w:t>
      </w:r>
      <w:r>
        <w:t xml:space="preserve"> </w:t>
      </w:r>
      <w:r>
        <w:t xml:space="preserve"> Notified bodies;</w:t>
      </w:r>
      <w:r>
        <w:t xml:space="preserve"> </w:t>
      </w:r>
      <w:r>
        <w:t xml:space="preserve"> Others, such as citizens and other NGOs;</w:t>
      </w:r>
    </w:p>
    <w:p>
      <w:pPr>
        <w:pStyle w:val="BodyText"/>
      </w:pPr>
      <w:r>
        <w:t xml:space="preserve">167 Copenhagen Economics (CE), Danish Technological Institute (DTI) and Office for Economic Policy</w:t>
      </w:r>
      <w:r>
        <w:t xml:space="preserve"> </w:t>
      </w:r>
      <w:r>
        <w:t xml:space="preserve">and Regional Development Ltd. (EPRD) (2021). Supporting study for the impact assessment of the CPR</w:t>
      </w:r>
      <w:r>
        <w:t xml:space="preserve"> </w:t>
      </w:r>
      <w:r>
        <w:t xml:space="preserve">Review.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 Workers/professionals’ associations.</w:t>
      </w:r>
      <w:r>
        <w:t xml:space="preserve"> </w:t>
      </w:r>
      <w:r>
        <w:t xml:space="preserve">217 potential respondents were invited to participate in the horizontal survey on</w:t>
      </w:r>
      <w:r>
        <w:t xml:space="preserve"> </w:t>
      </w:r>
      <w:r>
        <w:t xml:space="preserve">October 11, 2019. The survey closed on October 31, 2019.</w:t>
      </w:r>
      <w:r>
        <w:t xml:space="preserve"> </w:t>
      </w:r>
      <w:r>
        <w:t xml:space="preserve">The survey on horizontal issues gave 83 complete answers and thus a response rate of</w:t>
      </w:r>
      <w:r>
        <w:t xml:space="preserve"> </w:t>
      </w:r>
      <w:r>
        <w:t xml:space="preserve">38%. The largest group of organisations that have participated were the national public</w:t>
      </w:r>
      <w:r>
        <w:t xml:space="preserve"> </w:t>
      </w:r>
      <w:r>
        <w:t xml:space="preserve">authorities (without Market Surveillance Authorities) (27 %), while Industry</w:t>
      </w:r>
      <w:r>
        <w:t xml:space="preserve"> </w:t>
      </w:r>
      <w:r>
        <w:t xml:space="preserve">Associations were represented with 24% and Market Surveillance Authorities with 11%.</w:t>
      </w:r>
      <w:r>
        <w:t xml:space="preserve"> </w:t>
      </w:r>
      <w:r>
        <w:t xml:space="preserve">4% of the total participants were manufacturers (individual economic operators).</w:t>
      </w:r>
      <w:r>
        <w:t xml:space="preserve"> </w:t>
      </w:r>
      <w:r>
        <w:t xml:space="preserve">The</w:t>
      </w:r>
      <w:r>
        <w:t xml:space="preserve"> </w:t>
      </w:r>
      <w:r>
        <w:t xml:space="preserve">“other”</w:t>
      </w:r>
      <w:r>
        <w:t xml:space="preserve"> </w:t>
      </w:r>
      <w:r>
        <w:t xml:space="preserve">category</w:t>
      </w:r>
      <w:r>
        <w:t xml:space="preserve"> </w:t>
      </w:r>
      <w:r>
        <w:t xml:space="preserve">(12</w:t>
      </w:r>
      <w:r>
        <w:t xml:space="preserve"> </w:t>
      </w:r>
      <w:r>
        <w:t xml:space="preserve">respondents)</w:t>
      </w:r>
      <w:r>
        <w:t xml:space="preserve"> </w:t>
      </w:r>
      <w:r>
        <w:t xml:space="preserve">varied</w:t>
      </w:r>
      <w:r>
        <w:t xml:space="preserve"> </w:t>
      </w:r>
      <w:r>
        <w:t xml:space="preserve">widely;</w:t>
      </w:r>
      <w:r>
        <w:t xml:space="preserve"> </w:t>
      </w:r>
      <w:r>
        <w:t xml:space="preserve">7</w:t>
      </w:r>
      <w:r>
        <w:t xml:space="preserve"> </w:t>
      </w:r>
      <w:r>
        <w:t xml:space="preserve">were</w:t>
      </w:r>
      <w:r>
        <w:t xml:space="preserve"> </w:t>
      </w:r>
      <w:r>
        <w:t xml:space="preserve">individual</w:t>
      </w:r>
      <w:r>
        <w:t xml:space="preserve"> </w:t>
      </w:r>
      <w:r>
        <w:t xml:space="preserve">consultants/experts, and the rest included 1 research institute, 1 consumer association, 1</w:t>
      </w:r>
      <w:r>
        <w:t xml:space="preserve"> </w:t>
      </w:r>
      <w:r>
        <w:t xml:space="preserve">crafts association, 1 professional association and 1 European stakeholder association</w:t>
      </w:r>
      <w:r>
        <w:t xml:space="preserve"> </w:t>
      </w:r>
      <w:r>
        <w:t xml:space="preserve">(type not specified).</w:t>
      </w:r>
      <w:r>
        <w:t xml:space="preserve"> </w:t>
      </w:r>
      <w:r>
        <w:t xml:space="preserve">Figure 7 below summarise the participation of the different stakeholder groups in the</w:t>
      </w:r>
      <w:r>
        <w:t xml:space="preserve"> </w:t>
      </w:r>
      <w:r>
        <w:t xml:space="preserve">horizontal survey.</w:t>
      </w:r>
      <w:r>
        <w:t xml:space="preserve"> </w:t>
      </w:r>
      <w:r>
        <w:t xml:space="preserve">Figure 7: Distribution of respondents by organisation in the survey on horizontal issues</w:t>
      </w:r>
    </w:p>
    <w:p>
      <w:pPr>
        <w:pStyle w:val="BodyText"/>
      </w:pPr>
      <w:r>
        <w:t xml:space="preserve">With respect to the geographical distribution of the participants, the largest number of</w:t>
      </w:r>
      <w:r>
        <w:t xml:space="preserve"> </w:t>
      </w:r>
      <w:r>
        <w:t xml:space="preserve">participants came from Belgium with 30 participants (36%) and Germany with 10</w:t>
      </w:r>
      <w:r>
        <w:t xml:space="preserve"> </w:t>
      </w:r>
      <w:r>
        <w:t xml:space="preserve">participants (12%). Participation from other countries was between 0 and 4 participants.</w:t>
      </w:r>
      <w:r>
        <w:t xml:space="preserve"> </w:t>
      </w:r>
      <w:r>
        <w:t xml:space="preserve">It should be noted, however, that among the 30 respondents based in Belgium, 20 were</w:t>
      </w:r>
      <w:r>
        <w:t xml:space="preserve"> </w:t>
      </w:r>
      <w:r>
        <w:t xml:space="preserve">European/international organisations (industry associations), and another 5 were other</w:t>
      </w:r>
      <w:r>
        <w:t xml:space="preserve"> </w:t>
      </w:r>
      <w:r>
        <w:t xml:space="preserve">types of European technical bodies and associations (EOTA and “other” incl. consumer</w:t>
      </w:r>
      <w:r>
        <w:t xml:space="preserve"> </w:t>
      </w:r>
      <w:r>
        <w:t xml:space="preserve">and standardisation organisations).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The Company survey was launched on Monday 10 August 2020 and invitations were</w:t>
      </w:r>
      <w:r>
        <w:t xml:space="preserve"> </w:t>
      </w:r>
      <w:r>
        <w:t xml:space="preserve">distributed to 1,200 companies’ info/main contact email-addresses. The sample of 1,200</w:t>
      </w:r>
      <w:r>
        <w:t xml:space="preserve"> </w:t>
      </w:r>
      <w:r>
        <w:t xml:space="preserve">firms was selected to correspond to the above target criteria for types of relevant</w:t>
      </w:r>
      <w:r>
        <w:t xml:space="preserve"> </w:t>
      </w:r>
      <w:r>
        <w:t xml:space="preserve">economic operators and firm sizes (based on number of employees), as well as a country-</w:t>
      </w:r>
      <w:r>
        <w:t xml:space="preserve"> </w:t>
      </w:r>
      <w:r>
        <w:t xml:space="preserve">representation of respondents from all EU27 Member States, the UK, Norway and</w:t>
      </w:r>
      <w:r>
        <w:t xml:space="preserve"> </w:t>
      </w:r>
      <w:r>
        <w:t xml:space="preserve">Switzerland. The Company survey was closed on 30 October 2020.</w:t>
      </w:r>
      <w:r>
        <w:t xml:space="preserve"> </w:t>
      </w:r>
      <w:r>
        <w:t xml:space="preserve">In addition, invitations were shared with 125 national and European business</w:t>
      </w:r>
      <w:r>
        <w:t xml:space="preserve"> </w:t>
      </w:r>
      <w:r>
        <w:t xml:space="preserve">organisations in mid-September 2020, asking them to circulate the invitation to their</w:t>
      </w:r>
      <w:r>
        <w:t xml:space="preserve"> </w:t>
      </w:r>
      <w:r>
        <w:t xml:space="preserve">member companies. In addition, the European Commission forwarded invitations to the</w:t>
      </w:r>
      <w:r>
        <w:t xml:space="preserve"> </w:t>
      </w:r>
      <w:r>
        <w:t xml:space="preserve">companies that had registered for the Online CPR Revision Technical Stakeholder</w:t>
      </w:r>
      <w:r>
        <w:t xml:space="preserve"> </w:t>
      </w:r>
      <w:r>
        <w:t xml:space="preserve">Conference on 7 September. The last two extensions turned out to be particularly</w:t>
      </w:r>
      <w:r>
        <w:t xml:space="preserve"> </w:t>
      </w:r>
      <w:r>
        <w:t xml:space="preserve">effective at increasing the number of companies responding to the survey. In total,</w:t>
      </w:r>
      <w:r>
        <w:t xml:space="preserve"> </w:t>
      </w:r>
      <w:r>
        <w:t xml:space="preserve">12,304 invitations were sent to companies (not including the business organisations and</w:t>
      </w:r>
      <w:r>
        <w:t xml:space="preserve"> </w:t>
      </w:r>
      <w:r>
        <w:t xml:space="preserve">the outreach facilitated by the Commission) – manufacturers of construction products,</w:t>
      </w:r>
      <w:r>
        <w:t xml:space="preserve"> </w:t>
      </w:r>
      <w:r>
        <w:t xml:space="preserve">distributors of construction products, construction companies, designers and raw material</w:t>
      </w:r>
      <w:r>
        <w:t xml:space="preserve"> </w:t>
      </w:r>
      <w:r>
        <w:t xml:space="preserve">suppliers around the EU, the UK, Norway and Switzerland. Thus, the number of</w:t>
      </w:r>
      <w:r>
        <w:t xml:space="preserve"> </w:t>
      </w:r>
      <w:r>
        <w:t xml:space="preserve">invitations increased tenfold compared to the initial planned outreach to 1,200</w:t>
      </w:r>
      <w:r>
        <w:t xml:space="preserve"> </w:t>
      </w:r>
      <w:r>
        <w:t xml:space="preserve">companies.</w:t>
      </w:r>
      <w:r>
        <w:t xml:space="preserve"> </w:t>
      </w:r>
      <w:r>
        <w:t xml:space="preserve">In total, 150 completed questionnaires were received, corresponding to a response rate of</w:t>
      </w:r>
      <w:r>
        <w:t xml:space="preserve"> </w:t>
      </w:r>
      <w:r>
        <w:t xml:space="preserve">approximately 1.2 per cent. However, out of the 150 respondents, 8 were business</w:t>
      </w:r>
      <w:r>
        <w:t xml:space="preserve"> </w:t>
      </w:r>
      <w:r>
        <w:t xml:space="preserve">associations and these are subsequently not included in the figures and the analysis.</w:t>
      </w:r>
      <w:r>
        <w:t xml:space="preserve"> </w:t>
      </w:r>
      <w:r>
        <w:t xml:space="preserve">Furthermore, the results focus on companies from the EU27 Member States, with results</w:t>
      </w:r>
      <w:r>
        <w:t xml:space="preserve"> </w:t>
      </w:r>
      <w:r>
        <w:t xml:space="preserve">including both EU27 companies and non-EU companies reported separately. Thus, in</w:t>
      </w:r>
      <w:r>
        <w:t xml:space="preserve"> </w:t>
      </w:r>
      <w:r>
        <w:t xml:space="preserve">total, the central sample consisted of 131 companies from Member States.</w:t>
      </w:r>
      <w:r>
        <w:t xml:space="preserve"> </w:t>
      </w:r>
      <w:r>
        <w:t xml:space="preserve">Figure 8: Distribution of respondents by type of economic operator in the company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The respondents across types of economic operators were distributed as shown in Figure</w:t>
      </w:r>
      <w:r>
        <w:t xml:space="preserve"> </w:t>
      </w:r>
      <w:r>
        <w:t xml:space="preserve">8. Besides manufacturers a considerable number economic operators from upstream and</w:t>
      </w:r>
      <w:r>
        <w:t xml:space="preserve"> </w:t>
      </w:r>
      <w:r>
        <w:t xml:space="preserve">downstream participated.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Figure 9: Distribution of respondents by firm size (based on number of employees and</w:t>
      </w:r>
      <w:r>
        <w:t xml:space="preserve"> </w:t>
      </w:r>
      <w:r>
        <w:t xml:space="preserve">turnover)</w:t>
      </w:r>
    </w:p>
    <w:p>
      <w:pPr>
        <w:pStyle w:val="BodyText"/>
      </w:pPr>
      <w:r>
        <w:t xml:space="preserve">With regards to firm size, approximately 48% of the respondents are microenterprises,</w:t>
      </w:r>
      <w:r>
        <w:t xml:space="preserve"> </w:t>
      </w:r>
      <w:r>
        <w:t xml:space="preserve">small enterprises medium-sized enterprises (SMEs), as shown in Figure 9.</w:t>
      </w:r>
      <w:r>
        <w:t xml:space="preserve"> </w:t>
      </w:r>
      <w:r>
        <w:t xml:space="preserve">Regarding the geographical spread, Figure 10 reveals that companies from Germany are</w:t>
      </w:r>
      <w:r>
        <w:t xml:space="preserve"> </w:t>
      </w:r>
      <w:r>
        <w:t xml:space="preserve">the most represented in the sample, with 28% of the respondents. Italy was the country</w:t>
      </w:r>
      <w:r>
        <w:t xml:space="preserve"> </w:t>
      </w:r>
      <w:r>
        <w:t xml:space="preserve">with the second highest number of respondents, followed by Austria, Belgium, Poland</w:t>
      </w:r>
      <w:r>
        <w:t xml:space="preserve"> </w:t>
      </w:r>
      <w:r>
        <w:t xml:space="preserve">and Portugal. There were no respondents from Croatia, Cyprus, Czech Republic, Estonia</w:t>
      </w:r>
      <w:r>
        <w:t xml:space="preserve"> </w:t>
      </w:r>
      <w:r>
        <w:t xml:space="preserve">and Slovakia.</w:t>
      </w:r>
      <w:r>
        <w:t xml:space="preserve"> </w:t>
      </w:r>
      <w:r>
        <w:t xml:space="preserve">Figure 10: Distribution of respondents by country of headquarters</w:t>
      </w:r>
    </w:p>
    <w:p>
      <w:pPr>
        <w:pStyle w:val="BodyText"/>
      </w:pPr>
      <w:r>
        <w:t xml:space="preserve">The Public Consultation was launched on 4 September 2020 and was open until</w:t>
      </w:r>
      <w:r>
        <w:t xml:space="preserve"> </w:t>
      </w:r>
      <w:r>
        <w:t xml:space="preserve">25 December 2020 (16 weeks). The public consultation was publicly accessible, thus also</w:t>
      </w:r>
      <w:r>
        <w:t xml:space="preserve"> </w:t>
      </w:r>
      <w:r>
        <w:t xml:space="preserve">open to companies, as well as any other types of respondents.</w:t>
      </w:r>
      <w:r>
        <w:t xml:space="preserve"> </w:t>
      </w:r>
      <w:r>
        <w:t xml:space="preserve">There were in total 263 respondents, out of which 23 citizens (21 EU individuals and</w:t>
      </w:r>
      <w:r>
        <w:t xml:space="preserve"> </w:t>
      </w:r>
      <w:r>
        <w:t xml:space="preserve">2 non-EU individuals. Out of those, 9 respondents chose to give their input via the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shorter questionnaire, whereas 14 opted for the longer, more detailed questionnaire.</w:t>
      </w:r>
      <w:r>
        <w:t xml:space="preserve"> </w:t>
      </w:r>
      <w:r>
        <w:t xml:space="preserve">Thus, in total 254 respondents gave their input via the longer questionnaire.</w:t>
      </w:r>
      <w:r>
        <w:t xml:space="preserve"> </w:t>
      </w:r>
      <w:r>
        <w:t xml:space="preserve">Companies/business organisations were the most represented stakeholder groups</w:t>
      </w:r>
      <w:r>
        <w:t xml:space="preserve"> </w:t>
      </w:r>
      <w:r>
        <w:t xml:space="preserve">representing 37% of the answers (n=97), followed by business associations with 33%</w:t>
      </w:r>
      <w:r>
        <w:t xml:space="preserve"> </w:t>
      </w:r>
      <w:r>
        <w:t xml:space="preserve">(n=87), EU citizens with 8% (n=21), public authorities with 7% (n=19), non-</w:t>
      </w:r>
      <w:r>
        <w:t xml:space="preserve"> </w:t>
      </w:r>
      <w:r>
        <w:t xml:space="preserve">governmental organisations (NGOs) with 3% (n=8), academic/research institutions,</w:t>
      </w:r>
      <w:r>
        <w:t xml:space="preserve"> </w:t>
      </w:r>
      <w:r>
        <w:t xml:space="preserve">consumer organisations, environmental organisations, non-EU citizens and trade unions</w:t>
      </w:r>
      <w:r>
        <w:t xml:space="preserve"> </w:t>
      </w:r>
      <w:r>
        <w:t xml:space="preserve">represented between 1-4 respondents each and 7% selected “other” as their type of</w:t>
      </w:r>
      <w:r>
        <w:t xml:space="preserve"> </w:t>
      </w:r>
      <w:r>
        <w:t xml:space="preserve">respondent(n=19).</w:t>
      </w:r>
      <w:r>
        <w:t xml:space="preserve"> </w:t>
      </w:r>
      <w:r>
        <w:t xml:space="preserve">With regard to the country of origin of the respondents, 85% (n=223) of the respondents</w:t>
      </w:r>
      <w:r>
        <w:t xml:space="preserve"> </w:t>
      </w:r>
      <w:r>
        <w:t xml:space="preserve">reported an EU Member State as their country of origin, while 15% (n=40) were from</w:t>
      </w:r>
      <w:r>
        <w:t xml:space="preserve"> </w:t>
      </w:r>
      <w:r>
        <w:t xml:space="preserve">non-EU countries.</w:t>
      </w:r>
      <w:r>
        <w:t xml:space="preserve"> </w:t>
      </w:r>
      <w:r>
        <w:t xml:space="preserve">The distribution of respondents by country of origin was as follows: 23% (n=60) of</w:t>
      </w:r>
      <w:r>
        <w:t xml:space="preserve"> </w:t>
      </w:r>
      <w:r>
        <w:t xml:space="preserve">respondents indicated Germany as their country of origin, 18% (n=48) Belgium, 10%</w:t>
      </w:r>
      <w:r>
        <w:t xml:space="preserve"> </w:t>
      </w:r>
      <w:r>
        <w:t xml:space="preserve">(n=25) Italy, 7% (n=19) Norway, ~5% (n=14) France, ~5% (n=14) Switzerland and ~5%</w:t>
      </w:r>
      <w:r>
        <w:t xml:space="preserve"> </w:t>
      </w:r>
      <w:r>
        <w:t xml:space="preserve">(n=13) Spain. These 7 countries represented 73% of the replies. The other 27% were</w:t>
      </w:r>
      <w:r>
        <w:t xml:space="preserve"> </w:t>
      </w:r>
      <w:r>
        <w:t xml:space="preserve">from Poland (9 respondents), Austria (8 respondents), Czech Republic (7 respondents),</w:t>
      </w:r>
      <w:r>
        <w:t xml:space="preserve"> </w:t>
      </w:r>
      <w:r>
        <w:t xml:space="preserve">Portugal (7 respondents), Sweden (7 respondents), Netherlands (6 respondents),</w:t>
      </w:r>
      <w:r>
        <w:t xml:space="preserve"> </w:t>
      </w:r>
      <w:r>
        <w:t xml:space="preserve">Denmark</w:t>
      </w:r>
      <w:r>
        <w:t xml:space="preserve"> </w:t>
      </w:r>
      <w:r>
        <w:t xml:space="preserve">(5</w:t>
      </w:r>
      <w:r>
        <w:t xml:space="preserve"> </w:t>
      </w:r>
      <w:r>
        <w:t xml:space="preserve">respondents),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Kingdom</w:t>
      </w:r>
      <w:r>
        <w:t xml:space="preserve"> </w:t>
      </w:r>
      <w:r>
        <w:t xml:space="preserve">(5</w:t>
      </w:r>
      <w:r>
        <w:t xml:space="preserve"> </w:t>
      </w:r>
      <w:r>
        <w:t xml:space="preserve">respondents),</w:t>
      </w:r>
      <w:r>
        <w:t xml:space="preserve"> </w:t>
      </w:r>
      <w:r>
        <w:t xml:space="preserve">Hungary</w:t>
      </w:r>
      <w:r>
        <w:t xml:space="preserve"> </w:t>
      </w:r>
      <w:r>
        <w:t xml:space="preserve">(3 respondents), Ireland (3 respondents), Romania (2 respondents), Bulgaria</w:t>
      </w:r>
      <w:r>
        <w:t xml:space="preserve"> </w:t>
      </w:r>
      <w:r>
        <w:t xml:space="preserve">(1 respondent), Canada (1 respondent), Croatia (1 respondent), Estonia (1 respondent),</w:t>
      </w:r>
      <w:r>
        <w:t xml:space="preserve"> </w:t>
      </w:r>
      <w:r>
        <w:t xml:space="preserve">Finland (1 respondent), Greece (1 respondent), Liechtenstein (1 respondent) and the</w:t>
      </w:r>
      <w:r>
        <w:t xml:space="preserve"> </w:t>
      </w:r>
      <w:r>
        <w:t xml:space="preserve">United States (1 respondent).</w:t>
      </w:r>
      <w:r>
        <w:t xml:space="preserve"> </w:t>
      </w:r>
      <w:r>
        <w:t xml:space="preserve">Concerning the size distribution of responses from companies, 46% (n=45) of the</w:t>
      </w:r>
      <w:r>
        <w:t xml:space="preserve"> </w:t>
      </w:r>
      <w:r>
        <w:t xml:space="preserve">company respondents have 250 employees or more, 22% (n=21) have 50-249 employees,</w:t>
      </w:r>
      <w:r>
        <w:t xml:space="preserve"> </w:t>
      </w:r>
      <w:r>
        <w:t xml:space="preserve">18% (n=17) have 1-9 employees, and 14% (n=14) have 10-49 employees. Thus, 54% of</w:t>
      </w:r>
      <w:r>
        <w:t xml:space="preserve"> </w:t>
      </w:r>
      <w:r>
        <w:t xml:space="preserve">the company respondents were SMEs.</w:t>
      </w:r>
      <w:r>
        <w:t xml:space="preserve"> </w:t>
      </w:r>
      <w:r>
        <w:t xml:space="preserve">2. SUMMARY OF RESULTS</w:t>
      </w:r>
      <w:r>
        <w:br/>
      </w:r>
      <w:r>
        <w:t xml:space="preserve">With respect to the underlying survey methodology for the company survey and public</w:t>
      </w:r>
      <w:r>
        <w:t xml:space="preserve"> </w:t>
      </w:r>
      <w:r>
        <w:t xml:space="preserve">consultation, the method used was Choice modelling (CM)168. A fundamental reason for</w:t>
      </w:r>
      <w:r>
        <w:t xml:space="preserve"> </w:t>
      </w:r>
      <w:r>
        <w:t xml:space="preserve">using choice modelling for providing new insights into economic operators’ preferences</w:t>
      </w:r>
      <w:r>
        <w:t xml:space="preserve"> </w:t>
      </w:r>
      <w:r>
        <w:t xml:space="preserve">and valuations of the revised policy options is that it enabled, at a minimum, to establish</w:t>
      </w:r>
      <w:r>
        <w:t xml:space="preserve"> </w:t>
      </w:r>
      <w:r>
        <w:t xml:space="preserve">a ranking of preferences for the options being put forth by the Commission, alongside</w:t>
      </w:r>
      <w:r>
        <w:t xml:space="preserve"> </w:t>
      </w:r>
      <w:r>
        <w:t xml:space="preserve">estimations of their relative values. This allowed to establish which options are most and</w:t>
      </w:r>
      <w:r>
        <w:t xml:space="preserve"> </w:t>
      </w:r>
      <w:r>
        <w:t xml:space="preserve">least preferred and, importantly, by how much. The core of the questionnaire was the</w:t>
      </w:r>
      <w:r>
        <w:t xml:space="preserve"> </w:t>
      </w:r>
      <w:r>
        <w:t xml:space="preserve">same for the two main surveys, namely the paired comparison part, where respondents</w:t>
      </w:r>
      <w:r>
        <w:t xml:space="preserve"> </w:t>
      </w:r>
      <w:r>
        <w:t xml:space="preserve">were asked to compare the different options.</w:t>
      </w:r>
    </w:p>
    <w:p>
      <w:pPr>
        <w:pStyle w:val="BodyText"/>
      </w:pPr>
      <w:r>
        <w:t xml:space="preserve">168 Choice modelling (CM) relates to a set of survey methods that use sets of options, or choices, to obtain</w:t>
      </w:r>
      <w:r>
        <w:t xml:space="preserve"> </w:t>
      </w:r>
      <w:r>
        <w:t xml:space="preserve">information from respondents. As such, CM is a subset of stated preference methods – the difference being</w:t>
      </w:r>
      <w:r>
        <w:t xml:space="preserve"> </w:t>
      </w:r>
      <w:r>
        <w:t xml:space="preserve">that preferences are obtained indirectly, as opposed to directly asking for valuations. The big advantage</w:t>
      </w:r>
      <w:r>
        <w:t xml:space="preserve"> </w:t>
      </w:r>
      <w:r>
        <w:t xml:space="preserve">associated with this method is that it is possible to identify individuals’ valuations for goods and services</w:t>
      </w:r>
      <w:r>
        <w:t xml:space="preserve"> </w:t>
      </w:r>
      <w:r>
        <w:t xml:space="preserve">for which where there is no market price and individuals find it difficult to directly place a ‘true’ value on</w:t>
      </w:r>
      <w:r>
        <w:t xml:space="preserve"> </w:t>
      </w:r>
      <w:r>
        <w:t xml:space="preserve">the good’s or service’s worth.</w:t>
      </w:r>
      <w:r>
        <w:br/>
      </w:r>
      <w:r>
        <w:t xml:space="preserve">Copenhagen Economics (CE), Danish Technological Institute (DTI) and Office for Economic Policy and</w:t>
      </w:r>
      <w:r>
        <w:t xml:space="preserve"> </w:t>
      </w:r>
      <w:r>
        <w:t xml:space="preserve">Regional Development Ltd. (EPRD) (2021). Supporting study for the impact assessment of the CPR</w:t>
      </w:r>
      <w:r>
        <w:t xml:space="preserve"> </w:t>
      </w:r>
      <w:r>
        <w:t xml:space="preserve">Review, Annex VI: Results of the horizontal survey (Inception report), page 116.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This report provides a short overview of the consultation activities with regards to the</w:t>
      </w:r>
      <w:r>
        <w:t xml:space="preserve"> </w:t>
      </w:r>
      <w:r>
        <w:t xml:space="preserve">policy options assessed. A more detailed information is provided in the Supporting study</w:t>
      </w:r>
      <w:r>
        <w:t xml:space="preserve"> </w:t>
      </w:r>
      <w:r>
        <w:t xml:space="preserve">for the impact assessment of the CPR Review169.</w:t>
      </w:r>
    </w:p>
    <w:p>
      <w:pPr>
        <w:pStyle w:val="BodyText"/>
      </w:pPr>
      <w:r>
        <w:t xml:space="preserve">2.1 The horizontal survey</w:t>
      </w:r>
      <w:r>
        <w:t xml:space="preserve"> </w:t>
      </w:r>
      <w:r>
        <w:t xml:space="preserve">The evaluation of responses to the horizontal questionnaire yielded strong support for the</w:t>
      </w:r>
      <w:r>
        <w:t xml:space="preserve"> </w:t>
      </w:r>
      <w:r>
        <w:t xml:space="preserve">CPR’s goal to ensure the free circulation of construction products in the Single Market.</w:t>
      </w:r>
      <w:r>
        <w:t xml:space="preserve"> </w:t>
      </w:r>
      <w:r>
        <w:t xml:space="preserve">On a scale from 0 to 3, where 0 implies “no importance at all” and 3 implies “absolute</w:t>
      </w:r>
      <w:r>
        <w:t xml:space="preserve"> </w:t>
      </w:r>
      <w:r>
        <w:t xml:space="preserve">importance”, 75% of respondents selected 3, while another 18% selected 2.</w:t>
      </w:r>
      <w:r>
        <w:br/>
      </w:r>
      <w:r>
        <w:t xml:space="preserve">Interestingly, 53% of respondents also deemed it of absolute importance (i.e. a 3 on the</w:t>
      </w:r>
      <w:r>
        <w:t xml:space="preserve"> </w:t>
      </w:r>
      <w:r>
        <w:t xml:space="preserve">scale) that the CPR should ensure the health and safety of EU citizens, while another</w:t>
      </w:r>
      <w:r>
        <w:t xml:space="preserve"> </w:t>
      </w:r>
      <w:r>
        <w:t xml:space="preserve">33% selected 2. Lastly, 37% of respondents selected 3, and 36% of respondents selected</w:t>
      </w:r>
      <w:r>
        <w:t xml:space="preserve"> </w:t>
      </w:r>
      <w:r>
        <w:t xml:space="preserve">2, regarding the importance of the CPR to protect the environment. While these three</w:t>
      </w:r>
      <w:r>
        <w:t xml:space="preserve"> </w:t>
      </w:r>
      <w:r>
        <w:t xml:space="preserve">policy goals may not always be mutually compatible, the results indicated that at least</w:t>
      </w:r>
      <w:r>
        <w:t xml:space="preserve"> </w:t>
      </w:r>
      <w:r>
        <w:t xml:space="preserve">73% of respondents found it at least important that the CPR addresses each goal.</w:t>
      </w:r>
      <w:r>
        <w:br/>
      </w:r>
      <w:r>
        <w:t xml:space="preserve">Furthermore, an overwhelming majority of experts consulted (80%) expressed support</w:t>
      </w:r>
      <w:r>
        <w:t xml:space="preserve"> </w:t>
      </w:r>
      <w:r>
        <w:t xml:space="preserve">for the common technical language for assessing the performance of construction</w:t>
      </w:r>
      <w:r>
        <w:t xml:space="preserve"> </w:t>
      </w:r>
      <w:r>
        <w:t xml:space="preserve">products – i.e. the current approach – in order to achieve the free circulation of</w:t>
      </w:r>
      <w:r>
        <w:t xml:space="preserve"> </w:t>
      </w:r>
      <w:r>
        <w:t xml:space="preserve">construction products. As only 3% of respondents supported mutual recognition as the</w:t>
      </w:r>
      <w:r>
        <w:t xml:space="preserve"> </w:t>
      </w:r>
      <w:r>
        <w:t xml:space="preserve">best way to achieve free circulation, an overwhelming majority was against a repeal of</w:t>
      </w:r>
      <w:r>
        <w:t xml:space="preserve"> </w:t>
      </w:r>
      <w:r>
        <w:t xml:space="preserve">the CPR. At the same time, more than two thirds (68%) of the respondents believed that</w:t>
      </w:r>
      <w:r>
        <w:t xml:space="preserve"> </w:t>
      </w:r>
      <w:r>
        <w:t xml:space="preserve">interpretation issues170 required a revision of the CPR either in conjunction with</w:t>
      </w:r>
      <w:r>
        <w:t xml:space="preserve"> </w:t>
      </w:r>
      <w:r>
        <w:t xml:space="preserve">guidance171 (63%) or without any further measures (5%).</w:t>
      </w:r>
    </w:p>
    <w:p>
      <w:pPr>
        <w:pStyle w:val="BodyText"/>
      </w:pPr>
      <w:r>
        <w:t xml:space="preserve">2.2 The company survey</w:t>
      </w:r>
      <w:r>
        <w:t xml:space="preserve"> </w:t>
      </w:r>
      <w:r>
        <w:t xml:space="preserve">The purpose of the Company survey was to assess how the Refined indicative policy</w:t>
      </w:r>
      <w:r>
        <w:t xml:space="preserve"> </w:t>
      </w:r>
      <w:r>
        <w:t xml:space="preserve">options for the CPR, prepared and developed by the European Commission and informed</w:t>
      </w:r>
      <w:r>
        <w:t xml:space="preserve"> </w:t>
      </w:r>
      <w:r>
        <w:t xml:space="preserve">inter alia by the horizontal survey among technical stakeholders during the inception</w:t>
      </w:r>
      <w:r>
        <w:t xml:space="preserve"> </w:t>
      </w:r>
      <w:r>
        <w:t xml:space="preserve">phase of this project, were expected to impact firms in the European construction</w:t>
      </w:r>
      <w:r>
        <w:t xml:space="preserve"> </w:t>
      </w:r>
      <w:r>
        <w:t xml:space="preserve">products sector.</w:t>
      </w:r>
      <w:r>
        <w:t xml:space="preserve"> </w:t>
      </w:r>
      <w:r>
        <w:t xml:space="preserve">The variants of the baseline policy option A were the most preferred across all elements</w:t>
      </w:r>
      <w:r>
        <w:t xml:space="preserve"> </w:t>
      </w:r>
      <w:r>
        <w:t xml:space="preserve">(in element 11 (New business models), “I do not know/Indifferent” was however the</w:t>
      </w:r>
      <w:r>
        <w:t xml:space="preserve"> </w:t>
      </w:r>
      <w:r>
        <w:t xml:space="preserve">most commonly selected answer). On average, variant A was chosen as the most</w:t>
      </w:r>
      <w:r>
        <w:t xml:space="preserve"> </w:t>
      </w:r>
      <w:r>
        <w:t xml:space="preserve">preferred variant by 40% of the respondents across all the 13 elements in which it was</w:t>
      </w:r>
      <w:r>
        <w:t xml:space="preserve"> </w:t>
      </w:r>
      <w:r>
        <w:t xml:space="preserve">available to select. The variants of policy option B were the second most preferred</w:t>
      </w:r>
      <w:r>
        <w:t xml:space="preserve"> </w:t>
      </w:r>
      <w:r>
        <w:t xml:space="preserve">variants. The variants of policy option D were the third most popular variants. Policy</w:t>
      </w:r>
      <w:r>
        <w:t xml:space="preserve"> </w:t>
      </w:r>
      <w:r>
        <w:t xml:space="preserve">option C contained three sub-options C1, C2 and C3. Variant C1 was chosen as the most</w:t>
      </w:r>
    </w:p>
    <w:p>
      <w:pPr>
        <w:pStyle w:val="BodyText"/>
      </w:pPr>
      <w:r>
        <w:t xml:space="preserve">169 Copenhagen Economics (CE), Danish Technological Institute (DTI) and Office for Economic Policy</w:t>
      </w:r>
      <w:r>
        <w:t xml:space="preserve"> </w:t>
      </w:r>
      <w:r>
        <w:t xml:space="preserve">and Regional Development Ltd. (EPRD) (2021). Supporting study for the impact assessment of the CPR</w:t>
      </w:r>
      <w:r>
        <w:t xml:space="preserve"> </w:t>
      </w:r>
      <w:r>
        <w:t xml:space="preserve">Review.</w:t>
      </w:r>
      <w:r>
        <w:t xml:space="preserve"> </w:t>
      </w:r>
      <w:r>
        <w:t xml:space="preserve">170 Interpretation issues: there are differences in the way Member States, economic operators and Notified</w:t>
      </w:r>
      <w:r>
        <w:t xml:space="preserve"> </w:t>
      </w:r>
      <w:r>
        <w:t xml:space="preserve">Bodies interpret some of the CPR Articles.</w:t>
      </w:r>
      <w:r>
        <w:t xml:space="preserve"> </w:t>
      </w:r>
      <w:r>
        <w:t xml:space="preserve">171 Guidance elaborated at EU level exclusively.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preferred variant by 3% of the respondents in the element in which it was available to</w:t>
      </w:r>
      <w:r>
        <w:t xml:space="preserve"> </w:t>
      </w:r>
      <w:r>
        <w:t xml:space="preserve">select. On average, variant C2 was chosen as the most preferred variant by 4% of the</w:t>
      </w:r>
      <w:r>
        <w:t xml:space="preserve"> </w:t>
      </w:r>
      <w:r>
        <w:t xml:space="preserve">respondents across the 3 elements in which was it available to select. On average, variant</w:t>
      </w:r>
      <w:r>
        <w:t xml:space="preserve"> </w:t>
      </w:r>
      <w:r>
        <w:t xml:space="preserve">C3 was chosen as the most preferred variant by 2% of the respondents across the</w:t>
      </w:r>
      <w:r>
        <w:t xml:space="preserve"> </w:t>
      </w:r>
      <w:r>
        <w:t xml:space="preserve">3 elements in which is it available to select. On average, the variants of policy option E</w:t>
      </w:r>
      <w:r>
        <w:t xml:space="preserve"> </w:t>
      </w:r>
      <w:r>
        <w:t xml:space="preserve">was chosen as the most preferred variant by 2% of the respondents across all the</w:t>
      </w:r>
      <w:r>
        <w:t xml:space="preserve"> </w:t>
      </w:r>
      <w:r>
        <w:t xml:space="preserve">13 elements where it was available to select. On average, 21% of the respondents</w:t>
      </w:r>
      <w:r>
        <w:t xml:space="preserve"> </w:t>
      </w:r>
      <w:r>
        <w:t xml:space="preserve">selected “I do not know/Indifferent” across all 13 elements.</w:t>
      </w:r>
      <w:r>
        <w:t xml:space="preserve"> </w:t>
      </w:r>
      <w:r>
        <w:t xml:space="preserve">Concerning preferences across types of economic operators, manufacturers tended to be</w:t>
      </w:r>
      <w:r>
        <w:t xml:space="preserve"> </w:t>
      </w:r>
      <w:r>
        <w:t xml:space="preserve">more in favour of the variants of the baseline policy option A, compared to the other</w:t>
      </w:r>
      <w:r>
        <w:t xml:space="preserve"> </w:t>
      </w:r>
      <w:r>
        <w:t xml:space="preserve">types of operators. Across all elements, 54% of manufacturers selected variants of option</w:t>
      </w:r>
      <w:r>
        <w:t xml:space="preserve"> </w:t>
      </w:r>
      <w:r>
        <w:t xml:space="preserve">A as their preferred variant, while 26% of other types of operators selected variants of</w:t>
      </w:r>
      <w:r>
        <w:t xml:space="preserve"> </w:t>
      </w:r>
      <w:r>
        <w:t xml:space="preserve">Option A as their preferred variant. However, variants of option A were still the most</w:t>
      </w:r>
      <w:r>
        <w:t xml:space="preserve"> </w:t>
      </w:r>
      <w:r>
        <w:t xml:space="preserve">preferred also among other types of operators, save for the very high share (47%) on</w:t>
      </w:r>
      <w:r>
        <w:t xml:space="preserve"> </w:t>
      </w:r>
      <w:r>
        <w:t xml:space="preserve">average selecting “I do not know/Indifferent”. The second most preferred option among</w:t>
      </w:r>
      <w:r>
        <w:t xml:space="preserve"> </w:t>
      </w:r>
      <w:r>
        <w:t xml:space="preserve">manufacturers was variants of option B, preferred on average by 25% of manufacturers</w:t>
      </w:r>
      <w:r>
        <w:t xml:space="preserve"> </w:t>
      </w:r>
      <w:r>
        <w:t xml:space="preserve">(and alternative B1 was preferred by 26% in element 13 (circular economy), compared to</w:t>
      </w:r>
      <w:r>
        <w:t xml:space="preserve"> </w:t>
      </w:r>
      <w:r>
        <w:t xml:space="preserve">3% preferring alternative B2 in that element.</w:t>
      </w:r>
      <w:r>
        <w:t xml:space="preserve"> </w:t>
      </w:r>
      <w:r>
        <w:t xml:space="preserve">With respect to preferences across firms of different sizes, Figure 11 summarises the</w:t>
      </w:r>
      <w:r>
        <w:t xml:space="preserve"> </w:t>
      </w:r>
      <w:r>
        <w:t xml:space="preserve">average preferences of all variants across all policy options, across the different size</w:t>
      </w:r>
      <w:r>
        <w:t xml:space="preserve"> </w:t>
      </w:r>
      <w:r>
        <w:t xml:space="preserve">classes of companies. It is worth to keep in mind that manufacturers make up 10% of the</w:t>
      </w:r>
      <w:r>
        <w:t xml:space="preserve"> </w:t>
      </w:r>
      <w:r>
        <w:t xml:space="preserve">microenterprises (including independent professionals/self-employed), 56% of the small</w:t>
      </w:r>
      <w:r>
        <w:t xml:space="preserve"> </w:t>
      </w:r>
      <w:r>
        <w:t xml:space="preserve">enterprises, 76% of medium-sized enterprises and 84% of the large enterprises, in the</w:t>
      </w:r>
      <w:r>
        <w:t xml:space="preserve"> </w:t>
      </w:r>
      <w:r>
        <w:t xml:space="preserve">sample.</w:t>
      </w:r>
      <w:r>
        <w:t xml:space="preserve"> </w:t>
      </w:r>
      <w:r>
        <w:t xml:space="preserve">Figure 11: Average preference ranking across all 13 elements, by different firm sizes</w:t>
      </w:r>
    </w:p>
    <w:p>
      <w:pPr>
        <w:pStyle w:val="BodyText"/>
      </w:pPr>
      <w:r>
        <w:t xml:space="preserve">Overall, the survey data suggested that economic operators were broadly in favour of the</w:t>
      </w:r>
      <w:r>
        <w:t xml:space="preserve"> </w:t>
      </w:r>
      <w:r>
        <w:t xml:space="preserve">current CPR, but they noted that there were issues that needed to be solved. Primarily,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this concerned issues related to the standardisation process. If legal revision was needed</w:t>
      </w:r>
      <w:r>
        <w:t xml:space="preserve"> </w:t>
      </w:r>
      <w:r>
        <w:t xml:space="preserve">to solve the issues, economic operators seemed to prefer that the issues were repaired</w:t>
      </w:r>
      <w:r>
        <w:t xml:space="preserve"> </w:t>
      </w:r>
      <w:r>
        <w:t xml:space="preserve">without a fundamental change of the underlying principles of the CPR (i.e. a preference</w:t>
      </w:r>
      <w:r>
        <w:t xml:space="preserve"> </w:t>
      </w:r>
      <w:r>
        <w:t xml:space="preserve">for policy option B if the CPR was to be revised). Compared to the baseline option A,</w:t>
      </w:r>
      <w:r>
        <w:t xml:space="preserve"> </w:t>
      </w:r>
      <w:r>
        <w:t xml:space="preserve">respondents who preferred variants of option B expected it to bring increases in,</w:t>
      </w:r>
      <w:r>
        <w:t xml:space="preserve"> </w:t>
      </w:r>
      <w:r>
        <w:t xml:space="preserve">primarily, construction product safety, economic actors’ compliance with relevant rules</w:t>
      </w:r>
      <w:r>
        <w:t xml:space="preserve"> </w:t>
      </w:r>
      <w:r>
        <w:t xml:space="preserve">and regulations, sustainable use of resources for producing construction products, cross-</w:t>
      </w:r>
      <w:r>
        <w:t xml:space="preserve"> </w:t>
      </w:r>
      <w:r>
        <w:t xml:space="preserve">border trade in construction products within the EU Single Market and competition</w:t>
      </w:r>
      <w:r>
        <w:t xml:space="preserve"> </w:t>
      </w:r>
      <w:r>
        <w:t xml:space="preserve">among manufacturers of construction products in the EU.</w:t>
      </w:r>
      <w:r>
        <w:t xml:space="preserve"> </w:t>
      </w:r>
      <w:r>
        <w:t xml:space="preserve">There was only limited support for enhancing the CPR by introducing EU-wide product</w:t>
      </w:r>
      <w:r>
        <w:t xml:space="preserve"> </w:t>
      </w:r>
      <w:r>
        <w:t xml:space="preserve">safety requirements (option D), and very limited support for focusing the CPR by means</w:t>
      </w:r>
      <w:r>
        <w:t xml:space="preserve"> </w:t>
      </w:r>
      <w:r>
        <w:t xml:space="preserve">of limiting the scope of the CPR (option C). However, the respondents who preferred</w:t>
      </w:r>
      <w:r>
        <w:t xml:space="preserve"> </w:t>
      </w:r>
      <w:r>
        <w:t xml:space="preserve">variants of options D and C typically expected them to lead to larger impacts than those</w:t>
      </w:r>
      <w:r>
        <w:t xml:space="preserve"> </w:t>
      </w:r>
      <w:r>
        <w:t xml:space="preserve">that preferred option B, compared to the baseline option A. Respondents preferring</w:t>
      </w:r>
      <w:r>
        <w:t xml:space="preserve"> </w:t>
      </w:r>
      <w:r>
        <w:t xml:space="preserve">variants of option D expected it to increase construction product safety, compliance with</w:t>
      </w:r>
      <w:r>
        <w:t xml:space="preserve"> </w:t>
      </w:r>
      <w:r>
        <w:t xml:space="preserve">relevant rules and regulations, quality of the built environment in the EU, cross-border</w:t>
      </w:r>
      <w:r>
        <w:t xml:space="preserve"> </w:t>
      </w:r>
      <w:r>
        <w:t xml:space="preserve">trade of construction products in the EU Single Market and competition among</w:t>
      </w:r>
      <w:r>
        <w:t xml:space="preserve"> </w:t>
      </w:r>
      <w:r>
        <w:t xml:space="preserve">manufacturers of construction products in the EU.</w:t>
      </w:r>
      <w:r>
        <w:t xml:space="preserve"> </w:t>
      </w:r>
      <w:r>
        <w:t xml:space="preserve">Respondents who preferred variants of option C (where variants of Option C2 – focusing</w:t>
      </w:r>
      <w:r>
        <w:t xml:space="preserve"> </w:t>
      </w:r>
      <w:r>
        <w:t xml:space="preserve">the CPR to core areas only – are the most preferred) primarily expected it to lead to an</w:t>
      </w:r>
      <w:r>
        <w:t xml:space="preserve"> </w:t>
      </w:r>
      <w:r>
        <w:t xml:space="preserve">increase in construction product innovation, competition among manufacturers of</w:t>
      </w:r>
      <w:r>
        <w:t xml:space="preserve"> </w:t>
      </w:r>
      <w:r>
        <w:t xml:space="preserve">construction products, cross-border trade of construction products in the EU Single</w:t>
      </w:r>
      <w:r>
        <w:t xml:space="preserve"> </w:t>
      </w:r>
      <w:r>
        <w:t xml:space="preserve">Market, construction product safety, competitiveness of SME manufacturers of</w:t>
      </w:r>
      <w:r>
        <w:t xml:space="preserve"> </w:t>
      </w:r>
      <w:r>
        <w:t xml:space="preserve">construction products vis-à-vis large manufacturers and compliance with relevant rules</w:t>
      </w:r>
      <w:r>
        <w:t xml:space="preserve"> </w:t>
      </w:r>
      <w:r>
        <w:t xml:space="preserve">and regulations.</w:t>
      </w:r>
      <w:r>
        <w:t xml:space="preserve"> </w:t>
      </w:r>
      <w:r>
        <w:t xml:space="preserve">The strongest individual result of the survey was that repealing the CPR was not</w:t>
      </w:r>
      <w:r>
        <w:t xml:space="preserve"> </w:t>
      </w:r>
      <w:r>
        <w:t xml:space="preserve">preferred by the economic operators. Many respondents stated in free text that a repeal of</w:t>
      </w:r>
      <w:r>
        <w:t xml:space="preserve"> </w:t>
      </w:r>
      <w:r>
        <w:t xml:space="preserve">the CPR would lead to a collapse of the EU Single Market for construction products.</w:t>
      </w:r>
      <w:r>
        <w:t xml:space="preserve"> </w:t>
      </w:r>
      <w:r>
        <w:t xml:space="preserve">However, the few respondents who preferred variants of option E expected it to lead to a</w:t>
      </w:r>
      <w:r>
        <w:t xml:space="preserve"> </w:t>
      </w:r>
      <w:r>
        <w:t xml:space="preserve">decrease in administrative burden for companies and an increase in cross-border trade of</w:t>
      </w:r>
      <w:r>
        <w:t xml:space="preserve"> </w:t>
      </w:r>
      <w:r>
        <w:t xml:space="preserve">construction products in the EU Single Market. They also expected it to lead to a</w:t>
      </w:r>
      <w:r>
        <w:t xml:space="preserve"> </w:t>
      </w:r>
      <w:r>
        <w:t xml:space="preserve">decrease in competitiveness of SME manufacturers of construction products vis-à-vis</w:t>
      </w:r>
      <w:r>
        <w:t xml:space="preserve"> </w:t>
      </w:r>
      <w:r>
        <w:t xml:space="preserve">large manufacturers.</w:t>
      </w:r>
      <w:r>
        <w:t xml:space="preserve"> </w:t>
      </w:r>
      <w:r>
        <w:t xml:space="preserve">2.3 The public consultation</w:t>
      </w:r>
      <w:r>
        <w:t xml:space="preserve"> </w:t>
      </w:r>
      <w:r>
        <w:t xml:space="preserve">Generally, the result of the public consultation showed that a large majority of</w:t>
      </w:r>
      <w:r>
        <w:t xml:space="preserve"> </w:t>
      </w:r>
      <w:r>
        <w:t xml:space="preserve">stakeholders rejected repealing the CPR (i.e. policy option E). Within each stakeholder</w:t>
      </w:r>
      <w:r>
        <w:t xml:space="preserve"> </w:t>
      </w:r>
      <w:r>
        <w:t xml:space="preserve">group, this variant was the least preferred by at least 76% of the respondents in all</w:t>
      </w:r>
      <w:r>
        <w:t xml:space="preserve"> </w:t>
      </w:r>
      <w:r>
        <w:t xml:space="preserve">elements. Numerous respondents stated in free text that a repeal of the CPR would lead to</w:t>
      </w:r>
      <w:r>
        <w:t xml:space="preserve"> </w:t>
      </w:r>
      <w:r>
        <w:t xml:space="preserve">a collapse of the EU Single Market for construction products. Nevertheless, the few</w:t>
      </w:r>
      <w:r>
        <w:t xml:space="preserve"> </w:t>
      </w:r>
      <w:r>
        <w:t xml:space="preserve">respondents who preferred variants of option E (on average across elements only 0-6% of</w:t>
      </w:r>
      <w:r>
        <w:t xml:space="preserve"> </w:t>
      </w:r>
      <w:r>
        <w:t xml:space="preserve">the respondents within each stakeholder group) expected it essentially to lead to a small</w:t>
      </w:r>
      <w:r>
        <w:t xml:space="preserve"> </w:t>
      </w:r>
      <w:r>
        <w:t xml:space="preserve">decrease in administrative burden, and a very small increase in construction product</w:t>
      </w:r>
      <w:r>
        <w:t xml:space="preserve"> </w:t>
      </w:r>
      <w:r>
        <w:t xml:space="preserve">safety.</w:t>
      </w:r>
      <w:r>
        <w:t xml:space="preserve"> </w:t>
      </w:r>
      <w:r>
        <w:t xml:space="preserve">Mainly, business associations, manufacturers of construction products, raw material</w:t>
      </w:r>
      <w:r>
        <w:t xml:space="preserve"> </w:t>
      </w:r>
      <w:r>
        <w:t xml:space="preserve">suppliers and trade unions were in favour of the current CPR (i.e. baseline policy option</w:t>
      </w:r>
      <w:r>
        <w:t xml:space="preserve"> </w:t>
      </w:r>
      <w:r>
        <w:t xml:space="preserve">A, no revision of the CPR but improvements to the CPR system to be made under the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current rules and available mechanisms). It was the most preferred variant for all</w:t>
      </w:r>
      <w:r>
        <w:t xml:space="preserve"> </w:t>
      </w:r>
      <w:r>
        <w:t xml:space="preserve">elements except element 6 (market surveillance and enforcement). Nevertheless, several</w:t>
      </w:r>
      <w:r>
        <w:t xml:space="preserve"> </w:t>
      </w:r>
      <w:r>
        <w:t xml:space="preserve">stakeholders preferring option A noted that there were issues that needed to be resolved.</w:t>
      </w:r>
      <w:r>
        <w:t xml:space="preserve"> </w:t>
      </w:r>
      <w:r>
        <w:t xml:space="preserve">However, these respondents expressed concerns regarding the risks of a lengthy and</w:t>
      </w:r>
      <w:r>
        <w:t xml:space="preserve"> </w:t>
      </w:r>
      <w:r>
        <w:t xml:space="preserve">complicated revision process.</w:t>
      </w:r>
      <w:r>
        <w:t xml:space="preserve"> </w:t>
      </w:r>
      <w:r>
        <w:t xml:space="preserve">With regard to the other options, a considerable part of respondents preferred revision of</w:t>
      </w:r>
      <w:r>
        <w:t xml:space="preserve"> </w:t>
      </w:r>
      <w:r>
        <w:t xml:space="preserve">the CPR (i.e. options B, C and D). Principally, this was the case regarding market</w:t>
      </w:r>
      <w:r>
        <w:t xml:space="preserve"> </w:t>
      </w:r>
      <w:r>
        <w:t xml:space="preserve">surveillance and enforcement (50% prefer revision), Scope of EU harmonisation (45%),</w:t>
      </w:r>
      <w:r>
        <w:t xml:space="preserve"> </w:t>
      </w:r>
      <w:r>
        <w:t xml:space="preserve">environmental aspects (45%), CE marking and DoP (44%), and Notified Bodies (43%).</w:t>
      </w:r>
      <w:r>
        <w:t xml:space="preserve"> </w:t>
      </w:r>
      <w:r>
        <w:t xml:space="preserve">The preference for revision was lowest regarding EOTA and TABs (11%), new business</w:t>
      </w:r>
      <w:r>
        <w:t xml:space="preserve"> </w:t>
      </w:r>
      <w:r>
        <w:t xml:space="preserve">models (27%) and the Standardisation process (30%).</w:t>
      </w:r>
      <w:r>
        <w:t xml:space="preserve"> </w:t>
      </w:r>
      <w:r>
        <w:t xml:space="preserve">There was an almost equal preference for enhancing the CPR with EU-wide construction</w:t>
      </w:r>
      <w:r>
        <w:t xml:space="preserve"> </w:t>
      </w:r>
      <w:r>
        <w:t xml:space="preserve">product requirements (i.e. policy option D) and for repairing the issues without a</w:t>
      </w:r>
      <w:r>
        <w:t xml:space="preserve"> </w:t>
      </w:r>
      <w:r>
        <w:t xml:space="preserve">fundamental change of the scope and underlying principles of the CPR (i.e. policy option</w:t>
      </w:r>
      <w:r>
        <w:t xml:space="preserve"> </w:t>
      </w:r>
      <w:r>
        <w:t xml:space="preserve">B). Among those supporting option D, there was a substantially stronger preference for</w:t>
      </w:r>
      <w:r>
        <w:t xml:space="preserve"> </w:t>
      </w:r>
      <w:r>
        <w:t xml:space="preserve">introducing construction product requirements via the New Legislative Framework</w:t>
      </w:r>
      <w:r>
        <w:t xml:space="preserve"> </w:t>
      </w:r>
      <w:r>
        <w:t xml:space="preserve">approach (i.e. sub-option D1) than for the Technical Specifications approach (i.e. sub-</w:t>
      </w:r>
      <w:r>
        <w:t xml:space="preserve"> </w:t>
      </w:r>
      <w:r>
        <w:t xml:space="preserve">option D2).</w:t>
      </w:r>
      <w:r>
        <w:t xml:space="preserve"> </w:t>
      </w:r>
      <w:r>
        <w:t xml:space="preserve">Option C (limiting its scope to testing methods and/or to core areas, and/or to make the</w:t>
      </w:r>
      <w:r>
        <w:t xml:space="preserve"> </w:t>
      </w:r>
      <w:r>
        <w:t xml:space="preserve">common technical language optional for manufacturers) was preferred by a lower share</w:t>
      </w:r>
      <w:r>
        <w:t xml:space="preserve"> </w:t>
      </w:r>
      <w:r>
        <w:t xml:space="preserve">of respondents than the other revision options (D and B).</w:t>
      </w:r>
      <w:r>
        <w:t xml:space="preserve"> </w:t>
      </w:r>
      <w:r>
        <w:t xml:space="preserve">Figure 12 summarises the average preferences of all variants across all policy options, for</w:t>
      </w:r>
      <w:r>
        <w:t xml:space="preserve"> </w:t>
      </w:r>
      <w:r>
        <w:t xml:space="preserve">the different types of respondents including also different sub-types of companies.</w:t>
      </w:r>
      <w:r>
        <w:t xml:space="preserve"> </w:t>
      </w:r>
      <w:r>
        <w:t xml:space="preserve">Variants corresponding to Option E were strongly rejected. No group of respondents had</w:t>
      </w:r>
      <w:r>
        <w:t xml:space="preserve"> </w:t>
      </w:r>
      <w:r>
        <w:t xml:space="preserve">an average preference for the variants corresponding to Option E above 11%, and most</w:t>
      </w:r>
      <w:r>
        <w:t xml:space="preserve"> </w:t>
      </w:r>
      <w:r>
        <w:t xml:space="preserve">had a preference of 0-2%.</w:t>
      </w:r>
      <w:r>
        <w:t xml:space="preserve"> </w:t>
      </w:r>
      <w:r>
        <w:t xml:space="preserve">A majority of business associations, manufacturers of construction products, raw material</w:t>
      </w:r>
      <w:r>
        <w:t xml:space="preserve"> </w:t>
      </w:r>
      <w:r>
        <w:t xml:space="preserve">suppliers and trade unions tended to prefer variants corresponding to the baseline policy</w:t>
      </w:r>
      <w:r>
        <w:t xml:space="preserve"> </w:t>
      </w:r>
      <w:r>
        <w:t xml:space="preserve">option A.</w:t>
      </w:r>
      <w:r>
        <w:t xml:space="preserve"> </w:t>
      </w:r>
      <w:r>
        <w:t xml:space="preserve">A majority of academic/research institutions, consumer, environmental and non-</w:t>
      </w:r>
      <w:r>
        <w:t xml:space="preserve"> </w:t>
      </w:r>
      <w:r>
        <w:t xml:space="preserve">governmental organisations, construction companies, designers, distributors of</w:t>
      </w:r>
      <w:r>
        <w:t xml:space="preserve"> </w:t>
      </w:r>
      <w:r>
        <w:t xml:space="preserve">construction products, EU and non-EU citizens, Other, Other types of companies not</w:t>
      </w:r>
      <w:r>
        <w:t xml:space="preserve"> </w:t>
      </w:r>
      <w:r>
        <w:t xml:space="preserve">related to the construction sector, Other types of companies related to the construction</w:t>
      </w:r>
      <w:r>
        <w:t xml:space="preserve"> </w:t>
      </w:r>
      <w:r>
        <w:t xml:space="preserve">sector, and public authorities tended to prefer variants corresponding to the three policy</w:t>
      </w:r>
      <w:r>
        <w:t xml:space="preserve"> </w:t>
      </w:r>
      <w:r>
        <w:t xml:space="preserve">options for revising the CPR, i.e. options B, C and D.</w:t>
      </w:r>
      <w:r>
        <w:t xml:space="preserve"> </w:t>
      </w:r>
      <w:r>
        <w:t xml:space="preserve">From the responses to the open consultation, four main dividing lines could be derived.</w:t>
      </w:r>
      <w:r>
        <w:t xml:space="preserve"> </w:t>
      </w:r>
      <w:r>
        <w:t xml:space="preserve">The first dividing line was between respondents wishing to maintain harmonisation</w:t>
      </w:r>
      <w:r>
        <w:t xml:space="preserve"> </w:t>
      </w:r>
      <w:r>
        <w:t xml:space="preserve">legislation for construction products and those preferring, either expressly or implicitly,</w:t>
      </w:r>
      <w:r>
        <w:t xml:space="preserve"> </w:t>
      </w:r>
      <w:r>
        <w:t xml:space="preserve">to rely on the principle mutual recognition, which would be the consequence of repealing</w:t>
      </w:r>
      <w:r>
        <w:t xml:space="preserve"> </w:t>
      </w:r>
      <w:r>
        <w:t xml:space="preserve">the CPR (option E). The vast majority of all stakeholders wished to maintain</w:t>
      </w:r>
      <w:r>
        <w:t xml:space="preserve"> </w:t>
      </w:r>
      <w:r>
        <w:t xml:space="preserve">harmonisation legislation for construction products; they rejected the repeal option. Many</w:t>
      </w:r>
      <w:r>
        <w:t xml:space="preserve"> </w:t>
      </w:r>
      <w:r>
        <w:t xml:space="preserve">respondents stated that a repeal of the CPR would lead to a collapse of the EU Single</w:t>
      </w:r>
      <w:r>
        <w:t xml:space="preserve"> </w:t>
      </w:r>
      <w:r>
        <w:t xml:space="preserve">Market for construction products. However, the few respondents who preferred variants</w:t>
      </w:r>
      <w:r>
        <w:t xml:space="preserve"> </w:t>
      </w:r>
      <w:r>
        <w:t xml:space="preserve">of option E expected it primarily to lead to a small decrease in administrative burden, and</w:t>
      </w:r>
      <w:r>
        <w:t xml:space="preserve"> </w:t>
      </w:r>
      <w:r>
        <w:t xml:space="preserve">a very small increase in construction product safety.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The second dividing line concerned the development of the harmonised technical</w:t>
      </w:r>
      <w:r>
        <w:t xml:space="preserve"> </w:t>
      </w:r>
      <w:r>
        <w:t xml:space="preserve">specifications and seemed to be between the preference for the current system based</w:t>
      </w:r>
      <w:r>
        <w:t xml:space="preserve"> </w:t>
      </w:r>
      <w:r>
        <w:t xml:space="preserve">solely on mandatory harmonised standards and the preference for adding a fall-back path</w:t>
      </w:r>
      <w:r>
        <w:t xml:space="preserve"> </w:t>
      </w:r>
      <w:r>
        <w:t xml:space="preserve">towards technical specifications by Commission acts (option B and those based on it). A</w:t>
      </w:r>
      <w:r>
        <w:t xml:space="preserve"> </w:t>
      </w:r>
      <w:r>
        <w:t xml:space="preserve">common characteristic that was observed amongst those who preferred either of the</w:t>
      </w:r>
      <w:r>
        <w:t xml:space="preserve"> </w:t>
      </w:r>
      <w:r>
        <w:t xml:space="preserve">options A and B was a positive perception of the ‘common technical language approach’</w:t>
      </w:r>
      <w:r>
        <w:t xml:space="preserve"> </w:t>
      </w:r>
      <w:r>
        <w:t xml:space="preserve">and of the high degree of stakeholder involvement in the development of technical</w:t>
      </w:r>
      <w:r>
        <w:t xml:space="preserve"> </w:t>
      </w:r>
      <w:r>
        <w:t xml:space="preserve">specifications.</w:t>
      </w:r>
      <w:r>
        <w:t xml:space="preserve"> </w:t>
      </w:r>
      <w:r>
        <w:t xml:space="preserve">A third dividing line concerned the extent of the harmonisation. While the current</w:t>
      </w:r>
      <w:r>
        <w:t xml:space="preserve"> </w:t>
      </w:r>
      <w:r>
        <w:t xml:space="preserve">harmonisation for construction products was considered ‘exhaustive’, the different</w:t>
      </w:r>
      <w:r>
        <w:t xml:space="preserve"> </w:t>
      </w:r>
      <w:r>
        <w:t xml:space="preserve">variants of option C would result in less exhaustive harmonisation. Both options B and D</w:t>
      </w:r>
      <w:r>
        <w:t xml:space="preserve"> </w:t>
      </w:r>
      <w:r>
        <w:t xml:space="preserve">would seemingly maintain the principle of exhaustive harmonisation. A vast majority of</w:t>
      </w:r>
      <w:r>
        <w:t xml:space="preserve"> </w:t>
      </w:r>
      <w:r>
        <w:t xml:space="preserve">all respondents seemed to reject the reduction in harmonisation, which would be the</w:t>
      </w:r>
      <w:r>
        <w:t xml:space="preserve"> </w:t>
      </w:r>
      <w:r>
        <w:t xml:space="preserve">result of option C.</w:t>
      </w:r>
      <w:r>
        <w:t xml:space="preserve"> </w:t>
      </w:r>
      <w:r>
        <w:t xml:space="preserve">The fourth dividing line was between the pure common technical language approach (no</w:t>
      </w:r>
      <w:r>
        <w:t xml:space="preserve"> </w:t>
      </w:r>
      <w:r>
        <w:t xml:space="preserve">product requirements, only common methods and criteria) on the one hand and the</w:t>
      </w:r>
      <w:r>
        <w:t xml:space="preserve"> </w:t>
      </w:r>
      <w:r>
        <w:t xml:space="preserve">product requirement approach on the other, whilst the latter was only deemed to be</w:t>
      </w:r>
      <w:r>
        <w:t xml:space="preserve"> </w:t>
      </w:r>
      <w:r>
        <w:t xml:space="preserve">complementary in option D.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Figure 12: Preferred variants by the different types of respondents across all elements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The estimates on costs and benefits of the preferred option (Option D) presented in this</w:t>
      </w:r>
      <w:r>
        <w:t xml:space="preserve"> </w:t>
      </w:r>
      <w:r>
        <w:t xml:space="preserve">Annex are based on three aproaches:</w:t>
      </w:r>
      <w:r>
        <w:t xml:space="preserve"> </w:t>
      </w:r>
      <w:r>
        <w:t xml:space="preserve">-</w:t>
      </w:r>
      <w:r>
        <w:t xml:space="preserve"> </w:t>
      </w:r>
      <w:r>
        <w:t xml:space="preserve">Quantitative estimates on direct effects from the accompanying studie172</w:t>
      </w:r>
      <w:r>
        <w:t xml:space="preserve"> </w:t>
      </w:r>
      <w:r>
        <w:t xml:space="preserve">-</w:t>
      </w:r>
      <w:r>
        <w:t xml:space="preserve"> </w:t>
      </w:r>
      <w:r>
        <w:t xml:space="preserve">Qualitative estimates on indirect benefits building on these and economic analysis</w:t>
      </w:r>
      <w:r>
        <w:t xml:space="preserve"> </w:t>
      </w:r>
      <w:r>
        <w:t xml:space="preserve">of the Commission</w:t>
      </w:r>
      <w:r>
        <w:t xml:space="preserve"> </w:t>
      </w:r>
      <w:r>
        <w:t xml:space="preserve">-</w:t>
      </w:r>
      <w:r>
        <w:t xml:space="preserve"> </w:t>
      </w:r>
      <w:r>
        <w:t xml:space="preserve">Calculations based on the available information and the knowledge of the</w:t>
      </w:r>
      <w:r>
        <w:t xml:space="preserve"> </w:t>
      </w:r>
      <w:r>
        <w:t xml:space="preserve">Commission team responsible for the CPR using the tools from the Commission’s</w:t>
      </w:r>
      <w:r>
        <w:t xml:space="preserve"> </w:t>
      </w:r>
      <w:r>
        <w:t xml:space="preserve">Better regulation toolbox – November 2021 edition173.</w:t>
      </w:r>
      <w:r>
        <w:t xml:space="preserve"> </w:t>
      </w:r>
      <w:r>
        <w:t xml:space="preserve">The study supporting this Impact Assessment expected that option D would lead to an</w:t>
      </w:r>
      <w:r>
        <w:t xml:space="preserve"> </w:t>
      </w:r>
      <w:r>
        <w:t xml:space="preserve">increase in the costs for manufacturers associated with the CPR. The expected cost</w:t>
      </w:r>
      <w:r>
        <w:t xml:space="preserve"> </w:t>
      </w:r>
      <w:r>
        <w:t xml:space="preserve">increase is driven by an increase in substantive compliance costs, administrative burden</w:t>
      </w:r>
      <w:r>
        <w:t xml:space="preserve"> </w:t>
      </w:r>
      <w:r>
        <w:t xml:space="preserve">and regulatory charges in relation to CE marking and Declaration of Performance (DoP),</w:t>
      </w:r>
      <w:r>
        <w:t xml:space="preserve"> </w:t>
      </w:r>
      <w:r>
        <w:t xml:space="preserve">to a small degree offset by cost reductions related to national requirements and product</w:t>
      </w:r>
      <w:r>
        <w:t xml:space="preserve"> </w:t>
      </w:r>
      <w:r>
        <w:t xml:space="preserve">safety requirements. It should be noted that the study did not cover relevant changes in</w:t>
      </w:r>
      <w:r>
        <w:t xml:space="preserve"> </w:t>
      </w:r>
      <w:r>
        <w:t xml:space="preserve">the legal text such as the the declaration of environmental information, circular economy</w:t>
      </w:r>
      <w:r>
        <w:t xml:space="preserve"> </w:t>
      </w:r>
      <w:r>
        <w:t xml:space="preserve">clauses, the additional provisions for reused products and the new database/system to</w:t>
      </w:r>
      <w:r>
        <w:t xml:space="preserve"> </w:t>
      </w:r>
      <w:r>
        <w:t xml:space="preserve">register declarations of performance and conformity.</w:t>
      </w:r>
      <w:r>
        <w:t xml:space="preserve"> </w:t>
      </w:r>
      <w:r>
        <w:t xml:space="preserve">The largest sector-wide impact is expected for medium sized companies, where the</w:t>
      </w:r>
      <w:r>
        <w:t xml:space="preserve"> </w:t>
      </w:r>
      <w:r>
        <w:t xml:space="preserve">change towards option D is estimated to increase costs, on aggregate, by 211 million</w:t>
      </w:r>
      <w:r>
        <w:t xml:space="preserve"> </w:t>
      </w:r>
      <w:r>
        <w:t xml:space="preserve">EUR for manufacturers corresponding to 0.19% of the revenue among medium</w:t>
      </w:r>
      <w:r>
        <w:t xml:space="preserve"> </w:t>
      </w:r>
      <w:r>
        <w:t xml:space="preserve">companies in the sector. The corresponding cost increase among large companies is</w:t>
      </w:r>
      <w:r>
        <w:t xml:space="preserve"> </w:t>
      </w:r>
      <w:r>
        <w:t xml:space="preserve">estimated to amount to, on aggregate, 48 million EUR, 0.03% of revenue. Meanwhile,</w:t>
      </w:r>
      <w:r>
        <w:t xml:space="preserve"> </w:t>
      </w:r>
      <w:r>
        <w:t xml:space="preserve">the cost among small companies is estimated to decrease, on aggregate, by 58 million</w:t>
      </w:r>
      <w:r>
        <w:t xml:space="preserve"> </w:t>
      </w:r>
      <w:r>
        <w:t xml:space="preserve">EUR, 0.05% of revenue. It should be noted that these figures are based on a rather</w:t>
      </w:r>
      <w:r>
        <w:t xml:space="preserve"> </w:t>
      </w:r>
      <w:r>
        <w:t xml:space="preserve">limited number of replies in the context of the supporting study and should therefore be</w:t>
      </w:r>
      <w:r>
        <w:t xml:space="preserve"> </w:t>
      </w:r>
      <w:r>
        <w:t xml:space="preserve">considered best available estimates and be considered with appropriate caution as regards</w:t>
      </w:r>
      <w:r>
        <w:t xml:space="preserve"> </w:t>
      </w:r>
      <w:r>
        <w:t xml:space="preserve">their accuracy.</w:t>
      </w:r>
      <w:r>
        <w:br/>
      </w:r>
      <w:r>
        <w:t xml:space="preserve">The expected cost decrease among small companies is somewhat counterintuitive and is</w:t>
      </w:r>
      <w:r>
        <w:t xml:space="preserve"> </w:t>
      </w:r>
      <w:r>
        <w:t xml:space="preserve">particularly inconsistent with the expectation among medium-sized and large companies</w:t>
      </w:r>
      <w:r>
        <w:t xml:space="preserve"> </w:t>
      </w:r>
      <w:r>
        <w:t xml:space="preserve">of substantial cost increases. The study supporting this Impact Assessment has provided</w:t>
      </w:r>
      <w:r>
        <w:t xml:space="preserve"> </w:t>
      </w:r>
      <w:r>
        <w:t xml:space="preserve">no obvious explanation for this, other than perhaps the uncertainties associated with the</w:t>
      </w:r>
      <w:r>
        <w:t xml:space="preserve"> </w:t>
      </w:r>
      <w:r>
        <w:t xml:space="preserve">projections due to a relatively small number of observations received.</w:t>
      </w:r>
      <w:r>
        <w:br/>
      </w:r>
      <w:r>
        <w:t xml:space="preserve">Beyond this, the study expected substantial benefits of potentially 2.5 billion EUR</w:t>
      </w:r>
      <w:r>
        <w:t xml:space="preserve"> </w:t>
      </w:r>
      <w:r>
        <w:t xml:space="preserve">annually of an improved market surveillance (see table 8).</w:t>
      </w:r>
    </w:p>
    <w:p>
      <w:pPr>
        <w:pStyle w:val="BodyText"/>
      </w:pPr>
      <w:r>
        <w:t xml:space="preserve">172 Copenhagen Economics, Danish Technological Institute and Office for Economic Policy and Regional</w:t>
      </w:r>
      <w:r>
        <w:t xml:space="preserve"> </w:t>
      </w:r>
      <w:r>
        <w:t xml:space="preserve">Development Ltd. (2021). Study supporting the Impact Assessment for the CPR revision, Final report.</w:t>
      </w:r>
      <w:r>
        <w:t xml:space="preserve"> </w:t>
      </w:r>
      <w:r>
        <w:t xml:space="preserve">173 https://ec.europa.eu/info/law/law-making-process/planning-and-proposing-law/better-regulation-why-</w:t>
      </w:r>
      <w:r>
        <w:t xml:space="preserve"> </w:t>
      </w:r>
      <w:r>
        <w:t xml:space="preserve">and-how/better-regulation-guidelines-and-toolbox_en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The revision of the CPR will lead to indirect benefits, which could not be quantified,</w:t>
      </w:r>
      <w:r>
        <w:t xml:space="preserve"> </w:t>
      </w:r>
      <w:r>
        <w:t xml:space="preserve">notably an increased safety of construction products, an increase in economic actors’</w:t>
      </w:r>
      <w:r>
        <w:t xml:space="preserve"> </w:t>
      </w:r>
      <w:r>
        <w:t xml:space="preserve">compliance with relevant rules and regulations, more cross-border trade in construction</w:t>
      </w:r>
      <w:r>
        <w:t xml:space="preserve"> </w:t>
      </w:r>
      <w:r>
        <w:t xml:space="preserve">products within the EU Single Market and more innovation.</w:t>
      </w:r>
      <w:r>
        <w:br/>
      </w:r>
      <w:r>
        <w:t xml:space="preserve">After the positive opinion with reservations of the RSB on 26 January 2022 (see</w:t>
      </w:r>
      <w:r>
        <w:t xml:space="preserve"> </w:t>
      </w:r>
      <w:r>
        <w:t xml:space="preserve">Annex 1) the administrative burden and adjustment costs of all newly introduced,</w:t>
      </w:r>
      <w:r>
        <w:t xml:space="preserve"> </w:t>
      </w:r>
      <w:r>
        <w:t xml:space="preserve">changed or abolished obligations of the legal draft for the CPR revision were calculated.</w:t>
      </w:r>
      <w:r>
        <w:t xml:space="preserve"> </w:t>
      </w:r>
      <w:r>
        <w:t xml:space="preserve">For this the Commission’s OIOO (one in one out) online calculator tool based on the EU</w:t>
      </w:r>
      <w:r>
        <w:t xml:space="preserve"> </w:t>
      </w:r>
      <w:r>
        <w:t xml:space="preserve">standard cost model was used. The estimates were based on Eurostat data, previous</w:t>
      </w:r>
      <w:r>
        <w:t xml:space="preserve"> </w:t>
      </w:r>
      <w:r>
        <w:t xml:space="preserve">reports developed in the context of the CPR e.g. previous Impact Assessment and EOTA</w:t>
      </w:r>
      <w:r>
        <w:t xml:space="preserve"> </w:t>
      </w:r>
      <w:r>
        <w:t xml:space="preserve">report174 or in the context of other regulations e.g. Inception Impact Assessment on the</w:t>
      </w:r>
      <w:r>
        <w:t xml:space="preserve"> </w:t>
      </w:r>
      <w:r>
        <w:t xml:space="preserve">Single Digital Gateway175 and the knowledge of the responsible Commission team as</w:t>
      </w:r>
      <w:r>
        <w:t xml:space="preserve"> </w:t>
      </w:r>
      <w:r>
        <w:t xml:space="preserve">there were no further data sources available for this exercise.</w:t>
      </w:r>
      <w:r>
        <w:t xml:space="preserve"> </w:t>
      </w:r>
      <w:r>
        <w:t xml:space="preserve">The calculations add up further direct annual benefits of more than 200 million EUR</w:t>
      </w:r>
      <w:r>
        <w:t xml:space="preserve"> </w:t>
      </w:r>
      <w:r>
        <w:t xml:space="preserve">annually stemming mainly from the circularity provisions expected to facilitate</w:t>
      </w:r>
      <w:r>
        <w:t xml:space="preserve"> </w:t>
      </w:r>
      <w:r>
        <w:t xml:space="preserve">consumers’ (building owners or facility management services) interaction with</w:t>
      </w:r>
      <w:r>
        <w:t xml:space="preserve"> </w:t>
      </w:r>
      <w:r>
        <w:t xml:space="preserve">construction products. Further, the CPR revision will save administrative burden of</w:t>
      </w:r>
      <w:r>
        <w:t xml:space="preserve"> </w:t>
      </w:r>
      <w:r>
        <w:t xml:space="preserve">around 630 million EUR annually compared with additional administrative burden of</w:t>
      </w:r>
      <w:r>
        <w:t xml:space="preserve"> </w:t>
      </w:r>
      <w:r>
        <w:t xml:space="preserve">around 450 million EUR. Altogether, there will be an annual net reduction of</w:t>
      </w:r>
      <w:r>
        <w:t xml:space="preserve"> </w:t>
      </w:r>
      <w:r>
        <w:t xml:space="preserve">administrative burden of companies of around 180 million EUR. On the cost side direct</w:t>
      </w:r>
      <w:r>
        <w:t xml:space="preserve"> </w:t>
      </w:r>
      <w:r>
        <w:t xml:space="preserve">annual adjustment cost of around 420 million EUR were identified and around 19 million</w:t>
      </w:r>
      <w:r>
        <w:t xml:space="preserve"> </w:t>
      </w:r>
      <w:r>
        <w:t xml:space="preserve">EUR indirect adjustment costs.</w:t>
      </w:r>
      <w:r>
        <w:br/>
      </w:r>
      <w:r>
        <w:t xml:space="preserve">The most relevant introduced/changed or abolished obligations identified during the</w:t>
      </w:r>
      <w:r>
        <w:t xml:space="preserve"> </w:t>
      </w:r>
      <w:r>
        <w:t xml:space="preserve">OIOO calculations are as regards the administrative burden:</w:t>
      </w:r>
      <w:r>
        <w:br/>
      </w:r>
      <w:r>
        <w:t xml:space="preserve"> Additional information to be provided by the manufacturer as regards</w:t>
      </w:r>
      <w:r>
        <w:t xml:space="preserve"> </w:t>
      </w:r>
      <w:r>
        <w:t xml:space="preserve">environmental performance:</w:t>
      </w:r>
      <w:r>
        <w:br/>
      </w:r>
      <w:r>
        <w:t xml:space="preserve">With the update of the harmonised standards under the revised CPR the manufacturers</w:t>
      </w:r>
      <w:r>
        <w:t xml:space="preserve"> </w:t>
      </w:r>
      <w:r>
        <w:t xml:space="preserve">will have to provide information on the environmental performance of their products. A</w:t>
      </w:r>
      <w:r>
        <w:t xml:space="preserve"> </w:t>
      </w:r>
      <w:r>
        <w:t xml:space="preserve">pertinent number of companies will be subject to this obligation and will need external</w:t>
      </w:r>
      <w:r>
        <w:t xml:space="preserve"> </w:t>
      </w:r>
      <w:r>
        <w:t xml:space="preserve">support for the calculation and verification. Assessments are expected to be performed</w:t>
      </w:r>
      <w:r>
        <w:t xml:space="preserve"> </w:t>
      </w:r>
      <w:r>
        <w:t xml:space="preserve">every 5 years and the cost per company will shrink when using the relevant provisions</w:t>
      </w:r>
      <w:r>
        <w:t xml:space="preserve"> </w:t>
      </w:r>
      <w:r>
        <w:t xml:space="preserve">for sharing calculations. The administrative burden is estimated at 330 million EUR. As a</w:t>
      </w:r>
      <w:r>
        <w:t xml:space="preserve"> </w:t>
      </w:r>
      <w:r>
        <w:t xml:space="preserve">few manufacturers have already undertaken these calculations voluntarily, the</w:t>
      </w:r>
      <w:r>
        <w:t xml:space="preserve"> </w:t>
      </w:r>
      <w:r>
        <w:t xml:space="preserve">administrative burden after business as usual costs is estimated at 310 million EUR.</w:t>
      </w:r>
      <w:r>
        <w:t xml:space="preserve"> </w:t>
      </w:r>
      <w:r>
        <w:t xml:space="preserve"> Introduction of product requirements and declaration of conformity</w:t>
      </w:r>
      <w:r>
        <w:br/>
      </w:r>
      <w:r>
        <w:t xml:space="preserve">For some construction products product requirements linked with a declaration of</w:t>
      </w:r>
      <w:r>
        <w:t xml:space="preserve"> </w:t>
      </w:r>
      <w:r>
        <w:t xml:space="preserve">conformity will be introduced. The gross burden per product is similar compared to the</w:t>
      </w:r>
      <w:r>
        <w:t xml:space="preserve"> </w:t>
      </w:r>
      <w:r>
        <w:t xml:space="preserve">environmental performance. However, manufacturers may collect the required</w:t>
      </w:r>
    </w:p>
    <w:p>
      <w:pPr>
        <w:pStyle w:val="BodyText"/>
      </w:pPr>
      <w:r>
        <w:t xml:space="preserve">174 EOTA – 2020 Annual Report | EOTA</w:t>
      </w:r>
      <w:r>
        <w:t xml:space="preserve"> </w:t>
      </w:r>
      <w:r>
        <w:t xml:space="preserve">175 2017_grow_012_single_digital_gateway_en.pdf (europa.eu)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information together. Therefore, the administrative burden after business as usual costs is</w:t>
      </w:r>
      <w:r>
        <w:t xml:space="preserve"> </w:t>
      </w:r>
      <w:r>
        <w:t xml:space="preserve">estimated at 26 million EUR.</w:t>
      </w:r>
      <w:r>
        <w:br/>
      </w:r>
      <w:r>
        <w:t xml:space="preserve"> Additional validation of the provisions related to the custom-made non-series</w:t>
      </w:r>
      <w:r>
        <w:t xml:space="preserve"> </w:t>
      </w:r>
      <w:r>
        <w:t xml:space="preserve">product</w:t>
      </w:r>
      <w:r>
        <w:br/>
      </w:r>
      <w:r>
        <w:t xml:space="preserve">The revised CPR will introduce an external assessment of custom-made non-series</w:t>
      </w:r>
      <w:r>
        <w:t xml:space="preserve"> </w:t>
      </w:r>
      <w:r>
        <w:t xml:space="preserve">products. This action will apply to a limited number of manufacturers, which in many</w:t>
      </w:r>
      <w:r>
        <w:t xml:space="preserve"> </w:t>
      </w:r>
      <w:r>
        <w:t xml:space="preserve">cases currently already undertake this assessment voluntarily. The additional</w:t>
      </w:r>
      <w:r>
        <w:t xml:space="preserve"> </w:t>
      </w:r>
      <w:r>
        <w:t xml:space="preserve">administrative burden is estimated at 75 million EUR.</w:t>
      </w:r>
      <w:r>
        <w:br/>
      </w:r>
      <w:r>
        <w:t xml:space="preserve"> The introduction of a fall back option for standardisation</w:t>
      </w:r>
      <w:r>
        <w:br/>
      </w:r>
      <w:r>
        <w:t xml:space="preserve">In cases where standardisation process fails to deliver, the Commission may step in under</w:t>
      </w:r>
      <w:r>
        <w:t xml:space="preserve"> </w:t>
      </w:r>
      <w:r>
        <w:t xml:space="preserve">the revised CPR. This will incentivise standard development or replace it if not possible.</w:t>
      </w:r>
      <w:r>
        <w:t xml:space="preserve"> </w:t>
      </w:r>
      <w:r>
        <w:t xml:space="preserve">Therefore, more products than today will be covered by the CPR and more standards will</w:t>
      </w:r>
      <w:r>
        <w:t xml:space="preserve"> </w:t>
      </w:r>
      <w:r>
        <w:t xml:space="preserve">be updated. This will increase the competitiveness of the market and replace existing</w:t>
      </w:r>
      <w:r>
        <w:t xml:space="preserve"> </w:t>
      </w:r>
      <w:r>
        <w:t xml:space="preserve">national requirements by harmonised standards. This is expected to reduce the</w:t>
      </w:r>
      <w:r>
        <w:t xml:space="preserve"> </w:t>
      </w:r>
      <w:r>
        <w:t xml:space="preserve">administrative burden by 160 million EUR.</w:t>
      </w:r>
      <w:r>
        <w:br/>
      </w:r>
      <w:r>
        <w:t xml:space="preserve"> Duplication of information in CE marking and DoP is not required anymore</w:t>
      </w:r>
      <w:r>
        <w:br/>
      </w:r>
      <w:r>
        <w:t xml:space="preserve">The current CPR requires the repetition of information in the CE label and in the</w:t>
      </w:r>
      <w:r>
        <w:t xml:space="preserve"> </w:t>
      </w:r>
      <w:r>
        <w:t xml:space="preserve">declaration of performance (DoP). Under the revised CPR, this will be simplified, the</w:t>
      </w:r>
      <w:r>
        <w:t xml:space="preserve"> </w:t>
      </w:r>
      <w:r>
        <w:t xml:space="preserve">ECP will contain the permalink to the declarations (DoP &amp; DoC). This will reduce the</w:t>
      </w:r>
      <w:r>
        <w:t xml:space="preserve"> </w:t>
      </w:r>
      <w:r>
        <w:t xml:space="preserve">administrative burden for all products slightly. This is expected to reduce the</w:t>
      </w:r>
      <w:r>
        <w:t xml:space="preserve"> </w:t>
      </w:r>
      <w:r>
        <w:t xml:space="preserve">administrative burden by 40 million EUR.</w:t>
      </w:r>
      <w:r>
        <w:t xml:space="preserve"> </w:t>
      </w:r>
      <w:r>
        <w:t xml:space="preserve"> Availability of declarations in a centralised database or alternative system</w:t>
      </w:r>
      <w:r>
        <w:br/>
      </w:r>
      <w:r>
        <w:t xml:space="preserve">As part of the digitalisation efforts under the revised CPR, the introduction of an online</w:t>
      </w:r>
      <w:r>
        <w:t xml:space="preserve"> </w:t>
      </w:r>
      <w:r>
        <w:t xml:space="preserve">database or information system is foreseen, which will store the DoP, DoC and</w:t>
      </w:r>
      <w:r>
        <w:t xml:space="preserve"> </w:t>
      </w:r>
      <w:r>
        <w:t xml:space="preserve">instructions for use of all harmonised products. This system will facilitate access to the</w:t>
      </w:r>
      <w:r>
        <w:t xml:space="preserve"> </w:t>
      </w:r>
      <w:r>
        <w:t xml:space="preserve">declarations reducing the time needed by the users of construction products to find the</w:t>
      </w:r>
      <w:r>
        <w:t xml:space="preserve"> </w:t>
      </w:r>
      <w:r>
        <w:t xml:space="preserve">right information. This is expected to reduce the administrative burden by 310 million</w:t>
      </w:r>
      <w:r>
        <w:t xml:space="preserve"> </w:t>
      </w:r>
      <w:r>
        <w:t xml:space="preserve">EUR.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Table 8: Overview of Benefits (total for all provisions) – Preferred Option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Improved market surveillance</w:t>
      </w:r>
      <w:r>
        <w:t xml:space="preserve"> </w:t>
      </w:r>
      <w:r>
        <w:t xml:space="preserve">2.5 billion EUR annually</w:t>
      </w:r>
      <w:r>
        <w:t xml:space="preserve"> </w:t>
      </w:r>
      <w:r>
        <w:t xml:space="preserve">There appears to be significant benefits that can be</w:t>
      </w:r>
      <w:r>
        <w:t xml:space="preserve"> </w:t>
      </w:r>
      <w:r>
        <w:t xml:space="preserve">reaped from improved market surveillance, with a</w:t>
      </w:r>
      <w:r>
        <w:t xml:space="preserve"> </w:t>
      </w:r>
      <w:r>
        <w:t xml:space="preserve">potential 2.5 billion annually176 EUR to be gained in</w:t>
      </w:r>
      <w:r>
        <w:t xml:space="preserve"> </w:t>
      </w:r>
      <w:r>
        <w:t xml:space="preserve">terms of revenue, equalling more than half the costs</w:t>
      </w:r>
      <w:r>
        <w:t xml:space="preserve"> </w:t>
      </w:r>
      <w:r>
        <w:t xml:space="preserve">(burden) associated with the CPR.</w:t>
      </w:r>
      <w:r>
        <w:t xml:space="preserve"> </w:t>
      </w:r>
      <w:r>
        <w:t xml:space="preserve">New obligations for reused</w:t>
      </w:r>
      <w:r>
        <w:t xml:space="preserve"> </w:t>
      </w:r>
      <w:r>
        <w:t xml:space="preserve">products</w:t>
      </w:r>
      <w:r>
        <w:t xml:space="preserve"> </w:t>
      </w:r>
      <w:r>
        <w:t xml:space="preserve">17 million EUR annually</w:t>
      </w:r>
      <w:r>
        <w:t xml:space="preserve"> </w:t>
      </w:r>
      <w:r>
        <w:t xml:space="preserve">Provisions on reused products will increase the</w:t>
      </w:r>
      <w:r>
        <w:t xml:space="preserve"> </w:t>
      </w:r>
      <w:r>
        <w:t xml:space="preserve">business of companies conditioning reused products</w:t>
      </w:r>
      <w:r>
        <w:t xml:space="preserve"> </w:t>
      </w:r>
      <w:r>
        <w:t xml:space="preserve">(usually SMEs) and potentially save costs as reused</w:t>
      </w:r>
      <w:r>
        <w:t xml:space="preserve"> </w:t>
      </w:r>
      <w:r>
        <w:t xml:space="preserve">products are less expensive than new ones.</w:t>
      </w:r>
      <w:r>
        <w:t xml:space="preserve"> </w:t>
      </w:r>
      <w:r>
        <w:t xml:space="preserve">Additional requirements to</w:t>
      </w:r>
      <w:r>
        <w:t xml:space="preserve"> </w:t>
      </w:r>
      <w:r>
        <w:t xml:space="preserve">online shops</w:t>
      </w:r>
      <w:r>
        <w:t xml:space="preserve"> </w:t>
      </w:r>
      <w:r>
        <w:t xml:space="preserve">2.5 million EUR annually</w:t>
      </w:r>
      <w:r>
        <w:t xml:space="preserve"> </w:t>
      </w:r>
      <w:r>
        <w:t xml:space="preserve">Additional systems to be implemented for e-</w:t>
      </w:r>
      <w:r>
        <w:t xml:space="preserve"> </w:t>
      </w:r>
      <w:r>
        <w:t xml:space="preserve">commerce to protect consumers likely to reduce</w:t>
      </w:r>
      <w:r>
        <w:t xml:space="preserve"> </w:t>
      </w:r>
      <w:r>
        <w:t xml:space="preserve">unjustified cost due to non-compliance or lack of</w:t>
      </w:r>
      <w:r>
        <w:t xml:space="preserve"> </w:t>
      </w:r>
      <w:r>
        <w:t xml:space="preserve">information.</w:t>
      </w:r>
      <w:r>
        <w:t xml:space="preserve"> </w:t>
      </w:r>
      <w:r>
        <w:t xml:space="preserve">Product Contact Points</w:t>
      </w:r>
      <w:r>
        <w:t xml:space="preserve"> </w:t>
      </w:r>
      <w:r>
        <w:t xml:space="preserve">requirements</w:t>
      </w:r>
      <w:r>
        <w:t xml:space="preserve"> </w:t>
      </w:r>
      <w:r>
        <w:t xml:space="preserve">2.5 million EUR annually</w:t>
      </w:r>
      <w:r>
        <w:t xml:space="preserve"> </w:t>
      </w:r>
      <w:r>
        <w:t xml:space="preserve">Stricter rules for Product Contact Points to deal with</w:t>
      </w:r>
      <w:r>
        <w:t xml:space="preserve"> </w:t>
      </w:r>
      <w:r>
        <w:t xml:space="preserve">information demands expected to improve market</w:t>
      </w:r>
      <w:r>
        <w:t xml:space="preserve"> </w:t>
      </w:r>
      <w:r>
        <w:t xml:space="preserve">efficiency.</w:t>
      </w:r>
      <w:r>
        <w:t xml:space="preserve"> </w:t>
      </w:r>
      <w:r>
        <w:t xml:space="preserve">Circularity provisions expected</w:t>
      </w:r>
      <w:r>
        <w:t xml:space="preserve"> </w:t>
      </w:r>
      <w:r>
        <w:t xml:space="preserve">to facilitate consumers</w:t>
      </w:r>
      <w:r>
        <w:t xml:space="preserve"> </w:t>
      </w:r>
      <w:r>
        <w:t xml:space="preserve">interaction with construction</w:t>
      </w:r>
      <w:r>
        <w:t xml:space="preserve"> </w:t>
      </w:r>
      <w:r>
        <w:t xml:space="preserve">products</w:t>
      </w:r>
      <w:r>
        <w:t xml:space="preserve"> </w:t>
      </w:r>
      <w:r>
        <w:t xml:space="preserve">190 million EUR annually</w:t>
      </w:r>
      <w:r>
        <w:t xml:space="preserve"> </w:t>
      </w:r>
      <w:r>
        <w:t xml:space="preserve">Reparability, availability of spare parts, extended life</w:t>
      </w:r>
      <w:r>
        <w:t xml:space="preserve"> </w:t>
      </w:r>
      <w:r>
        <w:t xml:space="preserve">and easy disassembly will reduce the cost related to</w:t>
      </w:r>
      <w:r>
        <w:t xml:space="preserve"> </w:t>
      </w:r>
      <w:r>
        <w:t xml:space="preserve">reparation and maintenance of installed construction</w:t>
      </w:r>
      <w:r>
        <w:t xml:space="preserve"> </w:t>
      </w:r>
      <w:r>
        <w:t xml:space="preserve">products.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Increased safety of construction</w:t>
      </w:r>
      <w:r>
        <w:t xml:space="preserve"> </w:t>
      </w:r>
      <w:r>
        <w:t xml:space="preserve">products</w:t>
      </w:r>
      <w:r>
        <w:t xml:space="preserve"> </w:t>
      </w:r>
      <w:r>
        <w:t xml:space="preserve">No quantification available</w:t>
      </w:r>
      <w:r>
        <w:t xml:space="preserve"> </w:t>
      </w:r>
      <w:r>
        <w:t xml:space="preserve">Benefits would occur thanks to enhanced safety of</w:t>
      </w:r>
      <w:r>
        <w:t xml:space="preserve"> </w:t>
      </w:r>
      <w:r>
        <w:t xml:space="preserve">construction products, implying better protection</w:t>
      </w:r>
      <w:r>
        <w:t xml:space="preserve"> </w:t>
      </w:r>
      <w:r>
        <w:t xml:space="preserve">particularly of construction workers and</w:t>
      </w:r>
      <w:r>
        <w:t xml:space="preserve"> </w:t>
      </w:r>
      <w:r>
        <w:t xml:space="preserve">users/consumers using construction products.</w:t>
      </w:r>
      <w:r>
        <w:t xml:space="preserve"> </w:t>
      </w:r>
      <w:r>
        <w:t xml:space="preserve">Increase in economic actors’</w:t>
      </w:r>
      <w:r>
        <w:t xml:space="preserve"> </w:t>
      </w:r>
      <w:r>
        <w:t xml:space="preserve">compliance with relevant rules</w:t>
      </w:r>
      <w:r>
        <w:t xml:space="preserve"> </w:t>
      </w:r>
      <w:r>
        <w:t xml:space="preserve">and regulations</w:t>
      </w:r>
      <w:r>
        <w:t xml:space="preserve"> </w:t>
      </w:r>
      <w:r>
        <w:t xml:space="preserve">No quantification available</w:t>
      </w:r>
      <w:r>
        <w:t xml:space="preserve"> </w:t>
      </w:r>
      <w:r>
        <w:t xml:space="preserve">Improved compliance with the regulatory framework</w:t>
      </w:r>
      <w:r>
        <w:t xml:space="preserve"> </w:t>
      </w:r>
      <w:r>
        <w:t xml:space="preserve">is expected to create benefits in terms of levelling the</w:t>
      </w:r>
      <w:r>
        <w:t xml:space="preserve"> </w:t>
      </w:r>
      <w:r>
        <w:t xml:space="preserve">playing field for construction products manufacturers</w:t>
      </w:r>
      <w:r>
        <w:t xml:space="preserve"> </w:t>
      </w:r>
      <w:r>
        <w:t xml:space="preserve">(particularly important for SMEs).</w:t>
      </w:r>
      <w:r>
        <w:br/>
      </w:r>
      <w:r>
        <w:t xml:space="preserve">Increased quality of the built</w:t>
      </w:r>
      <w:r>
        <w:t xml:space="preserve"> </w:t>
      </w:r>
      <w:r>
        <w:t xml:space="preserve">environment in the EU</w:t>
      </w:r>
      <w:r>
        <w:t xml:space="preserve"> </w:t>
      </w:r>
      <w:r>
        <w:t xml:space="preserve">No quantification available</w:t>
      </w:r>
      <w:r>
        <w:t xml:space="preserve"> </w:t>
      </w:r>
      <w:r>
        <w:t xml:space="preserve">Benefits particularly for the citizens, stemming from</w:t>
      </w:r>
      <w:r>
        <w:t xml:space="preserve"> </w:t>
      </w:r>
      <w:r>
        <w:t xml:space="preserve">more sustainable and durable built environment</w:t>
      </w:r>
      <w:r>
        <w:t xml:space="preserve"> </w:t>
      </w:r>
      <w:r>
        <w:t xml:space="preserve">(buildings, urban architecture etc.).</w:t>
      </w:r>
      <w:r>
        <w:t xml:space="preserve"> </w:t>
      </w:r>
      <w:r>
        <w:t xml:space="preserve">Increase in cross-border trade in</w:t>
      </w:r>
      <w:r>
        <w:t xml:space="preserve"> </w:t>
      </w:r>
      <w:r>
        <w:t xml:space="preserve">construction products within the</w:t>
      </w:r>
      <w:r>
        <w:t xml:space="preserve"> </w:t>
      </w:r>
      <w:r>
        <w:t xml:space="preserve">EU Single Market</w:t>
      </w:r>
      <w:r>
        <w:t xml:space="preserve"> </w:t>
      </w:r>
      <w:r>
        <w:t xml:space="preserve">No quantification available</w:t>
      </w:r>
      <w:r>
        <w:t xml:space="preserve"> </w:t>
      </w:r>
      <w:r>
        <w:t xml:space="preserve">Beneficial for manufacturers, through expected</w:t>
      </w:r>
      <w:r>
        <w:t xml:space="preserve"> </w:t>
      </w:r>
      <w:r>
        <w:t xml:space="preserve">increase in revenues, as well as to end-users,</w:t>
      </w:r>
      <w:r>
        <w:t xml:space="preserve"> </w:t>
      </w:r>
      <w:r>
        <w:t xml:space="preserve">allowing improved access to broader range of</w:t>
      </w:r>
      <w:r>
        <w:t xml:space="preserve"> </w:t>
      </w:r>
      <w:r>
        <w:t xml:space="preserve">construction products.</w:t>
      </w:r>
      <w:r>
        <w:br/>
      </w:r>
      <w:r>
        <w:t xml:space="preserve">Increase in construction product</w:t>
      </w:r>
      <w:r>
        <w:t xml:space="preserve"> </w:t>
      </w:r>
      <w:r>
        <w:t xml:space="preserve">innovation</w:t>
      </w:r>
      <w:r>
        <w:t xml:space="preserve"> </w:t>
      </w:r>
      <w:r>
        <w:t xml:space="preserve">No quantification available</w:t>
      </w:r>
      <w:r>
        <w:t xml:space="preserve"> </w:t>
      </w:r>
      <w:r>
        <w:t xml:space="preserve">Beneficial for the end-users of construction products,</w:t>
      </w:r>
      <w:r>
        <w:t xml:space="preserve"> </w:t>
      </w:r>
      <w:r>
        <w:t xml:space="preserve">providing access to innovative products.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Gross savings</w:t>
      </w:r>
      <w:r>
        <w:t xml:space="preserve"> </w:t>
      </w:r>
      <w:r>
        <w:t xml:space="preserve">630 million EUR annually</w:t>
      </w:r>
      <w:r>
        <w:t xml:space="preserve"> </w:t>
      </w:r>
      <w:r>
        <w:t xml:space="preserve">See above for explanations</w:t>
      </w:r>
    </w:p>
    <w:p>
      <w:pPr>
        <w:pStyle w:val="BodyText"/>
      </w:pPr>
      <w:r>
        <w:t xml:space="preserve">176 Copenhagen Economics (CE), Danish Technological Institute (DTI) and Office for Economic Policy</w:t>
      </w:r>
      <w:r>
        <w:t xml:space="preserve"> </w:t>
      </w:r>
      <w:r>
        <w:t xml:space="preserve">and Regional Development Ltd. (EPRD) (2021). Supporting study for the impact assessment of the CPR</w:t>
      </w:r>
      <w:r>
        <w:t xml:space="preserve"> </w:t>
      </w:r>
      <w:r>
        <w:t xml:space="preserve">Review – Final report, Annexes, Annex II: Methodology note (survey design and analysis), page 11.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Table 9: Overview of costs – Preferred option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Recurrent*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Increase in total costs</w:t>
      </w:r>
    </w:p>
    <w:p>
      <w:pPr>
        <w:pStyle w:val="BodyText"/>
      </w:pPr>
      <w:r>
        <w:t xml:space="preserve">an increase of</w:t>
      </w:r>
      <w:r>
        <w:t xml:space="preserve"> </w:t>
      </w:r>
      <w:r>
        <w:t xml:space="preserve">~200 million EUR</w:t>
      </w:r>
      <w:r>
        <w:t xml:space="preserve"> </w:t>
      </w:r>
      <w:r>
        <w:t xml:space="preserve">in costs among</w:t>
      </w:r>
      <w:r>
        <w:t xml:space="preserve"> </w:t>
      </w:r>
      <w:r>
        <w:t xml:space="preserve">manufacturers</w:t>
      </w:r>
      <w:r>
        <w:t xml:space="preserve"> </w:t>
      </w:r>
      <w:r>
        <w:t xml:space="preserve">associated with the</w:t>
      </w:r>
      <w:r>
        <w:t xml:space="preserve"> </w:t>
      </w:r>
      <w:r>
        <w:t xml:space="preserve">CPR, equal to</w:t>
      </w:r>
      <w:r>
        <w:t xml:space="preserve"> </w:t>
      </w:r>
      <w:r>
        <w:t xml:space="preserve">approximately 8%</w:t>
      </w:r>
      <w:r>
        <w:t xml:space="preserve"> </w:t>
      </w:r>
      <w:r>
        <w:t xml:space="preserve">of the baseline</w:t>
      </w:r>
      <w:r>
        <w:t xml:space="preserve"> </w:t>
      </w:r>
      <w:r>
        <w:t xml:space="preserve">costs and</w:t>
      </w:r>
      <w:r>
        <w:t xml:space="preserve"> </w:t>
      </w:r>
      <w:r>
        <w:t xml:space="preserve">corresponding to</w:t>
      </w:r>
      <w:r>
        <w:t xml:space="preserve"> </w:t>
      </w:r>
      <w:r>
        <w:t xml:space="preserve">0.05% of the</w:t>
      </w:r>
      <w:r>
        <w:t xml:space="preserve"> </w:t>
      </w:r>
      <w:r>
        <w:t xml:space="preserve">construction</w:t>
      </w:r>
      <w:r>
        <w:t xml:space="preserve"> </w:t>
      </w:r>
      <w:r>
        <w:t xml:space="preserve">product</w:t>
      </w:r>
      <w:r>
        <w:t xml:space="preserve"> </w:t>
      </w:r>
      <w:r>
        <w:t xml:space="preserve">manufacturing</w:t>
      </w:r>
      <w:r>
        <w:t xml:space="preserve"> </w:t>
      </w:r>
      <w:r>
        <w:t xml:space="preserve">sector’s total</w:t>
      </w:r>
      <w:r>
        <w:t xml:space="preserve"> </w:t>
      </w:r>
      <w:r>
        <w:t xml:space="preserve">revenue</w:t>
      </w:r>
      <w:r>
        <w:t xml:space="preserve"> </w:t>
      </w:r>
      <w:r>
        <w:t xml:space="preserve">Increase in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and</w:t>
      </w:r>
      <w:r>
        <w:t xml:space="preserve"> </w:t>
      </w:r>
      <w:r>
        <w:t xml:space="preserve">resources to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s in all</w:t>
      </w:r>
      <w:r>
        <w:t xml:space="preserve"> </w:t>
      </w:r>
      <w:r>
        <w:t xml:space="preserve">Member States</w:t>
      </w:r>
      <w:r>
        <w:t xml:space="preserve"> </w:t>
      </w:r>
      <w:r>
        <w:t xml:space="preserve">related to the</w:t>
      </w:r>
      <w:r>
        <w:t xml:space="preserve"> </w:t>
      </w:r>
      <w:r>
        <w:t xml:space="preserve">progressive</w:t>
      </w:r>
      <w:r>
        <w:t xml:space="preserve"> </w:t>
      </w:r>
      <w:r>
        <w:t xml:space="preserve">adaptation to</w:t>
      </w:r>
      <w:r>
        <w:t xml:space="preserve"> </w:t>
      </w:r>
      <w:r>
        <w:t xml:space="preserve">the revised</w:t>
      </w:r>
      <w:r>
        <w:t xml:space="preserve"> </w:t>
      </w:r>
      <w:r>
        <w:t xml:space="preserve">CPR and the</w:t>
      </w:r>
      <w:r>
        <w:t xml:space="preserve"> </w:t>
      </w:r>
      <w:r>
        <w:t xml:space="preserve">changes it</w:t>
      </w:r>
      <w:r>
        <w:t xml:space="preserve"> </w:t>
      </w:r>
      <w:r>
        <w:t xml:space="preserve">brings with it.</w:t>
      </w:r>
    </w:p>
    <w:p>
      <w:pPr>
        <w:pStyle w:val="BodyText"/>
      </w:pPr>
      <w:r>
        <w:t xml:space="preserve">Increase in substantive</w:t>
      </w:r>
      <w:r>
        <w:t xml:space="preserve"> </w:t>
      </w:r>
      <w:r>
        <w:t xml:space="preserve">compliance costs in</w:t>
      </w:r>
      <w:r>
        <w:t xml:space="preserve"> </w:t>
      </w:r>
      <w:r>
        <w:t xml:space="preserve">relation to CE marking</w:t>
      </w:r>
      <w:r>
        <w:t xml:space="preserve"> </w:t>
      </w:r>
      <w:r>
        <w:t xml:space="preserve">and Declaration of</w:t>
      </w:r>
      <w:r>
        <w:t xml:space="preserve"> </w:t>
      </w:r>
      <w:r>
        <w:t xml:space="preserve">Performance (DoP)</w:t>
      </w:r>
    </w:p>
    <w:p>
      <w:pPr>
        <w:pStyle w:val="BodyText"/>
      </w:pPr>
      <w:r>
        <w:t xml:space="preserve">78 million EUR</w:t>
      </w:r>
    </w:p>
    <w:p>
      <w:pPr>
        <w:pStyle w:val="BodyText"/>
      </w:pPr>
      <w:r>
        <w:t xml:space="preserve">Increase in</w:t>
      </w:r>
      <w:r>
        <w:t xml:space="preserve"> </w:t>
      </w:r>
      <w:r>
        <w:t xml:space="preserve">administrative burden in</w:t>
      </w:r>
      <w:r>
        <w:t xml:space="preserve"> </w:t>
      </w:r>
      <w:r>
        <w:t xml:space="preserve">relation to CE marking</w:t>
      </w:r>
      <w:r>
        <w:t xml:space="preserve"> </w:t>
      </w:r>
      <w:r>
        <w:t xml:space="preserve">and Declaration of</w:t>
      </w:r>
      <w:r>
        <w:t xml:space="preserve"> </w:t>
      </w:r>
      <w:r>
        <w:t xml:space="preserve">Performance (DoP)</w:t>
      </w:r>
    </w:p>
    <w:p>
      <w:pPr>
        <w:pStyle w:val="BodyText"/>
      </w:pPr>
      <w:r>
        <w:t xml:space="preserve">70 million EUR</w:t>
      </w:r>
    </w:p>
    <w:p>
      <w:pPr>
        <w:pStyle w:val="BodyText"/>
      </w:pPr>
      <w:r>
        <w:t xml:space="preserve">Increase in regulatory</w:t>
      </w:r>
      <w:r>
        <w:t xml:space="preserve"> </w:t>
      </w:r>
      <w:r>
        <w:t xml:space="preserve">charges in relation to CE</w:t>
      </w:r>
      <w:r>
        <w:t xml:space="preserve"> </w:t>
      </w:r>
      <w:r>
        <w:t xml:space="preserve">marking and Declaration</w:t>
      </w:r>
      <w:r>
        <w:t xml:space="preserve"> </w:t>
      </w:r>
      <w:r>
        <w:t xml:space="preserve">of Performance (DoP)</w:t>
      </w:r>
    </w:p>
    <w:p>
      <w:pPr>
        <w:pStyle w:val="BodyText"/>
      </w:pPr>
      <w:r>
        <w:t xml:space="preserve">64 million EUR</w:t>
      </w:r>
    </w:p>
    <w:p>
      <w:pPr>
        <w:pStyle w:val="BodyText"/>
      </w:pP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t xml:space="preserve"> </w:t>
      </w:r>
      <w:r>
        <w:t xml:space="preserve">Direct adjustment costs</w:t>
      </w:r>
    </w:p>
    <w:p>
      <w:pPr>
        <w:pStyle w:val="BodyText"/>
      </w:pPr>
      <w:r>
        <w:t xml:space="preserve">4 million EUR</w:t>
      </w:r>
      <w:r>
        <w:t xml:space="preserve"> </w:t>
      </w:r>
      <w:r>
        <w:t xml:space="preserve">420 million</w:t>
      </w:r>
      <w:r>
        <w:t xml:space="preserve"> </w:t>
      </w:r>
      <w:r>
        <w:t xml:space="preserve">EUR</w:t>
      </w:r>
    </w:p>
    <w:p>
      <w:pPr>
        <w:pStyle w:val="BodyText"/>
      </w:pPr>
      <w:r>
        <w:t xml:space="preserve">Indirect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19 million EUR</w:t>
      </w:r>
    </w:p>
    <w:p>
      <w:pPr>
        <w:pStyle w:val="BodyText"/>
      </w:pPr>
      <w:r>
        <w:t xml:space="preserve">Administrative costs</w:t>
      </w:r>
      <w:r>
        <w:t xml:space="preserve"> </w:t>
      </w:r>
      <w:r>
        <w:t xml:space="preserve">(for offsetting)177</w:t>
      </w:r>
    </w:p>
    <w:p>
      <w:pPr>
        <w:pStyle w:val="BodyText"/>
      </w:pPr>
      <w:r>
        <w:t xml:space="preserve">450 million</w:t>
      </w:r>
      <w:r>
        <w:t xml:space="preserve"> </w:t>
      </w:r>
      <w:r>
        <w:t xml:space="preserve">EUR</w:t>
      </w:r>
    </w:p>
    <w:p>
      <w:pPr>
        <w:pStyle w:val="Compact"/>
        <w:numPr>
          <w:ilvl w:val="0"/>
          <w:numId w:val="1013"/>
        </w:numPr>
      </w:pPr>
      <w:r>
        <w:t xml:space="preserve">The possible future delegated acts introducing a minimum number of checks to be performed</w:t>
      </w:r>
      <w:r>
        <w:t xml:space="preserve"> </w:t>
      </w:r>
      <w:r>
        <w:t xml:space="preserve">and a minimum human resources needed for market surveillance will be accompanied by a</w:t>
      </w:r>
      <w:r>
        <w:t xml:space="preserve"> </w:t>
      </w:r>
      <w:r>
        <w:t xml:space="preserve">specific assessment of the resources implications.</w:t>
      </w:r>
    </w:p>
    <w:p>
      <w:pPr>
        <w:pStyle w:val="FirstParagraph"/>
      </w:pPr>
      <w:r>
        <w:t xml:space="preserve">177 Offset by the benefits, net saving of 180 million EUR, see table 8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This Impact Assessment is supported by a study178, collecting evidence and</w:t>
      </w:r>
      <w:r>
        <w:t xml:space="preserve"> </w:t>
      </w:r>
      <w:r>
        <w:t xml:space="preserve">complementing the available evidence in order to analyse potential future options for the</w:t>
      </w:r>
      <w:r>
        <w:t xml:space="preserve"> </w:t>
      </w:r>
      <w:r>
        <w:t xml:space="preserve">EU legislation on construction products and to assess their possible impacts.</w:t>
      </w:r>
      <w:r>
        <w:t xml:space="preserve"> </w:t>
      </w:r>
      <w:r>
        <w:t xml:space="preserve">Input from key experts within the field was collected via an initial horizontal survey179</w:t>
      </w:r>
      <w:r>
        <w:t xml:space="preserve"> </w:t>
      </w:r>
      <w:r>
        <w:t xml:space="preserve">and used by the Commission services to refine and complement the indicative revised</w:t>
      </w:r>
      <w:r>
        <w:t xml:space="preserve"> </w:t>
      </w:r>
      <w:r>
        <w:t xml:space="preserve">options. The resulting options have been explored in depth to assess preferences and</w:t>
      </w:r>
      <w:r>
        <w:t xml:space="preserve"> </w:t>
      </w:r>
      <w:r>
        <w:t xml:space="preserve">impacts primarily via a survey among companies and a public consultation,</w:t>
      </w:r>
      <w:r>
        <w:t xml:space="preserve"> </w:t>
      </w:r>
      <w:r>
        <w:t xml:space="preserve">supplemented with evidence from previous studies carried out in the context of the CPR</w:t>
      </w:r>
      <w:r>
        <w:t xml:space="preserve"> </w:t>
      </w:r>
      <w:r>
        <w:t xml:space="preserve">review180 and a Survey on future options carried out by the Commission services in 2020.</w:t>
      </w:r>
      <w:r>
        <w:t xml:space="preserve"> </w:t>
      </w:r>
      <w:r>
        <w:t xml:space="preserve">Finally, the study provides an evidence-based comparison of the various options based</w:t>
      </w:r>
      <w:r>
        <w:t xml:space="preserve"> </w:t>
      </w:r>
      <w:r>
        <w:t xml:space="preserve">on the broader evidence base, inter alia, including the previous impact assessment</w:t>
      </w:r>
      <w:r>
        <w:t xml:space="preserve"> </w:t>
      </w:r>
      <w:r>
        <w:t xml:space="preserve">supporting study from 2018, as well as feedback from the validation workshop181</w:t>
      </w:r>
      <w:r>
        <w:t xml:space="preserve"> </w:t>
      </w:r>
      <w:r>
        <w:t xml:space="preserve">conducted in the concluding phase of this project.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The policy options were mapped around 13 distinct elements, corresponding to the</w:t>
      </w:r>
      <w:r>
        <w:t xml:space="preserve"> </w:t>
      </w:r>
      <w:r>
        <w:t xml:space="preserve">horizontal issues and main features of the CPR system. Each of the 13 elements were</w:t>
      </w:r>
      <w:r>
        <w:t xml:space="preserve"> </w:t>
      </w:r>
      <w:r>
        <w:t xml:space="preserve">then attributed various</w:t>
      </w:r>
      <w:r>
        <w:t xml:space="preserve"> </w:t>
      </w:r>
      <w:r>
        <w:t xml:space="preserve">“levels”</w:t>
      </w:r>
      <w:r>
        <w:t xml:space="preserve"> </w:t>
      </w:r>
      <w:r>
        <w:t xml:space="preserve">reflecting the different ways in which the various policy</w:t>
      </w:r>
      <w:r>
        <w:t xml:space="preserve"> </w:t>
      </w:r>
      <w:r>
        <w:t xml:space="preserve">options would address these (henceforth referred to as variants). The answer option “Do</w:t>
      </w:r>
      <w:r>
        <w:t xml:space="preserve"> </w:t>
      </w:r>
      <w:r>
        <w:t xml:space="preserve">not know/Indifferent” was also available for respondents to select, in every element. The</w:t>
      </w:r>
      <w:r>
        <w:t xml:space="preserve"> </w:t>
      </w:r>
      <w:r>
        <w:t xml:space="preserve">mapping of the policy options around 13 elements makes it comprehensible for</w:t>
      </w:r>
      <w:r>
        <w:t xml:space="preserve"> </w:t>
      </w:r>
      <w:r>
        <w:t xml:space="preserve">respondents to provide informed input about the many different and individually complex</w:t>
      </w:r>
      <w:r>
        <w:t xml:space="preserve"> </w:t>
      </w:r>
      <w:r>
        <w:t xml:space="preserve">issues and features of the CPR system.</w:t>
      </w:r>
      <w:r>
        <w:t xml:space="preserve"> </w:t>
      </w:r>
      <w:r>
        <w:t xml:space="preserve">Respondents were asked whether they wished to provide input on each of the</w:t>
      </w:r>
      <w:r>
        <w:t xml:space="preserve"> </w:t>
      </w:r>
      <w:r>
        <w:t xml:space="preserve">13 elements. Only respondents who replied “Yes” were asked the following questions,</w:t>
      </w:r>
      <w:r>
        <w:t xml:space="preserve"> </w:t>
      </w:r>
      <w:r>
        <w:t xml:space="preserve">while the other were directed to the next element (or, in the case of the last element, to</w:t>
      </w:r>
      <w:r>
        <w:t xml:space="preserve"> </w:t>
      </w:r>
      <w:r>
        <w:t xml:space="preserve">the final page of the questionnaire).</w:t>
      </w:r>
      <w:r>
        <w:t xml:space="preserve"> </w:t>
      </w:r>
      <w:r>
        <w:t xml:space="preserve">The respondents were asked to grade the impact they expect their preferred variant to</w:t>
      </w:r>
      <w:r>
        <w:t xml:space="preserve"> </w:t>
      </w:r>
      <w:r>
        <w:t xml:space="preserve">have on each type of impact, compared to the baseline variant A according to a 5-grade</w:t>
      </w:r>
    </w:p>
    <w:p>
      <w:pPr>
        <w:pStyle w:val="BodyText"/>
      </w:pPr>
      <w:r>
        <w:t xml:space="preserve">178 Copenhagen Economics (CE), Danish Technological Institute (DTI) and Office for Economic Policy</w:t>
      </w:r>
      <w:r>
        <w:t xml:space="preserve"> </w:t>
      </w:r>
      <w:r>
        <w:t xml:space="preserve">and Regional Development Ltd. (EPRD) (2021). Supporting study for the impact assessment of the CPR</w:t>
      </w:r>
      <w:r>
        <w:t xml:space="preserve"> </w:t>
      </w:r>
      <w:r>
        <w:t xml:space="preserve">Review – Final report.</w:t>
      </w:r>
      <w:r>
        <w:t xml:space="preserve"> </w:t>
      </w:r>
      <w:r>
        <w:t xml:space="preserve">179 The survey was a preparatory step focusing on substance and was sent to a limited number of experts in</w:t>
      </w:r>
      <w:r>
        <w:t xml:space="preserve"> </w:t>
      </w:r>
      <w:r>
        <w:t xml:space="preserve">the field, including members of the Advisory Group on construction products, former participants in one</w:t>
      </w:r>
      <w:r>
        <w:t xml:space="preserve"> </w:t>
      </w:r>
      <w:r>
        <w:t xml:space="preserve">of the meetings of the Technical platforms on the CPR Review, as well as a few additional stakeholders</w:t>
      </w:r>
      <w:r>
        <w:t xml:space="preserve"> </w:t>
      </w:r>
      <w:r>
        <w:t xml:space="preserve">that were added in order to cover most relevant stakeholder categories.</w:t>
      </w:r>
      <w:r>
        <w:br/>
      </w:r>
      <w:r>
        <w:t xml:space="preserve">180 Particularly VVA, DTI and TNO (2016): Economic Impacts of the Construction Products Regulation,</w:t>
      </w:r>
      <w:r>
        <w:t xml:space="preserve"> </w:t>
      </w:r>
      <w:r>
        <w:t xml:space="preserve">and VVA, JIIP, DTI and GDCC (2018a): Supporting study for the Review of the Construction Products</w:t>
      </w:r>
      <w:r>
        <w:t xml:space="preserve"> </w:t>
      </w:r>
      <w:r>
        <w:t xml:space="preserve">Regulation: Evaluation, and (2018b): Supporting study for the Review of the Construction Products</w:t>
      </w:r>
      <w:r>
        <w:t xml:space="preserve"> </w:t>
      </w:r>
      <w:r>
        <w:t xml:space="preserve">Regulation: Impact Assessment.</w:t>
      </w:r>
      <w:r>
        <w:t xml:space="preserve"> </w:t>
      </w:r>
      <w:r>
        <w:t xml:space="preserve">181 The validation workshop was carried out online on 24 March 2021. In total, 225 people participated in</w:t>
      </w:r>
      <w:r>
        <w:t xml:space="preserve"> </w:t>
      </w:r>
      <w:r>
        <w:t xml:space="preserve">the virtual event with a peak attendance of 171. Participants were not registered by category but</w:t>
      </w:r>
      <w:r>
        <w:t xml:space="preserve"> </w:t>
      </w:r>
      <w:r>
        <w:t xml:space="preserve">represented a broad selection of the stakeholder groups that were also covered by the survey and the</w:t>
      </w:r>
      <w:r>
        <w:t xml:space="preserve"> </w:t>
      </w:r>
      <w:r>
        <w:t xml:space="preserve">public consultation, particularly industry associations (EU level and national), companies, Member State</w:t>
      </w:r>
      <w:r>
        <w:t xml:space="preserve"> </w:t>
      </w:r>
      <w:r>
        <w:t xml:space="preserve">authorities’ standardisation organisations, notified bodies.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scale encompassing: large decrease, small decrease, no or negligible impact, small</w:t>
      </w:r>
      <w:r>
        <w:t xml:space="preserve"> </w:t>
      </w:r>
      <w:r>
        <w:t xml:space="preserve">increase and large increase.</w:t>
      </w:r>
      <w:r>
        <w:t xml:space="preserve"> </w:t>
      </w:r>
      <w:r>
        <w:t xml:space="preserve">Methodology: impacts on costs</w:t>
      </w:r>
      <w:r>
        <w:br/>
      </w:r>
      <w:r>
        <w:t xml:space="preserve">The study has mirrored the approach of the previous study supporting the Impact</w:t>
      </w:r>
      <w:r>
        <w:t xml:space="preserve"> </w:t>
      </w:r>
      <w:r>
        <w:t xml:space="preserve">Assessment for the CPR conducted for the European Commission182 to the extent</w:t>
      </w:r>
      <w:r>
        <w:t xml:space="preserve"> </w:t>
      </w:r>
      <w:r>
        <w:t xml:space="preserve">possible based on the responses from the company survey. Based on this, we provide the</w:t>
      </w:r>
      <w:r>
        <w:t xml:space="preserve"> </w:t>
      </w:r>
      <w:r>
        <w:t xml:space="preserve">following two outcomes:</w:t>
      </w:r>
      <w:r>
        <w:t xml:space="preserve"> </w:t>
      </w:r>
      <w:r>
        <w:t xml:space="preserve">1) Quantification of the impact on costs and benefits of each option as a percent of</w:t>
      </w:r>
      <w:r>
        <w:t xml:space="preserve"> </w:t>
      </w:r>
      <w:r>
        <w:t xml:space="preserve">revenue183 by company size;</w:t>
      </w:r>
      <w:r>
        <w:t xml:space="preserve"> </w:t>
      </w:r>
      <w:r>
        <w:t xml:space="preserve">2) Quantification of the sector-wide impact on costs and benefits for companies in the</w:t>
      </w:r>
      <w:r>
        <w:t xml:space="preserve"> </w:t>
      </w:r>
      <w:r>
        <w:t xml:space="preserve">CPR-related manufacturing sector from a regulatory shift towards different options</w:t>
      </w:r>
      <w:r>
        <w:t xml:space="preserve"> </w:t>
      </w:r>
      <w:r>
        <w:t xml:space="preserve">relative to the baseline for companies by both company size and aggregated.</w:t>
      </w:r>
      <w:r>
        <w:t xml:space="preserve"> </w:t>
      </w:r>
      <w:r>
        <w:t xml:space="preserve">It is important to note that the insights to be gained from cost and benefit impact</w:t>
      </w:r>
      <w:r>
        <w:t xml:space="preserve"> </w:t>
      </w:r>
      <w:r>
        <w:t xml:space="preserve">estimates are less crucial than those that can be obtained from preference rankings for</w:t>
      </w:r>
      <w:r>
        <w:t xml:space="preserve"> </w:t>
      </w:r>
      <w:r>
        <w:t xml:space="preserve">three primary reasons:</w:t>
      </w:r>
      <w:r>
        <w:t xml:space="preserve"> </w:t>
      </w:r>
      <w:r>
        <w:t xml:space="preserve"> Firstly, the complexity of the questions related to cost and benefit impacts may</w:t>
      </w:r>
      <w:r>
        <w:t xml:space="preserve"> </w:t>
      </w:r>
      <w:r>
        <w:t xml:space="preserve">prevent some respondents from being able to answer the question accurately;</w:t>
      </w:r>
      <w:r>
        <w:t xml:space="preserve"> </w:t>
      </w:r>
      <w:r>
        <w:t xml:space="preserve"> Secondly, the results are sensitive towards a single company’s response since</w:t>
      </w:r>
      <w:r>
        <w:t xml:space="preserve"> </w:t>
      </w:r>
      <w:r>
        <w:t xml:space="preserve">only few respondents184 provided input on the impacts;</w:t>
      </w:r>
      <w:r>
        <w:t xml:space="preserve"> </w:t>
      </w:r>
      <w:r>
        <w:t xml:space="preserve"> Thirdly, an inconsistency appears in the company survey responses where</w:t>
      </w:r>
      <w:r>
        <w:t xml:space="preserve"> </w:t>
      </w:r>
      <w:r>
        <w:t xml:space="preserve">multiple respondents have selected the same option (for example option D) as</w:t>
      </w:r>
      <w:r>
        <w:t xml:space="preserve"> </w:t>
      </w:r>
      <w:r>
        <w:t xml:space="preserve">both their preferred and least preferred option.</w:t>
      </w:r>
      <w:r>
        <w:t xml:space="preserve"> </w:t>
      </w:r>
      <w:r>
        <w:t xml:space="preserve">This introduces a substantial amount of uncertainty around the estimates on cost impacts</w:t>
      </w:r>
      <w:r>
        <w:t xml:space="preserve"> </w:t>
      </w:r>
      <w:r>
        <w:t xml:space="preserve">compared to results on preference rankings.</w:t>
      </w:r>
      <w:r>
        <w:t xml:space="preserve"> </w:t>
      </w:r>
      <w:r>
        <w:t xml:space="preserve">The methodology for calculating cost impacts was based on four steps:</w:t>
      </w:r>
      <w:r>
        <w:t xml:space="preserve"> </w:t>
      </w:r>
      <w:r>
        <w:t xml:space="preserve">i. Calculate the baseline costs and foregone revenue of option A;</w:t>
      </w:r>
      <w:r>
        <w:t xml:space="preserve"> </w:t>
      </w:r>
      <w:r>
        <w:t xml:space="preserve">ii. Estimate the change in the costs and benefits of each option relative to the</w:t>
      </w:r>
      <w:r>
        <w:t xml:space="preserve"> </w:t>
      </w:r>
      <w:r>
        <w:t xml:space="preserve">baseline;</w:t>
      </w:r>
      <w:r>
        <w:t xml:space="preserve"> </w:t>
      </w:r>
      <w:r>
        <w:t xml:space="preserve">iii. Calculate the impacts on the costs and benefits of each option;</w:t>
      </w:r>
      <w:r>
        <w:t xml:space="preserve"> </w:t>
      </w:r>
      <w:r>
        <w:t xml:space="preserve">iv. Estimate the sector-wide impacts on the costs and benefits of each option.</w:t>
      </w:r>
      <w:r>
        <w:t xml:space="preserve"> </w:t>
      </w:r>
      <w:r>
        <w:t xml:space="preserve">Regarding the first step, the baseline costs and foregone revenue were calculated as the</w:t>
      </w:r>
      <w:r>
        <w:t xml:space="preserve"> </w:t>
      </w:r>
      <w:r>
        <w:t xml:space="preserve">share of revenue by dividing it with the average reported revenue by company size. In the</w:t>
      </w:r>
      <w:r>
        <w:t xml:space="preserve"> </w:t>
      </w:r>
      <w:r>
        <w:t xml:space="preserve">second step the average percentage change in costs and foregone revenue of a regulatory</w:t>
      </w:r>
      <w:r>
        <w:t xml:space="preserve"> </w:t>
      </w:r>
      <w:r>
        <w:t xml:space="preserve">shift towards each option within four elements, four cost categories (except for element 6</w:t>
      </w:r>
    </w:p>
    <w:p>
      <w:pPr>
        <w:pStyle w:val="BodyText"/>
      </w:pPr>
      <w:r>
        <w:t xml:space="preserve">182 VVA, JIIP, Danish Technological Institute and GDCC (2018). Supporting study for the Review of the</w:t>
      </w:r>
      <w:r>
        <w:br/>
      </w:r>
      <w:r>
        <w:t xml:space="preserve">Construction Products Regulation: Impact Assessment, Annexes to the final report, page 14-15.</w:t>
      </w:r>
      <w:r>
        <w:t xml:space="preserve"> </w:t>
      </w:r>
      <w:r>
        <w:t xml:space="preserve">183 Revenue is based on respondents reported turnover in 2019 or latest available year.</w:t>
      </w:r>
      <w:r>
        <w:t xml:space="preserve"> </w:t>
      </w:r>
      <w:r>
        <w:t xml:space="preserve">184 To limit the extent of this issue, two responses where respondents reported extreme values were</w:t>
      </w:r>
      <w:r>
        <w:t xml:space="preserve"> </w:t>
      </w:r>
      <w:r>
        <w:t xml:space="preserve">disregarded: one small company reported 100,000 EUR in hassle cost, and another reported an increase</w:t>
      </w:r>
      <w:r>
        <w:t xml:space="preserve"> </w:t>
      </w:r>
      <w:r>
        <w:t xml:space="preserve">of 100,000 pct. from option B.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which holds only one cost and foregone revenue category) is estimated and split them by</w:t>
      </w:r>
      <w:r>
        <w:t xml:space="preserve"> </w:t>
      </w:r>
      <w:r>
        <w:t xml:space="preserve">company size where possible. The reported percentage change in the costs of respondents</w:t>
      </w:r>
      <w:r>
        <w:t xml:space="preserve"> </w:t>
      </w:r>
      <w:r>
        <w:t xml:space="preserve">preferred and least preferred options for each of the cost categories within each of the</w:t>
      </w:r>
      <w:r>
        <w:t xml:space="preserve"> </w:t>
      </w:r>
      <w:r>
        <w:t xml:space="preserve">four elements is used. In the third step, calculations of the change in costs or foregone</w:t>
      </w:r>
      <w:r>
        <w:t xml:space="preserve"> </w:t>
      </w:r>
      <w:r>
        <w:t xml:space="preserve">revenue of a regulatory shift towards each option by multiplying the percentage change</w:t>
      </w:r>
      <w:r>
        <w:t xml:space="preserve"> </w:t>
      </w:r>
      <w:r>
        <w:t xml:space="preserve">in costs with the reported costs and foregone revenue of the baseline option A are made.</w:t>
      </w:r>
      <w:r>
        <w:t xml:space="preserve"> </w:t>
      </w:r>
      <w:r>
        <w:t xml:space="preserve">These calculations are made for each of the elements and each of the cost/foregone</w:t>
      </w:r>
      <w:r>
        <w:t xml:space="preserve"> </w:t>
      </w:r>
      <w:r>
        <w:t xml:space="preserve">revenue categories within each element. Lastly, in the fourth step an estimation of the</w:t>
      </w:r>
      <w:r>
        <w:t xml:space="preserve"> </w:t>
      </w:r>
      <w:r>
        <w:t xml:space="preserve">sector-wide impact on costs and benefits for companies in the CPR-related</w:t>
      </w:r>
      <w:r>
        <w:t xml:space="preserve"> </w:t>
      </w:r>
      <w:r>
        <w:t xml:space="preserve">manufacturing sector is made by scaling up the estimated change in the costs and the</w:t>
      </w:r>
      <w:r>
        <w:t xml:space="preserve"> </w:t>
      </w:r>
      <w:r>
        <w:t xml:space="preserve">benefits as a percent of revenue. As the scalar, an estimate of the sector-wide revenue for</w:t>
      </w:r>
      <w:r>
        <w:t xml:space="preserve"> </w:t>
      </w:r>
      <w:r>
        <w:t xml:space="preserve">companies in the CPR-related manufacturing sector is used.</w:t>
      </w:r>
      <w:r>
        <w:t xml:space="preserve"> </w:t>
      </w:r>
      <w:r>
        <w:t xml:space="preserve">The following evaluation grid shows how the various sources contributed to addressing</w:t>
      </w:r>
      <w:r>
        <w:t xml:space="preserve"> </w:t>
      </w:r>
      <w:r>
        <w:t xml:space="preserve">the impact assessment questions:</w:t>
      </w:r>
      <w:r>
        <w:t xml:space="preserve"> </w:t>
      </w:r>
      <w:r>
        <w:t xml:space="preserve">Table 10: Sources of evidence</w:t>
      </w:r>
      <w:r>
        <w:t xml:space="preserve"> </w:t>
      </w:r>
      <w:r>
        <w:t xml:space="preserve">Evaluation questions</w:t>
      </w:r>
      <w:r>
        <w:t xml:space="preserve"> </w:t>
      </w:r>
      <w:r>
        <w:t xml:space="preserve">Sources of evidence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What is the problem and why is it a</w:t>
      </w:r>
      <w:r>
        <w:t xml:space="preserve"> </w:t>
      </w:r>
      <w:r>
        <w:t xml:space="preserve">problem?</w:t>
      </w:r>
      <w:r>
        <w:t xml:space="preserve"> </w:t>
      </w:r>
      <w:r>
        <w:t xml:space="preserve"></w:t>
      </w:r>
      <w:r>
        <w:t xml:space="preserve"> </w:t>
      </w:r>
      <w:r>
        <w:t xml:space="preserve">Supporting study for the Review of the</w:t>
      </w:r>
      <w:r>
        <w:t xml:space="preserve"> </w:t>
      </w:r>
      <w:r>
        <w:t xml:space="preserve">Construction Products Regulation:</w:t>
      </w:r>
      <w:r>
        <w:t xml:space="preserve"> </w:t>
      </w:r>
      <w:r>
        <w:t xml:space="preserve">Evaluation</w:t>
      </w:r>
      <w:r>
        <w:t xml:space="preserve"> </w:t>
      </w:r>
      <w:r>
        <w:t xml:space="preserve"></w:t>
      </w:r>
      <w:r>
        <w:t xml:space="preserve"> </w:t>
      </w:r>
      <w:r>
        <w:t xml:space="preserve">Supporting study for the Fitness Check</w:t>
      </w:r>
      <w:r>
        <w:t xml:space="preserve"> </w:t>
      </w:r>
      <w:r>
        <w:t xml:space="preserve">on the construction sector: EU internal</w:t>
      </w:r>
      <w:r>
        <w:t xml:space="preserve"> </w:t>
      </w:r>
      <w:r>
        <w:t xml:space="preserve">market and energy efficiency</w:t>
      </w:r>
      <w:r>
        <w:t xml:space="preserve"> </w:t>
      </w:r>
      <w:r>
        <w:t xml:space="preserve">legislation</w:t>
      </w:r>
      <w:r>
        <w:t xml:space="preserve"> </w:t>
      </w:r>
      <w:r>
        <w:t xml:space="preserve"></w:t>
      </w:r>
      <w:r>
        <w:t xml:space="preserve"> </w:t>
      </w:r>
      <w:r>
        <w:t xml:space="preserve">Study on Analysis of the</w:t>
      </w:r>
      <w:r>
        <w:t xml:space="preserve"> </w:t>
      </w:r>
      <w:r>
        <w:t xml:space="preserve">implementation of the Construction</w:t>
      </w:r>
      <w:r>
        <w:t xml:space="preserve"> </w:t>
      </w:r>
      <w:r>
        <w:t xml:space="preserve">Products Regulation</w:t>
      </w:r>
      <w:r>
        <w:t xml:space="preserve"> </w:t>
      </w:r>
      <w:r>
        <w:t xml:space="preserve"></w:t>
      </w:r>
      <w:r>
        <w:t xml:space="preserve"> </w:t>
      </w:r>
      <w:r>
        <w:t xml:space="preserve">Study on Economic Impacts of the</w:t>
      </w:r>
      <w:r>
        <w:t xml:space="preserve"> </w:t>
      </w:r>
      <w:r>
        <w:t xml:space="preserve">Construction Products Regulation.</w:t>
      </w:r>
      <w:r>
        <w:t xml:space="preserve"> </w:t>
      </w:r>
      <w:r>
        <w:t xml:space="preserve"></w:t>
      </w:r>
      <w:r>
        <w:t xml:space="preserve"> </w:t>
      </w:r>
      <w:r>
        <w:t xml:space="preserve">Refit platform recommendations</w:t>
      </w:r>
      <w:r>
        <w:t xml:space="preserve"> </w:t>
      </w:r>
      <w:r>
        <w:t xml:space="preserve"></w:t>
      </w:r>
      <w:r>
        <w:t xml:space="preserve"> </w:t>
      </w:r>
      <w:r>
        <w:t xml:space="preserve">Survey on horizontal issues</w:t>
      </w:r>
      <w:r>
        <w:t xml:space="preserve"> </w:t>
      </w:r>
      <w:r>
        <w:t xml:space="preserve">EFFICIENCY</w:t>
      </w:r>
      <w:r>
        <w:t xml:space="preserve"> </w:t>
      </w:r>
      <w:r>
        <w:t xml:space="preserve">What are the proposed solutions?</w:t>
      </w:r>
      <w:r>
        <w:t xml:space="preserve"> </w:t>
      </w:r>
      <w:r>
        <w:t xml:space="preserve"> Survey on horizontal issues</w:t>
      </w:r>
      <w:r>
        <w:t xml:space="preserve"> </w:t>
      </w:r>
      <w:r>
        <w:t xml:space="preserve"> Company phone survey</w:t>
      </w:r>
      <w:r>
        <w:t xml:space="preserve"> </w:t>
      </w:r>
      <w:r>
        <w:t xml:space="preserve"> Public consultation</w:t>
      </w:r>
      <w:r>
        <w:t xml:space="preserve"> </w:t>
      </w:r>
      <w:r>
        <w:t xml:space="preserve">What are the benefits of each option and</w:t>
      </w:r>
      <w:r>
        <w:t xml:space="preserve"> </w:t>
      </w:r>
      <w:r>
        <w:t xml:space="preserve">how beneficial are they for the various</w:t>
      </w:r>
      <w:r>
        <w:t xml:space="preserve"> </w:t>
      </w:r>
      <w:r>
        <w:t xml:space="preserve">stakeholders’ groups?</w:t>
      </w:r>
      <w:r>
        <w:t xml:space="preserve"> </w:t>
      </w:r>
      <w:r>
        <w:t xml:space="preserve"> Survey on horizontal issues</w:t>
      </w:r>
      <w:r>
        <w:t xml:space="preserve"> </w:t>
      </w:r>
      <w:r>
        <w:t xml:space="preserve"> Company phone survey</w:t>
      </w:r>
      <w:r>
        <w:t xml:space="preserve"> </w:t>
      </w:r>
      <w:r>
        <w:t xml:space="preserve"> Public consultation</w:t>
      </w:r>
      <w:r>
        <w:t xml:space="preserve"> </w:t>
      </w:r>
      <w:r>
        <w:t xml:space="preserve"> Survey on the indicative future options</w:t>
      </w:r>
      <w:r>
        <w:t xml:space="preserve"> </w:t>
      </w:r>
      <w:r>
        <w:t xml:space="preserve">What are the regulatory and</w:t>
      </w:r>
      <w:r>
        <w:t xml:space="preserve"> </w:t>
      </w:r>
      <w:r>
        <w:t xml:space="preserve">administrative costs and are they</w:t>
      </w:r>
      <w:r>
        <w:t xml:space="preserve"> </w:t>
      </w:r>
      <w:r>
        <w:t xml:space="preserve">affordable for the various stakeholders’</w:t>
      </w:r>
      <w:r>
        <w:t xml:space="preserve"> </w:t>
      </w:r>
      <w:r>
        <w:t xml:space="preserve">groups?</w:t>
      </w:r>
    </w:p>
    <w:p>
      <w:pPr>
        <w:pStyle w:val="BodyText"/>
      </w:pPr>
      <w:r>
        <w:t xml:space="preserve"> Survey on horizontal issues</w:t>
      </w:r>
      <w:r>
        <w:t xml:space="preserve"> </w:t>
      </w:r>
      <w:r>
        <w:t xml:space="preserve"> Company phone survey</w:t>
      </w:r>
      <w:r>
        <w:t xml:space="preserve"> </w:t>
      </w:r>
      <w:r>
        <w:t xml:space="preserve"> Public consultation</w:t>
      </w:r>
      <w:r>
        <w:t xml:space="preserve"> </w:t>
      </w:r>
      <w:r>
        <w:t xml:space="preserve"> Survey on the indicative future options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RELEVANCE</w:t>
      </w:r>
      <w:r>
        <w:t xml:space="preserve"> </w:t>
      </w:r>
      <w:r>
        <w:t xml:space="preserve">How do the policy options compare?</w:t>
      </w:r>
      <w:r>
        <w:t xml:space="preserve"> </w:t>
      </w:r>
      <w:r>
        <w:t xml:space="preserve">To what extent the impacts of each</w:t>
      </w:r>
      <w:r>
        <w:t xml:space="preserve"> </w:t>
      </w:r>
      <w:r>
        <w:t xml:space="preserve">policy option meet the needs, the</w:t>
      </w:r>
      <w:r>
        <w:t xml:space="preserve"> </w:t>
      </w:r>
      <w:r>
        <w:t xml:space="preserve">problems and the objective?</w:t>
      </w:r>
      <w:r>
        <w:t xml:space="preserve"> </w:t>
      </w:r>
      <w:r>
        <w:t xml:space="preserve"> Company phone survey</w:t>
      </w:r>
      <w:r>
        <w:br/>
      </w:r>
      <w:r>
        <w:t xml:space="preserve"> Public consultation</w:t>
      </w:r>
      <w:r>
        <w:t xml:space="preserve"> </w:t>
      </w:r>
      <w:r>
        <w:t xml:space="preserve">What should be the role of the CPR</w:t>
      </w:r>
      <w:r>
        <w:t xml:space="preserve"> </w:t>
      </w:r>
      <w:r>
        <w:t xml:space="preserve">pivotal actors and their deliverables?</w:t>
      </w:r>
      <w:r>
        <w:t xml:space="preserve"> </w:t>
      </w:r>
      <w:r>
        <w:t xml:space="preserve"> Survey on horizontal issues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To what extent is the CPR consistent</w:t>
      </w:r>
      <w:r>
        <w:t xml:space="preserve"> </w:t>
      </w:r>
      <w:r>
        <w:t xml:space="preserve">with other legislation pieces applying on</w:t>
      </w:r>
      <w:r>
        <w:t xml:space="preserve"> </w:t>
      </w:r>
      <w:r>
        <w:t xml:space="preserve">the same stakeholders? Are there any</w:t>
      </w:r>
      <w:r>
        <w:t xml:space="preserve"> </w:t>
      </w:r>
      <w:r>
        <w:t xml:space="preserve">inconsistencies, overlaps or gaps?</w:t>
      </w:r>
      <w:r>
        <w:t xml:space="preserve"> </w:t>
      </w:r>
      <w:r>
        <w:t xml:space="preserve"> Feedback on the roadmap</w:t>
      </w:r>
      <w:r>
        <w:t xml:space="preserve"> </w:t>
      </w:r>
      <w:r>
        <w:t xml:space="preserve"> Survey on horizontal issues</w:t>
      </w:r>
      <w:r>
        <w:t xml:space="preserve"> </w:t>
      </w:r>
      <w:r>
        <w:t xml:space="preserve"> Company phone survey</w:t>
      </w:r>
      <w:r>
        <w:t xml:space="preserve"> </w:t>
      </w:r>
      <w:r>
        <w:t xml:space="preserve"> Public consultation</w:t>
      </w:r>
      <w:r>
        <w:t xml:space="preserve"> </w:t>
      </w:r>
      <w:r>
        <w:t xml:space="preserve"> Supporting study for the Fitness Check</w:t>
      </w:r>
      <w:r>
        <w:t xml:space="preserve"> </w:t>
      </w:r>
      <w:r>
        <w:t xml:space="preserve">on the construction sector: EU internal</w:t>
      </w:r>
      <w:r>
        <w:t xml:space="preserve"> </w:t>
      </w:r>
      <w:r>
        <w:t xml:space="preserve">market and energy efficiency</w:t>
      </w:r>
      <w:r>
        <w:t xml:space="preserve"> </w:t>
      </w:r>
      <w:r>
        <w:t xml:space="preserve">legislation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Which is the preferred policy option</w:t>
      </w:r>
      <w:r>
        <w:t xml:space="preserve"> </w:t>
      </w:r>
      <w:r>
        <w:t xml:space="preserve">which will yield highestet benefits?</w:t>
      </w:r>
      <w:r>
        <w:t xml:space="preserve"> </w:t>
      </w:r>
      <w:r>
        <w:t xml:space="preserve"> Survey on horizontal issues</w:t>
      </w:r>
      <w:r>
        <w:t xml:space="preserve"> </w:t>
      </w:r>
      <w:r>
        <w:t xml:space="preserve"> Company phone survey</w:t>
      </w:r>
      <w:r>
        <w:t xml:space="preserve"> </w:t>
      </w:r>
      <w:r>
        <w:t xml:space="preserve"> Public consultation</w:t>
      </w:r>
      <w:r>
        <w:t xml:space="preserve"> </w:t>
      </w:r>
      <w:r>
        <w:t xml:space="preserve"> Survey on the indicative future options</w:t>
      </w:r>
      <w:r>
        <w:t xml:space="preserve"> </w:t>
      </w:r>
      <w:r>
        <w:t xml:space="preserve">Could more added value be achieved by</w:t>
      </w:r>
      <w:r>
        <w:t xml:space="preserve"> </w:t>
      </w:r>
      <w:r>
        <w:t xml:space="preserve">limiting the scope of EU legislation to</w:t>
      </w:r>
      <w:r>
        <w:t xml:space="preserve"> </w:t>
      </w:r>
      <w:r>
        <w:t xml:space="preserve">most relevant products?</w:t>
      </w:r>
      <w:r>
        <w:t xml:space="preserve"> </w:t>
      </w:r>
      <w:r>
        <w:t xml:space="preserve"> Survey on horizontal issues</w:t>
      </w:r>
      <w:r>
        <w:t xml:space="preserve"> </w:t>
      </w:r>
      <w:r>
        <w:t xml:space="preserve"> Survey on the indicative future options</w:t>
      </w:r>
    </w:p>
    <w:p>
      <w:pPr>
        <w:pStyle w:val="BodyText"/>
      </w:pPr>
      <w:r>
        <w:t xml:space="preserve">What would be the most likely</w:t>
      </w:r>
      <w:r>
        <w:t xml:space="preserve"> </w:t>
      </w:r>
      <w:r>
        <w:t xml:space="preserve">consequences of repealing the CPR?</w:t>
      </w:r>
      <w:r>
        <w:t xml:space="preserve"> </w:t>
      </w:r>
      <w:r>
        <w:t xml:space="preserve"> Company phone survey</w:t>
      </w:r>
      <w:r>
        <w:t xml:space="preserve"> </w:t>
      </w:r>
      <w:r>
        <w:t xml:space="preserve"> Public consultation</w:t>
      </w:r>
      <w:r>
        <w:t xml:space="preserve"> </w:t>
      </w:r>
      <w:r>
        <w:t xml:space="preserve"> Survey on the indicative future options</w:t>
      </w:r>
      <w:r>
        <w:t xml:space="preserve"> </w:t>
      </w:r>
      <w:r>
        <w:t xml:space="preserve"> Supporting study for the Review of the</w:t>
      </w:r>
      <w:r>
        <w:t xml:space="preserve"> </w:t>
      </w:r>
      <w:r>
        <w:t xml:space="preserve">Construction Products Regulation:</w:t>
      </w:r>
      <w:r>
        <w:t xml:space="preserve"> </w:t>
      </w:r>
      <w:r>
        <w:t xml:space="preserve">Impact Assessment</w:t>
      </w:r>
    </w:p>
    <w:p>
      <w:pPr>
        <w:pStyle w:val="BodyText"/>
      </w:pPr>
      <w:r>
        <w:t xml:space="preserve">ANNEX 5: THE SME TEST – SUMMARY OF RESULTS</w:t>
      </w:r>
      <w:r>
        <w:t xml:space="preserve"> </w:t>
      </w:r>
      <w:r>
        <w:t xml:space="preserve">(1) Preliminary assessment of businesses likely to be affected</w:t>
      </w:r>
    </w:p>
    <w:p>
      <w:pPr>
        <w:pStyle w:val="BodyText"/>
      </w:pPr>
      <w:r>
        <w:t xml:space="preserve">Manufacturers, importers, to a lesser degree distributors and</w:t>
      </w:r>
      <w:r>
        <w:t xml:space="preserve"> </w:t>
      </w:r>
      <w:r>
        <w:t xml:space="preserve">designers (affected by construction product innovation,</w:t>
      </w:r>
      <w:r>
        <w:t xml:space="preserve"> </w:t>
      </w:r>
      <w:r>
        <w:t xml:space="preserve">competition).</w:t>
      </w:r>
    </w:p>
    <w:p>
      <w:pPr>
        <w:pStyle w:val="BodyText"/>
      </w:pPr>
      <w:r>
        <w:t xml:space="preserve">(See Supporting study for the</w:t>
      </w:r>
      <w:r>
        <w:t xml:space="preserve"> </w:t>
      </w:r>
      <w:r>
        <w:t xml:space="preserve">impact assessment of the CPR</w:t>
      </w:r>
      <w:r>
        <w:t xml:space="preserve"> </w:t>
      </w:r>
      <w:r>
        <w:t xml:space="preserve">Review, 2021, Annex First</w:t>
      </w:r>
      <w:r>
        <w:t xml:space="preserve"> </w:t>
      </w:r>
      <w:r>
        <w:t xml:space="preserve">findings report, page 115)</w:t>
      </w:r>
      <w:r>
        <w:t xml:space="preserve"> </w:t>
      </w:r>
      <w:r>
        <w:t xml:space="preserve">(2) Consultation with SMEs representatives</w:t>
      </w:r>
    </w:p>
    <w:p>
      <w:pPr>
        <w:pStyle w:val="BodyText"/>
      </w:pPr>
      <w:r>
        <w:t xml:space="preserve">The SMEs and representatives of SMEs associations in</w:t>
      </w:r>
      <w:r>
        <w:t xml:space="preserve"> </w:t>
      </w:r>
      <w:r>
        <w:t xml:space="preserve">construction have provided their feedback during the public</w:t>
      </w:r>
      <w:r>
        <w:t xml:space="preserve"> </w:t>
      </w:r>
      <w:r>
        <w:t xml:space="preserve">consultation. They were also consulted in a more targeted</w:t>
      </w:r>
      <w:r>
        <w:t xml:space="preserve"> </w:t>
      </w:r>
      <w:r>
        <w:t xml:space="preserve">manner, during the so-called CPR Technical Platforms. These</w:t>
      </w:r>
      <w:r>
        <w:t xml:space="preserve"> </w:t>
      </w:r>
      <w:r>
        <w:t xml:space="preserve">were a series of meetings organised as a follow-up to the Report</w:t>
      </w:r>
      <w:r>
        <w:t xml:space="preserve"> </w:t>
      </w:r>
      <w:r>
        <w:t xml:space="preserve">on the implementation of the CPR adopted on 07.07.2016. The</w:t>
      </w:r>
      <w:r>
        <w:t xml:space="preserve"> </w:t>
      </w:r>
      <w:r>
        <w:t xml:space="preserve">discussion on the 18 of January 2017 focussed on the limited</w:t>
      </w:r>
      <w:r>
        <w:t xml:space="preserve"> </w:t>
      </w:r>
      <w:r>
        <w:t xml:space="preserve">uptake of the CPR provisions of Article 5 (derogations from</w:t>
      </w:r>
      <w:r>
        <w:t xml:space="preserve"> </w:t>
      </w:r>
      <w:r>
        <w:t xml:space="preserve">drawing up a Declaration of Performance - DoP), Article 37</w:t>
      </w:r>
      <w:r>
        <w:t xml:space="preserve"> </w:t>
      </w:r>
      <w:r>
        <w:t xml:space="preserve">(simplified procedures for micro-enterprises) and Article 38</w:t>
      </w:r>
      <w:r>
        <w:t xml:space="preserve"> </w:t>
      </w:r>
      <w:r>
        <w:t xml:space="preserve">(simplified procedures for products individually manufactured</w:t>
      </w:r>
      <w:r>
        <w:t xml:space="preserve"> </w:t>
      </w:r>
      <w:r>
        <w:t xml:space="preserve">or custom-made in a non-series process), the so-called</w:t>
      </w:r>
      <w:r>
        <w:t xml:space="preserve"> </w:t>
      </w:r>
      <w:r>
        <w:t xml:space="preserve">simplification provisions for the SMEs.</w:t>
      </w:r>
    </w:p>
    <w:p>
      <w:pPr>
        <w:pStyle w:val="BodyText"/>
      </w:pPr>
      <w:r>
        <w:t xml:space="preserve"> There was a valuable variety of views in the feedback</w:t>
      </w:r>
      <w:r>
        <w:t xml:space="preserve"> </w:t>
      </w:r>
      <w:r>
        <w:t xml:space="preserve">received by stakeholders. For instance, some</w:t>
      </w:r>
      <w:r>
        <w:t xml:space="preserve"> </w:t>
      </w:r>
      <w:r>
        <w:t xml:space="preserve">stakeholders expressed the view that simplification</w:t>
      </w:r>
      <w:r>
        <w:t xml:space="preserve"> </w:t>
      </w:r>
      <w:r>
        <w:t xml:space="preserve">should benefit all firms, including adaptation to</w:t>
      </w:r>
      <w:r>
        <w:t xml:space="preserve"> </w:t>
      </w:r>
      <w:r>
        <w:t xml:space="preserve">technological evolution for CE marking, digitalisation or</w:t>
      </w:r>
      <w:r>
        <w:t xml:space="preserve"> </w:t>
      </w:r>
      <w:r>
        <w:t xml:space="preserve">increased customisation. On the other hand, other</w:t>
      </w:r>
      <w:r>
        <w:t xml:space="preserve"> </w:t>
      </w:r>
      <w:r>
        <w:t xml:space="preserve">stakeholders expressed shortly that SMEs need</w:t>
      </w:r>
      <w:r>
        <w:t xml:space="preserve"> </w:t>
      </w:r>
      <w:r>
        <w:t xml:space="preserve">legislative stability.</w:t>
      </w:r>
      <w:r>
        <w:t xml:space="preserve"> </w:t>
      </w:r>
      <w:r>
        <w:t xml:space="preserve"> Moreover, on the fifth technical platform, which focused</w:t>
      </w:r>
      <w:r>
        <w:t xml:space="preserve"> </w:t>
      </w:r>
      <w:r>
        <w:t xml:space="preserve">on the future of EOTA, European Organisation for</w:t>
      </w:r>
      <w:r>
        <w:t xml:space="preserve"> </w:t>
      </w:r>
      <w:r>
        <w:t xml:space="preserve">Technical Assessment, a stakeholder expressed that there</w:t>
      </w:r>
      <w:r>
        <w:t xml:space="preserve"> </w:t>
      </w:r>
      <w:r>
        <w:t xml:space="preserve">was a need for a national dimension (expertise and</w:t>
      </w:r>
      <w:r>
        <w:t xml:space="preserve"> </w:t>
      </w:r>
      <w:r>
        <w:t xml:space="preserve">proximity contact for SMEs in their language) and an EU</w:t>
      </w:r>
      <w:r>
        <w:t xml:space="preserve"> </w:t>
      </w:r>
      <w:r>
        <w:t xml:space="preserve">dimension (coordination).</w:t>
      </w:r>
    </w:p>
    <w:p>
      <w:pPr>
        <w:pStyle w:val="BodyText"/>
      </w:pPr>
      <w:r>
        <w:t xml:space="preserve"> Also, with respect to efficiency, during the public</w:t>
      </w:r>
      <w:r>
        <w:t xml:space="preserve"> </w:t>
      </w:r>
      <w:r>
        <w:t xml:space="preserve">consultation, when stakeholders were asked about the</w:t>
      </w:r>
      <w:r>
        <w:t xml:space="preserve"> </w:t>
      </w:r>
      <w:r>
        <w:t xml:space="preserve">benefits and the costs in comparison to the situations</w:t>
      </w:r>
      <w:r>
        <w:t xml:space="preserve"> </w:t>
      </w:r>
      <w:r>
        <w:t xml:space="preserve">before and since the introduction of harmonised</w:t>
      </w:r>
      <w:r>
        <w:t xml:space="preserve"> </w:t>
      </w:r>
      <w:r>
        <w:t xml:space="preserve">European standards, it was notable that across the totality</w:t>
      </w:r>
      <w:r>
        <w:t xml:space="preserve"> </w:t>
      </w:r>
      <w:r>
        <w:t xml:space="preserve">of respondents, 36.6% were of the opinion that the</w:t>
      </w:r>
    </w:p>
    <w:p>
      <w:pPr>
        <w:pStyle w:val="BodyText"/>
      </w:pPr>
      <w:r>
        <w:t xml:space="preserve">(See Second Technical</w:t>
      </w:r>
      <w:r>
        <w:t xml:space="preserve"> </w:t>
      </w:r>
      <w:r>
        <w:t xml:space="preserve">Platform, 18.01.2017 on the</w:t>
      </w:r>
      <w:r>
        <w:t xml:space="preserve"> </w:t>
      </w:r>
      <w:r>
        <w:t xml:space="preserve">topic of Simplification,</w:t>
      </w:r>
      <w:r>
        <w:t xml:space="preserve"> </w:t>
      </w:r>
      <w:r>
        <w:t xml:space="preserve">including SME-related</w:t>
      </w:r>
      <w:r>
        <w:t xml:space="preserve"> </w:t>
      </w:r>
      <w:r>
        <w:t xml:space="preserve">provisions,</w:t>
      </w:r>
      <w:r>
        <w:t xml:space="preserve"> </w:t>
      </w:r>
      <w:r>
        <w:t xml:space="preserve">DocsRoom - European</w:t>
      </w:r>
      <w:r>
        <w:t xml:space="preserve"> </w:t>
      </w:r>
      <w:r>
        <w:t xml:space="preserve">Commission (europa.eu))</w:t>
      </w:r>
    </w:p>
    <w:p>
      <w:pPr>
        <w:pStyle w:val="BodyText"/>
      </w:pPr>
      <w:r>
        <w:t xml:space="preserve">(See Fifth Technical Platform,</w:t>
      </w:r>
      <w:r>
        <w:t xml:space="preserve"> </w:t>
      </w:r>
      <w:r>
        <w:t xml:space="preserve">04.10.2017 on the topic of the</w:t>
      </w:r>
      <w:r>
        <w:t xml:space="preserve"> </w:t>
      </w:r>
      <w:r>
        <w:t xml:space="preserve">future of EOTA, European</w:t>
      </w:r>
      <w:r>
        <w:t xml:space="preserve"> </w:t>
      </w:r>
      <w:r>
        <w:t xml:space="preserve">Organisation for Technical</w:t>
      </w:r>
      <w:r>
        <w:t xml:space="preserve"> </w:t>
      </w:r>
      <w:r>
        <w:t xml:space="preserve">Assessment,</w:t>
      </w:r>
      <w:r>
        <w:br/>
      </w:r>
      <w:r>
        <w:t xml:space="preserve">DocsRoom - European</w:t>
      </w:r>
      <w:r>
        <w:t xml:space="preserve"> </w:t>
      </w:r>
      <w:r>
        <w:t xml:space="preserve">Commission (europa.eu))</w:t>
      </w:r>
    </w:p>
    <w:p>
      <w:pPr>
        <w:pStyle w:val="BodyText"/>
      </w:pPr>
      <w:r>
        <w:t xml:space="preserve">(See public consultation on EU</w:t>
      </w:r>
      <w:r>
        <w:t xml:space="preserve"> </w:t>
      </w:r>
      <w:r>
        <w:t xml:space="preserve">rules for products used in the</w:t>
      </w:r>
      <w:r>
        <w:t xml:space="preserve"> </w:t>
      </w:r>
      <w:r>
        <w:t xml:space="preserve">construction of buildings and</w:t>
      </w:r>
      <w:r>
        <w:t xml:space="preserve"> </w:t>
      </w:r>
      <w:r>
        <w:t xml:space="preserve">infrastructure works, January-</w:t>
      </w:r>
      <w:r>
        <w:t xml:space="preserve"> </w:t>
      </w:r>
      <w:r>
        <w:t xml:space="preserve">April 2018, page 25,</w:t>
      </w:r>
      <w:r>
        <w:t xml:space="preserve"> </w:t>
      </w:r>
      <w:r>
        <w:t xml:space="preserve">DocsRoom - European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benefits outweighed the costs, while 38.6% of the</w:t>
      </w:r>
      <w:r>
        <w:t xml:space="preserve"> </w:t>
      </w:r>
      <w:r>
        <w:t xml:space="preserve">responds stated that the costs outweigh the benefits. If</w:t>
      </w:r>
      <w:r>
        <w:t xml:space="preserve"> </w:t>
      </w:r>
      <w:r>
        <w:t xml:space="preserve">only companies were selected and broken down by size</w:t>
      </w:r>
      <w:r>
        <w:t xml:space="preserve"> </w:t>
      </w:r>
      <w:r>
        <w:t xml:space="preserve">of enterprise, the highest rate of sceptical respondents</w:t>
      </w:r>
      <w:r>
        <w:t xml:space="preserve"> </w:t>
      </w:r>
      <w:r>
        <w:t xml:space="preserve">was among the representatives of micro-enterprises</w:t>
      </w:r>
      <w:r>
        <w:t xml:space="preserve"> </w:t>
      </w:r>
      <w:r>
        <w:t xml:space="preserve">(60.7%). The free text comments further explained the</w:t>
      </w:r>
      <w:r>
        <w:t xml:space="preserve"> </w:t>
      </w:r>
      <w:r>
        <w:t xml:space="preserve">mixed results of the closed question. A significant</w:t>
      </w:r>
      <w:r>
        <w:t xml:space="preserve"> </w:t>
      </w:r>
      <w:r>
        <w:t xml:space="preserve">amount of participants stated that the benefits do not</w:t>
      </w:r>
      <w:r>
        <w:t xml:space="preserve"> </w:t>
      </w:r>
      <w:r>
        <w:t xml:space="preserve">outweigh the costs and that they do not see</w:t>
      </w:r>
      <w:r>
        <w:t xml:space="preserve"> </w:t>
      </w:r>
      <w:r>
        <w:t xml:space="preserve">advantages of the CPR. As can be expected, these</w:t>
      </w:r>
      <w:r>
        <w:t xml:space="preserve"> </w:t>
      </w:r>
      <w:r>
        <w:t xml:space="preserve">critical statements came in particular from locally</w:t>
      </w:r>
      <w:r>
        <w:t xml:space="preserve"> </w:t>
      </w:r>
      <w:r>
        <w:t xml:space="preserve">oriented SMEs.</w:t>
      </w:r>
    </w:p>
    <w:p>
      <w:pPr>
        <w:pStyle w:val="BodyText"/>
      </w:pPr>
      <w:r>
        <w:t xml:space="preserve"> Furthermore, in the results of the consultation, a frequent</w:t>
      </w:r>
      <w:r>
        <w:t xml:space="preserve"> </w:t>
      </w:r>
      <w:r>
        <w:t xml:space="preserve">comment was that SMEs were disproportionally strongly</w:t>
      </w:r>
      <w:r>
        <w:t xml:space="preserve"> </w:t>
      </w:r>
      <w:r>
        <w:t xml:space="preserve">“hit” by the administrative costs.</w:t>
      </w:r>
    </w:p>
    <w:p>
      <w:pPr>
        <w:pStyle w:val="BodyText"/>
      </w:pPr>
      <w:r>
        <w:t xml:space="preserve"> In addition, the view of Small Business Standards,</w:t>
      </w:r>
      <w:r>
        <w:t xml:space="preserve"> </w:t>
      </w:r>
      <w:r>
        <w:t xml:space="preserve">expressed, as a feedback to the inception impact</w:t>
      </w:r>
      <w:r>
        <w:t xml:space="preserve"> </w:t>
      </w:r>
      <w:r>
        <w:t xml:space="preserve">assessment, was that the consequences of unavailable or</w:t>
      </w:r>
      <w:r>
        <w:t xml:space="preserve"> </w:t>
      </w:r>
      <w:r>
        <w:t xml:space="preserve">outdated harmonised product standards increased direct</w:t>
      </w:r>
      <w:r>
        <w:t xml:space="preserve"> </w:t>
      </w:r>
      <w:r>
        <w:t xml:space="preserve">or indirect costs for the businesses (especially SMEs).</w:t>
      </w:r>
    </w:p>
    <w:p>
      <w:pPr>
        <w:pStyle w:val="BodyText"/>
      </w:pPr>
      <w:r>
        <w:t xml:space="preserve">In summary, multiple feedback was provided from stakeholders</w:t>
      </w:r>
      <w:r>
        <w:t xml:space="preserve"> </w:t>
      </w:r>
      <w:r>
        <w:t xml:space="preserve">via the technical platform and consultations, together with desk-</w:t>
      </w:r>
      <w:r>
        <w:t xml:space="preserve"> </w:t>
      </w:r>
      <w:r>
        <w:t xml:space="preserve">research, including available evidence already collected through</w:t>
      </w:r>
      <w:r>
        <w:t xml:space="preserve"> </w:t>
      </w:r>
      <w:r>
        <w:t xml:space="preserve">various reports and studies, as well as through surveys.</w:t>
      </w:r>
    </w:p>
    <w:p>
      <w:pPr>
        <w:pStyle w:val="BodyText"/>
      </w:pPr>
      <w:r>
        <w:t xml:space="preserve">Commission (europa.eu))</w:t>
      </w:r>
    </w:p>
    <w:p>
      <w:pPr>
        <w:pStyle w:val="BodyText"/>
      </w:pPr>
      <w:r>
        <w:t xml:space="preserve">(See public consultation on EU</w:t>
      </w:r>
      <w:r>
        <w:t xml:space="preserve"> </w:t>
      </w:r>
      <w:r>
        <w:t xml:space="preserve">rules for products used in the</w:t>
      </w:r>
      <w:r>
        <w:t xml:space="preserve"> </w:t>
      </w:r>
      <w:r>
        <w:t xml:space="preserve">construction of buildings and</w:t>
      </w:r>
      <w:r>
        <w:t xml:space="preserve"> </w:t>
      </w:r>
      <w:r>
        <w:t xml:space="preserve">infrastructure works, January-</w:t>
      </w:r>
      <w:r>
        <w:t xml:space="preserve"> </w:t>
      </w:r>
      <w:r>
        <w:t xml:space="preserve">April 2018, page 33,</w:t>
      </w:r>
      <w:r>
        <w:t xml:space="preserve"> </w:t>
      </w:r>
      <w:r>
        <w:t xml:space="preserve">DocsRoom - European</w:t>
      </w:r>
      <w:r>
        <w:t xml:space="preserve"> </w:t>
      </w:r>
      <w:r>
        <w:t xml:space="preserve">Commission (europa.eu))</w:t>
      </w:r>
    </w:p>
    <w:p>
      <w:pPr>
        <w:pStyle w:val="BodyText"/>
      </w:pPr>
      <w:r>
        <w:t xml:space="preserve">(See feedback received from:</w:t>
      </w:r>
      <w:r>
        <w:t xml:space="preserve"> </w:t>
      </w:r>
      <w:r>
        <w:t xml:space="preserve">Small Business Standards185</w:t>
      </w:r>
      <w:r>
        <w:t xml:space="preserve"> </w:t>
      </w:r>
      <w:r>
        <w:t xml:space="preserve">(SBS) on the Inception impact</w:t>
      </w:r>
      <w:r>
        <w:t xml:space="preserve"> </w:t>
      </w:r>
      <w:r>
        <w:t xml:space="preserve">assessment, Feedback period:</w:t>
      </w:r>
      <w:r>
        <w:t xml:space="preserve"> </w:t>
      </w:r>
      <w:r>
        <w:t xml:space="preserve">July-August 2020,</w:t>
      </w:r>
      <w:r>
        <w:t xml:space="preserve"> </w:t>
      </w:r>
      <w:r>
        <w:t xml:space="preserve">Feedback from: Small Business</w:t>
      </w:r>
      <w:r>
        <w:t xml:space="preserve"> </w:t>
      </w:r>
      <w:r>
        <w:t xml:space="preserve">Standards (SBS) (europa.eu))</w:t>
      </w:r>
      <w:r>
        <w:t xml:space="preserve"> </w:t>
      </w:r>
      <w:r>
        <w:t xml:space="preserve">(3) Measurement of the impact on SMEs</w:t>
      </w:r>
    </w:p>
    <w:p>
      <w:pPr>
        <w:pStyle w:val="BodyText"/>
      </w:pPr>
      <w:r>
        <w:t xml:space="preserve">The main cost expected for the SMEs remain the</w:t>
      </w:r>
      <w:r>
        <w:t xml:space="preserve"> </w:t>
      </w:r>
      <w:r>
        <w:t xml:space="preserve">administrative costs.</w:t>
      </w:r>
      <w:r>
        <w:br/>
      </w:r>
      <w:r>
        <w:t xml:space="preserve">The 2021 study supporting the Impact Assessment report</w:t>
      </w:r>
      <w:r>
        <w:t xml:space="preserve"> </w:t>
      </w:r>
      <w:r>
        <w:t xml:space="preserve">concluded that a cost increase of 201 mEUR p.a. was estimated</w:t>
      </w:r>
      <w:r>
        <w:t xml:space="preserve"> </w:t>
      </w:r>
      <w:r>
        <w:t xml:space="preserve">for the preferred option D, corresponding to 0.05% of the</w:t>
      </w:r>
      <w:r>
        <w:t xml:space="preserve"> </w:t>
      </w:r>
      <w:r>
        <w:t xml:space="preserve">construction product manufacturing sector’s total revenue. This</w:t>
      </w:r>
      <w:r>
        <w:t xml:space="preserve"> </w:t>
      </w:r>
      <w:r>
        <w:t xml:space="preserve">was mainly driven by an increase in costs for medium-sized</w:t>
      </w:r>
      <w:r>
        <w:t xml:space="preserve"> </w:t>
      </w:r>
      <w:r>
        <w:t xml:space="preserve">companies of 211 mEUR p.a., corresponding to 0.19% of</w:t>
      </w:r>
      <w:r>
        <w:t xml:space="preserve"> </w:t>
      </w:r>
      <w:r>
        <w:t xml:space="preserve">revenue, and based on an increase in regulatory, compliance and</w:t>
      </w:r>
      <w:r>
        <w:t xml:space="preserve"> </w:t>
      </w:r>
      <w:r>
        <w:t xml:space="preserve">administrative costs in relation to CE marking and Declaration</w:t>
      </w:r>
      <w:r>
        <w:t xml:space="preserve"> </w:t>
      </w:r>
      <w:r>
        <w:t xml:space="preserve">of Performance (DoP).</w:t>
      </w:r>
    </w:p>
    <w:p>
      <w:pPr>
        <w:pStyle w:val="BodyText"/>
      </w:pPr>
      <w:r>
        <w:t xml:space="preserve">(See Supporting study for the</w:t>
      </w:r>
      <w:r>
        <w:t xml:space="preserve"> </w:t>
      </w:r>
      <w:r>
        <w:t xml:space="preserve">impact assessment of the CPR</w:t>
      </w:r>
      <w:r>
        <w:t xml:space="preserve"> </w:t>
      </w:r>
      <w:r>
        <w:t xml:space="preserve">Review – Final report, 2021,</w:t>
      </w:r>
      <w:r>
        <w:t xml:space="preserve"> </w:t>
      </w:r>
      <w:r>
        <w:t xml:space="preserve">page 69)</w:t>
      </w:r>
    </w:p>
    <w:p>
      <w:pPr>
        <w:pStyle w:val="BodyText"/>
      </w:pPr>
      <w:r>
        <w:t xml:space="preserve">185 Small Business Standards (SBS) is a European non-profit association. Its goal is to represent and defend small</w:t>
      </w:r>
      <w:r>
        <w:t xml:space="preserve"> </w:t>
      </w:r>
      <w:r>
        <w:t xml:space="preserve">and medium-sized enterprises’ (SMEs) interests in the standardisation process at European and international</w:t>
      </w:r>
      <w:r>
        <w:t xml:space="preserve"> </w:t>
      </w:r>
      <w:r>
        <w:t xml:space="preserve">levels.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It also corresponded to a roughly 8% increase compared to the</w:t>
      </w:r>
      <w:r>
        <w:t xml:space="preserve"> </w:t>
      </w:r>
      <w:r>
        <w:t xml:space="preserve">current baseline costs, likely due to the expectations that the</w:t>
      </w:r>
      <w:r>
        <w:t xml:space="preserve"> </w:t>
      </w:r>
      <w:r>
        <w:t xml:space="preserve">number of parameters that companies would have to declare</w:t>
      </w:r>
      <w:r>
        <w:t xml:space="preserve"> </w:t>
      </w:r>
      <w:r>
        <w:t xml:space="preserve">would increase with the introduction of product requirements,</w:t>
      </w:r>
      <w:r>
        <w:t xml:space="preserve"> </w:t>
      </w:r>
      <w:r>
        <w:t xml:space="preserve">increasing the costs associated with preparing the CE mark and</w:t>
      </w:r>
      <w:r>
        <w:t xml:space="preserve"> </w:t>
      </w:r>
      <w:r>
        <w:t xml:space="preserve">the DoP.</w:t>
      </w:r>
    </w:p>
    <w:p>
      <w:pPr>
        <w:pStyle w:val="BodyText"/>
      </w:pPr>
      <w:r>
        <w:t xml:space="preserve">At the same time, the expected benefit from a revision of the</w:t>
      </w:r>
      <w:r>
        <w:t xml:space="preserve"> </w:t>
      </w:r>
      <w:r>
        <w:t xml:space="preserve">CPR (option B/C/D) in relation to improved market surveillance</w:t>
      </w:r>
      <w:r>
        <w:t xml:space="preserve"> </w:t>
      </w:r>
      <w:r>
        <w:t xml:space="preserve">and enforcement were estimated to amount to approx. 2.5 billion</w:t>
      </w:r>
      <w:r>
        <w:t xml:space="preserve"> </w:t>
      </w:r>
      <w:r>
        <w:t xml:space="preserve">EUR annually (0.6% of the total revenue).</w:t>
      </w:r>
    </w:p>
    <w:p>
      <w:pPr>
        <w:pStyle w:val="BodyText"/>
      </w:pPr>
      <w:r>
        <w:t xml:space="preserve"> In particular, looking at the effect on SMEs, the baseline</w:t>
      </w:r>
      <w:r>
        <w:t xml:space="preserve"> </w:t>
      </w:r>
      <w:r>
        <w:t xml:space="preserve">costs (option A) for SMEs were expected to amount to</w:t>
      </w:r>
      <w:r>
        <w:t xml:space="preserve"> </w:t>
      </w:r>
      <w:r>
        <w:t xml:space="preserve">2,496 mEUR annually corresponding to 1.1% of</w:t>
      </w:r>
      <w:r>
        <w:t xml:space="preserve"> </w:t>
      </w:r>
      <w:r>
        <w:t xml:space="preserve">aggregate revenue.</w:t>
      </w:r>
    </w:p>
    <w:p>
      <w:pPr>
        <w:pStyle w:val="BodyText"/>
      </w:pPr>
      <w:r>
        <w:t xml:space="preserve"> Notably, looking across all options, the effect on costs</w:t>
      </w:r>
      <w:r>
        <w:t xml:space="preserve"> </w:t>
      </w:r>
      <w:r>
        <w:t xml:space="preserve">differed for each option. Concerning the expected impact</w:t>
      </w:r>
      <w:r>
        <w:t xml:space="preserve"> </w:t>
      </w:r>
      <w:r>
        <w:t xml:space="preserve">of option B on SMEs, it was estimated that it would</w:t>
      </w:r>
      <w:r>
        <w:t xml:space="preserve"> </w:t>
      </w:r>
      <w:r>
        <w:t xml:space="preserve">lead to a decrease of costs, on aggregate, by 151 mEUR</w:t>
      </w:r>
      <w:r>
        <w:t xml:space="preserve"> </w:t>
      </w:r>
      <w:r>
        <w:t xml:space="preserve">annually for manufacturers corresponding to 0.06 % of</w:t>
      </w:r>
      <w:r>
        <w:t xml:space="preserve"> </w:t>
      </w:r>
      <w:r>
        <w:t xml:space="preserve">the revenue among SMEs in the sector. Moreover, the</w:t>
      </w:r>
      <w:r>
        <w:t xml:space="preserve"> </w:t>
      </w:r>
      <w:r>
        <w:t xml:space="preserve">expected benefit from option B in relation to market</w:t>
      </w:r>
      <w:r>
        <w:t xml:space="preserve"> </w:t>
      </w:r>
      <w:r>
        <w:t xml:space="preserve">surveillance and enforcement was estimated to amount to</w:t>
      </w:r>
      <w:r>
        <w:t xml:space="preserve"> </w:t>
      </w:r>
      <w:r>
        <w:t xml:space="preserve">approx. 2,500 mEUR annually. More than a half of this</w:t>
      </w:r>
      <w:r>
        <w:t xml:space="preserve"> </w:t>
      </w:r>
      <w:r>
        <w:t xml:space="preserve">benefit accrued to SMEs, where aggregated revenue</w:t>
      </w:r>
      <w:r>
        <w:t xml:space="preserve"> </w:t>
      </w:r>
      <w:r>
        <w:t xml:space="preserve">gains were estimated to amount to 2,166 mEUR</w:t>
      </w:r>
      <w:r>
        <w:t xml:space="preserve"> </w:t>
      </w:r>
      <w:r>
        <w:t xml:space="preserve">annually corresponding to 0.9 % of the total revenue for</w:t>
      </w:r>
      <w:r>
        <w:t xml:space="preserve"> </w:t>
      </w:r>
      <w:r>
        <w:t xml:space="preserve">that group.</w:t>
      </w:r>
    </w:p>
    <w:p>
      <w:pPr>
        <w:pStyle w:val="BodyText"/>
      </w:pPr>
      <w:r>
        <w:t xml:space="preserve"> Alternatively, the impact expected for SMEs under</w:t>
      </w:r>
      <w:r>
        <w:t xml:space="preserve"> </w:t>
      </w:r>
      <w:r>
        <w:t xml:space="preserve">option C was estimated to decrease costs by a total of</w:t>
      </w:r>
      <w:r>
        <w:t xml:space="preserve"> </w:t>
      </w:r>
      <w:r>
        <w:t xml:space="preserve">16 mEUR annually for manufacturers, corresponding to</w:t>
      </w:r>
      <w:r>
        <w:t xml:space="preserve"> </w:t>
      </w:r>
      <w:r>
        <w:t xml:space="preserve">0.01% of the revenue among medium companies in the</w:t>
      </w:r>
      <w:r>
        <w:t xml:space="preserve"> </w:t>
      </w:r>
      <w:r>
        <w:t xml:space="preserve">sector. As option C could be assimilated to option B in</w:t>
      </w:r>
      <w:r>
        <w:t xml:space="preserve"> </w:t>
      </w:r>
      <w:r>
        <w:t xml:space="preserve">relation to market surveillance and enforcement, a</w:t>
      </w:r>
      <w:r>
        <w:t xml:space="preserve"> </w:t>
      </w:r>
      <w:r>
        <w:t xml:space="preserve">revision of the CPR towards option C was expected to</w:t>
      </w:r>
      <w:r>
        <w:t xml:space="preserve"> </w:t>
      </w:r>
      <w:r>
        <w:t xml:space="preserve">yield the same benefits as described above for option B.</w:t>
      </w:r>
    </w:p>
    <w:p>
      <w:pPr>
        <w:pStyle w:val="BodyText"/>
      </w:pPr>
      <w:r>
        <w:t xml:space="preserve"> Conversely, the change towards option D was estimated</w:t>
      </w:r>
      <w:r>
        <w:t xml:space="preserve"> </w:t>
      </w:r>
      <w:r>
        <w:t xml:space="preserve">to increase costs, on aggregate, by 153 mEUR annually</w:t>
      </w:r>
      <w:r>
        <w:t xml:space="preserve"> </w:t>
      </w:r>
      <w:r>
        <w:t xml:space="preserve">for manufacturers (SMEs) corresponding to 0.07% of the</w:t>
      </w:r>
      <w:r>
        <w:t xml:space="preserve"> </w:t>
      </w:r>
      <w:r>
        <w:t xml:space="preserve">revenue among SMEs in the sector. With respect to</w:t>
      </w:r>
      <w:r>
        <w:t xml:space="preserve"> </w:t>
      </w:r>
      <w:r>
        <w:t xml:space="preserve">benefits, as option D could be assimilated to option B in</w:t>
      </w:r>
      <w:r>
        <w:t xml:space="preserve"> </w:t>
      </w:r>
      <w:r>
        <w:t xml:space="preserve">relation to market surveillance and enforcement, a</w:t>
      </w:r>
      <w:r>
        <w:t xml:space="preserve"> </w:t>
      </w:r>
      <w:r>
        <w:t xml:space="preserve">revision of the CPR towards option D was expected to</w:t>
      </w:r>
      <w:r>
        <w:t xml:space="preserve"> </w:t>
      </w:r>
      <w:r>
        <w:t xml:space="preserve">yield the same benefits as described above for option B.</w:t>
      </w:r>
    </w:p>
    <w:p>
      <w:pPr>
        <w:pStyle w:val="BodyText"/>
      </w:pPr>
      <w:r>
        <w:t xml:space="preserve">(See Supporting study for the</w:t>
      </w:r>
      <w:r>
        <w:t xml:space="preserve"> </w:t>
      </w:r>
      <w:r>
        <w:t xml:space="preserve">impact assessment of the CPR</w:t>
      </w:r>
      <w:r>
        <w:t xml:space="preserve"> </w:t>
      </w:r>
      <w:r>
        <w:t xml:space="preserve">Review – Final report, 2021,</w:t>
      </w:r>
      <w:r>
        <w:t xml:space="preserve"> </w:t>
      </w:r>
      <w:r>
        <w:t xml:space="preserve">page 70)</w:t>
      </w:r>
    </w:p>
    <w:p>
      <w:pPr>
        <w:pStyle w:val="BodyText"/>
      </w:pPr>
      <w:r>
        <w:t xml:space="preserve">(See Supporting study for the</w:t>
      </w:r>
      <w:r>
        <w:t xml:space="preserve"> </w:t>
      </w:r>
      <w:r>
        <w:t xml:space="preserve">impact assessment of the CPR</w:t>
      </w:r>
      <w:r>
        <w:t xml:space="preserve"> </w:t>
      </w:r>
      <w:r>
        <w:t xml:space="preserve">Review – Final report, 2021,</w:t>
      </w:r>
      <w:r>
        <w:t xml:space="preserve"> </w:t>
      </w:r>
      <w:r>
        <w:t xml:space="preserve">Page 27, Table 4, Table 5)</w:t>
      </w:r>
    </w:p>
    <w:p>
      <w:pPr>
        <w:pStyle w:val="BodyText"/>
      </w:pPr>
      <w:r>
        <w:t xml:space="preserve">(See Supporting study for the</w:t>
      </w:r>
      <w:r>
        <w:t xml:space="preserve"> </w:t>
      </w:r>
      <w:r>
        <w:t xml:space="preserve">impact assessment of the CPR</w:t>
      </w:r>
      <w:r>
        <w:t xml:space="preserve"> </w:t>
      </w:r>
      <w:r>
        <w:t xml:space="preserve">Review – Final report, 2021,</w:t>
      </w:r>
      <w:r>
        <w:t xml:space="preserve"> </w:t>
      </w:r>
      <w:r>
        <w:t xml:space="preserve">Page 34, Table 9)</w:t>
      </w:r>
    </w:p>
    <w:p>
      <w:pPr>
        <w:pStyle w:val="BodyText"/>
      </w:pPr>
      <w:r>
        <w:t xml:space="preserve">(See Supporting study for the</w:t>
      </w:r>
      <w:r>
        <w:t xml:space="preserve"> </w:t>
      </w:r>
      <w:r>
        <w:t xml:space="preserve">impact assessment of the CPR</w:t>
      </w:r>
      <w:r>
        <w:t xml:space="preserve"> </w:t>
      </w:r>
      <w:r>
        <w:t xml:space="preserve">Review – Final report, 2021,</w:t>
      </w:r>
      <w:r>
        <w:t xml:space="preserve"> </w:t>
      </w:r>
      <w:r>
        <w:t xml:space="preserve">Page 35, Table 10)</w:t>
      </w:r>
    </w:p>
    <w:p>
      <w:pPr>
        <w:pStyle w:val="BodyText"/>
      </w:pPr>
      <w:r>
        <w:t xml:space="preserve">(See Supporting study for the</w:t>
      </w:r>
      <w:r>
        <w:t xml:space="preserve"> </w:t>
      </w:r>
      <w:r>
        <w:t xml:space="preserve">impact assessment of the CPR</w:t>
      </w:r>
      <w:r>
        <w:t xml:space="preserve"> </w:t>
      </w:r>
      <w:r>
        <w:t xml:space="preserve">Review – Final report, 2021,</w:t>
      </w:r>
      <w:r>
        <w:t xml:space="preserve"> </w:t>
      </w:r>
      <w:r>
        <w:t xml:space="preserve">Page 39, Table 14)</w:t>
      </w:r>
    </w:p>
    <w:p>
      <w:pPr>
        <w:pStyle w:val="BodyText"/>
      </w:pPr>
      <w:r>
        <w:t xml:space="preserve">(See Supporting study for the</w:t>
      </w:r>
      <w:r>
        <w:t xml:space="preserve"> </w:t>
      </w:r>
      <w:r>
        <w:t xml:space="preserve">impact assessment of the CPR</w:t>
      </w:r>
      <w:r>
        <w:t xml:space="preserve"> </w:t>
      </w:r>
      <w:r>
        <w:t xml:space="preserve">Review – Final report, 2021,</w:t>
      </w:r>
      <w:r>
        <w:t xml:space="preserve"> </w:t>
      </w:r>
      <w:r>
        <w:t xml:space="preserve">Page 43, Table 18)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 Finally, the largest sector-wide impact was expected for</w:t>
      </w:r>
      <w:r>
        <w:t xml:space="preserve"> </w:t>
      </w:r>
      <w:r>
        <w:t xml:space="preserve">SMEs, where the change towards option E is estimated</w:t>
      </w:r>
      <w:r>
        <w:t xml:space="preserve"> </w:t>
      </w:r>
      <w:r>
        <w:t xml:space="preserve">to increase costs by, on aggregate, 97 mEUR annually</w:t>
      </w:r>
      <w:r>
        <w:t xml:space="preserve"> </w:t>
      </w:r>
      <w:r>
        <w:t xml:space="preserve">for manufacturers, corresponding to 0.04% of the</w:t>
      </w:r>
      <w:r>
        <w:t xml:space="preserve"> </w:t>
      </w:r>
      <w:r>
        <w:t xml:space="preserve">revenue among medium companies in the sector.</w:t>
      </w:r>
      <w:r>
        <w:t xml:space="preserve"> </w:t>
      </w:r>
      <w:r>
        <w:t xml:space="preserve">Distinctively, respondents answering this question</w:t>
      </w:r>
      <w:r>
        <w:t xml:space="preserve"> </w:t>
      </w:r>
      <w:r>
        <w:t xml:space="preserve">foresaw a significant loss in terms of foregone revenue</w:t>
      </w:r>
      <w:r>
        <w:t xml:space="preserve"> </w:t>
      </w:r>
      <w:r>
        <w:t xml:space="preserve">from repealing the CPR (option E) in relation to market</w:t>
      </w:r>
      <w:r>
        <w:t xml:space="preserve"> </w:t>
      </w:r>
      <w:r>
        <w:t xml:space="preserve">surveillance and enforcement (element 6). The estimated</w:t>
      </w:r>
      <w:r>
        <w:t xml:space="preserve"> </w:t>
      </w:r>
      <w:r>
        <w:t xml:space="preserve">loss, which was most significant among SMEs, amounts</w:t>
      </w:r>
      <w:r>
        <w:t xml:space="preserve"> </w:t>
      </w:r>
      <w:r>
        <w:t xml:space="preserve">to 4,803mEUR annually.</w:t>
      </w:r>
    </w:p>
    <w:p>
      <w:pPr>
        <w:pStyle w:val="BodyText"/>
      </w:pPr>
      <w:r>
        <w:t xml:space="preserve">(See Supporting study for the</w:t>
      </w:r>
      <w:r>
        <w:t xml:space="preserve"> </w:t>
      </w:r>
      <w:r>
        <w:t xml:space="preserve">impact assessment of the CPR</w:t>
      </w:r>
      <w:r>
        <w:t xml:space="preserve"> </w:t>
      </w:r>
      <w:r>
        <w:t xml:space="preserve">Review – Final report, 2021,</w:t>
      </w:r>
      <w:r>
        <w:t xml:space="preserve"> </w:t>
      </w:r>
      <w:r>
        <w:t xml:space="preserve">Page 48, Table 22)</w:t>
      </w:r>
    </w:p>
    <w:p>
      <w:pPr>
        <w:pStyle w:val="BodyText"/>
      </w:pPr>
      <w:r>
        <w:t xml:space="preserve">(See Supporting study for the</w:t>
      </w:r>
      <w:r>
        <w:t xml:space="preserve"> </w:t>
      </w:r>
      <w:r>
        <w:t xml:space="preserve">impact assessment of the CPR</w:t>
      </w:r>
      <w:r>
        <w:t xml:space="preserve"> </w:t>
      </w:r>
      <w:r>
        <w:t xml:space="preserve">Review – Final report, 2021,</w:t>
      </w:r>
      <w:r>
        <w:t xml:space="preserve"> </w:t>
      </w:r>
      <w:r>
        <w:t xml:space="preserve">Page 49, Table 23)</w:t>
      </w:r>
      <w:r>
        <w:t xml:space="preserve"> </w:t>
      </w:r>
      <w:r>
        <w:t xml:space="preserve">4) Assess alternative options and mitigating measures</w:t>
      </w:r>
    </w:p>
    <w:p>
      <w:pPr>
        <w:pStyle w:val="BodyText"/>
      </w:pPr>
      <w:r>
        <w:t xml:space="preserve"> Across all the options (except option E), there was a</w:t>
      </w:r>
      <w:r>
        <w:t xml:space="preserve"> </w:t>
      </w:r>
      <w:r>
        <w:t xml:space="preserve">notable positive effect on SMEs with respect to</w:t>
      </w:r>
      <w:r>
        <w:t xml:space="preserve"> </w:t>
      </w:r>
      <w:r>
        <w:t xml:space="preserve">competitiveness. As revealed by the 33 respondents who</w:t>
      </w:r>
      <w:r>
        <w:t xml:space="preserve"> </w:t>
      </w:r>
      <w:r>
        <w:t xml:space="preserve">preferred option B compared to the baseline option, the</w:t>
      </w:r>
      <w:r>
        <w:t xml:space="preserve"> </w:t>
      </w:r>
      <w:r>
        <w:t xml:space="preserve">largest expected impact was an increase in the</w:t>
      </w:r>
      <w:r>
        <w:t xml:space="preserve"> </w:t>
      </w:r>
      <w:r>
        <w:t xml:space="preserve">competitiveness of SME manufacturers of</w:t>
      </w:r>
      <w:r>
        <w:t xml:space="preserve"> </w:t>
      </w:r>
      <w:r>
        <w:t xml:space="preserve">construction products vis-à-vis large manufacturers.</w:t>
      </w:r>
    </w:p>
    <w:p>
      <w:pPr>
        <w:pStyle w:val="BodyText"/>
      </w:pPr>
      <w:r>
        <w:t xml:space="preserve"> Similarly, of the 5 respondents that selected option C2</w:t>
      </w:r>
      <w:r>
        <w:t xml:space="preserve"> </w:t>
      </w:r>
      <w:r>
        <w:t xml:space="preserve">(same as option B for the core areas covered by the CPR,</w:t>
      </w:r>
      <w:r>
        <w:t xml:space="preserve"> </w:t>
      </w:r>
      <w:r>
        <w:t xml:space="preserve">but national requirements fully allowed for construction</w:t>
      </w:r>
      <w:r>
        <w:t xml:space="preserve"> </w:t>
      </w:r>
      <w:r>
        <w:t xml:space="preserve">products outside the core areas) as preferred, the largest</w:t>
      </w:r>
      <w:r>
        <w:t xml:space="preserve"> </w:t>
      </w:r>
      <w:r>
        <w:t xml:space="preserve">impacts were expected for SME manufacturers’</w:t>
      </w:r>
      <w:r>
        <w:t xml:space="preserve"> </w:t>
      </w:r>
      <w:r>
        <w:t xml:space="preserve">competitiveness vis-à-vis larger manufacturers.</w:t>
      </w:r>
    </w:p>
    <w:p>
      <w:pPr>
        <w:pStyle w:val="BodyText"/>
      </w:pPr>
      <w:r>
        <w:t xml:space="preserve"> Additionally, among manufacturers, the largest</w:t>
      </w:r>
      <w:r>
        <w:t xml:space="preserve"> </w:t>
      </w:r>
      <w:r>
        <w:t xml:space="preserve">decrease in the administrative burden was expected</w:t>
      </w:r>
      <w:r>
        <w:t xml:space="preserve"> </w:t>
      </w:r>
      <w:r>
        <w:t xml:space="preserve">by the 3-5 respondents who selected option C2 as</w:t>
      </w:r>
      <w:r>
        <w:t xml:space="preserve"> </w:t>
      </w:r>
      <w:r>
        <w:t xml:space="preserve">preferred. In particular, of the 3 respondents that selected</w:t>
      </w:r>
      <w:r>
        <w:t xml:space="preserve"> </w:t>
      </w:r>
      <w:r>
        <w:t xml:space="preserve">option C3 (where Member States would be allowed to</w:t>
      </w:r>
      <w:r>
        <w:t xml:space="preserve"> </w:t>
      </w:r>
      <w:r>
        <w:t xml:space="preserve">offer alternative paths to market access not based on the</w:t>
      </w:r>
      <w:r>
        <w:t xml:space="preserve"> </w:t>
      </w:r>
      <w:r>
        <w:t xml:space="preserve">common technical language), the largest impacts were</w:t>
      </w:r>
      <w:r>
        <w:t xml:space="preserve"> </w:t>
      </w:r>
      <w:r>
        <w:t xml:space="preserve">expected for safety of construction products,</w:t>
      </w:r>
      <w:r>
        <w:t xml:space="preserve"> </w:t>
      </w:r>
      <w:r>
        <w:t xml:space="preserve">construction product innovation and competition among</w:t>
      </w:r>
      <w:r>
        <w:t xml:space="preserve"> </w:t>
      </w:r>
      <w:r>
        <w:t xml:space="preserve">manufacturers of construction products.</w:t>
      </w:r>
    </w:p>
    <w:p>
      <w:pPr>
        <w:pStyle w:val="BodyText"/>
      </w:pPr>
      <w:r>
        <w:t xml:space="preserve"> Above all, option D was expected to lead to the largest</w:t>
      </w:r>
      <w:r>
        <w:t xml:space="preserve"> </w:t>
      </w:r>
      <w:r>
        <w:t xml:space="preserve">increase in competitiveness of SME manufacturers.</w:t>
      </w:r>
      <w:r>
        <w:t xml:space="preserve"> </w:t>
      </w:r>
      <w:r>
        <w:t xml:space="preserve">Across all option, the expected impacts on SME</w:t>
      </w:r>
      <w:r>
        <w:t xml:space="preserve"> </w:t>
      </w:r>
      <w:r>
        <w:t xml:space="preserve">competitiveness were lower than the expected impacts</w:t>
      </w:r>
      <w:r>
        <w:t xml:space="preserve"> </w:t>
      </w:r>
      <w:r>
        <w:t xml:space="preserve">on e.g. construction product safety, innovation,</w:t>
      </w:r>
      <w:r>
        <w:t xml:space="preserve"> </w:t>
      </w:r>
      <w:r>
        <w:t xml:space="preserve">competition and intra-Single Market cross-border trade.</w:t>
      </w:r>
    </w:p>
    <w:p>
      <w:pPr>
        <w:pStyle w:val="BodyText"/>
      </w:pPr>
      <w:r>
        <w:t xml:space="preserve">(See Supporting study for the</w:t>
      </w:r>
      <w:r>
        <w:t xml:space="preserve"> </w:t>
      </w:r>
      <w:r>
        <w:t xml:space="preserve">impact assessment of the CPR</w:t>
      </w:r>
      <w:r>
        <w:t xml:space="preserve"> </w:t>
      </w:r>
      <w:r>
        <w:t xml:space="preserve">Review – Final report, 2021,</w:t>
      </w:r>
      <w:r>
        <w:t xml:space="preserve"> </w:t>
      </w:r>
      <w:r>
        <w:t xml:space="preserve">Annexes, Second Progress</w:t>
      </w:r>
      <w:r>
        <w:t xml:space="preserve"> </w:t>
      </w:r>
      <w:r>
        <w:t xml:space="preserve">report, page 70)</w:t>
      </w:r>
    </w:p>
    <w:p>
      <w:pPr>
        <w:pStyle w:val="BodyText"/>
      </w:pPr>
      <w:r>
        <w:t xml:space="preserve">(See Supporting study for the</w:t>
      </w:r>
      <w:r>
        <w:t xml:space="preserve"> </w:t>
      </w:r>
      <w:r>
        <w:t xml:space="preserve">impact assessment of the CPR</w:t>
      </w:r>
      <w:r>
        <w:t xml:space="preserve"> </w:t>
      </w:r>
      <w:r>
        <w:t xml:space="preserve">Review – Final report, 2021,</w:t>
      </w:r>
      <w:r>
        <w:t xml:space="preserve"> </w:t>
      </w:r>
      <w:r>
        <w:t xml:space="preserve">Annexes, Second Progress</w:t>
      </w:r>
      <w:r>
        <w:t xml:space="preserve"> </w:t>
      </w:r>
      <w:r>
        <w:t xml:space="preserve">report, page 42)</w:t>
      </w:r>
    </w:p>
    <w:p>
      <w:pPr>
        <w:pStyle w:val="BodyText"/>
      </w:pPr>
      <w:r>
        <w:t xml:space="preserve">(See Supporting study for the</w:t>
      </w:r>
      <w:r>
        <w:t xml:space="preserve"> </w:t>
      </w:r>
      <w:r>
        <w:t xml:space="preserve">impact assessment of the CPR</w:t>
      </w:r>
      <w:r>
        <w:t xml:space="preserve"> </w:t>
      </w:r>
      <w:r>
        <w:t xml:space="preserve">Review – Final report, 2021,</w:t>
      </w:r>
      <w:r>
        <w:t xml:space="preserve"> </w:t>
      </w:r>
      <w:r>
        <w:t xml:space="preserve">Annexes, Second Progress</w:t>
      </w:r>
      <w:r>
        <w:t xml:space="preserve"> </w:t>
      </w:r>
      <w:r>
        <w:t xml:space="preserve">report, page 42, 86)</w:t>
      </w:r>
    </w:p>
    <w:p>
      <w:pPr>
        <w:pStyle w:val="BodyText"/>
      </w:pPr>
      <w:r>
        <w:t xml:space="preserve">(See Supporting study for the</w:t>
      </w:r>
      <w:r>
        <w:t xml:space="preserve"> </w:t>
      </w:r>
      <w:r>
        <w:t xml:space="preserve">impact assessment of the CPR</w:t>
      </w:r>
      <w:r>
        <w:t xml:space="preserve"> </w:t>
      </w:r>
      <w:r>
        <w:t xml:space="preserve">Review – Final report, 2021,</w:t>
      </w:r>
      <w:r>
        <w:t xml:space="preserve"> </w:t>
      </w:r>
      <w:r>
        <w:t xml:space="preserve">Annexes, Second Progress</w:t>
      </w:r>
      <w:r>
        <w:t xml:space="preserve"> </w:t>
      </w:r>
      <w:r>
        <w:t xml:space="preserve">report, page 95)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 Furthermore, Option D would allow for the introduction</w:t>
      </w:r>
      <w:r>
        <w:t xml:space="preserve"> </w:t>
      </w:r>
      <w:r>
        <w:t xml:space="preserve">of mandatory environmental requirements, which would</w:t>
      </w:r>
      <w:r>
        <w:t xml:space="preserve"> </w:t>
      </w:r>
      <w:r>
        <w:t xml:space="preserve">not only improve the sustainability and durability of</w:t>
      </w:r>
      <w:r>
        <w:t xml:space="preserve"> </w:t>
      </w:r>
      <w:r>
        <w:t xml:space="preserve">construction products, but would act as a driver for</w:t>
      </w:r>
      <w:r>
        <w:t xml:space="preserve"> </w:t>
      </w:r>
      <w:r>
        <w:t xml:space="preserve">innovation and improve competition by creating a more</w:t>
      </w:r>
      <w:r>
        <w:t xml:space="preserve"> </w:t>
      </w:r>
      <w:r>
        <w:t xml:space="preserve">level playing field for low-carbon, alternative</w:t>
      </w:r>
      <w:r>
        <w:t xml:space="preserve"> </w:t>
      </w:r>
      <w:r>
        <w:t xml:space="preserve">construction products (which may often be developed</w:t>
      </w:r>
      <w:r>
        <w:t xml:space="preserve"> </w:t>
      </w:r>
      <w:r>
        <w:t xml:space="preserve">by SMEs, thereby improving their competitiveness</w:t>
      </w:r>
      <w:r>
        <w:t xml:space="preserve"> </w:t>
      </w:r>
      <w:r>
        <w:t xml:space="preserve">vis-à-vis larger manufacturers).</w:t>
      </w:r>
    </w:p>
    <w:p>
      <w:pPr>
        <w:pStyle w:val="BodyText"/>
      </w:pPr>
      <w:r>
        <w:t xml:space="preserve"> Looking at the respondents that preferred option D (EU-</w:t>
      </w:r>
      <w:r>
        <w:t xml:space="preserve"> </w:t>
      </w:r>
      <w:r>
        <w:t xml:space="preserve">wide construction product requirements, and national</w:t>
      </w:r>
      <w:r>
        <w:t xml:space="preserve"> </w:t>
      </w:r>
      <w:r>
        <w:t xml:space="preserve">requirements only allowed where the EU had not fully</w:t>
      </w:r>
      <w:r>
        <w:t xml:space="preserve"> </w:t>
      </w:r>
      <w:r>
        <w:t xml:space="preserve">harmonised requirements), 16 out of them, the largest</w:t>
      </w:r>
      <w:r>
        <w:t xml:space="preserve"> </w:t>
      </w:r>
      <w:r>
        <w:t xml:space="preserve">impacts expected were a higher safety of construction</w:t>
      </w:r>
      <w:r>
        <w:t xml:space="preserve"> </w:t>
      </w:r>
      <w:r>
        <w:t xml:space="preserve">products, and better compliance with relevant rules and</w:t>
      </w:r>
      <w:r>
        <w:t xml:space="preserve"> </w:t>
      </w:r>
      <w:r>
        <w:t xml:space="preserve">regulations, more cross-border trade of construction</w:t>
      </w:r>
      <w:r>
        <w:t xml:space="preserve"> </w:t>
      </w:r>
      <w:r>
        <w:t xml:space="preserve">products in the EU Single Market, as well as the higher</w:t>
      </w:r>
      <w:r>
        <w:t xml:space="preserve"> </w:t>
      </w:r>
      <w:r>
        <w:t xml:space="preserve">competitiveness of SME manufacturers of</w:t>
      </w:r>
      <w:r>
        <w:t xml:space="preserve"> </w:t>
      </w:r>
      <w:r>
        <w:t xml:space="preserve">construction products vis-à-vis large manufacturers.</w:t>
      </w:r>
    </w:p>
    <w:p>
      <w:pPr>
        <w:pStyle w:val="BodyText"/>
      </w:pPr>
      <w:r>
        <w:t xml:space="preserve"> In the same line, option D was expected to lead to a</w:t>
      </w:r>
      <w:r>
        <w:t xml:space="preserve"> </w:t>
      </w:r>
      <w:r>
        <w:t xml:space="preserve">very slight decrease in the administrative burden,</w:t>
      </w:r>
      <w:r>
        <w:t xml:space="preserve"> </w:t>
      </w:r>
      <w:r>
        <w:t xml:space="preserve">among small manufacturers.</w:t>
      </w:r>
    </w:p>
    <w:p>
      <w:pPr>
        <w:pStyle w:val="BodyText"/>
      </w:pPr>
      <w:r>
        <w:t xml:space="preserve"> Option D foresaw the possibility for the Member States</w:t>
      </w:r>
      <w:r>
        <w:t xml:space="preserve"> </w:t>
      </w:r>
      <w:r>
        <w:t xml:space="preserve">to exclude certain microenterprises from the</w:t>
      </w:r>
      <w:r>
        <w:t xml:space="preserve"> </w:t>
      </w:r>
      <w:r>
        <w:t xml:space="preserve">obligations of the CPR, when they did not trade across</w:t>
      </w:r>
      <w:r>
        <w:t xml:space="preserve"> </w:t>
      </w:r>
      <w:r>
        <w:t xml:space="preserve">the borders.</w:t>
      </w:r>
    </w:p>
    <w:p>
      <w:pPr>
        <w:pStyle w:val="BodyText"/>
      </w:pPr>
      <w:r>
        <w:t xml:space="preserve"> Finally, out of the 3 respondents preferring option E</w:t>
      </w:r>
      <w:r>
        <w:t xml:space="preserve"> </w:t>
      </w:r>
      <w:r>
        <w:t xml:space="preserve">(market surveillance up to each Member State and</w:t>
      </w:r>
      <w:r>
        <w:t xml:space="preserve"> </w:t>
      </w:r>
      <w:r>
        <w:t xml:space="preserve">according to national rules and procedures), the largest</w:t>
      </w:r>
      <w:r>
        <w:t xml:space="preserve"> </w:t>
      </w:r>
      <w:r>
        <w:t xml:space="preserve">expected impact was a decrease in the</w:t>
      </w:r>
      <w:r>
        <w:t xml:space="preserve"> </w:t>
      </w:r>
      <w:r>
        <w:t xml:space="preserve">competitiveness of SME manufacturers of</w:t>
      </w:r>
      <w:r>
        <w:t xml:space="preserve"> </w:t>
      </w:r>
      <w:r>
        <w:t xml:space="preserve">construction products vis-à-vis large manufacturers,</w:t>
      </w:r>
      <w:r>
        <w:t xml:space="preserve"> </w:t>
      </w:r>
      <w:r>
        <w:t xml:space="preserve">as well as a decrease in the administrative burden. On</w:t>
      </w:r>
      <w:r>
        <w:t xml:space="preserve"> </w:t>
      </w:r>
      <w:r>
        <w:t xml:space="preserve">one hand, out of the 5 respondents preferring option E,</w:t>
      </w:r>
      <w:r>
        <w:t xml:space="preserve"> </w:t>
      </w:r>
      <w:r>
        <w:t xml:space="preserve">the largest expected impacts were an increase in</w:t>
      </w:r>
      <w:r>
        <w:t xml:space="preserve"> </w:t>
      </w:r>
      <w:r>
        <w:t xml:space="preserve">competition among manufacturers of construction</w:t>
      </w:r>
      <w:r>
        <w:t xml:space="preserve"> </w:t>
      </w:r>
      <w:r>
        <w:t xml:space="preserve">products and cross-border trade of construction</w:t>
      </w:r>
      <w:r>
        <w:t xml:space="preserve"> </w:t>
      </w:r>
      <w:r>
        <w:t xml:space="preserve">products in the EU Single Market. However, they also</w:t>
      </w:r>
      <w:r>
        <w:t xml:space="preserve"> </w:t>
      </w:r>
      <w:r>
        <w:t xml:space="preserve">expected it to lead to a decrease in economic actors’</w:t>
      </w:r>
    </w:p>
    <w:p>
      <w:pPr>
        <w:pStyle w:val="BodyText"/>
      </w:pPr>
      <w:r>
        <w:t xml:space="preserve">(See Supporting study for the</w:t>
      </w:r>
      <w:r>
        <w:t xml:space="preserve"> </w:t>
      </w:r>
      <w:r>
        <w:t xml:space="preserve">impact assessment of the CPR</w:t>
      </w:r>
      <w:r>
        <w:t xml:space="preserve"> </w:t>
      </w:r>
      <w:r>
        <w:t xml:space="preserve">Review – Final report, 2021,</w:t>
      </w:r>
      <w:r>
        <w:t xml:space="preserve"> </w:t>
      </w:r>
      <w:r>
        <w:t xml:space="preserve">Annexes, First findings report,</w:t>
      </w:r>
      <w:r>
        <w:t xml:space="preserve"> </w:t>
      </w:r>
      <w:r>
        <w:t xml:space="preserve">page 29)</w:t>
      </w:r>
    </w:p>
    <w:p>
      <w:pPr>
        <w:pStyle w:val="BodyText"/>
      </w:pPr>
      <w:r>
        <w:t xml:space="preserve">(See Supporting study for the</w:t>
      </w:r>
      <w:r>
        <w:t xml:space="preserve"> </w:t>
      </w:r>
      <w:r>
        <w:t xml:space="preserve">impact assessment of the CPR</w:t>
      </w:r>
      <w:r>
        <w:t xml:space="preserve"> </w:t>
      </w:r>
      <w:r>
        <w:t xml:space="preserve">Review – Final report, 2021,</w:t>
      </w:r>
      <w:r>
        <w:t xml:space="preserve"> </w:t>
      </w:r>
      <w:r>
        <w:t xml:space="preserve">Annexes, Second Progress</w:t>
      </w:r>
      <w:r>
        <w:t xml:space="preserve"> </w:t>
      </w:r>
      <w:r>
        <w:t xml:space="preserve">report, page 25)</w:t>
      </w:r>
    </w:p>
    <w:p>
      <w:pPr>
        <w:pStyle w:val="BodyText"/>
      </w:pPr>
      <w:r>
        <w:t xml:space="preserve">(See Supporting study for the</w:t>
      </w:r>
      <w:r>
        <w:t xml:space="preserve"> </w:t>
      </w:r>
      <w:r>
        <w:t xml:space="preserve">impact assessment of the CPR</w:t>
      </w:r>
      <w:r>
        <w:t xml:space="preserve"> </w:t>
      </w:r>
      <w:r>
        <w:t xml:space="preserve">Review – Final report, 2021,</w:t>
      </w:r>
      <w:r>
        <w:t xml:space="preserve"> </w:t>
      </w:r>
      <w:r>
        <w:t xml:space="preserve">Annexes, First findings report,</w:t>
      </w:r>
      <w:r>
        <w:t xml:space="preserve"> </w:t>
      </w:r>
      <w:r>
        <w:t xml:space="preserve">page 29)</w:t>
      </w:r>
      <w:r>
        <w:t xml:space="preserve"> </w:t>
      </w:r>
      <w:r>
        <w:t xml:space="preserve">(See Supporting study for the</w:t>
      </w:r>
      <w:r>
        <w:t xml:space="preserve"> </w:t>
      </w:r>
      <w:r>
        <w:t xml:space="preserve">impact assessment of the CPR</w:t>
      </w:r>
      <w:r>
        <w:t xml:space="preserve"> </w:t>
      </w:r>
      <w:r>
        <w:t xml:space="preserve">Review – Final report, 2021,</w:t>
      </w:r>
      <w:r>
        <w:t xml:space="preserve"> </w:t>
      </w:r>
      <w:r>
        <w:t xml:space="preserve">Annexes, First findings report,</w:t>
      </w:r>
      <w:r>
        <w:t xml:space="preserve"> </w:t>
      </w:r>
      <w:r>
        <w:t xml:space="preserve">page 43, 44)</w:t>
      </w:r>
    </w:p>
    <w:p>
      <w:pPr>
        <w:pStyle w:val="BodyText"/>
      </w:pPr>
      <w:r>
        <w:t xml:space="preserve">(See Supporting study for the</w:t>
      </w:r>
      <w:r>
        <w:t xml:space="preserve"> </w:t>
      </w:r>
      <w:r>
        <w:t xml:space="preserve">impact assessment of the CPR</w:t>
      </w:r>
      <w:r>
        <w:t xml:space="preserve"> </w:t>
      </w:r>
      <w:r>
        <w:t xml:space="preserve">Review – Final report, 2021,</w:t>
      </w:r>
      <w:r>
        <w:t xml:space="preserve"> </w:t>
      </w:r>
      <w:r>
        <w:t xml:space="preserve">Annexes, Second Progress</w:t>
      </w:r>
      <w:r>
        <w:t xml:space="preserve"> </w:t>
      </w:r>
      <w:r>
        <w:t xml:space="preserve">report, page 87)</w:t>
      </w:r>
    </w:p>
    <w:p>
      <w:pPr>
        <w:pStyle w:val="BodyText"/>
      </w:pPr>
      <w:r>
        <w:t xml:space="preserve">(See Supporting study for the</w:t>
      </w:r>
      <w:r>
        <w:t xml:space="preserve"> </w:t>
      </w:r>
      <w:r>
        <w:t xml:space="preserve">impact assessment of the CPR</w:t>
      </w:r>
      <w:r>
        <w:t xml:space="preserve"> </w:t>
      </w:r>
      <w:r>
        <w:t xml:space="preserve">Review – Final report, 2021,</w:t>
      </w:r>
      <w:r>
        <w:t xml:space="preserve"> </w:t>
      </w:r>
      <w:r>
        <w:t xml:space="preserve">Annexes, Second Progress</w:t>
      </w:r>
      <w:r>
        <w:t xml:space="preserve"> </w:t>
      </w:r>
      <w:r>
        <w:t xml:space="preserve">report, pages 54, 61, 67, 87)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compliance with relevant rules and regulations,</w:t>
      </w:r>
      <w:r>
        <w:t xml:space="preserve"> </w:t>
      </w:r>
      <w:r>
        <w:t xml:space="preserve">construction product durability and quality of the built</w:t>
      </w:r>
      <w:r>
        <w:t xml:space="preserve"> </w:t>
      </w:r>
      <w:r>
        <w:t xml:space="preserve">environment. On the other hand, the 3 respondents</w:t>
      </w:r>
      <w:r>
        <w:t xml:space="preserve"> </w:t>
      </w:r>
      <w:r>
        <w:t xml:space="preserve">preferring option E (no obligation for Member States to</w:t>
      </w:r>
      <w:r>
        <w:t xml:space="preserve"> </w:t>
      </w:r>
      <w:r>
        <w:t xml:space="preserve">administer PCPCs), expected decreases in</w:t>
      </w:r>
      <w:r>
        <w:t xml:space="preserve"> </w:t>
      </w:r>
      <w:r>
        <w:t xml:space="preserve">administrative burden, and SME manufacturer</w:t>
      </w:r>
      <w:r>
        <w:t xml:space="preserve"> </w:t>
      </w:r>
      <w:r>
        <w:t xml:space="preserve">competitiveness vis-à-vis large manufacturer.</w:t>
      </w:r>
    </w:p>
    <w:p>
      <w:pPr>
        <w:pStyle w:val="BodyText"/>
      </w:pPr>
      <w:r>
        <w:t xml:space="preserve">Table 11: Measurement of the impact on SMEs in million EUR per annum</w:t>
      </w:r>
      <w:r>
        <w:t xml:space="preserve"> </w:t>
      </w:r>
      <w:r>
        <w:t xml:space="preserve">OPTION</w:t>
      </w:r>
      <w:r>
        <w:t xml:space="preserve"> </w:t>
      </w:r>
      <w:r>
        <w:t xml:space="preserve">COSTS</w:t>
      </w:r>
      <w:r>
        <w:br/>
      </w:r>
      <w:r>
        <w:t xml:space="preserve">BENEFITS</w:t>
      </w:r>
      <w:r>
        <w:br/>
      </w:r>
      <w:r>
        <w:t xml:space="preserve">Option A (baseline)</w:t>
      </w:r>
      <w:r>
        <w:t xml:space="preserve"> </w:t>
      </w:r>
      <w:r>
        <w:t xml:space="preserve">0 (baseline)</w:t>
      </w:r>
      <w:r>
        <w:t xml:space="preserve"> </w:t>
      </w:r>
      <w:r>
        <w:t xml:space="preserve">0 (baseline)</w:t>
      </w:r>
      <w:r>
        <w:t xml:space="preserve"> </w:t>
      </w:r>
      <w:r>
        <w:t xml:space="preserve">Option B</w:t>
      </w:r>
      <w:r>
        <w:t xml:space="preserve"> </w:t>
      </w:r>
      <w:r>
        <w:t xml:space="preserve">↓ by 151</w:t>
      </w:r>
      <w:r>
        <w:br/>
      </w:r>
      <w:r>
        <w:t xml:space="preserve">↑ 2,166 (reduction in foregone</w:t>
      </w:r>
      <w:r>
        <w:t xml:space="preserve"> </w:t>
      </w:r>
      <w:r>
        <w:t xml:space="preserve">revenue for compliant producers)</w:t>
      </w:r>
      <w:r>
        <w:t xml:space="preserve"> </w:t>
      </w:r>
      <w:r>
        <w:t xml:space="preserve">Option C</w:t>
      </w:r>
      <w:r>
        <w:t xml:space="preserve"> </w:t>
      </w:r>
      <w:r>
        <w:t xml:space="preserve">↓ by 16</w:t>
      </w:r>
      <w:r>
        <w:br/>
      </w:r>
      <w:r>
        <w:t xml:space="preserve">↑ 2,166 (reduction in foregone</w:t>
      </w:r>
      <w:r>
        <w:t xml:space="preserve"> </w:t>
      </w:r>
      <w:r>
        <w:t xml:space="preserve">revenue for compliant producers)</w:t>
      </w:r>
      <w:r>
        <w:t xml:space="preserve"> </w:t>
      </w:r>
      <w:r>
        <w:t xml:space="preserve">Option D</w:t>
      </w:r>
      <w:r>
        <w:t xml:space="preserve"> </w:t>
      </w:r>
      <w:r>
        <w:t xml:space="preserve">↑ by 153</w:t>
      </w:r>
      <w:r>
        <w:br/>
      </w:r>
      <w:r>
        <w:t xml:space="preserve">↑ 2,166 (reduction in foregone</w:t>
      </w:r>
      <w:r>
        <w:t xml:space="preserve"> </w:t>
      </w:r>
      <w:r>
        <w:t xml:space="preserve">revenue for compliant producers)</w:t>
      </w:r>
      <w:r>
        <w:t xml:space="preserve"> </w:t>
      </w:r>
      <w:r>
        <w:t xml:space="preserve">Option E</w:t>
      </w:r>
      <w:r>
        <w:t xml:space="preserve"> </w:t>
      </w:r>
      <w:r>
        <w:t xml:space="preserve">↑ by 97</w:t>
      </w:r>
      <w:r>
        <w:br/>
      </w:r>
      <w:r>
        <w:t xml:space="preserve">↓ 4,803 (additional forgone</w:t>
      </w:r>
      <w:r>
        <w:t xml:space="preserve"> </w:t>
      </w:r>
      <w:r>
        <w:t xml:space="preserve">revenue for compliant producers)</w:t>
      </w:r>
    </w:p>
    <w:p>
      <w:pPr>
        <w:pStyle w:val="BodyText"/>
      </w:pPr>
      <w:r>
        <w:t xml:space="preserve">It should be noted that these figures are based on a rather limited number of replies in the context</w:t>
      </w:r>
      <w:r>
        <w:t xml:space="preserve"> </w:t>
      </w:r>
      <w:r>
        <w:t xml:space="preserve">of the supporting study and should therefore be considered best available estimates and be</w:t>
      </w:r>
      <w:r>
        <w:t xml:space="preserve"> </w:t>
      </w:r>
      <w:r>
        <w:t xml:space="preserve">considered with appropriate caution as regards their accuracy.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ANNEX 6: DESCRIPTION OF THE CPR FRAMEWORK</w:t>
      </w:r>
      <w:r>
        <w:t xml:space="preserve"> </w:t>
      </w:r>
      <w:r>
        <w:t xml:space="preserve">The overarching objective of EU legislation on construction products is to ‘achieve the proper</w:t>
      </w:r>
      <w:r>
        <w:t xml:space="preserve"> </w:t>
      </w:r>
      <w:r>
        <w:t xml:space="preserve">functioning of the Internal Market for construction products’ (Recital 58 of the Construction</w:t>
      </w:r>
      <w:r>
        <w:t xml:space="preserve"> </w:t>
      </w:r>
      <w:r>
        <w:t xml:space="preserve">Products Regulation, CPR).</w:t>
      </w:r>
      <w:r>
        <w:t xml:space="preserve"> </w:t>
      </w:r>
      <w:r>
        <w:t xml:space="preserve">With respect to the division of powers between the EU and Member States, construction is a</w:t>
      </w:r>
      <w:r>
        <w:t xml:space="preserve"> </w:t>
      </w:r>
      <w:r>
        <w:t xml:space="preserve">field of clearly identified subsidiarity. Member States have exclusive competence for building</w:t>
      </w:r>
      <w:r>
        <w:t xml:space="preserve"> </w:t>
      </w:r>
      <w:r>
        <w:t xml:space="preserve">regulations (i.e. the rules on design and construction of buildings and civil works), while EU</w:t>
      </w:r>
      <w:r>
        <w:t xml:space="preserve"> </w:t>
      </w:r>
      <w:r>
        <w:t xml:space="preserve">legislation is put in place to ensure free circulation in the internal market of the products used in</w:t>
      </w:r>
      <w:r>
        <w:t xml:space="preserve"> </w:t>
      </w:r>
      <w:r>
        <w:t xml:space="preserve">these buildings and civil works. Member States retain full control of construction design rules in</w:t>
      </w:r>
      <w:r>
        <w:t xml:space="preserve"> </w:t>
      </w:r>
      <w:r>
        <w:t xml:space="preserve">their respective territories, relating in particular to public safety and security, energy efficiency</w:t>
      </w:r>
      <w:r>
        <w:t xml:space="preserve"> </w:t>
      </w:r>
      <w:r>
        <w:t xml:space="preserve">and the protection of workers.</w:t>
      </w:r>
      <w:r>
        <w:t xml:space="preserve"> </w:t>
      </w:r>
      <w:r>
        <w:t xml:space="preserve">The system set up first by the Construction Products Directive (CPD) and then the CPR aims to</w:t>
      </w:r>
      <w:r>
        <w:t xml:space="preserve"> </w:t>
      </w:r>
      <w:r>
        <w:t xml:space="preserve">put in place conditions for the proper functioning of the internal market for construction</w:t>
      </w:r>
      <w:r>
        <w:t xml:space="preserve"> </w:t>
      </w:r>
      <w:r>
        <w:t xml:space="preserve">products. In practical terms, this means allowing construction products legally placed on the</w:t>
      </w:r>
      <w:r>
        <w:t xml:space="preserve"> </w:t>
      </w:r>
      <w:r>
        <w:t xml:space="preserve">market in one Member State (i.e. made available on the EU market for the first time) to be</w:t>
      </w:r>
      <w:r>
        <w:t xml:space="preserve"> </w:t>
      </w:r>
      <w:r>
        <w:t xml:space="preserve">marketed on the territory of any other Member State.</w:t>
      </w:r>
      <w:r>
        <w:t xml:space="preserve"> </w:t>
      </w:r>
      <w:r>
        <w:t xml:space="preserve">This does not, however, guarantee that a product bearing the CE marking can systematically be</w:t>
      </w:r>
      <w:r>
        <w:t xml:space="preserve"> </w:t>
      </w:r>
      <w:r>
        <w:t xml:space="preserve">used (i.e. incorporated in construction works) in every Member State. This is because the</w:t>
      </w:r>
      <w:r>
        <w:t xml:space="preserve"> </w:t>
      </w:r>
      <w:r>
        <w:t xml:space="preserve">legislation on construction works and civil engineering works remains broadly a competence of</w:t>
      </w:r>
      <w:r>
        <w:t xml:space="preserve"> </w:t>
      </w:r>
      <w:r>
        <w:t xml:space="preserve">Member States, exercised at national, regional or even local level, in accordance with relevant</w:t>
      </w:r>
      <w:r>
        <w:t xml:space="preserve"> </w:t>
      </w:r>
      <w:r>
        <w:t xml:space="preserve">secondary EU law186 and Articles 49 and 56 TFEU.</w:t>
      </w:r>
      <w:r>
        <w:t xml:space="preserve"> </w:t>
      </w:r>
      <w:r>
        <w:t xml:space="preserve">The CPR is different from ‘New Legislative Framework’ (NLF) legislation in that it harmonises</w:t>
      </w:r>
      <w:r>
        <w:t xml:space="preserve"> </w:t>
      </w:r>
      <w:r>
        <w:t xml:space="preserve">only the assessment methods of product performance, and does not set EU-wide requirements for</w:t>
      </w:r>
      <w:r>
        <w:t xml:space="preserve"> </w:t>
      </w:r>
      <w:r>
        <w:t xml:space="preserve">construction products. Responsibilities are shared between the EU, which regulates the placing</w:t>
      </w:r>
      <w:r>
        <w:t xml:space="preserve"> </w:t>
      </w:r>
      <w:r>
        <w:t xml:space="preserve">on the market of these products, and the Member States, which set rules on the products’ use that</w:t>
      </w:r>
      <w:r>
        <w:t xml:space="preserve"> </w:t>
      </w:r>
      <w:r>
        <w:t xml:space="preserve">can imply performance requirements. To ensure that these requirements are based on the same</w:t>
      </w:r>
      <w:r>
        <w:t xml:space="preserve"> </w:t>
      </w:r>
      <w:r>
        <w:t xml:space="preserve">assessment methods, the harmonised standards are mandatory, unlike the general situation under</w:t>
      </w:r>
      <w:r>
        <w:t xml:space="preserve"> </w:t>
      </w:r>
      <w:r>
        <w:t xml:space="preserve">the NLF. The standards’ mandatory use reinforces the necessity for them to be of high quality</w:t>
      </w:r>
      <w:r>
        <w:t xml:space="preserve"> </w:t>
      </w:r>
      <w:r>
        <w:t xml:space="preserve">and to respond swiftly to the needs of stakeholders and Member States.</w:t>
      </w:r>
      <w:r>
        <w:t xml:space="preserve"> </w:t>
      </w:r>
      <w:r>
        <w:t xml:space="preserve">Harmonised conditions for the marketing of construction products are established by</w:t>
      </w:r>
      <w:r>
        <w:t xml:space="preserve"> </w:t>
      </w:r>
      <w:r>
        <w:t xml:space="preserve">harmonising information about the performance of construction products (in relation to Basic</w:t>
      </w:r>
      <w:r>
        <w:t xml:space="preserve"> </w:t>
      </w:r>
      <w:r>
        <w:t xml:space="preserve">Work Requirements). This differs from the approach under most EU products directives, which</w:t>
      </w:r>
      <w:r>
        <w:t xml:space="preserve"> </w:t>
      </w:r>
      <w:r>
        <w:t xml:space="preserve">is to harmonise the products themselves or their requirements.</w:t>
      </w:r>
      <w:r>
        <w:t xml:space="preserve"> </w:t>
      </w:r>
      <w:r>
        <w:t xml:space="preserve">The aim of the common technical language created under the CPR is to enable assessment of the</w:t>
      </w:r>
      <w:r>
        <w:t xml:space="preserve"> </w:t>
      </w:r>
      <w:r>
        <w:t xml:space="preserve">performance of construction products. This ensures the availability of reliable information on the</w:t>
      </w:r>
      <w:r>
        <w:t xml:space="preserve"> </w:t>
      </w:r>
      <w:r>
        <w:t xml:space="preserve">performance of construction products (for professionals, public authorities and consumers) and</w:t>
      </w:r>
      <w:r>
        <w:t xml:space="preserve"> </w:t>
      </w:r>
      <w:r>
        <w:t xml:space="preserve">makes it possible to compare the performance of products from different manufacturers in</w:t>
      </w:r>
      <w:r>
        <w:t xml:space="preserve"> </w:t>
      </w:r>
      <w:r>
        <w:t xml:space="preserve">different countries.</w:t>
      </w:r>
    </w:p>
    <w:p>
      <w:pPr>
        <w:pStyle w:val="BodyText"/>
      </w:pPr>
      <w:r>
        <w:t xml:space="preserve">186 Among others the Services Directive, 2006/123/EC, and its Article 16(2)(f).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The common technical language consists of harmonised technical specifications, i.e. harmonised</w:t>
      </w:r>
      <w:r>
        <w:t xml:space="preserve"> </w:t>
      </w:r>
      <w:r>
        <w:t xml:space="preserve">European standards and European Assessment Documents (EADs), which are the alternative</w:t>
      </w:r>
      <w:r>
        <w:t xml:space="preserve"> </w:t>
      </w:r>
      <w:r>
        <w:t xml:space="preserve">offered for products not (fully) covered by harmonised standards. The common technical</w:t>
      </w:r>
      <w:r>
        <w:t xml:space="preserve"> </w:t>
      </w:r>
      <w:r>
        <w:t xml:space="preserve">language enables: (i) regulatory authorities in EU countries to define legal requirements</w:t>
      </w:r>
      <w:r>
        <w:t xml:space="preserve"> </w:t>
      </w:r>
      <w:r>
        <w:t xml:space="preserve">applicable to construction works; (ii) manufacturers to draw up the declaration of performance</w:t>
      </w:r>
      <w:r>
        <w:t xml:space="preserve"> </w:t>
      </w:r>
      <w:r>
        <w:t xml:space="preserve">(DoP) as defined in the CPR and to affix the CE marking; and (iii) design engineers and</w:t>
      </w:r>
      <w:r>
        <w:t xml:space="preserve"> </w:t>
      </w:r>
      <w:r>
        <w:t xml:space="preserve">contractors to ensure compliance with national legal requirements and to meet demands from</w:t>
      </w:r>
      <w:r>
        <w:t xml:space="preserve"> </w:t>
      </w:r>
      <w:r>
        <w:t xml:space="preserve">their clients.</w:t>
      </w:r>
      <w:r>
        <w:t xml:space="preserve"> </w:t>
      </w:r>
      <w:r>
        <w:t xml:space="preserve">Harmonised European standards are drafted by CEN and, very exceptionally, Cenelec, on the</w:t>
      </w:r>
      <w:r>
        <w:t xml:space="preserve"> </w:t>
      </w:r>
      <w:r>
        <w:t xml:space="preserve">basis of standardisation requests/mandates issued by the Commission after consultation of the</w:t>
      </w:r>
      <w:r>
        <w:t xml:space="preserve"> </w:t>
      </w:r>
      <w:r>
        <w:t xml:space="preserve">Standing Committee on Construction187. These requests are drawn up by the European</w:t>
      </w:r>
      <w:r>
        <w:t xml:space="preserve"> </w:t>
      </w:r>
      <w:r>
        <w:t xml:space="preserve">Commission, taking into account the requirements of Member States and the information needs</w:t>
      </w:r>
      <w:r>
        <w:t xml:space="preserve"> </w:t>
      </w:r>
      <w:r>
        <w:t xml:space="preserve">expressed by the industry and other construction stakeholders. Standards are drafted by the</w:t>
      </w:r>
      <w:r>
        <w:t xml:space="preserve"> </w:t>
      </w:r>
      <w:r>
        <w:t xml:space="preserve">relevant CEN technical committee and submitted for internal CEN approval procedures. They</w:t>
      </w:r>
      <w:r>
        <w:t xml:space="preserve"> </w:t>
      </w:r>
      <w:r>
        <w:t xml:space="preserve">are then submitted to the Commission for citation in the Official Journal of the European Union.</w:t>
      </w:r>
      <w:r>
        <w:t xml:space="preserve"> </w:t>
      </w:r>
      <w:r>
        <w:t xml:space="preserve">Article 17(5) of the CPR provides for the Commission to assess the conformity of the</w:t>
      </w:r>
      <w:r>
        <w:t xml:space="preserve"> </w:t>
      </w:r>
      <w:r>
        <w:t xml:space="preserve">harmonised standards within the mandates, a provision that did not exist in the CPD; this</w:t>
      </w:r>
      <w:r>
        <w:t xml:space="preserve"> </w:t>
      </w:r>
      <w:r>
        <w:t xml:space="preserve">obligation was reinforced and extended by the 2012 Standardisation Regulation188. Once cited,</w:t>
      </w:r>
      <w:r>
        <w:t xml:space="preserve"> </w:t>
      </w:r>
      <w:r>
        <w:t xml:space="preserve">the standards become the official references for the assessment and declaration of performance</w:t>
      </w:r>
      <w:r>
        <w:t xml:space="preserve"> </w:t>
      </w:r>
      <w:r>
        <w:t xml:space="preserve">of the essential characteristics covered, and manufacturers are obliged to use them and CE mark</w:t>
      </w:r>
      <w:r>
        <w:t xml:space="preserve"> </w:t>
      </w:r>
      <w:r>
        <w:t xml:space="preserve">the products covered by harmonised standards.</w:t>
      </w:r>
      <w:r>
        <w:t xml:space="preserve"> </w:t>
      </w:r>
      <w:r>
        <w:t xml:space="preserve">Products not covered, or not fully covered by harmonised standards can be voluntarily CE</w:t>
      </w:r>
      <w:r>
        <w:t xml:space="preserve"> </w:t>
      </w:r>
      <w:r>
        <w:t xml:space="preserve">marked. The European Technical Assessment (ETA) is an alternative to standards for such</w:t>
      </w:r>
      <w:r>
        <w:t xml:space="preserve"> </w:t>
      </w:r>
      <w:r>
        <w:t xml:space="preserve">construction products: the manufacturer may request an ETA from a Technical Assessment Body</w:t>
      </w:r>
      <w:r>
        <w:t xml:space="preserve"> </w:t>
      </w:r>
      <w:r>
        <w:t xml:space="preserve">(TAB). The ETA is issued on the basis of a European Assessment Document (EAD). If the</w:t>
      </w:r>
      <w:r>
        <w:t xml:space="preserve"> </w:t>
      </w:r>
      <w:r>
        <w:t xml:space="preserve">product in question is already fully covered by an existing EAD, this will be used as the basis for</w:t>
      </w:r>
      <w:r>
        <w:t xml:space="preserve"> </w:t>
      </w:r>
      <w:r>
        <w:t xml:space="preserve">the ETA to be issued. When a manufacturer requests an ETA for its product and when no</w:t>
      </w:r>
      <w:r>
        <w:t xml:space="preserve"> </w:t>
      </w:r>
      <w:r>
        <w:t xml:space="preserve">relevant EAD exists, the TAB which has received the request draws up the work programme for</w:t>
      </w:r>
      <w:r>
        <w:t xml:space="preserve"> </w:t>
      </w:r>
      <w:r>
        <w:t xml:space="preserve">drafting the EAD, taking into account the essential characteristics relevant for the intended use</w:t>
      </w:r>
      <w:r>
        <w:t xml:space="preserve"> </w:t>
      </w:r>
      <w:r>
        <w:t xml:space="preserve">(See Figure 13).</w:t>
      </w:r>
      <w:r>
        <w:t xml:space="preserve"> </w:t>
      </w:r>
      <w:r>
        <w:t xml:space="preserve">Other construction products - those not covered or not fully covered by a harmonised standards</w:t>
      </w:r>
      <w:r>
        <w:t xml:space="preserve"> </w:t>
      </w:r>
      <w:r>
        <w:t xml:space="preserve">and not voluntarily CE marked - remain under the mutual recognition principle.</w:t>
      </w:r>
      <w:r>
        <w:t xml:space="preserve"> </w:t>
      </w:r>
      <w:r>
        <w:t xml:space="preserve">Annex I to the CPR lists the seven basic requirements for construction works (BWRs):</w:t>
      </w:r>
      <w:r>
        <w:t xml:space="preserve"> </w:t>
      </w:r>
      <w:r>
        <w:t xml:space="preserve">1. Mechanical resistance and stability;</w:t>
      </w:r>
      <w:r>
        <w:t xml:space="preserve"> </w:t>
      </w:r>
      <w:r>
        <w:t xml:space="preserve">2. Safety in case of fire;</w:t>
      </w:r>
      <w:r>
        <w:t xml:space="preserve"> </w:t>
      </w:r>
      <w:r>
        <w:t xml:space="preserve">3. Hygiene, health and the environment;</w:t>
      </w:r>
      <w:r>
        <w:t xml:space="preserve"> </w:t>
      </w:r>
      <w:r>
        <w:t xml:space="preserve">4. Safety and accessibility in use;</w:t>
      </w:r>
      <w:r>
        <w:t xml:space="preserve"> </w:t>
      </w:r>
      <w:r>
        <w:t xml:space="preserve">5. Protection against noise;</w:t>
      </w:r>
    </w:p>
    <w:p>
      <w:pPr>
        <w:pStyle w:val="BodyText"/>
      </w:pPr>
      <w:r>
        <w:t xml:space="preserve">187 In accordance with Article 17 of the CPR and with comitology procedures.</w:t>
      </w:r>
      <w:r>
        <w:t xml:space="preserve"> </w:t>
      </w:r>
      <w:r>
        <w:t xml:space="preserve">188 Article 10(6) of Regulation (EU) 1025/2012.</w:t>
      </w:r>
    </w:p>
    <w:p>
      <w:pPr>
        <w:pStyle w:val="BodyText"/>
      </w:pPr>
      <w:r>
        <w:t xml:space="preserve">98</w:t>
      </w:r>
    </w:p>
    <w:p>
      <w:pPr>
        <w:pStyle w:val="Compact"/>
        <w:numPr>
          <w:ilvl w:val="0"/>
          <w:numId w:val="1014"/>
        </w:numPr>
      </w:pPr>
      <w:r>
        <w:t xml:space="preserve">Energy economy and heat retention;</w:t>
      </w:r>
    </w:p>
    <w:p>
      <w:pPr>
        <w:pStyle w:val="Compact"/>
        <w:numPr>
          <w:ilvl w:val="0"/>
          <w:numId w:val="1014"/>
        </w:numPr>
      </w:pPr>
      <w:r>
        <w:t xml:space="preserve">Sustainable use of natural resources.</w:t>
      </w:r>
      <w:r>
        <w:t xml:space="preserve"> </w:t>
      </w:r>
      <w:r>
        <w:t xml:space="preserve">The seven Basic Work Requirements categorise the requirements that Member States may lay</w:t>
      </w:r>
      <w:r>
        <w:t xml:space="preserve"> </w:t>
      </w:r>
      <w:r>
        <w:t xml:space="preserve">down for construction works on their territory; they also circumscribe the sphere of</w:t>
      </w:r>
      <w:r>
        <w:t xml:space="preserve"> </w:t>
      </w:r>
      <w:r>
        <w:t xml:space="preserve">harmonisation for CPR purposes when defining essential characteristics of construction products.</w:t>
      </w:r>
      <w:r>
        <w:t xml:space="preserve"> </w:t>
      </w:r>
      <w:r>
        <w:t xml:space="preserve">The declaration of performance (DoP) is required for every construction product covered by a</w:t>
      </w:r>
      <w:r>
        <w:t xml:space="preserve"> </w:t>
      </w:r>
      <w:r>
        <w:t xml:space="preserve">European harmonised standard or for which an ETA has been issued. The DoP specifies the</w:t>
      </w:r>
      <w:r>
        <w:t xml:space="preserve"> </w:t>
      </w:r>
      <w:r>
        <w:t xml:space="preserve">product and the standard (or the EAD and the ETA) and contains information about the product’s</w:t>
      </w:r>
      <w:r>
        <w:t xml:space="preserve"> </w:t>
      </w:r>
      <w:r>
        <w:t xml:space="preserve">performance in relation to the essential characteristics set out in the applicable harmonised</w:t>
      </w:r>
      <w:r>
        <w:t xml:space="preserve"> </w:t>
      </w:r>
      <w:r>
        <w:t xml:space="preserve">technical specification (harmonised standard or EAD). A DoP should be supplied in the</w:t>
      </w:r>
      <w:r>
        <w:t xml:space="preserve"> </w:t>
      </w:r>
      <w:r>
        <w:t xml:space="preserve">language(s) of each Member State where the product is marketed — or another language decided</w:t>
      </w:r>
      <w:r>
        <w:t xml:space="preserve"> </w:t>
      </w:r>
      <w:r>
        <w:t xml:space="preserve">by that Member State.</w:t>
      </w:r>
      <w:r>
        <w:t xml:space="preserve"> </w:t>
      </w:r>
      <w:r>
        <w:t xml:space="preserve">Each construction product covered by a European harmonised standard, or for which an ETA has</w:t>
      </w:r>
      <w:r>
        <w:t xml:space="preserve"> </w:t>
      </w:r>
      <w:r>
        <w:t xml:space="preserve">been issued, must be CE marked. This marking indicates that the product is in conformity with</w:t>
      </w:r>
      <w:r>
        <w:t xml:space="preserve"> </w:t>
      </w:r>
      <w:r>
        <w:t xml:space="preserve">its declared performance, and that either it has been assessed according to a harmonised</w:t>
      </w:r>
      <w:r>
        <w:t xml:space="preserve"> </w:t>
      </w:r>
      <w:r>
        <w:t xml:space="preserve">European standard or an ETA has been issued for it.</w:t>
      </w:r>
      <w:r>
        <w:t xml:space="preserve"> </w:t>
      </w:r>
      <w:r>
        <w:t xml:space="preserve">The Member States are obliged to allow the marketing of CE-marked construction products</w:t>
      </w:r>
      <w:r>
        <w:t xml:space="preserve"> </w:t>
      </w:r>
      <w:r>
        <w:t xml:space="preserve">without requiring any additional marks, certificates or testing. Member States can, however, set</w:t>
      </w:r>
      <w:r>
        <w:t xml:space="preserve"> </w:t>
      </w:r>
      <w:r>
        <w:t xml:space="preserve">requirements on the use of such products in buildings and other construction works, using for</w:t>
      </w:r>
      <w:r>
        <w:t xml:space="preserve"> </w:t>
      </w:r>
      <w:r>
        <w:t xml:space="preserve">this purpose only the harmonised structure created by means of the CPR. This means that</w:t>
      </w:r>
      <w:r>
        <w:t xml:space="preserve"> </w:t>
      </w:r>
      <w:r>
        <w:t xml:space="preserve">Member States can specify for a particular use a certain performance value based on a</w:t>
      </w:r>
      <w:r>
        <w:t xml:space="preserve"> </w:t>
      </w:r>
      <w:r>
        <w:t xml:space="preserve">harmonised standard. However, they cannot request that it be tested by means other than those</w:t>
      </w:r>
      <w:r>
        <w:t xml:space="preserve"> </w:t>
      </w:r>
      <w:r>
        <w:t xml:space="preserve">set out under the standard or add any additional elements not covered by the standard.</w:t>
      </w:r>
      <w:r>
        <w:t xml:space="preserve"> </w:t>
      </w:r>
      <w:r>
        <w:t xml:space="preserve">Products covered by a harmonised standard may be exempted from the requirement to draw up a</w:t>
      </w:r>
      <w:r>
        <w:t xml:space="preserve"> </w:t>
      </w:r>
      <w:r>
        <w:t xml:space="preserve">DoP and affix the CE marking if: (i) they are individually manufactured/custom-made for a</w:t>
      </w:r>
      <w:r>
        <w:t xml:space="preserve"> </w:t>
      </w:r>
      <w:r>
        <w:t xml:space="preserve">given use; (ii) they are manufactured on the construction site; or (iii) the manufacturing is</w:t>
      </w:r>
      <w:r>
        <w:t xml:space="preserve"> </w:t>
      </w:r>
      <w:r>
        <w:t xml:space="preserve">required to maintain traditional processes for the conservation of officially protected works, as</w:t>
      </w:r>
      <w:r>
        <w:t xml:space="preserve"> </w:t>
      </w:r>
      <w:r>
        <w:t xml:space="preserve">outlined in Article 5 of the CPR.</w:t>
      </w:r>
      <w:r>
        <w:br/>
      </w:r>
      <w:r>
        <w:t xml:space="preserve">The assessment and verification of constancy of performance (AVCP) system sets out how to</w:t>
      </w:r>
      <w:r>
        <w:t xml:space="preserve"> </w:t>
      </w:r>
      <w:r>
        <w:t xml:space="preserve">assess the performance of construction products and how to certify the constancy of the</w:t>
      </w:r>
      <w:r>
        <w:t xml:space="preserve"> </w:t>
      </w:r>
      <w:r>
        <w:t xml:space="preserve">performance. Based on Article 28 of the CPR, the Commission establishes by means of</w:t>
      </w:r>
      <w:r>
        <w:t xml:space="preserve"> </w:t>
      </w:r>
      <w:r>
        <w:t xml:space="preserve">delegated acts the system applicable to a given product or family of products. Five different</w:t>
      </w:r>
      <w:r>
        <w:t xml:space="preserve"> </w:t>
      </w:r>
      <w:r>
        <w:t xml:space="preserve">systems are in place for construction products, ranging from self-declaration and monitoring by</w:t>
      </w:r>
      <w:r>
        <w:t xml:space="preserve"> </w:t>
      </w:r>
      <w:r>
        <w:t xml:space="preserve">the manufacturer to large-scale third-party involvement by notified bodies189. All AVCP systems</w:t>
      </w:r>
      <w:r>
        <w:t xml:space="preserve"> </w:t>
      </w:r>
      <w:r>
        <w:t xml:space="preserve">require that the manufacturer establish factory production control190. The Commission is</w:t>
      </w:r>
      <w:r>
        <w:t xml:space="preserve"> </w:t>
      </w:r>
      <w:r>
        <w:t xml:space="preserve">required to choose the least onerous system or systems consistent with the fulfilment of all basic</w:t>
      </w:r>
      <w:r>
        <w:t xml:space="preserve"> </w:t>
      </w:r>
      <w:r>
        <w:t xml:space="preserve">requirements for construction works.</w:t>
      </w:r>
    </w:p>
    <w:p>
      <w:pPr>
        <w:pStyle w:val="FirstParagraph"/>
      </w:pPr>
      <w:r>
        <w:t xml:space="preserve">189 The different systems are designated 1+, 1, 2+, 3, and 4.</w:t>
      </w:r>
      <w:r>
        <w:t xml:space="preserve"> </w:t>
      </w:r>
      <w:r>
        <w:t xml:space="preserve">190 According to Article 2(26) of the CPR, ‘factory production control means the documented, permanent and</w:t>
      </w:r>
      <w:r>
        <w:t xml:space="preserve"> </w:t>
      </w:r>
      <w:r>
        <w:t xml:space="preserve">internal control of production in a factory, in accordance with the relevant harmonised technical specification.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The AVCP system may require that an NB carry out some of the tasks. Notified bodies are the</w:t>
      </w:r>
      <w:r>
        <w:t xml:space="preserve"> </w:t>
      </w:r>
      <w:r>
        <w:t xml:space="preserve">bodies authorised and notified by Member States to carry out third party AVCP under the CPR</w:t>
      </w:r>
      <w:r>
        <w:t xml:space="preserve"> </w:t>
      </w:r>
      <w:r>
        <w:t xml:space="preserve">(Article 39). The requirements, obligations and other aspects relating to the operation of notified</w:t>
      </w:r>
      <w:r>
        <w:t xml:space="preserve"> </w:t>
      </w:r>
      <w:r>
        <w:t xml:space="preserve">bodies are set out in detail in Articles 43-55 of the CPR.</w:t>
      </w:r>
      <w:r>
        <w:t xml:space="preserve"> </w:t>
      </w:r>
      <w:r>
        <w:t xml:space="preserve">Article 27 of the CPR permits the Commission to adopt Delegated Acts to set threshold levels</w:t>
      </w:r>
      <w:r>
        <w:t xml:space="preserve"> </w:t>
      </w:r>
      <w:r>
        <w:t xml:space="preserve">and classes of performance in relation to the essential characteristics of construction products191.</w:t>
      </w:r>
      <w:r>
        <w:t xml:space="preserve"> </w:t>
      </w:r>
      <w:r>
        <w:t xml:space="preserve">It also provides the basis for adopting delegated acts to establish the conditions under which a</w:t>
      </w:r>
      <w:r>
        <w:t xml:space="preserve"> </w:t>
      </w:r>
      <w:r>
        <w:t xml:space="preserve">construction product is deemed to satisfy a certain level or class of performance without testing</w:t>
      </w:r>
      <w:r>
        <w:t xml:space="preserve"> </w:t>
      </w:r>
      <w:r>
        <w:t xml:space="preserve">or without further testing.</w:t>
      </w:r>
      <w:r>
        <w:t xml:space="preserve"> </w:t>
      </w:r>
      <w:r>
        <w:t xml:space="preserve">The CPR aims to contribute to EU SME policy, the objective of which is to level the playing</w:t>
      </w:r>
      <w:r>
        <w:t xml:space="preserve"> </w:t>
      </w:r>
      <w:r>
        <w:t xml:space="preserve">field for SMEs, especially micro-enterprises.</w:t>
      </w:r>
      <w:r>
        <w:t xml:space="preserve"> </w:t>
      </w:r>
      <w:r>
        <w:t xml:space="preserve">- Article 37 specifically aims to provide micro-enterprises with an option to use simplified</w:t>
      </w:r>
      <w:r>
        <w:t xml:space="preserve"> </w:t>
      </w:r>
      <w:r>
        <w:t xml:space="preserve">procedures when carrying out the AVCP.</w:t>
      </w:r>
      <w:r>
        <w:t xml:space="preserve"> </w:t>
      </w:r>
      <w:r>
        <w:t xml:space="preserve">- Article 36 enables any manufacturer to replace the type-testing or type-calculation stage of the</w:t>
      </w:r>
      <w:r>
        <w:t xml:space="preserve"> </w:t>
      </w:r>
      <w:r>
        <w:t xml:space="preserve">assessment process with ‘Appropriate Technical Documentation’, if tests have been carried out</w:t>
      </w:r>
      <w:r>
        <w:t xml:space="preserve"> </w:t>
      </w:r>
      <w:r>
        <w:t xml:space="preserve">for corresponding products or systems of components (test sharing and cascading).</w:t>
      </w:r>
      <w:r>
        <w:t xml:space="preserve"> </w:t>
      </w:r>
      <w:r>
        <w:t xml:space="preserve">- Article 38 allows manufacturers to replace performance assessment with ‘Specific Technical</w:t>
      </w:r>
      <w:r>
        <w:t xml:space="preserve"> </w:t>
      </w:r>
      <w:r>
        <w:t xml:space="preserve">Documentation’ for construction products that are individually manufactured or custom-made in</w:t>
      </w:r>
      <w:r>
        <w:t xml:space="preserve"> </w:t>
      </w:r>
      <w:r>
        <w:t xml:space="preserve">a non-series process.</w:t>
      </w:r>
      <w:r>
        <w:t xml:space="preserve"> </w:t>
      </w:r>
      <w:r>
        <w:t xml:space="preserve">- Article 10 requires Member States to designate Product Contact Points for Construction</w:t>
      </w:r>
      <w:r>
        <w:t xml:space="preserve"> </w:t>
      </w:r>
      <w:r>
        <w:t xml:space="preserve">(PCPCs) to act as information sources for companies, in particular for SMEs. Member States</w:t>
      </w:r>
      <w:r>
        <w:t xml:space="preserve"> </w:t>
      </w:r>
      <w:r>
        <w:t xml:space="preserve">‘shall ensure that the product contact points for construction provide information, using</w:t>
      </w:r>
      <w:r>
        <w:t xml:space="preserve"> </w:t>
      </w:r>
      <w:r>
        <w:t xml:space="preserve">transparent and easily understandable terms, on the provisions within its territory aimed at</w:t>
      </w:r>
      <w:r>
        <w:t xml:space="preserve"> </w:t>
      </w:r>
      <w:r>
        <w:t xml:space="preserve">fulfilling basic requirements for construction works applicable for the intended use of each</w:t>
      </w:r>
      <w:r>
        <w:t xml:space="preserve"> </w:t>
      </w:r>
      <w:r>
        <w:t xml:space="preserve">construction product’.</w:t>
      </w:r>
    </w:p>
    <w:p>
      <w:pPr>
        <w:pStyle w:val="BodyText"/>
      </w:pPr>
      <w:r>
        <w:t xml:space="preserve">191 Member States’ requirements can then only be presented using the classes established; when thresholds are</w:t>
      </w:r>
      <w:r>
        <w:t xml:space="preserve"> </w:t>
      </w:r>
      <w:r>
        <w:t xml:space="preserve">established, Member States can set more stringent demands but not lower the threshold.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Figure 13: How the CPR works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ANNEX 7: THE EUROPEAN TECHNICAL ASSESSMENT (ETA)</w:t>
      </w:r>
      <w:r>
        <w:t xml:space="preserve"> </w:t>
      </w:r>
      <w:r>
        <w:t xml:space="preserve">SYSTEM (THE EOTA ROUTE)</w:t>
      </w:r>
      <w:r>
        <w:t xml:space="preserve"> </w:t>
      </w:r>
      <w:r>
        <w:t xml:space="preserve">The European technical assessment (ETA) system grants manufacturers the possibility to CE-</w:t>
      </w:r>
      <w:r>
        <w:t xml:space="preserve"> </w:t>
      </w:r>
      <w:r>
        <w:t xml:space="preserve">mark their products in cases when these are not covered by a harmonised standard.</w:t>
      </w:r>
      <w:r>
        <w:br/>
      </w:r>
      <w:r>
        <w:t xml:space="preserve">If the product is not covered by a harmonised European standard, the manufacturer can decide to</w:t>
      </w:r>
      <w:r>
        <w:t xml:space="preserve"> </w:t>
      </w:r>
      <w:r>
        <w:t xml:space="preserve">request a European Technical Assessment (ETA) from a Technical Assessment Body (TAB) in</w:t>
      </w:r>
      <w:r>
        <w:t xml:space="preserve"> </w:t>
      </w:r>
      <w:r>
        <w:t xml:space="preserve">order to affix the CE marking on the product. When an ETA is requested, the TAB contacted</w:t>
      </w:r>
      <w:r>
        <w:t xml:space="preserve"> </w:t>
      </w:r>
      <w:r>
        <w:t xml:space="preserve">first checks whether there is already a European Assessment Document (EAD) covering the</w:t>
      </w:r>
      <w:r>
        <w:t xml:space="preserve"> </w:t>
      </w:r>
      <w:r>
        <w:t xml:space="preserve">product. If the product in question is already fully covered by an existing EAD, this will be used</w:t>
      </w:r>
      <w:r>
        <w:t xml:space="preserve"> </w:t>
      </w:r>
      <w:r>
        <w:t xml:space="preserve">as the basis for the ETA to be issued. In cases where an EAD does not already exist,</w:t>
      </w:r>
      <w:r>
        <w:t xml:space="preserve"> </w:t>
      </w:r>
      <w:r>
        <w:t xml:space="preserve">development of the EAD is the responsibility of this TAB and EOTA. The preparation of draft</w:t>
      </w:r>
      <w:r>
        <w:t xml:space="preserve"> </w:t>
      </w:r>
      <w:r>
        <w:t xml:space="preserve">EADs and the issuing of ETAs are entrusted to TABs. EOTA coordinates the work and adopts</w:t>
      </w:r>
      <w:r>
        <w:t xml:space="preserve"> </w:t>
      </w:r>
      <w:r>
        <w:t xml:space="preserve">the EAD.</w:t>
      </w:r>
      <w:r>
        <w:br/>
      </w:r>
      <w:r>
        <w:t xml:space="preserve">The preparation of draft EADs and the issuing of ETAs are entrusted to TABs. Article 29(1) of</w:t>
      </w:r>
      <w:r>
        <w:t xml:space="preserve"> </w:t>
      </w:r>
      <w:r>
        <w:t xml:space="preserve">the CPR allows Member States to designate TABs within their territory, according to their</w:t>
      </w:r>
      <w:r>
        <w:t xml:space="preserve"> </w:t>
      </w:r>
      <w:r>
        <w:t xml:space="preserve">national procedures for the designation of such bodies. However, strict requirements are set out</w:t>
      </w:r>
      <w:r>
        <w:t xml:space="preserve"> </w:t>
      </w:r>
      <w:r>
        <w:t xml:space="preserve">in Article 30 and Annex IV (Table 2) of the CPR.</w:t>
      </w:r>
      <w:r>
        <w:br/>
      </w:r>
      <w:r>
        <w:t xml:space="preserve">While it is voluntary for a manufacturer to apply for an ETA, once the ETA has been issued, the</w:t>
      </w:r>
      <w:r>
        <w:t xml:space="preserve"> </w:t>
      </w:r>
      <w:r>
        <w:t xml:space="preserve">manufacturer is obliged to draw up a DoP and CE-mark the product concerned. Indeed, the</w:t>
      </w:r>
      <w:r>
        <w:t xml:space="preserve"> </w:t>
      </w:r>
      <w:r>
        <w:t xml:space="preserve">declaration of performance (DoP) is required for every construction product covered by a</w:t>
      </w:r>
      <w:r>
        <w:t xml:space="preserve"> </w:t>
      </w:r>
      <w:r>
        <w:t xml:space="preserve">European harmonised standard or for which an ETA has been issued. Also, each construction</w:t>
      </w:r>
      <w:r>
        <w:t xml:space="preserve"> </w:t>
      </w:r>
      <w:r>
        <w:t xml:space="preserve">product covered by a European harmonised standard, or for which an ETA has been issued, must</w:t>
      </w:r>
      <w:r>
        <w:t xml:space="preserve"> </w:t>
      </w:r>
      <w:r>
        <w:t xml:space="preserve">be CE marked.</w:t>
      </w:r>
      <w:r>
        <w:br/>
      </w:r>
      <w:r>
        <w:t xml:space="preserve">The uptake of the ETA option has been significant. As of 31 December 2020, EOTA’s Technical</w:t>
      </w:r>
      <w:r>
        <w:t xml:space="preserve"> </w:t>
      </w:r>
      <w:r>
        <w:t xml:space="preserve">Assessment Bodies had issued 8,900 European Technical Assessments (ETAs) for manufacturers</w:t>
      </w:r>
      <w:r>
        <w:t xml:space="preserve"> </w:t>
      </w:r>
      <w:r>
        <w:t xml:space="preserve">from 72 countries around the globe192, among them 6,900 since the adoption of the CPR.</w:t>
      </w:r>
    </w:p>
    <w:p>
      <w:pPr>
        <w:pStyle w:val="BodyText"/>
      </w:pPr>
      <w:r>
        <w:t xml:space="preserve">192 EOTA – 2020 Annual Report, https://www.eota.eu/news/eota-2020-annual-report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Figure 14: Number of ETAs based on ETAGs and on EADs since the adoption of the CPR</w:t>
      </w:r>
    </w:p>
    <w:p>
      <w:pPr>
        <w:pStyle w:val="BodyText"/>
      </w:pPr>
      <w:r>
        <w:t xml:space="preserve">Source: EOTA</w:t>
      </w:r>
      <w:r>
        <w:br/>
      </w:r>
      <w:r>
        <w:t xml:space="preserve">The ETA system, is generally, perceived as a positive aspect of the CPR by the manufacturers</w:t>
      </w:r>
      <w:r>
        <w:t xml:space="preserve"> </w:t>
      </w:r>
      <w:r>
        <w:t xml:space="preserve">using it. Among the feedback received from stakeholders during the fifth Technical Platform</w:t>
      </w:r>
      <w:r>
        <w:t xml:space="preserve"> </w:t>
      </w:r>
      <w:r>
        <w:t xml:space="preserve">meeting193, stakeholders expressed the view that “in the presence of gaps in the mainstream</w:t>
      </w:r>
      <w:r>
        <w:t xml:space="preserve"> </w:t>
      </w:r>
      <w:r>
        <w:t xml:space="preserve">route, EOTA provides an adequate answer for niche sectors, and particularly for many SMEs for</w:t>
      </w:r>
      <w:r>
        <w:t xml:space="preserve"> </w:t>
      </w:r>
      <w:r>
        <w:t xml:space="preserve">which time to market makes the difference” and also, that “in the CPR system, the EOTA route</w:t>
      </w:r>
      <w:r>
        <w:t xml:space="preserve"> </w:t>
      </w:r>
      <w:r>
        <w:t xml:space="preserve">provides the only freedom to produce non-standardised products and it has to be maintained as</w:t>
      </w:r>
      <w:r>
        <w:t xml:space="preserve"> </w:t>
      </w:r>
      <w:r>
        <w:t xml:space="preserve">such”.</w:t>
      </w:r>
      <w:r>
        <w:t xml:space="preserve"> </w:t>
      </w:r>
      <w:r>
        <w:t xml:space="preserve">The uptake of the European assessment document (EAD) option has been growing rapidly, with</w:t>
      </w:r>
      <w:r>
        <w:t xml:space="preserve"> </w:t>
      </w:r>
      <w:r>
        <w:t xml:space="preserve">6,240 ETAs issued, indicating that the manufacturers concerned assess the ETA option as</w:t>
      </w:r>
      <w:r>
        <w:t xml:space="preserve"> </w:t>
      </w:r>
      <w:r>
        <w:t xml:space="preserve">attractive (i.e. effective) even though some stakeholders think that the process is too slow194.</w:t>
      </w:r>
      <w:r>
        <w:t xml:space="preserve"> </w:t>
      </w:r>
      <w:r>
        <w:t xml:space="preserve">Furthermore, the feedback received during the fifth Technical Platform195 points out the</w:t>
      </w:r>
      <w:r>
        <w:t xml:space="preserve"> </w:t>
      </w:r>
      <w:r>
        <w:t xml:space="preserve">necessity to improve this route by strengthening EOTA through stronger involvement from</w:t>
      </w:r>
      <w:r>
        <w:t xml:space="preserve"> </w:t>
      </w:r>
      <w:r>
        <w:t xml:space="preserve">stakeholders and also, strengthening EOTA vis à vis TABs, through taking more of a leading</w:t>
      </w:r>
      <w:r>
        <w:t xml:space="preserve"> </w:t>
      </w:r>
      <w:r>
        <w:t xml:space="preserve">role in the development of EADs. It was also noted that “the process should be made more</w:t>
      </w:r>
      <w:r>
        <w:t xml:space="preserve"> </w:t>
      </w:r>
      <w:r>
        <w:t xml:space="preserve">transparent.”</w:t>
      </w:r>
      <w:r>
        <w:t xml:space="preserve"> </w:t>
      </w:r>
      <w:r>
        <w:t xml:space="preserve">A potential drawback is that whereas the EAD route was proposed in order to allow the market</w:t>
      </w:r>
      <w:r>
        <w:t xml:space="preserve"> </w:t>
      </w:r>
      <w:r>
        <w:t xml:space="preserve">entry of innovative products, the vast majority of the ETAs do not concern innovative</w:t>
      </w:r>
      <w:r>
        <w:t xml:space="preserve"> </w:t>
      </w:r>
      <w:r>
        <w:t xml:space="preserve">products196.</w:t>
      </w:r>
    </w:p>
    <w:p>
      <w:pPr>
        <w:pStyle w:val="BodyText"/>
      </w:pPr>
      <w:r>
        <w:t xml:space="preserve">193 Summary of the fifth Technical Platform, 04.10.2017, The future of EOTA, European Organisation for Technical</w:t>
      </w:r>
      <w:r>
        <w:t xml:space="preserve"> </w:t>
      </w:r>
      <w:r>
        <w:t xml:space="preserve">Assessment, https://ec.europa.eu/docsroom/documents/26204/attachments/5/translations/</w:t>
      </w:r>
      <w:r>
        <w:br/>
      </w:r>
      <w:r>
        <w:t xml:space="preserve">194 BRE, Ecorys, and Vito (2016), Supporting study for the evaluation of the relevance of EOTA tasks</w:t>
      </w:r>
      <w:r>
        <w:t xml:space="preserve"> </w:t>
      </w:r>
      <w:r>
        <w:t xml:space="preserve">195 Summary of the fifth Technical Platform, 04.10.2017, The future of EOTA, European Organisation for Technical</w:t>
      </w:r>
      <w:r>
        <w:t xml:space="preserve"> </w:t>
      </w:r>
      <w:r>
        <w:t xml:space="preserve">Assessment, https://ec.europa.eu/docsroom/documents/26204/attachments/5/translations/</w:t>
      </w:r>
      <w:r>
        <w:br/>
      </w:r>
      <w:r>
        <w:t xml:space="preserve">196 BRE, Ecorys, and Vito (2016), Supporting study for the evaluation of the relevance of EOTA tasks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In addition, about half of all cited EADs have been developed in four product areas only: (i)</w:t>
      </w:r>
      <w:r>
        <w:t xml:space="preserve"> </w:t>
      </w:r>
      <w:r>
        <w:t xml:space="preserve">fixings; (ii) thermal insulation products - composite insulating kits/systems; (iii) structural</w:t>
      </w:r>
      <w:r>
        <w:t xml:space="preserve"> </w:t>
      </w:r>
      <w:r>
        <w:t xml:space="preserve">metallic products and ancillaries; and (iv) structural timber products/elements and ancillaries197.</w:t>
      </w:r>
      <w:r>
        <w:t xml:space="preserve"> </w:t>
      </w:r>
      <w:r>
        <w:t xml:space="preserve">This may indicate a potential need for a standardisation request rather than for EADs/ETAs.</w:t>
      </w:r>
      <w:r>
        <w:t xml:space="preserve"> </w:t>
      </w:r>
      <w:r>
        <w:t xml:space="preserve">Indeed, it may be that the high number of ETAs is a result of the failure of standardisation.</w:t>
      </w:r>
      <w:r>
        <w:br/>
      </w:r>
      <w:r>
        <w:t xml:space="preserve">Lastly, it is worth mentioning that EOTA plays an important role in ensuring the objectives of</w:t>
      </w:r>
      <w:r>
        <w:t xml:space="preserve"> </w:t>
      </w:r>
      <w:r>
        <w:t xml:space="preserve">the CPR are realised. Its role changed significantly, with greater emphasis on the coordination of</w:t>
      </w:r>
      <w:r>
        <w:t xml:space="preserve"> </w:t>
      </w:r>
      <w:r>
        <w:t xml:space="preserve">the development of test procedures and dissemination of best practices as new key tasks198. In</w:t>
      </w:r>
      <w:r>
        <w:t xml:space="preserve"> </w:t>
      </w:r>
      <w:r>
        <w:t xml:space="preserve">this line, for the functioning of TABs and EOTA, finance is a key issue, as these organisations</w:t>
      </w:r>
      <w:r>
        <w:t xml:space="preserve"> </w:t>
      </w:r>
      <w:r>
        <w:t xml:space="preserve">bear most of the cost of developing EADs. Although, in 2014, EOTA received 360,000 EUR</w:t>
      </w:r>
      <w:r>
        <w:t xml:space="preserve"> </w:t>
      </w:r>
      <w:r>
        <w:t xml:space="preserve">from the Commission, it has been noted by EOTA that the administrative burden on their</w:t>
      </w:r>
      <w:r>
        <w:t xml:space="preserve"> </w:t>
      </w:r>
      <w:r>
        <w:t xml:space="preserve">organisation has increased (allegedly due to delays caused by the Commission and the</w:t>
      </w:r>
      <w:r>
        <w:t xml:space="preserve"> </w:t>
      </w:r>
      <w:r>
        <w:t xml:space="preserve">requirement for EOTA to provide translations) and that insufficient funds are available for them</w:t>
      </w:r>
      <w:r>
        <w:t xml:space="preserve"> </w:t>
      </w:r>
      <w:r>
        <w:t xml:space="preserve">to carry out their tasks.199</w:t>
      </w:r>
    </w:p>
    <w:p>
      <w:pPr>
        <w:pStyle w:val="BodyText"/>
      </w:pPr>
      <w:r>
        <w:t xml:space="preserve">197 Evaluation of Regulation (EU) No 305/2011 laying down harmonised conditions for the marketing of</w:t>
      </w:r>
      <w:r>
        <w:t xml:space="preserve"> </w:t>
      </w:r>
      <w:r>
        <w:t xml:space="preserve">construction products and repealing Council Directive 89/106/EEC, SWD(2019)1770, p.31,</w:t>
      </w:r>
      <w:r>
        <w:t xml:space="preserve"> </w:t>
      </w:r>
      <w:r>
        <w:t xml:space="preserve">https://ec.europa.eu/docsroom/documents/37827</w:t>
      </w:r>
      <w:r>
        <w:br/>
      </w:r>
      <w:r>
        <w:t xml:space="preserve">198 BRE, Ecorys, and Vito (2016), Supporting study for the evaluation of the relevance of EOTA tasks</w:t>
      </w:r>
      <w:r>
        <w:t xml:space="preserve"> </w:t>
      </w:r>
      <w:r>
        <w:t xml:space="preserve">199 RPA(2015) Analysis of the implementation of the Construction Product Regulation, p.30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ANNEX 8: SIMPLIFICATION PROVISIONS UNDER THE CURRENT</w:t>
      </w:r>
      <w:r>
        <w:t xml:space="preserve"> </w:t>
      </w:r>
      <w:r>
        <w:t xml:space="preserve">CPR</w:t>
      </w:r>
      <w:r>
        <w:t xml:space="preserve"> </w:t>
      </w:r>
      <w:r>
        <w:t xml:space="preserve">A specific key objective of replacing the CPD with the CPR was to achieve simplification, with a</w:t>
      </w:r>
      <w:r>
        <w:t xml:space="preserve"> </w:t>
      </w:r>
      <w:r>
        <w:t xml:space="preserve">particular view to levelling the playing field for SMEs and micro-enterprises. The CPR therefore</w:t>
      </w:r>
      <w:r>
        <w:t xml:space="preserve"> </w:t>
      </w:r>
      <w:r>
        <w:t xml:space="preserve">provides derogations from the obligation to draw up a DoP and simplified procedures for placing</w:t>
      </w:r>
      <w:r>
        <w:t xml:space="preserve"> </w:t>
      </w:r>
      <w:r>
        <w:t xml:space="preserve">construction products on the market. Specifically:</w:t>
      </w:r>
      <w:r>
        <w:t xml:space="preserve"> </w:t>
      </w:r>
      <w:r>
        <w:t xml:space="preserve">Article 5 provides derogations from the obligation to draw up a DoP when the construction</w:t>
      </w:r>
      <w:r>
        <w:t xml:space="preserve"> </w:t>
      </w:r>
      <w:r>
        <w:t xml:space="preserve">product is individually manufactured or custom-made in a non-series process in response to</w:t>
      </w:r>
      <w:r>
        <w:t xml:space="preserve"> </w:t>
      </w:r>
      <w:r>
        <w:t xml:space="preserve">a specific order and installed by the manufacturer; or is manufactured on the construction site; or</w:t>
      </w:r>
      <w:r>
        <w:t xml:space="preserve"> </w:t>
      </w:r>
      <w:r>
        <w:t xml:space="preserve">manufactured in a traditional manner or in a manner appropriate to heritage conservation.</w:t>
      </w:r>
      <w:r>
        <w:br/>
      </w:r>
      <w:r>
        <w:t xml:space="preserve">Article 36 aims to avoid the unnecessary testing of construction products for which performance</w:t>
      </w:r>
      <w:r>
        <w:t xml:space="preserve"> </w:t>
      </w:r>
      <w:r>
        <w:t xml:space="preserve">has already been demonstrated. It enables any manufacturer to replace the type-testing or type-</w:t>
      </w:r>
      <w:r>
        <w:t xml:space="preserve"> </w:t>
      </w:r>
      <w:r>
        <w:t xml:space="preserve">calculation part of the assessment of performance with Appropriate Technical Documentation, if</w:t>
      </w:r>
      <w:r>
        <w:t xml:space="preserve"> </w:t>
      </w:r>
      <w:r>
        <w:t xml:space="preserve">the product by nature is deemed to obtain a certain level or class of performance (conventionally</w:t>
      </w:r>
      <w:r>
        <w:t xml:space="preserve"> </w:t>
      </w:r>
      <w:r>
        <w:t xml:space="preserve">accepted performance), in case tests have been carried out for corresponding products (shared</w:t>
      </w:r>
      <w:r>
        <w:t xml:space="preserve"> </w:t>
      </w:r>
      <w:r>
        <w:t xml:space="preserve">ITT200), and for assembled systems of components, when testing has been carried out for the</w:t>
      </w:r>
      <w:r>
        <w:t xml:space="preserve"> </w:t>
      </w:r>
      <w:r>
        <w:t xml:space="preserve">same system (cascading ITT).</w:t>
      </w:r>
      <w:r>
        <w:br/>
      </w:r>
      <w:r>
        <w:t xml:space="preserve">Article 37 provides micro-enterprises with the option to use simplified procedures when</w:t>
      </w:r>
      <w:r>
        <w:t xml:space="preserve"> </w:t>
      </w:r>
      <w:r>
        <w:t xml:space="preserve">carrying out the AVCP. It allows micro-enterprises to use different methods from those</w:t>
      </w:r>
      <w:r>
        <w:t xml:space="preserve"> </w:t>
      </w:r>
      <w:r>
        <w:t xml:space="preserve">contained in the applicable hEN for products covered by Systems 3 and 4, and to resort to</w:t>
      </w:r>
      <w:r>
        <w:t xml:space="preserve"> </w:t>
      </w:r>
      <w:r>
        <w:t xml:space="preserve">System 4 for products for which System 3 would be required. It is up to the manufacturer to</w:t>
      </w:r>
      <w:r>
        <w:t xml:space="preserve"> </w:t>
      </w:r>
      <w:r>
        <w:t xml:space="preserve">demonstrate compliance of the product with the applicable requirements by means of a Specific</w:t>
      </w:r>
      <w:r>
        <w:t xml:space="preserve"> </w:t>
      </w:r>
      <w:r>
        <w:t xml:space="preserve">Technical Documentation and to demonstrate equivalence of the procedures used with those laid</w:t>
      </w:r>
      <w:r>
        <w:t xml:space="preserve"> </w:t>
      </w:r>
      <w:r>
        <w:t xml:space="preserve">down in the harmonised standard.</w:t>
      </w:r>
      <w:r>
        <w:t xml:space="preserve"> </w:t>
      </w:r>
      <w:r>
        <w:t xml:space="preserve">Article 38 allows manufacturers to replace performance assessment with Specific Technical</w:t>
      </w:r>
      <w:r>
        <w:t xml:space="preserve"> </w:t>
      </w:r>
      <w:r>
        <w:t xml:space="preserve">Documentation for construction products that are individually manufactured or custom-made in a</w:t>
      </w:r>
      <w:r>
        <w:t xml:space="preserve"> </w:t>
      </w:r>
      <w:r>
        <w:t xml:space="preserve">non-series process.</w:t>
      </w:r>
      <w:r>
        <w:t xml:space="preserve"> </w:t>
      </w:r>
      <w:r>
        <w:t xml:space="preserve">Previous studies201 have shown that the uptake of these provisions is very limited, with the</w:t>
      </w:r>
      <w:r>
        <w:t xml:space="preserve"> </w:t>
      </w:r>
      <w:r>
        <w:t xml:space="preserve">exception of sharing and cascading (Article 36), which is reported to be widely applied, but none</w:t>
      </w:r>
      <w:r>
        <w:t xml:space="preserve"> </w:t>
      </w:r>
      <w:r>
        <w:t xml:space="preserve">of these studies were able to quantify the uptake or associated cost savings.</w:t>
      </w:r>
      <w:r>
        <w:t xml:space="preserve"> </w:t>
      </w:r>
      <w:r>
        <w:t xml:space="preserve">These studies conclude that the reasons for the very low uptake (except for Article 36) include,</w:t>
      </w:r>
      <w:r>
        <w:t xml:space="preserve"> </w:t>
      </w:r>
      <w:r>
        <w:t xml:space="preserve">on the one hand, low awareness of the derogations and simplified procedures and, on the other, a</w:t>
      </w:r>
      <w:r>
        <w:t xml:space="preserve"> </w:t>
      </w:r>
      <w:r>
        <w:t xml:space="preserve">lack of clarity and risk of different interpretations by national authorities of the relevant articles</w:t>
      </w:r>
      <w:r>
        <w:t xml:space="preserve"> </w:t>
      </w:r>
      <w:r>
        <w:t xml:space="preserve">of the CPR. Interviewees (industry associations, standardisation bodies, NBs, TABs, and Public</w:t>
      </w:r>
      <w:r>
        <w:t xml:space="preserve"> </w:t>
      </w:r>
      <w:r>
        <w:t xml:space="preserve">Authorities) pointed to a lack of awareness among enterprises of the simplified procedures and</w:t>
      </w:r>
      <w:r>
        <w:t xml:space="preserve"> </w:t>
      </w:r>
      <w:r>
        <w:t xml:space="preserve">several interviewees called for improved guidance and communication about the provisions and</w:t>
      </w:r>
      <w:r>
        <w:t xml:space="preserve"> </w:t>
      </w:r>
      <w:r>
        <w:t xml:space="preserve">how to use them. Moreover, the lack of clarity causes legal uncertainty. In particular, with</w:t>
      </w:r>
    </w:p>
    <w:p>
      <w:pPr>
        <w:pStyle w:val="BodyText"/>
      </w:pPr>
      <w:r>
        <w:t xml:space="preserve">200 Initial Type Testing.</w:t>
      </w:r>
      <w:r>
        <w:t xml:space="preserve"> </w:t>
      </w:r>
      <w:r>
        <w:t xml:space="preserve">201 Economisti Associati, Milieu &amp; CEPS (2016). Supporting study for the Fitness Check on the construction sector:</w:t>
      </w:r>
      <w:r>
        <w:t xml:space="preserve"> </w:t>
      </w:r>
      <w:r>
        <w:t xml:space="preserve">EU internal market and energy efficiency legislation; RPA (2015). Analysis of the implementation of the</w:t>
      </w:r>
      <w:r>
        <w:t xml:space="preserve"> </w:t>
      </w:r>
      <w:r>
        <w:t xml:space="preserve">Construction Products Regulation.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respect to the lack of clarity of the provisions, there is unclarity to what actually constitutes</w:t>
      </w:r>
      <w:r>
        <w:t xml:space="preserve"> </w:t>
      </w:r>
      <w:r>
        <w:t xml:space="preserve">“equivalent” documentation. Specific mention was made by several interviewees of the notion of</w:t>
      </w:r>
      <w:r>
        <w:t xml:space="preserve"> </w:t>
      </w:r>
      <w:r>
        <w:t xml:space="preserve">“equivalence” of the used procedures to the procedures laid down in the harmonised standards,</w:t>
      </w:r>
      <w:r>
        <w:t xml:space="preserve"> </w:t>
      </w:r>
      <w:r>
        <w:t xml:space="preserve">which is not explained. Thus, the conditions for practical implementation of the simplified</w:t>
      </w:r>
      <w:r>
        <w:t xml:space="preserve"> </w:t>
      </w:r>
      <w:r>
        <w:t xml:space="preserve">procedures remain unclear, with small enterprises and other actors, including Member State</w:t>
      </w:r>
      <w:r>
        <w:t xml:space="preserve"> </w:t>
      </w:r>
      <w:r>
        <w:t xml:space="preserve">authorities, struggling to understand the rules202.</w:t>
      </w:r>
      <w:r>
        <w:t xml:space="preserve"> </w:t>
      </w:r>
      <w:r>
        <w:t xml:space="preserve">In the 2018 study, criticism about the ambiguity of the derogations was expressed by a majority</w:t>
      </w:r>
      <w:r>
        <w:t xml:space="preserve"> </w:t>
      </w:r>
      <w:r>
        <w:t xml:space="preserve">of the interviewed stakeholders (representatives of European associations of construction</w:t>
      </w:r>
      <w:r>
        <w:t xml:space="preserve"> </w:t>
      </w:r>
      <w:r>
        <w:t xml:space="preserve">products manufacturers from different sectors)203.</w:t>
      </w:r>
      <w:r>
        <w:t xml:space="preserve"> </w:t>
      </w:r>
      <w:r>
        <w:t xml:space="preserve">Lastly, another issue which came out strongly in the 2018 study was a questioning of the</w:t>
      </w:r>
      <w:r>
        <w:t xml:space="preserve"> </w:t>
      </w:r>
      <w:r>
        <w:t xml:space="preserve">justification of the simplified procedures aimed at micro-enterprises. The point was repeatedly</w:t>
      </w:r>
      <w:r>
        <w:t xml:space="preserve"> </w:t>
      </w:r>
      <w:r>
        <w:t xml:space="preserve">made that if one of the aims of the CPR is to allow for Member States to regulate buildings and</w:t>
      </w:r>
      <w:r>
        <w:t xml:space="preserve"> </w:t>
      </w:r>
      <w:r>
        <w:t xml:space="preserve">thereby ensure the protection of users and consumers, it is difficult to justify relaxing the</w:t>
      </w:r>
      <w:r>
        <w:t xml:space="preserve"> </w:t>
      </w:r>
      <w:r>
        <w:t xml:space="preserve">requirements for technical documentation in order to benefit smaller companies. Related to this,</w:t>
      </w:r>
      <w:r>
        <w:t xml:space="preserve"> </w:t>
      </w:r>
      <w:r>
        <w:t xml:space="preserve">several interviewees pointed out that the degree of confidence in the product needs to be the</w:t>
      </w:r>
      <w:r>
        <w:t xml:space="preserve"> </w:t>
      </w:r>
      <w:r>
        <w:t xml:space="preserve">same for all products, regardless of whether these products have been put on the market by</w:t>
      </w:r>
      <w:r>
        <w:t xml:space="preserve"> </w:t>
      </w:r>
      <w:r>
        <w:t xml:space="preserve">micro-enterprises, SMEs or large companies204.</w:t>
      </w:r>
    </w:p>
    <w:p>
      <w:pPr>
        <w:pStyle w:val="BodyText"/>
      </w:pPr>
      <w:r>
        <w:t xml:space="preserve">202 VVA Economics &amp; Policy, Joint Institute for Innovation Policy (JIIP), Danish Technological Institute (DTI),</w:t>
      </w:r>
      <w:r>
        <w:t xml:space="preserve"> </w:t>
      </w:r>
      <w:r>
        <w:t xml:space="preserve">Global Data Collection Company (2018). Supporting study for the Review of the Construction Products</w:t>
      </w:r>
      <w:r>
        <w:t xml:space="preserve"> </w:t>
      </w:r>
      <w:r>
        <w:t xml:space="preserve">Regulation: Evaluation, p. 44.</w:t>
      </w:r>
      <w:r>
        <w:t xml:space="preserve"> </w:t>
      </w:r>
      <w:r>
        <w:t xml:space="preserve">203 VVA Economics &amp; Policy, Joint Institute for Innovation Policy (JIIP), Danish Technological Institute (DTI),</w:t>
      </w:r>
      <w:r>
        <w:t xml:space="preserve"> </w:t>
      </w:r>
      <w:r>
        <w:t xml:space="preserve">Global Data Collection Company (2018). Supporting study for the Review of the Construction Products</w:t>
      </w:r>
      <w:r>
        <w:t xml:space="preserve"> </w:t>
      </w:r>
      <w:r>
        <w:t xml:space="preserve">Regulation: Evaluation, p. 44.</w:t>
      </w:r>
      <w:r>
        <w:t xml:space="preserve"> </w:t>
      </w:r>
      <w:r>
        <w:t xml:space="preserve">204 VVA Economics &amp; Policy, Joint Institute for Innovation Policy (JIIP), Danish Technological Institute (DTI),</w:t>
      </w:r>
      <w:r>
        <w:t xml:space="preserve"> </w:t>
      </w:r>
      <w:r>
        <w:t xml:space="preserve">Global Data Collection Company (2018). Supporting study for the Review of the Construction Products</w:t>
      </w:r>
      <w:r>
        <w:t xml:space="preserve"> </w:t>
      </w:r>
      <w:r>
        <w:t xml:space="preserve">Regulation: Evaluation, p. 45.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ANNEX 9: THE ENVIRONMENTAL AND CLIMATE IMPACT OF</w:t>
      </w:r>
      <w:r>
        <w:t xml:space="preserve"> </w:t>
      </w:r>
      <w:r>
        <w:t xml:space="preserve">CONSTRUCTION PRODUCTS</w:t>
      </w:r>
      <w:r>
        <w:t xml:space="preserve"> </w:t>
      </w:r>
      <w:r>
        <w:t xml:space="preserve">Aggregates and other materials such as bricks, gypsum, lime and copper, buildings alone use</w:t>
      </w:r>
      <w:r>
        <w:t xml:space="preserve"> </w:t>
      </w:r>
      <w:r>
        <w:t xml:space="preserve">some 1.6 billion tonnes of materials per year. Producing these materials, in turn, results in about</w:t>
      </w:r>
      <w:r>
        <w:t xml:space="preserve"> </w:t>
      </w:r>
      <w:r>
        <w:t xml:space="preserve">250 million tonnes (Mt) of CO2 emissions annually. Cement, steel, aluminium and plastics</w:t>
      </w:r>
      <w:r>
        <w:t xml:space="preserve"> </w:t>
      </w:r>
      <w:r>
        <w:t xml:space="preserve">account for almost 80% of those emissions205. Half of the steel produced today is used in</w:t>
      </w:r>
      <w:r>
        <w:t xml:space="preserve"> </w:t>
      </w:r>
      <w:r>
        <w:t xml:space="preserve">construction and infrastructure. At the same time, the steel industry releases some 230 CO2 Mt</w:t>
      </w:r>
      <w:r>
        <w:t xml:space="preserve"> </w:t>
      </w:r>
      <w:r>
        <w:t xml:space="preserve">per year, while cement emits more than 110 Mt CO2 per year206. In a 2018 study, the findings</w:t>
      </w:r>
      <w:r>
        <w:t xml:space="preserve"> </w:t>
      </w:r>
      <w:r>
        <w:t xml:space="preserve">show that more material-efficient products can cut emissions by 56 Mt CO2 per year.207</w:t>
      </w:r>
      <w:r>
        <w:t xml:space="preserve"> </w:t>
      </w:r>
      <w:r>
        <w:t xml:space="preserve">Construction and demolition (including infrastructure) generate 25–30% of total waste</w:t>
      </w:r>
      <w:r>
        <w:t xml:space="preserve"> </w:t>
      </w:r>
      <w:r>
        <w:t xml:space="preserve">volumes208, far more than any other sector.</w:t>
      </w:r>
      <w:r>
        <w:t xml:space="preserve"> </w:t>
      </w:r>
      <w:r>
        <w:t xml:space="preserve">The way of using construction has significant impact for reaching future climate targets. By</w:t>
      </w:r>
      <w:r>
        <w:t xml:space="preserve"> </w:t>
      </w:r>
      <w:r>
        <w:t xml:space="preserve">2050, just the cement, steel, aluminium and plastic used for construction will result in emissions</w:t>
      </w:r>
      <w:r>
        <w:t xml:space="preserve"> </w:t>
      </w:r>
      <w:r>
        <w:t xml:space="preserve">of 230 Mt CO2 in a baseline scenario where they are made with today’s production processes209.</w:t>
      </w:r>
      <w:r>
        <w:t xml:space="preserve"> </w:t>
      </w:r>
      <w:r>
        <w:t xml:space="preserve">Demand-side measures210 could reduce this by more than half, or 123 Mt CO2, by the second</w:t>
      </w:r>
      <w:r>
        <w:t xml:space="preserve"> </w:t>
      </w:r>
      <w:r>
        <w:t xml:space="preserve">half of this century. Of this, 80 Mt CO2 per year would be available by 2050, making a major</w:t>
      </w:r>
      <w:r>
        <w:t xml:space="preserve"> </w:t>
      </w:r>
      <w:r>
        <w:t xml:space="preserve">contribution to EU mid-century climate targets211. A 2018 study shows that material use for</w:t>
      </w:r>
      <w:r>
        <w:t xml:space="preserve"> </w:t>
      </w:r>
      <w:r>
        <w:t xml:space="preserve">buildings can decrease by 30% as they are used more efficiently212. As a major contributor to</w:t>
      </w:r>
      <w:r>
        <w:t xml:space="preserve"> </w:t>
      </w:r>
      <w:r>
        <w:t xml:space="preserve">global greenhouse gas (GHG) emissions, buildings and infrastructure must rapidly decarbonise</w:t>
      </w:r>
      <w:r>
        <w:t xml:space="preserve"> </w:t>
      </w:r>
      <w:r>
        <w:t xml:space="preserve">before 2050 in order to meet global GHG reduction goals213. The built environment is</w:t>
      </w:r>
      <w:r>
        <w:t xml:space="preserve"> </w:t>
      </w:r>
      <w:r>
        <w:t xml:space="preserve">responsible for generating approximately 40% of energy-related global GHG emissions, and</w:t>
      </w:r>
      <w:r>
        <w:t xml:space="preserve"> </w:t>
      </w:r>
      <w:r>
        <w:t xml:space="preserve">11% is generated by the manufacturing of materials214.</w:t>
      </w:r>
      <w:r>
        <w:br/>
      </w:r>
      <w:r>
        <w:t xml:space="preserve">Concerning the CPR, while many stakeholders have noted that sustainability considerations are</w:t>
      </w:r>
      <w:r>
        <w:t xml:space="preserve"> </w:t>
      </w:r>
      <w:r>
        <w:t xml:space="preserve">reinforced in the CPR (in particular through BWR 7), and that this is a progression relative to the</w:t>
      </w:r>
      <w:r>
        <w:t xml:space="preserve"> </w:t>
      </w:r>
      <w:r>
        <w:t xml:space="preserve">situation under the CPD, the majority of stakeholders were of the view that the CPR has not yet</w:t>
      </w:r>
      <w:r>
        <w:t xml:space="preserve"> </w:t>
      </w:r>
      <w:r>
        <w:t xml:space="preserve">translated into an actual improvement in terms of sustainability because the processes and</w:t>
      </w:r>
      <w:r>
        <w:t xml:space="preserve"> </w:t>
      </w:r>
      <w:r>
        <w:t xml:space="preserve">procedures needed to implement BWR 7 have not yet been established.215 The 2011 CPR</w:t>
      </w:r>
    </w:p>
    <w:p>
      <w:pPr>
        <w:pStyle w:val="BodyText"/>
      </w:pPr>
      <w:r>
        <w:t xml:space="preserve">205 Material Economics, ‘Circular Economy – A Powerful Force for Climate Mitigation’, 2018, p.142.</w:t>
      </w:r>
      <w:r>
        <w:t xml:space="preserve"> </w:t>
      </w:r>
      <w:r>
        <w:t xml:space="preserve">https://materialeconomics.com/publications/the-circular-economy-a-powerful-force-for-climate-mitigation-1.</w:t>
      </w:r>
      <w:r>
        <w:t xml:space="preserve"> </w:t>
      </w:r>
      <w:r>
        <w:t xml:space="preserve">206 Material Economics, ‘Circular Economy – A Powerful Force for Climate Mitigation’, 2018, p.20.</w:t>
      </w:r>
      <w:r>
        <w:t xml:space="preserve"> </w:t>
      </w:r>
      <w:r>
        <w:t xml:space="preserve">207 Material Economics, ‘Circular Economy – A Powerful Force for Climate Mitigation’, 2018, p.28.</w:t>
      </w:r>
      <w:r>
        <w:t xml:space="preserve"> </w:t>
      </w:r>
      <w:r>
        <w:t xml:space="preserve">208 European Commission (2016). Construction and demolition waste,</w:t>
      </w:r>
      <w:r>
        <w:t xml:space="preserve"> </w:t>
      </w:r>
      <w:r>
        <w:t xml:space="preserve">http://ec.europa.eu/environment/waste/construction_demolition.htm.</w:t>
      </w:r>
      <w:r>
        <w:t xml:space="preserve"> </w:t>
      </w:r>
      <w:r>
        <w:t xml:space="preserve">209 Material Economics, ‘Circular Economy – A Powerful Force for Climate Mitigation’, 2018, p.140.</w:t>
      </w:r>
      <w:r>
        <w:t xml:space="preserve"> </w:t>
      </w:r>
      <w:r>
        <w:t xml:space="preserve">210 E.g. one demand-side option is to substitute from high-carbon to low-carbon materials. Material Economics,</w:t>
      </w:r>
      <w:r>
        <w:t xml:space="preserve"> </w:t>
      </w:r>
      <w:r>
        <w:t xml:space="preserve">‘Circular Economy – A Powerful Force for Climate Mitigation’, 2018, p.154.</w:t>
      </w:r>
      <w:r>
        <w:t xml:space="preserve"> </w:t>
      </w:r>
      <w:r>
        <w:t xml:space="preserve">211 Material Economics, ‘Circular Economy – A Powerful Force for Climate Mitigation’, 2018, p.140.</w:t>
      </w:r>
      <w:r>
        <w:t xml:space="preserve"> </w:t>
      </w:r>
      <w:r>
        <w:t xml:space="preserve">212 Material Economics, ‘Circular Economy – A Powerful Force for Climate Mitigation’, 2018, p. 43.</w:t>
      </w:r>
      <w:r>
        <w:t xml:space="preserve"> </w:t>
      </w:r>
      <w:r>
        <w:t xml:space="preserve">213 IPCC. (2018). Summary for policymakers—Global warming of 1.5°C. 2018. Intergovernmental Panel on Climate</w:t>
      </w:r>
      <w:r>
        <w:t xml:space="preserve"> </w:t>
      </w:r>
      <w:r>
        <w:t xml:space="preserve">Change (IPCC), https://www.ipcc.ch/sr15/chapter/summary-for-policy-makers/.</w:t>
      </w:r>
      <w:r>
        <w:t xml:space="preserve"> </w:t>
      </w:r>
      <w:r>
        <w:t xml:space="preserve">214 IEA. (2019). Global status report for buildings and construction 2019. International Energy Agency (IEA). DOI:</w:t>
      </w:r>
      <w:r>
        <w:t xml:space="preserve"> </w:t>
      </w:r>
      <w:r>
        <w:t xml:space="preserve">https://doi.org/10.1038/s41370-017-0014-9.</w:t>
      </w:r>
      <w:r>
        <w:t xml:space="preserve"> </w:t>
      </w:r>
      <w:r>
        <w:t xml:space="preserve">215 RPA(2015) Analysis of the implementation of the Construction Product Regulation, p. 134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provision are not yet producing any effect and have not triggered an improvement in the</w:t>
      </w:r>
      <w:r>
        <w:t xml:space="preserve"> </w:t>
      </w:r>
      <w:r>
        <w:t xml:space="preserve">sustainability of the sector.216</w:t>
      </w:r>
      <w:r>
        <w:t xml:space="preserve"> </w:t>
      </w:r>
      <w:r>
        <w:t xml:space="preserve">Furthermore, the ambition of strengthening the climate and sustainability aspects in the context</w:t>
      </w:r>
      <w:r>
        <w:t xml:space="preserve"> </w:t>
      </w:r>
      <w:r>
        <w:t xml:space="preserve">of the future revised CPR was highlighted by the CEAP and the Renovation Wave objectives.</w:t>
      </w:r>
      <w:r>
        <w:t xml:space="preserve"> </w:t>
      </w:r>
      <w:r>
        <w:t xml:space="preserve">Accordingly, to contribute to reducing the overall climate and environmental impact of</w:t>
      </w:r>
      <w:r>
        <w:t xml:space="preserve"> </w:t>
      </w:r>
      <w:r>
        <w:t xml:space="preserve">construction products is a specific objective of the revision of the CPR.</w:t>
      </w:r>
    </w:p>
    <w:p>
      <w:pPr>
        <w:pStyle w:val="BodyText"/>
      </w:pPr>
      <w:r>
        <w:t xml:space="preserve">216 Economisti Associati, Milieu and CEPS, with contributions from BPIE and DBRI (2016). Supporting study for</w:t>
      </w:r>
      <w:r>
        <w:t xml:space="preserve"> </w:t>
      </w:r>
      <w:r>
        <w:t xml:space="preserve">the Fitness Check on the construction sector: EU internal market and energy efficiency legislation, p. 48.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ANNEX 10: ARTICULATION WITH OTHER EXISTING EU</w:t>
      </w:r>
      <w:r>
        <w:t xml:space="preserve"> </w:t>
      </w:r>
      <w:r>
        <w:t xml:space="preserve">LEGISLATION AND OTHER INITIATIVES</w:t>
      </w:r>
      <w:r>
        <w:t xml:space="preserve"> </w:t>
      </w:r>
      <w:r>
        <w:t xml:space="preserve">The CPR is not the only European legislation that applies to the construction products. The co-</w:t>
      </w:r>
      <w:r>
        <w:t xml:space="preserve"> </w:t>
      </w:r>
      <w:r>
        <w:t xml:space="preserve">existence of many pieces of legislation that apply to the construction sector may be the reason</w:t>
      </w:r>
      <w:r>
        <w:t xml:space="preserve"> </w:t>
      </w:r>
      <w:r>
        <w:t xml:space="preserve">for potential overlaps in terms of procedures and requirements, notwithstanding the fact that they</w:t>
      </w:r>
      <w:r>
        <w:t xml:space="preserve"> </w:t>
      </w:r>
      <w:r>
        <w:t xml:space="preserve">pursue similar and complementary objectives217. With respect to external coherence with other</w:t>
      </w:r>
      <w:r>
        <w:t xml:space="preserve"> </w:t>
      </w:r>
      <w:r>
        <w:t xml:space="preserve">European legislations, there are a number of areas where the legislation overlap and/or are in</w:t>
      </w:r>
      <w:r>
        <w:t xml:space="preserve"> </w:t>
      </w:r>
      <w:r>
        <w:t xml:space="preserve">conflict with each other, including the Ecodesign Directive (EDD)218 and several other</w:t>
      </w:r>
      <w:r>
        <w:t xml:space="preserve"> </w:t>
      </w:r>
      <w:r>
        <w:t xml:space="preserve">product/technical directives219. Thus, there are potential overlaps between the CPR and the EDD</w:t>
      </w:r>
      <w:r>
        <w:t xml:space="preserve"> </w:t>
      </w:r>
      <w:r>
        <w:t xml:space="preserve">with respect to the procedures established for construction products, in particular to parallel</w:t>
      </w:r>
      <w:r>
        <w:t xml:space="preserve"> </w:t>
      </w:r>
      <w:r>
        <w:t xml:space="preserve">routes for CE marking.</w:t>
      </w:r>
      <w:r>
        <w:t xml:space="preserve"> </w:t>
      </w:r>
      <w:r>
        <w:t xml:space="preserve">The supporting study for the fitness check220 carried out an analysis of the coherence between</w:t>
      </w:r>
      <w:r>
        <w:t xml:space="preserve"> </w:t>
      </w:r>
      <w:r>
        <w:t xml:space="preserve">selected EU acts applying to the construction sector. More specifically, the study considered the</w:t>
      </w:r>
      <w:r>
        <w:t xml:space="preserve"> </w:t>
      </w:r>
      <w:r>
        <w:t xml:space="preserve">legal overlaps between the CPR and the EDD (2009) and the Energy Labelling Directive221</w:t>
      </w:r>
      <w:r>
        <w:t xml:space="preserve"> </w:t>
      </w:r>
      <w:r>
        <w:t xml:space="preserve">(ELD, 2010), which may also apply to construction products and found that:</w:t>
      </w:r>
      <w:r>
        <w:t xml:space="preserve"> </w:t>
      </w:r>
      <w:r>
        <w:t xml:space="preserve"> Inconsistencies in definitions, lack of cross-references between the three pieces of</w:t>
      </w:r>
      <w:r>
        <w:t xml:space="preserve"> </w:t>
      </w:r>
      <w:r>
        <w:t xml:space="preserve">legislation: Negligible cost impact;</w:t>
      </w:r>
      <w:r>
        <w:t xml:space="preserve"> </w:t>
      </w:r>
      <w:r>
        <w:t xml:space="preserve"> Overlap of the CPR and the (current) EDD/ELD:</w:t>
      </w:r>
      <w:r>
        <w:t xml:space="preserve"> </w:t>
      </w:r>
      <w:r>
        <w:t xml:space="preserve">o Limited costs for the whole sector, but increasing if and when the scope of the EDD</w:t>
      </w:r>
      <w:r>
        <w:t xml:space="preserve"> </w:t>
      </w:r>
      <w:r>
        <w:t xml:space="preserve">is extended to other construction products;</w:t>
      </w:r>
      <w:r>
        <w:t xml:space="preserve"> </w:t>
      </w:r>
      <w:r>
        <w:t xml:space="preserve">o High costs for manufacturers of specific products covered by both hEN and the EDD.</w:t>
      </w:r>
      <w:r>
        <w:t xml:space="preserve"> </w:t>
      </w:r>
      <w:r>
        <w:t xml:space="preserve">The costs of these legal overlaps could not be quantified but may be significant for</w:t>
      </w:r>
      <w:r>
        <w:t xml:space="preserve"> </w:t>
      </w:r>
      <w:r>
        <w:t xml:space="preserve">manufacturers of those specific products.</w:t>
      </w:r>
      <w:r>
        <w:t xml:space="preserve"> </w:t>
      </w:r>
      <w:r>
        <w:t xml:space="preserve">Furthermore, the 2016 study222 found that “existing overlaps between the EDD and CPR for</w:t>
      </w:r>
      <w:r>
        <w:t xml:space="preserve"> </w:t>
      </w:r>
      <w:r>
        <w:t xml:space="preserve">specific product categories currently relate to five product categories, namely solid fuel boilers,</w:t>
      </w:r>
      <w:r>
        <w:t xml:space="preserve"> </w:t>
      </w:r>
      <w:r>
        <w:t xml:space="preserve">(solid fuel) local space heaters and space/water heaters, as regulated by recently adopted</w:t>
      </w:r>
      <w:r>
        <w:t xml:space="preserve"> </w:t>
      </w:r>
      <w:r>
        <w:t xml:space="preserve">Commission Regulations (EU) 2015/1185223, 2015/1188224, 2015/1189225, 813/2013226, and</w:t>
      </w:r>
    </w:p>
    <w:p>
      <w:pPr>
        <w:pStyle w:val="BodyText"/>
      </w:pPr>
      <w:r>
        <w:t xml:space="preserve">217 Centre for Industrial Studies (2020). EADs and ETAs: Added value to the construction sector, p. 56.</w:t>
      </w:r>
      <w:r>
        <w:t xml:space="preserve"> </w:t>
      </w:r>
      <w:r>
        <w:t xml:space="preserve">218 Directive 2009/125/EC.</w:t>
      </w:r>
      <w:r>
        <w:t xml:space="preserve"> </w:t>
      </w:r>
      <w:r>
        <w:t xml:space="preserve">219 VVA Economics &amp; Policy, Joint Institute for Innovation Policy (JIIP), Danish Technological Institute (DTI),</w:t>
      </w:r>
      <w:r>
        <w:t xml:space="preserve"> </w:t>
      </w:r>
      <w:r>
        <w:t xml:space="preserve">Global Data Collection Company (2018). Supporting study for the Review of the Construction Products</w:t>
      </w:r>
      <w:r>
        <w:t xml:space="preserve"> </w:t>
      </w:r>
      <w:r>
        <w:t xml:space="preserve">Regulation: Evaluation, p.115.</w:t>
      </w:r>
      <w:r>
        <w:t xml:space="preserve"> </w:t>
      </w:r>
      <w:r>
        <w:t xml:space="preserve">220 Economisti Associati, Milieu &amp; CEPS (2016). Supporting study for the Fitness Check on the construction sector:</w:t>
      </w:r>
      <w:r>
        <w:t xml:space="preserve"> </w:t>
      </w:r>
      <w:r>
        <w:t xml:space="preserve">EU internal market and energy efficiency legislation.</w:t>
      </w:r>
      <w:r>
        <w:t xml:space="preserve"> </w:t>
      </w:r>
      <w:r>
        <w:t xml:space="preserve">221 Directive 2010/30/EU.</w:t>
      </w:r>
      <w:r>
        <w:t xml:space="preserve"> </w:t>
      </w:r>
      <w:r>
        <w:t xml:space="preserve">222 Economisti Associati, Milieu &amp; CEPS (2016). Supporting study for the Fitness Check on the construction sector:</w:t>
      </w:r>
      <w:r>
        <w:t xml:space="preserve"> </w:t>
      </w:r>
      <w:r>
        <w:t xml:space="preserve">EU internal market and energy efficiency legislation.</w:t>
      </w:r>
      <w:r>
        <w:t xml:space="preserve"> </w:t>
      </w:r>
      <w:r>
        <w:t xml:space="preserve">223 Commission Regulation (EU) 2015/1185 of 24 April 2015 implementing Directive 2009/125/EC of the European</w:t>
      </w:r>
      <w:r>
        <w:t xml:space="preserve"> </w:t>
      </w:r>
      <w:r>
        <w:t xml:space="preserve">Parliament and of the Council with regard to Ecodesign requirements for solid fuel local space heaters,</w:t>
      </w:r>
      <w:r>
        <w:t xml:space="preserve"> </w:t>
      </w:r>
      <w:r>
        <w:t xml:space="preserve">https://eur-lex.europa.eu/legal-content/EN/TXT/?uri=uriserv:OJ.L_.2015.193.01.0001.01.ENG.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814/2013227. Hence, potential impacts are very limited when compared to the whole market for</w:t>
      </w:r>
      <w:r>
        <w:t xml:space="preserve"> </w:t>
      </w:r>
      <w:r>
        <w:t xml:space="preserve">construction products”.</w:t>
      </w:r>
      <w:r>
        <w:t xml:space="preserve"> </w:t>
      </w:r>
      <w:r>
        <w:t xml:space="preserve">The study concluded that the objectives of the CPR, the ELD and the EDD are clearly distinct</w:t>
      </w:r>
      <w:r>
        <w:t xml:space="preserve"> </w:t>
      </w:r>
      <w:r>
        <w:t xml:space="preserve">and are mostly considered complementary and coherent.</w:t>
      </w:r>
      <w:r>
        <w:t xml:space="preserve"> </w:t>
      </w:r>
      <w:r>
        <w:t xml:space="preserve">Also, the same study228 considered the relationship between the CPR and the Energy</w:t>
      </w:r>
      <w:r>
        <w:t xml:space="preserve"> </w:t>
      </w:r>
      <w:r>
        <w:t xml:space="preserve">Performance of Buildings Directive229 (EPBD, 2010), noting that there is a link between the</w:t>
      </w:r>
      <w:r>
        <w:t xml:space="preserve"> </w:t>
      </w:r>
      <w:r>
        <w:t xml:space="preserve">EPBD and the CPR, as the latter establishes harmonised rules for the marketing of construction</w:t>
      </w:r>
      <w:r>
        <w:t xml:space="preserve"> </w:t>
      </w:r>
      <w:r>
        <w:t xml:space="preserve">products, hereby allowing the comparison of the energy-related performance of products from</w:t>
      </w:r>
      <w:r>
        <w:t xml:space="preserve"> </w:t>
      </w:r>
      <w:r>
        <w:t xml:space="preserve">different manufacturers. As the EPBD takes a system approach while the CPR acts at product</w:t>
      </w:r>
      <w:r>
        <w:t xml:space="preserve"> </w:t>
      </w:r>
      <w:r>
        <w:t xml:space="preserve">level, it was concluded that the two pieces of legislation do not overlap and that the adoption of a</w:t>
      </w:r>
      <w:r>
        <w:t xml:space="preserve"> </w:t>
      </w:r>
      <w:r>
        <w:t xml:space="preserve">new standard on sustainability or energy economy under the CPR could contribute to achieving</w:t>
      </w:r>
      <w:r>
        <w:t xml:space="preserve"> </w:t>
      </w:r>
      <w:r>
        <w:t xml:space="preserve">the objectives of the EPBD. There is thus an opportunity to achieve synergies between the CPR</w:t>
      </w:r>
      <w:r>
        <w:t xml:space="preserve"> </w:t>
      </w:r>
      <w:r>
        <w:t xml:space="preserve">and the EPBD through a coordinated approach.</w:t>
      </w:r>
      <w:r>
        <w:t xml:space="preserve"> </w:t>
      </w:r>
      <w:r>
        <w:t xml:space="preserve">Besides, there is a conflict between the CPR and the Standardisation Regulation since the use</w:t>
      </w:r>
      <w:r>
        <w:t xml:space="preserve"> </w:t>
      </w:r>
      <w:r>
        <w:t xml:space="preserve">of harmonised standards is mandatory under the CPR but voluntary under the Standardisation</w:t>
      </w:r>
      <w:r>
        <w:t xml:space="preserve"> </w:t>
      </w:r>
      <w:r>
        <w:t xml:space="preserve">Regulation230. A key problem relates to the CPR adding additional regulatory complexity (and</w:t>
      </w:r>
      <w:r>
        <w:t xml:space="preserve"> </w:t>
      </w:r>
      <w:r>
        <w:t xml:space="preserve">time) to the standardisation process compared to voluntary standards.</w:t>
      </w:r>
      <w:r>
        <w:br/>
      </w:r>
      <w:r>
        <w:t xml:space="preserve">Furthermore, the CPR does not align with other Internal Market (New Approach231)</w:t>
      </w:r>
      <w:r>
        <w:t xml:space="preserve"> </w:t>
      </w:r>
      <w:r>
        <w:t xml:space="preserve">directives, since the basic function and meaning of the CE marking is different.</w:t>
      </w:r>
    </w:p>
    <w:p>
      <w:pPr>
        <w:pStyle w:val="BodyText"/>
      </w:pPr>
      <w:r>
        <w:t xml:space="preserve">224 Commission Regulation (EU) 2015/1188 of 28 April 2015 implementing Directive 2009/125/EC of the European</w:t>
      </w:r>
      <w:r>
        <w:t xml:space="preserve"> </w:t>
      </w:r>
      <w:r>
        <w:t xml:space="preserve">Parliament and of the Council with regard to Ecodesign requirements for local space heaters, https://eur-</w:t>
      </w:r>
      <w:r>
        <w:t xml:space="preserve"> </w:t>
      </w:r>
      <w:r>
        <w:t xml:space="preserve">lex.europa.eu/legal-content/EN/TXT/?uri=uriserv%3AOJ.L_.2015.193.01.0076.01.ENG.</w:t>
      </w:r>
      <w:r>
        <w:br/>
      </w:r>
      <w:r>
        <w:t xml:space="preserve">225 Commission Regulation (EU) 2015/1189 of 28 April 2015 implementing Directive 2009/125/EC of the European</w:t>
      </w:r>
      <w:r>
        <w:t xml:space="preserve"> </w:t>
      </w:r>
      <w:r>
        <w:t xml:space="preserve">Parliament and of the Council with regard to Ecodesign requirements for solid fuel boilers, https://eur-</w:t>
      </w:r>
      <w:r>
        <w:t xml:space="preserve"> </w:t>
      </w:r>
      <w:r>
        <w:t xml:space="preserve">lex.europa.eu/legal-content/EN/TXT/?uri=uriserv:OJ.L_.2015.193.01.0100.01.ENG&amp;toc=OJ:L:2015:193:TOC.</w:t>
      </w:r>
      <w:r>
        <w:br/>
      </w:r>
      <w:r>
        <w:t xml:space="preserve">226 Commission Regulation (EU) No 813/2013 of 2 August 2013 implementing Directive 2009/125/EC of the</w:t>
      </w:r>
      <w:r>
        <w:t xml:space="preserve"> </w:t>
      </w:r>
      <w:r>
        <w:t xml:space="preserve">European Parliament and of the Council with regard to Ecodesign requirements for space heaters and</w:t>
      </w:r>
      <w:r>
        <w:t xml:space="preserve"> </w:t>
      </w:r>
      <w:r>
        <w:t xml:space="preserve">combination heaters, https://eur-lex.europa.eu/legal-content/EN/TXT/?uri=CELEX%3A32013R0813.</w:t>
      </w:r>
      <w:r>
        <w:br/>
      </w:r>
      <w:r>
        <w:t xml:space="preserve">227 Commission Regulation (EU) No 814/2013 of 2 August 2013 implementing Directive 2009/125/EC of the</w:t>
      </w:r>
      <w:r>
        <w:t xml:space="preserve"> </w:t>
      </w:r>
      <w:r>
        <w:t xml:space="preserve">European Parliament and of the Council with regard to Ecodesign requirements for water heaters and hot water</w:t>
      </w:r>
      <w:r>
        <w:t xml:space="preserve"> </w:t>
      </w:r>
      <w:r>
        <w:t xml:space="preserve">storage tanks, https://eur-lex.europa.eu/legal-content/EN/TXT/?uri=CELEX%3A32013R0814.</w:t>
      </w:r>
      <w:r>
        <w:br/>
      </w:r>
      <w:r>
        <w:t xml:space="preserve">228 Economisti Associati, Milieu &amp; CEPS (2016). Supporting study for the Fitness Check on the construction sector:</w:t>
      </w:r>
      <w:r>
        <w:t xml:space="preserve"> </w:t>
      </w:r>
      <w:r>
        <w:t xml:space="preserve">EU internal market and energy efficiency legislation.</w:t>
      </w:r>
      <w:r>
        <w:t xml:space="preserve"> </w:t>
      </w:r>
      <w:r>
        <w:t xml:space="preserve">229 Directive 2010/31/EU of the European Parliament and of the Council of 19 May 2010 on the energy performance</w:t>
      </w:r>
      <w:r>
        <w:t xml:space="preserve"> </w:t>
      </w:r>
      <w:r>
        <w:t xml:space="preserve">of buildings.</w:t>
      </w:r>
      <w:r>
        <w:t xml:space="preserve"> </w:t>
      </w:r>
      <w:r>
        <w:t xml:space="preserve">230 VVA Economics &amp; Policy, Joint Institute for Innovation Policy (JIIP), Danish Technological Institute (DTI),</w:t>
      </w:r>
      <w:r>
        <w:t xml:space="preserve"> </w:t>
      </w:r>
      <w:r>
        <w:t xml:space="preserve">Global Data Collection Company (2018). Supporting study for the Review of the Construction Products</w:t>
      </w:r>
      <w:r>
        <w:t xml:space="preserve"> </w:t>
      </w:r>
      <w:r>
        <w:t xml:space="preserve">Regulation: Evaluation, p.116.</w:t>
      </w:r>
      <w:r>
        <w:t xml:space="preserve"> </w:t>
      </w:r>
      <w:r>
        <w:t xml:space="preserve">231 Under the CPR, the basic function and meaning of the CE marking is different from those under most internal</w:t>
      </w:r>
      <w:r>
        <w:t xml:space="preserve"> </w:t>
      </w:r>
      <w:r>
        <w:t xml:space="preserve">market (new approach) directives, focusing on assessment of performance instead of product conformity. This is</w:t>
      </w:r>
      <w:r>
        <w:t xml:space="preserve"> </w:t>
      </w:r>
      <w:r>
        <w:t xml:space="preserve">due to the combination of two important specific factors: the nature of such intermediate products and the fact</w:t>
      </w:r>
      <w:r>
        <w:t xml:space="preserve"> </w:t>
      </w:r>
      <w:r>
        <w:t xml:space="preserve">that construction works are a competence of the Member States. As noted by the Supporting study for the fitness</w:t>
      </w:r>
      <w:r>
        <w:t xml:space="preserve"> </w:t>
      </w:r>
      <w:r>
        <w:t xml:space="preserve">check of the construction sector, “While a New Approach Directive on e.g. the safety of certain products would</w:t>
      </w:r>
      <w:r>
        <w:t xml:space="preserve"> </w:t>
      </w:r>
      <w:r>
        <w:t xml:space="preserve">state the minimum safety level that a manufacturer needs to guarantee to place a product on the Single Market,</w:t>
      </w:r>
      <w:r>
        <w:t xml:space="preserve"> </w:t>
      </w:r>
      <w:r>
        <w:t xml:space="preserve">the CPR ‘only’ sets a common methodology for measuring the performance of construction products over their</w:t>
      </w:r>
      <w:r>
        <w:t xml:space="preserve"> </w:t>
      </w:r>
      <w:r>
        <w:t xml:space="preserve">essential characteristics”.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Furthermore, interlinks between the revised CPR and upcoming legislation exist, particularly the</w:t>
      </w:r>
      <w:r>
        <w:t xml:space="preserve"> </w:t>
      </w:r>
      <w:r>
        <w:t xml:space="preserve">Sustainable Products Initiative. Therefore, there is a need to define interfaces between</w:t>
      </w:r>
      <w:r>
        <w:t xml:space="preserve"> </w:t>
      </w:r>
      <w:r>
        <w:t xml:space="preserve">horizontal legislation, namely the SPI, and vertical legislation, in view of avoiding negative</w:t>
      </w:r>
      <w:r>
        <w:t xml:space="preserve"> </w:t>
      </w:r>
      <w:r>
        <w:t xml:space="preserve">interferences and duplications. The links with the SPI are presented and analysed in Annex 11.</w:t>
      </w:r>
      <w:r>
        <w:t xml:space="preserve"> </w:t>
      </w:r>
      <w:r>
        <w:t xml:space="preserve">In the 2018 supporting study232, respondents to the public consultation provide quite a large</w:t>
      </w:r>
      <w:r>
        <w:t xml:space="preserve"> </w:t>
      </w:r>
      <w:r>
        <w:t xml:space="preserve">number of examples of specific pieces of legislation that overlap or contradict the CPR. The</w:t>
      </w:r>
      <w:r>
        <w:t xml:space="preserve"> </w:t>
      </w:r>
      <w:r>
        <w:t xml:space="preserve">pieces of legislation that were mentioned multiple times were the following: public procurement</w:t>
      </w:r>
      <w:r>
        <w:t xml:space="preserve"> </w:t>
      </w:r>
      <w:r>
        <w:t xml:space="preserve">rules at national and/or local level as well as EU “green public procurement” rules, Ecodesign</w:t>
      </w:r>
      <w:r>
        <w:t xml:space="preserve"> </w:t>
      </w:r>
      <w:r>
        <w:t xml:space="preserve">Directive, Drinking Water Directive, REACH, Waste Framework Directive, Marine Equipment</w:t>
      </w:r>
      <w:r>
        <w:t xml:space="preserve"> </w:t>
      </w:r>
      <w:r>
        <w:t xml:space="preserve">Directive, Classification, Labelling and Packaging Regulation, Energy Performance of Buildings</w:t>
      </w:r>
      <w:r>
        <w:t xml:space="preserve"> </w:t>
      </w:r>
      <w:r>
        <w:t xml:space="preserve">Directive, Product Liability Directive, Machinery Directive.</w:t>
      </w:r>
      <w:r>
        <w:t xml:space="preserve"> </w:t>
      </w:r>
      <w:r>
        <w:t xml:space="preserve">Moreover, with respect to EADs, in a survey233 conducted in 2020, when analysing</w:t>
      </w:r>
      <w:r>
        <w:t xml:space="preserve"> </w:t>
      </w:r>
      <w:r>
        <w:t xml:space="preserve">manufacturers’ responses by the product areas they deal with, for the vast majority of product</w:t>
      </w:r>
      <w:r>
        <w:t xml:space="preserve"> </w:t>
      </w:r>
      <w:r>
        <w:t xml:space="preserve">areas, the EADs are neither overlapping nor conflicting with EU legislation other than the</w:t>
      </w:r>
      <w:r>
        <w:t xml:space="preserve"> </w:t>
      </w:r>
      <w:r>
        <w:t xml:space="preserve">CPR234. Only in a few cases, manufacturers indicated a problem of overlapping, but not</w:t>
      </w:r>
      <w:r>
        <w:t xml:space="preserve"> </w:t>
      </w:r>
      <w:r>
        <w:t xml:space="preserve">conflicting EU legislation.</w:t>
      </w:r>
      <w:r>
        <w:t xml:space="preserve"> </w:t>
      </w:r>
      <w:r>
        <w:t xml:space="preserve">In this view, it is important to note that, with respect to the policy options outlined in this Impact</w:t>
      </w:r>
      <w:r>
        <w:t xml:space="preserve"> </w:t>
      </w:r>
      <w:r>
        <w:t xml:space="preserve">Assessment; Options B to D would include a clarification of the relationship of the CPR with</w:t>
      </w:r>
      <w:r>
        <w:t xml:space="preserve"> </w:t>
      </w:r>
      <w:r>
        <w:t xml:space="preserve">current rules and introduce clear collision rules for potential future overlap. Coherence with</w:t>
      </w:r>
      <w:r>
        <w:t xml:space="preserve"> </w:t>
      </w:r>
      <w:r>
        <w:t xml:space="preserve">existing EU legislation would be ensured by making explicit the CPR’s relationship to</w:t>
      </w:r>
      <w:r>
        <w:t xml:space="preserve"> </w:t>
      </w:r>
      <w:r>
        <w:t xml:space="preserve">overlapping rules (e.g. REACH or the Waste Framework Directive). Certain construction</w:t>
      </w:r>
      <w:r>
        <w:t xml:space="preserve"> </w:t>
      </w:r>
      <w:r>
        <w:t xml:space="preserve">products would be excluded to prevent overlap with other EU legislation (e.g. in relation to the</w:t>
      </w:r>
      <w:r>
        <w:t xml:space="preserve"> </w:t>
      </w:r>
      <w:r>
        <w:t xml:space="preserve">Drinking Water Directive).</w:t>
      </w:r>
      <w:r>
        <w:t xml:space="preserve"> </w:t>
      </w:r>
      <w:r>
        <w:t xml:space="preserve">The Climate Law requires that any new legislative proposal is aligned with the objective of</w:t>
      </w:r>
      <w:r>
        <w:t xml:space="preserve"> </w:t>
      </w:r>
      <w:r>
        <w:t xml:space="preserve">ensuring the 2050 climate neutrality objective, in a socially fair and cost-efficient manner. The</w:t>
      </w:r>
      <w:r>
        <w:t xml:space="preserve"> </w:t>
      </w:r>
      <w:r>
        <w:t xml:space="preserve">Commission has to assess that the proposal ensures climate adaptation.235 While the climate</w:t>
      </w:r>
      <w:r>
        <w:t xml:space="preserve"> </w:t>
      </w:r>
      <w:r>
        <w:t xml:space="preserve">resilience of buildings is largely dependent on local conditions and is regulated in national,</w:t>
      </w:r>
      <w:r>
        <w:t xml:space="preserve"> </w:t>
      </w:r>
      <w:r>
        <w:t xml:space="preserve">regional or local building codes, under the revised CPR manufacturers could provide product</w:t>
      </w:r>
      <w:r>
        <w:t xml:space="preserve"> </w:t>
      </w:r>
      <w:r>
        <w:t xml:space="preserve">information allowing construction works to be better adapted to future climate conditions.</w:t>
      </w:r>
      <w:r>
        <w:t xml:space="preserve"> </w:t>
      </w:r>
      <w:r>
        <w:t xml:space="preserve">Finally, some of the legislation overlapping with the CPR also entails potential for synergies, if</w:t>
      </w:r>
      <w:r>
        <w:t xml:space="preserve"> </w:t>
      </w:r>
      <w:r>
        <w:t xml:space="preserve">sufficient coordination is applied, including that the procedures and approaches involved could</w:t>
      </w:r>
      <w:r>
        <w:t xml:space="preserve"> </w:t>
      </w:r>
      <w:r>
        <w:t xml:space="preserve">remain sufficiently similar. The potential for synergies was already mentioned above for the</w:t>
      </w:r>
      <w:r>
        <w:t xml:space="preserve"> </w:t>
      </w:r>
      <w:r>
        <w:t xml:space="preserve">EPBD, but could also apply to other pieces of legislation such as the EDD and the ELD.</w:t>
      </w:r>
      <w:r>
        <w:t xml:space="preserve"> </w:t>
      </w:r>
      <w:r>
        <w:t xml:space="preserve">In sum, several pieces of European legislation apply to construction products, and this could</w:t>
      </w:r>
      <w:r>
        <w:t xml:space="preserve"> </w:t>
      </w:r>
      <w:r>
        <w:t xml:space="preserve">pose overlap and conflict with the CPR. Actual and potential overlaps exist with Ecodesign</w:t>
      </w:r>
      <w:r>
        <w:t xml:space="preserve"> </w:t>
      </w:r>
      <w:r>
        <w:t xml:space="preserve">Directive and may also materialise for Energy Labelling Directive and its future delegated acts.</w:t>
      </w:r>
    </w:p>
    <w:p>
      <w:pPr>
        <w:pStyle w:val="BodyText"/>
      </w:pPr>
      <w:r>
        <w:t xml:space="preserve">232 VVA Economics &amp; Policy, Joint Institute for Innovation Policy (JIIP), Danish Technological Institute (DTI),</w:t>
      </w:r>
      <w:r>
        <w:t xml:space="preserve"> </w:t>
      </w:r>
      <w:r>
        <w:t xml:space="preserve">Global Data Collection Company (2018). Supporting study for the Review of the Construction Products</w:t>
      </w:r>
      <w:r>
        <w:t xml:space="preserve"> </w:t>
      </w:r>
      <w:r>
        <w:t xml:space="preserve">Regulation: Impact Assessment, Annex VIII, pp.162-163.</w:t>
      </w:r>
      <w:r>
        <w:t xml:space="preserve"> </w:t>
      </w:r>
      <w:r>
        <w:t xml:space="preserve">233 Centre for Industrial Studies (2020). EADs and ETAs: Added value to the construction sector. 2020-csil-eota-</w:t>
      </w:r>
      <w:r>
        <w:t xml:space="preserve"> </w:t>
      </w:r>
      <w:r>
        <w:t xml:space="preserve">report-0109.pdf.</w:t>
      </w:r>
      <w:r>
        <w:t xml:space="preserve"> </w:t>
      </w:r>
      <w:r>
        <w:t xml:space="preserve">234 Centre for Industrial Studies (2020). EADs and ETAs: Added value to the construction sector, p. 58.</w:t>
      </w:r>
      <w:r>
        <w:br/>
      </w:r>
      <w:r>
        <w:t xml:space="preserve">235 Regulation (EU) 2021/1119, Article 6(4).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Such overlaps are expected to become more and more frequent but also entail potential for</w:t>
      </w:r>
      <w:r>
        <w:t xml:space="preserve"> </w:t>
      </w:r>
      <w:r>
        <w:t xml:space="preserve">synergies through coordination. Indisputably, all economic actors would benefit from increasing</w:t>
      </w:r>
      <w:r>
        <w:t xml:space="preserve"> </w:t>
      </w:r>
      <w:r>
        <w:t xml:space="preserve">the cost-effectiveness through reduction of overlaps, hence one of the goals of the CPR revision.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ANNEX 11: INTERACTION BETWEEN THE FUTURE CPR AND THE</w:t>
      </w:r>
      <w:r>
        <w:t xml:space="preserve"> </w:t>
      </w:r>
      <w:r>
        <w:t xml:space="preserve">SPI</w:t>
      </w:r>
      <w:r>
        <w:t xml:space="preserve"> </w:t>
      </w:r>
      <w:r>
        <w:t xml:space="preserve">The actions announced in in the CEAP include ‘addressing the sustainability performance of</w:t>
      </w:r>
      <w:r>
        <w:t xml:space="preserve"> </w:t>
      </w:r>
      <w:r>
        <w:t xml:space="preserve">construction products in the context of the revision of the Construction Product Regulation</w:t>
      </w:r>
      <w:r>
        <w:t xml:space="preserve"> </w:t>
      </w:r>
      <w:r>
        <w:t xml:space="preserve">(CPR), including the possible introduction of recycled content requirements for certain</w:t>
      </w:r>
      <w:r>
        <w:t xml:space="preserve"> </w:t>
      </w:r>
      <w:r>
        <w:t xml:space="preserve">construction products, taking into account their safety and functionality.’ At the same time, with</w:t>
      </w:r>
      <w:r>
        <w:t xml:space="preserve"> </w:t>
      </w:r>
      <w:r>
        <w:t xml:space="preserve">regard to the Sustainable Products Initiative (SPI), the CEAP announced that ‘the core of this</w:t>
      </w:r>
      <w:r>
        <w:t xml:space="preserve"> </w:t>
      </w:r>
      <w:r>
        <w:t xml:space="preserve">legislative initiative will be to widen the Ecodesign Directive (EDD) beyond energy-related</w:t>
      </w:r>
      <w:r>
        <w:t xml:space="preserve"> </w:t>
      </w:r>
      <w:r>
        <w:t xml:space="preserve">products so as to make the Ecodesign framework applicable to the broadest possible range of</w:t>
      </w:r>
      <w:r>
        <w:t xml:space="preserve"> </w:t>
      </w:r>
      <w:r>
        <w:t xml:space="preserve">products and make it deliver on circularity.’</w:t>
      </w:r>
      <w:r>
        <w:br/>
      </w:r>
      <w:r>
        <w:t xml:space="preserve">The SPI will aim to improve products’ sustainability, to give access to sustainability information</w:t>
      </w:r>
      <w:r>
        <w:t xml:space="preserve"> </w:t>
      </w:r>
      <w:r>
        <w:t xml:space="preserve">along the supply chain and to incentivise more sustainable products and business models – of all</w:t>
      </w:r>
      <w:r>
        <w:t xml:space="preserve"> </w:t>
      </w:r>
      <w:r>
        <w:t xml:space="preserve">products. In terms of the prioritisation, the product categories such as energy related products</w:t>
      </w:r>
      <w:r>
        <w:t xml:space="preserve"> </w:t>
      </w:r>
      <w:r>
        <w:t xml:space="preserve">(including means of transport), textiles, furniture, high impact intermediary products and</w:t>
      </w:r>
      <w:r>
        <w:t xml:space="preserve"> </w:t>
      </w:r>
      <w:r>
        <w:t xml:space="preserve">chemicals would be expected to be tackled first. Therefore, the SPI will intend to broaden the</w:t>
      </w:r>
      <w:r>
        <w:t xml:space="preserve"> </w:t>
      </w:r>
      <w:r>
        <w:t xml:space="preserve">current empowerments of the Ecodesign framework to set new kinds of requirements (e.g. on</w:t>
      </w:r>
      <w:r>
        <w:t xml:space="preserve"> </w:t>
      </w:r>
      <w:r>
        <w:t xml:space="preserve">minimum recycled content, on the declaration of the environmental footprint, on the</w:t>
      </w:r>
      <w:r>
        <w:t xml:space="preserve"> </w:t>
      </w:r>
      <w:r>
        <w:t xml:space="preserve">remanufacturing of components or on due diligence requirements in relation to specific social or</w:t>
      </w:r>
      <w:r>
        <w:t xml:space="preserve"> </w:t>
      </w:r>
      <w:r>
        <w:t xml:space="preserve">human rights risks along the value chain of products) in relation to those products.</w:t>
      </w:r>
      <w:r>
        <w:t xml:space="preserve"> </w:t>
      </w:r>
      <w:r>
        <w:t xml:space="preserve">Hence, the question arises how the CPR and the SPI should articulate.</w:t>
      </w:r>
      <w:r>
        <w:br/>
      </w:r>
      <w:r>
        <w:t xml:space="preserve">Only when overcoming the standardisation deadlock, option A could partially address climate</w:t>
      </w:r>
      <w:r>
        <w:t xml:space="preserve"> </w:t>
      </w:r>
      <w:r>
        <w:t xml:space="preserve">and environmental sustainability already foreseen under the current CPR. But it would not reach</w:t>
      </w:r>
      <w:r>
        <w:t xml:space="preserve"> </w:t>
      </w:r>
      <w:r>
        <w:t xml:space="preserve">the same ambition as the SPI and would not be able to mirror the same level of empowerments.</w:t>
      </w:r>
      <w:r>
        <w:t xml:space="preserve"> </w:t>
      </w:r>
      <w:r>
        <w:t xml:space="preserve">Therefore, under option A as well as under option E the SPI would have to apply to and to</w:t>
      </w:r>
      <w:r>
        <w:t xml:space="preserve"> </w:t>
      </w:r>
      <w:r>
        <w:t xml:space="preserve">prioritise construction products to address their sustainability. However, it would take a long</w:t>
      </w:r>
      <w:r>
        <w:t xml:space="preserve"> </w:t>
      </w:r>
      <w:r>
        <w:t xml:space="preserve">time for the SPI to cover a considerable number of construction products owing to their</w:t>
      </w:r>
      <w:r>
        <w:t xml:space="preserve"> </w:t>
      </w:r>
      <w:r>
        <w:t xml:space="preserve">diversity. Under A, this would lead to overlapping requirements, as construction product be</w:t>
      </w:r>
      <w:r>
        <w:t xml:space="preserve"> </w:t>
      </w:r>
      <w:r>
        <w:t xml:space="preserve">covered by two legislation (SPI and CPR) with high risks of unjustified administrative burdens,</w:t>
      </w:r>
      <w:r>
        <w:t xml:space="preserve"> </w:t>
      </w:r>
      <w:r>
        <w:t xml:space="preserve">inconsistency and suboptimal results in terms of trade-off between environmental performances</w:t>
      </w:r>
      <w:r>
        <w:t xml:space="preserve"> </w:t>
      </w:r>
      <w:r>
        <w:t xml:space="preserve">and CPR ‘traditional’ ones (e.g. safety). In contrast, Option E would avoid this problem, as there</w:t>
      </w:r>
      <w:r>
        <w:t xml:space="preserve"> </w:t>
      </w:r>
      <w:r>
        <w:t xml:space="preserve">would be no CPR anymore. However, this would be from the CPR point of view the least</w:t>
      </w:r>
      <w:r>
        <w:t xml:space="preserve"> </w:t>
      </w:r>
      <w:r>
        <w:t xml:space="preserve">optimal option.</w:t>
      </w:r>
      <w:r>
        <w:br/>
      </w:r>
      <w:r>
        <w:t xml:space="preserve">Under option B, which foresees a harmonised framework to assess, communicate and access of</w:t>
      </w:r>
      <w:r>
        <w:t xml:space="preserve"> </w:t>
      </w:r>
      <w:r>
        <w:t xml:space="preserve">the environmental performances of construction products and the promotion of the reuse of</w:t>
      </w:r>
      <w:r>
        <w:t xml:space="preserve"> </w:t>
      </w:r>
      <w:r>
        <w:t xml:space="preserve">construction products, most of the SPI’s aims could be addressed in the CPR framework.</w:t>
      </w:r>
      <w:r>
        <w:t xml:space="preserve"> </w:t>
      </w:r>
      <w:r>
        <w:t xml:space="preserve">However, only with option D, which additionally foresees the possibility to set inherent product</w:t>
      </w:r>
      <w:r>
        <w:t xml:space="preserve"> </w:t>
      </w:r>
      <w:r>
        <w:t xml:space="preserve">requirements (e.g. durability, reparability, availability of spare parts) as is expected under the</w:t>
      </w:r>
      <w:r>
        <w:t xml:space="preserve"> </w:t>
      </w:r>
      <w:r>
        <w:t xml:space="preserve">expected requirements of the SPI, the SPI’s aims could be fully addressed within the CPR</w:t>
      </w:r>
      <w:r>
        <w:t xml:space="preserve"> </w:t>
      </w:r>
      <w:r>
        <w:t xml:space="preserve">framework. For option B these product requirements would have to developed under the SPI.</w:t>
      </w:r>
      <w:r>
        <w:br/>
      </w:r>
      <w:r>
        <w:t xml:space="preserve">Sub-option C1 would relate to the SPI similar as option B but even more environmental</w:t>
      </w:r>
      <w:r>
        <w:t xml:space="preserve"> </w:t>
      </w:r>
      <w:r>
        <w:t xml:space="preserve">requirements would need to be dealt under the SPI considering the refocus of the CPR only on</w:t>
      </w:r>
      <w:r>
        <w:t xml:space="preserve"> </w:t>
      </w:r>
      <w:r>
        <w:t xml:space="preserve">test methods (i.e. no classes no thresholds). However, under sub-options C2 and C3 a</w:t>
      </w:r>
      <w:r>
        <w:t xml:space="preserve"> </w:t>
      </w:r>
      <w:r>
        <w:t xml:space="preserve">considerable number of construction products would not or only partially be regulated by the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CPR. Therefore, the SPI’s aims would have to be addressed by the SPI directly, the CPR would</w:t>
      </w:r>
      <w:r>
        <w:t xml:space="preserve"> </w:t>
      </w:r>
      <w:r>
        <w:t xml:space="preserve">cover less products than today, national regulations would cover more with some overlap under</w:t>
      </w:r>
      <w:r>
        <w:t xml:space="preserve"> </w:t>
      </w:r>
      <w:r>
        <w:t xml:space="preserve">option C3 and mutual recognition would be relevant for more products. The result would be a</w:t>
      </w:r>
      <w:r>
        <w:t xml:space="preserve"> </w:t>
      </w:r>
      <w:r>
        <w:t xml:space="preserve">complex regulatory structure for construction products.</w:t>
      </w:r>
      <w:r>
        <w:br/>
      </w:r>
      <w:r>
        <w:t xml:space="preserve">Thus, only option D of the CPR revision, as the preferred option, can provide a consistent</w:t>
      </w:r>
      <w:r>
        <w:t xml:space="preserve"> </w:t>
      </w:r>
      <w:r>
        <w:t xml:space="preserve">framework for construction products and align with the SPI’s aims. In this case the CPR would</w:t>
      </w:r>
      <w:r>
        <w:t xml:space="preserve"> </w:t>
      </w:r>
      <w:r>
        <w:t xml:space="preserve">include empowerments to address the climate and environmental sustainability aspects of</w:t>
      </w:r>
      <w:r>
        <w:t xml:space="preserve"> </w:t>
      </w:r>
      <w:r>
        <w:t xml:space="preserve">construction products. Under all other options the SPI would have to prioritise construction</w:t>
      </w:r>
      <w:r>
        <w:t xml:space="preserve"> </w:t>
      </w:r>
      <w:r>
        <w:t xml:space="preserve">products.</w:t>
      </w:r>
    </w:p>
    <w:p>
      <w:pPr>
        <w:pStyle w:val="Compact"/>
        <w:numPr>
          <w:ilvl w:val="0"/>
          <w:numId w:val="1015"/>
        </w:numPr>
      </w:pPr>
      <w:r>
        <w:t xml:space="preserve">Four fundamental principles of the interaction between the preferred option and the SPI</w:t>
      </w:r>
      <w:r>
        <w:t xml:space="preserve"> </w:t>
      </w:r>
      <w:r>
        <w:t xml:space="preserve">Four fundamental principles guided the development of a solution on how the two instruments</w:t>
      </w:r>
      <w:r>
        <w:t xml:space="preserve"> </w:t>
      </w:r>
      <w:r>
        <w:t xml:space="preserve">shall articulate:</w:t>
      </w:r>
      <w:r>
        <w:t xml:space="preserve"> </w:t>
      </w:r>
      <w:r>
        <w:t xml:space="preserve">o The situation that products are assessed both under the SPI and the CPR should be avoided</w:t>
      </w:r>
      <w:r>
        <w:t xml:space="preserve"> </w:t>
      </w:r>
      <w:r>
        <w:t xml:space="preserve">to the extent possible, not least to avoid double burden.</w:t>
      </w:r>
      <w:r>
        <w:br/>
      </w:r>
      <w:r>
        <w:t xml:space="preserve">o Further, the two legal frameworks need to be complementary, as e.g. the SPI will cover</w:t>
      </w:r>
      <w:r>
        <w:t xml:space="preserve"> </w:t>
      </w:r>
      <w:r>
        <w:t xml:space="preserve">intermediate products (such as steel, glass or chemicals) that are used in manufacturing of</w:t>
      </w:r>
      <w:r>
        <w:t xml:space="preserve"> </w:t>
      </w:r>
      <w:r>
        <w:t xml:space="preserve">construction products;</w:t>
      </w:r>
      <w:r>
        <w:t xml:space="preserve"> </w:t>
      </w:r>
      <w:r>
        <w:t xml:space="preserve">o Construction products shall be subject to the same level of sustainability requirements as</w:t>
      </w:r>
      <w:r>
        <w:t xml:space="preserve"> </w:t>
      </w:r>
      <w:r>
        <w:t xml:space="preserve">the other products covered by the SPI. This principle will have many concrete practical</w:t>
      </w:r>
      <w:r>
        <w:t xml:space="preserve"> </w:t>
      </w:r>
      <w:r>
        <w:t xml:space="preserve">consequences, see e.g. below for the empowerments needed to enable measures similar to</w:t>
      </w:r>
      <w:r>
        <w:t xml:space="preserve"> </w:t>
      </w:r>
      <w:r>
        <w:t xml:space="preserve">and as stringent as those adopted under the SPI.</w:t>
      </w:r>
      <w:r>
        <w:br/>
      </w:r>
      <w:r>
        <w:t xml:space="preserve">o The CPR system has the longstanding practice to balance intended requirements on</w:t>
      </w:r>
      <w:r>
        <w:t xml:space="preserve"> </w:t>
      </w:r>
      <w:r>
        <w:t xml:space="preserve">construction products with construction work aspects. The SPI intends to set specific</w:t>
      </w:r>
      <w:r>
        <w:t xml:space="preserve"> </w:t>
      </w:r>
      <w:r>
        <w:t xml:space="preserve">minimum sustainability requirements and information requirements for products, taking</w:t>
      </w:r>
      <w:r>
        <w:t xml:space="preserve"> </w:t>
      </w:r>
      <w:r>
        <w:t xml:space="preserve">into account safety aspects where relevant. In so far as either instrument covers construction</w:t>
      </w:r>
      <w:r>
        <w:t xml:space="preserve"> </w:t>
      </w:r>
      <w:r>
        <w:t xml:space="preserve">products, it should be noted that environmental and safety aspects of construction works</w:t>
      </w:r>
      <w:r>
        <w:t xml:space="preserve"> </w:t>
      </w:r>
      <w:r>
        <w:t xml:space="preserve">will remain the competency of Member States and therefore will not be regulated at the EU</w:t>
      </w:r>
      <w:r>
        <w:t xml:space="preserve"> </w:t>
      </w:r>
      <w:r>
        <w:t xml:space="preserve">level by any of these pieces of legislation. Environmental and safety aspects of construction</w:t>
      </w:r>
      <w:r>
        <w:t xml:space="preserve"> </w:t>
      </w:r>
      <w:r>
        <w:t xml:space="preserve">works should nevertheless be taken into account where relevant when setting requirements</w:t>
      </w:r>
      <w:r>
        <w:t xml:space="preserve"> </w:t>
      </w:r>
      <w:r>
        <w:t xml:space="preserve">on products to supporting Member States’ regulatory needs. The CPR system is a priori</w:t>
      </w:r>
      <w:r>
        <w:t xml:space="preserve"> </w:t>
      </w:r>
      <w:r>
        <w:t xml:space="preserve">better suited to do so for construction products, i.e. to identify and arbiter in a fine-tuned</w:t>
      </w:r>
      <w:r>
        <w:t xml:space="preserve"> </w:t>
      </w:r>
      <w:r>
        <w:t xml:space="preserve">way the possible trade-offs between different safety and environmental aspects236.</w:t>
      </w:r>
    </w:p>
    <w:p>
      <w:pPr>
        <w:pStyle w:val="FirstParagraph"/>
      </w:pPr>
      <w:r>
        <w:t xml:space="preserve">236 E.g. it can foresee, by relating to its load bearing performance classes, low minimum recycling quota for concrete</w:t>
      </w:r>
      <w:r>
        <w:t xml:space="preserve"> </w:t>
      </w:r>
      <w:r>
        <w:t xml:space="preserve">intended to be used for high-rises and high minimum recycling quota for the big majority of concrete intended to</w:t>
      </w:r>
      <w:r>
        <w:t xml:space="preserve"> </w:t>
      </w:r>
      <w:r>
        <w:t xml:space="preserve">be used for other purposes, thus avoiding that for safety reasons only a low minimum recycling quota can be</w:t>
      </w:r>
      <w:r>
        <w:t xml:space="preserve"> </w:t>
      </w:r>
      <w:r>
        <w:t xml:space="preserve">established for all concrete.</w:t>
      </w:r>
    </w:p>
    <w:p>
      <w:pPr>
        <w:pStyle w:val="BodyText"/>
      </w:pPr>
      <w:r>
        <w:t xml:space="preserve">114</w:t>
      </w:r>
    </w:p>
    <w:p>
      <w:pPr>
        <w:numPr>
          <w:ilvl w:val="0"/>
          <w:numId w:val="1016"/>
        </w:numPr>
      </w:pPr>
      <w:r>
        <w:t xml:space="preserve">The architecture envisaged</w:t>
      </w:r>
      <w:r>
        <w:t xml:space="preserve"> </w:t>
      </w:r>
      <w:r>
        <w:t xml:space="preserve">In view of these principles, the following architecture is envisaged:</w:t>
      </w:r>
      <w:r>
        <w:t xml:space="preserve"> </w:t>
      </w:r>
      <w:r>
        <w:t xml:space="preserve">o For construction products, the CEAP and SPI goals shall be mainly realised by means of the</w:t>
      </w:r>
      <w:r>
        <w:t xml:space="preserve"> </w:t>
      </w:r>
      <w:r>
        <w:t xml:space="preserve">CPR.</w:t>
      </w:r>
      <w:r>
        <w:t xml:space="preserve"> </w:t>
      </w:r>
      <w:r>
        <w:t xml:space="preserve">o The CPR shall be able to mirror all obligations and requirements able to be set through the</w:t>
      </w:r>
      <w:r>
        <w:t xml:space="preserve"> </w:t>
      </w:r>
      <w:r>
        <w:t xml:space="preserve">SPI that are relevant for construction products. Hence, it must have extensive</w:t>
      </w:r>
      <w:r>
        <w:t xml:space="preserve"> </w:t>
      </w:r>
      <w:r>
        <w:t xml:space="preserve">empowerments, both for setting environmental product requirements as foreseen in relevant</w:t>
      </w:r>
      <w:r>
        <w:t xml:space="preserve"> </w:t>
      </w:r>
      <w:r>
        <w:t xml:space="preserve">policy option for the revision of the CPR and for information requirements on</w:t>
      </w:r>
      <w:r>
        <w:t xml:space="preserve"> </w:t>
      </w:r>
      <w:r>
        <w:t xml:space="preserve">environmental performance.</w:t>
      </w:r>
      <w:r>
        <w:br/>
      </w:r>
      <w:r>
        <w:t xml:space="preserve">o It shall aim at a high level of climate and environmental sustainability at product level</w:t>
      </w:r>
      <w:r>
        <w:t xml:space="preserve"> </w:t>
      </w:r>
      <w:r>
        <w:t xml:space="preserve">without endangering safety or sustainability of the construction work.</w:t>
      </w:r>
      <w:r>
        <w:t xml:space="preserve"> </w:t>
      </w:r>
      <w:r>
        <w:t xml:space="preserve">o The CPR method for the assessment and communication of environmental performances</w:t>
      </w:r>
      <w:r>
        <w:t xml:space="preserve"> </w:t>
      </w:r>
      <w:r>
        <w:t xml:space="preserve">shall to the extent possible follow the corresponding method used by the SPI, as many</w:t>
      </w:r>
      <w:r>
        <w:t xml:space="preserve"> </w:t>
      </w:r>
      <w:r>
        <w:t xml:space="preserve">suppliers provide components or materials both to the construction products industry and to</w:t>
      </w:r>
      <w:r>
        <w:t xml:space="preserve"> </w:t>
      </w:r>
      <w:r>
        <w:t xml:space="preserve">other industries.</w:t>
      </w:r>
      <w:r>
        <w:t xml:space="preserve"> </w:t>
      </w:r>
      <w:r>
        <w:t xml:space="preserve">o To be able to close possible gaps in regulation between CPR and SPI, the SPI should be</w:t>
      </w:r>
      <w:r>
        <w:t xml:space="preserve"> </w:t>
      </w:r>
      <w:r>
        <w:t xml:space="preserve">empowered to step in.</w:t>
      </w:r>
      <w:r>
        <w:br/>
      </w:r>
      <w:r>
        <w:t xml:space="preserve">The architecture can be resumed as follows: Construction product will be formally covered by</w:t>
      </w:r>
      <w:r>
        <w:t xml:space="preserve"> </w:t>
      </w:r>
      <w:r>
        <w:t xml:space="preserve">the SPI. However, the environmental requirements for construction products, will be regulated</w:t>
      </w:r>
      <w:r>
        <w:t xml:space="preserve"> </w:t>
      </w:r>
      <w:r>
        <w:t xml:space="preserve">via the CPR and not via Commission acts based on the SPI. The SPI can step in case of</w:t>
      </w:r>
      <w:r>
        <w:t xml:space="preserve"> </w:t>
      </w:r>
      <w:r>
        <w:t xml:space="preserve">regulatory gaps.</w:t>
      </w:r>
    </w:p>
    <w:p>
      <w:pPr>
        <w:numPr>
          <w:ilvl w:val="0"/>
          <w:numId w:val="1016"/>
        </w:numPr>
      </w:pPr>
      <w:r>
        <w:t xml:space="preserve">Technical fine-tuning</w:t>
      </w:r>
      <w:r>
        <w:t xml:space="preserve"> </w:t>
      </w:r>
      <w:r>
        <w:t xml:space="preserve">A few elements of fine-tuning will be needed:</w:t>
      </w:r>
      <w:r>
        <w:t xml:space="preserve"> </w:t>
      </w:r>
      <w:r>
        <w:t xml:space="preserve">o It should be determined precisely under which conditions the SPI can intervene where</w:t>
      </w:r>
      <w:r>
        <w:t xml:space="preserve"> </w:t>
      </w:r>
      <w:r>
        <w:t xml:space="preserve">requirements established within the CPR system fall without justification below the level of</w:t>
      </w:r>
      <w:r>
        <w:t xml:space="preserve"> </w:t>
      </w:r>
      <w:r>
        <w:t xml:space="preserve">stringency needed to realise the goals set for SPI, or where the objectives and schedule</w:t>
      </w:r>
      <w:r>
        <w:t xml:space="preserve"> </w:t>
      </w:r>
      <w:r>
        <w:t xml:space="preserve">pursued by CPR on sustainability aspects are not met. A set of criteria and a process for</w:t>
      </w:r>
      <w:r>
        <w:t xml:space="preserve"> </w:t>
      </w:r>
      <w:r>
        <w:t xml:space="preserve">joint assessment could be incorporated into the SPI or both the SPI and the CPR to</w:t>
      </w:r>
      <w:r>
        <w:t xml:space="preserve"> </w:t>
      </w:r>
      <w:r>
        <w:t xml:space="preserve">determine precisely under which conditions the CPR has realised in a satisfactory way the</w:t>
      </w:r>
      <w:r>
        <w:t xml:space="preserve"> </w:t>
      </w:r>
      <w:r>
        <w:t xml:space="preserve">goals set for the SPI. In case of conflicting views of both sides, the final decision on</w:t>
      </w:r>
      <w:r>
        <w:t xml:space="preserve"> </w:t>
      </w:r>
      <w:r>
        <w:t xml:space="preserve">whether the CPR has realised the SPI goals in a satisfactory way is incumbent on the SPI</w:t>
      </w:r>
      <w:r>
        <w:t xml:space="preserve"> </w:t>
      </w:r>
      <w:r>
        <w:t xml:space="preserve">(administrative) system.</w:t>
      </w:r>
      <w:r>
        <w:t xml:space="preserve"> </w:t>
      </w:r>
      <w:r>
        <w:t xml:space="preserve">o The SPI can cover intermediate products (steel, glass etc.) regardless of what happens under</w:t>
      </w:r>
      <w:r>
        <w:t xml:space="preserve"> </w:t>
      </w:r>
      <w:r>
        <w:t xml:space="preserve">CPR. The only exception is cement that has no other use than construction.</w:t>
      </w:r>
    </w:p>
    <w:p>
      <w:pPr>
        <w:pStyle w:val="FirstParagraph"/>
      </w:pPr>
      <w:r>
        <w:t xml:space="preserve">115</w:t>
      </w:r>
    </w:p>
    <w:p>
      <w:pPr>
        <w:pStyle w:val="BodyText"/>
      </w:pPr>
      <w:r>
        <w:t xml:space="preserve">o For most of the products covered by the current EDD237, they would be primarily regulated</w:t>
      </w:r>
      <w:r>
        <w:t xml:space="preserve"> </w:t>
      </w:r>
      <w:r>
        <w:t xml:space="preserve">by the SPI in continuation of the EDD, while respecting/taking into account safety aspects.</w:t>
      </w:r>
      <w:r>
        <w:t xml:space="preserve"> </w:t>
      </w:r>
      <w:r>
        <w:t xml:space="preserve">The CPR would only regulate these products in a complementary way where there is a</w:t>
      </w:r>
      <w:r>
        <w:t xml:space="preserve"> </w:t>
      </w:r>
      <w:r>
        <w:t xml:space="preserve">noteworthy need to do so, also taking account of other legislation on products such as on</w:t>
      </w:r>
      <w:r>
        <w:t xml:space="preserve"> </w:t>
      </w:r>
      <w:r>
        <w:t xml:space="preserve">gas appliances, low voltage, and machinery. The rationale for this particular rule is that the</w:t>
      </w:r>
      <w:r>
        <w:t xml:space="preserve"> </w:t>
      </w:r>
      <w:r>
        <w:t xml:space="preserve">current eco-design aspects are the dominant aspect to be regulated for these products whilst</w:t>
      </w:r>
      <w:r>
        <w:t xml:space="preserve"> </w:t>
      </w:r>
      <w:r>
        <w:t xml:space="preserve">this will not change with the extension of the current EDD to the future SPI.</w:t>
      </w:r>
      <w:r>
        <w:br/>
      </w:r>
      <w:r>
        <w:t xml:space="preserve">As the borderline between these products and ordinary construction products might not be</w:t>
      </w:r>
      <w:r>
        <w:t xml:space="preserve"> </w:t>
      </w:r>
      <w:r>
        <w:t xml:space="preserve">always clear, both legal instruments shall obtain the empowerment to adopt Commission</w:t>
      </w:r>
      <w:r>
        <w:t xml:space="preserve"> </w:t>
      </w:r>
      <w:r>
        <w:t xml:space="preserve">acts determining whether a given product falls under one instrument or the other. The</w:t>
      </w:r>
      <w:r>
        <w:t xml:space="preserve"> </w:t>
      </w:r>
      <w:r>
        <w:t xml:space="preserve">committees involved in the adoption of those acts under CPR and SPI shall deliberate</w:t>
      </w:r>
      <w:r>
        <w:t xml:space="preserve"> </w:t>
      </w:r>
      <w:r>
        <w:t xml:space="preserve">jointly238.</w:t>
      </w:r>
      <w:r>
        <w:t xml:space="preserve"> </w:t>
      </w:r>
      <w:r>
        <w:t xml:space="preserve">o Potential loopholes or overlaps (e.g. products or components with different possible uses)</w:t>
      </w:r>
      <w:r>
        <w:t xml:space="preserve"> </w:t>
      </w:r>
      <w:r>
        <w:t xml:space="preserve">will be addressed by coordination between the two (administrative) systems. There are</w:t>
      </w:r>
      <w:r>
        <w:t xml:space="preserve"> </w:t>
      </w:r>
      <w:r>
        <w:t xml:space="preserve">manifold situations that could in theory emerge and that cannot be anticipated other than by</w:t>
      </w:r>
      <w:r>
        <w:t xml:space="preserve"> </w:t>
      </w:r>
      <w:r>
        <w:t xml:space="preserve">establishing comprehensive empowerments in both legal instruments.</w:t>
      </w:r>
    </w:p>
    <w:p>
      <w:pPr>
        <w:pStyle w:val="Compact"/>
        <w:numPr>
          <w:ilvl w:val="0"/>
          <w:numId w:val="1017"/>
        </w:numPr>
      </w:pPr>
      <w:r>
        <w:t xml:space="preserve">Example: Bricks</w:t>
      </w:r>
      <w:r>
        <w:br/>
      </w:r>
      <w:r>
        <w:t xml:space="preserve">Modern fired clay bricks are formed and then burned in a kiln to make them durable. Normally,</w:t>
      </w:r>
      <w:r>
        <w:t xml:space="preserve"> </w:t>
      </w:r>
      <w:r>
        <w:t xml:space="preserve">bricks contain the following ingredients: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Silica (sand) – 50% to 60% by weight</w:t>
      </w:r>
    </w:p>
    <w:p>
      <w:pPr>
        <w:pStyle w:val="Compact"/>
        <w:numPr>
          <w:ilvl w:val="0"/>
          <w:numId w:val="1018"/>
        </w:numPr>
      </w:pPr>
      <w:r>
        <w:t xml:space="preserve">Alumina (clay) – 20% to 30% by weight</w:t>
      </w:r>
    </w:p>
    <w:p>
      <w:pPr>
        <w:pStyle w:val="Compact"/>
        <w:numPr>
          <w:ilvl w:val="0"/>
          <w:numId w:val="1018"/>
        </w:numPr>
      </w:pPr>
      <w:r>
        <w:t xml:space="preserve">Lime – 2 to 5% by weight</w:t>
      </w:r>
    </w:p>
    <w:p>
      <w:pPr>
        <w:pStyle w:val="Compact"/>
        <w:numPr>
          <w:ilvl w:val="0"/>
          <w:numId w:val="1018"/>
        </w:numPr>
      </w:pPr>
      <w:r>
        <w:t xml:space="preserve">Iron oxide – ≤ 7% by weight</w:t>
      </w:r>
    </w:p>
    <w:p>
      <w:pPr>
        <w:pStyle w:val="Compact"/>
        <w:numPr>
          <w:ilvl w:val="0"/>
          <w:numId w:val="1018"/>
        </w:numPr>
      </w:pPr>
      <w:r>
        <w:t xml:space="preserve">Magnesia – less than 1% by weight239</w:t>
      </w:r>
      <w:r>
        <w:t xml:space="preserve"> </w:t>
      </w:r>
      <w:r>
        <w:t xml:space="preserve">Additives can be added in order to improve certain behaviours of the product (e.g. calcium</w:t>
      </w:r>
      <w:r>
        <w:t xml:space="preserve"> </w:t>
      </w:r>
      <w:r>
        <w:t xml:space="preserve">carbonate).</w:t>
      </w:r>
      <w:r>
        <w:t xml:space="preserve"> </w:t>
      </w:r>
      <w:r>
        <w:t xml:space="preserve">Under the current CPR, the producer would e.g. declare the following characteristics for a certain</w:t>
      </w:r>
      <w:r>
        <w:t xml:space="preserve"> </w:t>
      </w:r>
      <w:r>
        <w:t xml:space="preserve">brick (according to the hEN EN771-1:2011+A1:2015):</w:t>
      </w:r>
    </w:p>
    <w:p>
      <w:pPr>
        <w:pStyle w:val="FirstParagraph"/>
      </w:pPr>
      <w:r>
        <w:t xml:space="preserve">237 This concerns in particular products and systems in the field of heating, ventilation, cooling and lighting. A</w:t>
      </w:r>
      <w:r>
        <w:t xml:space="preserve"> </w:t>
      </w:r>
      <w:r>
        <w:t xml:space="preserve">detailed analysis between the involved services currently taking place might come to the result that in particular</w:t>
      </w:r>
      <w:r>
        <w:t xml:space="preserve"> </w:t>
      </w:r>
      <w:r>
        <w:t xml:space="preserve">certain products formally falling under the current Eco-Design Directive, but for which no effective requirements</w:t>
      </w:r>
      <w:r>
        <w:t xml:space="preserve"> </w:t>
      </w:r>
      <w:r>
        <w:t xml:space="preserve">have been set up, namely due to technical difficulties to integrate construction works’ aspects, might better go</w:t>
      </w:r>
      <w:r>
        <w:t xml:space="preserve"> </w:t>
      </w:r>
      <w:r>
        <w:t xml:space="preserve">into the basket of the CPR.</w:t>
      </w:r>
      <w:r>
        <w:t xml:space="preserve"> </w:t>
      </w:r>
      <w:r>
        <w:t xml:space="preserve">238 A merger of the two committees is unlikely to be legally possible. Conflicting decisions can, however, be</w:t>
      </w:r>
      <w:r>
        <w:t xml:space="preserve"> </w:t>
      </w:r>
      <w:r>
        <w:t xml:space="preserve">avoided as the Commission has to adopt the acts, not the committees. The Committees would thus informally</w:t>
      </w:r>
      <w:r>
        <w:t xml:space="preserve"> </w:t>
      </w:r>
      <w:r>
        <w:t xml:space="preserve">deliberate together, but give their opinion formally separately. The Commission will have to adopt the act(s) and</w:t>
      </w:r>
      <w:r>
        <w:t xml:space="preserve"> </w:t>
      </w:r>
      <w:r>
        <w:t xml:space="preserve">arbiter in case of diverging opinions.</w:t>
      </w:r>
      <w:r>
        <w:t xml:space="preserve"> </w:t>
      </w:r>
      <w:r>
        <w:t xml:space="preserve">239 See https://en.wikipedia.org/wiki/Brick#cite_note-punmia-17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Table 12: Example for a DoP of a certain brick</w:t>
      </w:r>
    </w:p>
    <w:p>
      <w:pPr>
        <w:pStyle w:val="BodyText"/>
      </w:pPr>
      <w:r>
        <w:t xml:space="preserve">Source: Ketley Brick</w:t>
      </w:r>
      <w:r>
        <w:t xml:space="preserve"> </w:t>
      </w:r>
      <w:r>
        <w:t xml:space="preserve">Under the new CPR (preferred option, after the citation of the updated standard), the producer</w:t>
      </w:r>
      <w:r>
        <w:t xml:space="preserve"> </w:t>
      </w:r>
      <w:r>
        <w:t xml:space="preserve">could inform about the following additional characteristics as in Table 12 below. Blue</w:t>
      </w:r>
      <w:r>
        <w:t xml:space="preserve"> </w:t>
      </w:r>
      <w:r>
        <w:t xml:space="preserve">highlighted are the new elements introduced in the revised CPR. Most but not all of them also</w:t>
      </w:r>
      <w:r>
        <w:t xml:space="preserve"> </w:t>
      </w:r>
      <w:r>
        <w:t xml:space="preserve">address the needs of the SPI (marked with YES in the fourth column).</w:t>
      </w:r>
      <w:r>
        <w:br/>
      </w:r>
      <w:r>
        <w:t xml:space="preserve">The manufacturer will have to comply with all future product requirements. Regarding the</w:t>
      </w:r>
      <w:r>
        <w:t xml:space="preserve"> </w:t>
      </w:r>
      <w:r>
        <w:t xml:space="preserve">essential characteristics, the revised CPR will foresee that at least one of these has to be declared.</w:t>
      </w:r>
      <w:r>
        <w:t xml:space="preserve"> </w:t>
      </w:r>
      <w:r>
        <w:t xml:space="preserve">Additionally, the CPR could make the declaration of certain environmental related indicators</w:t>
      </w:r>
      <w:r>
        <w:t xml:space="preserve"> </w:t>
      </w:r>
      <w:r>
        <w:t xml:space="preserve">mandatory (probably “Climate change – total a Global Warming Potential total (GWP-total)”).</w:t>
      </w:r>
      <w:r>
        <w:t xml:space="preserve"> </w:t>
      </w:r>
      <w:r>
        <w:t xml:space="preserve">By means of Commission Acts, the declaration of further indicators could be made mandatory.</w:t>
      </w:r>
      <w:r>
        <w:br/>
      </w:r>
      <w:r>
        <w:t xml:space="preserve">The Member States, which are responsible for the safety of construction works, can require</w:t>
      </w:r>
      <w:r>
        <w:t xml:space="preserve"> </w:t>
      </w:r>
      <w:r>
        <w:t xml:space="preserve">certain performances of essential requirements of the product for certain uses of it.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Table 13: Example for a possible future DoP of a certain brick240</w:t>
      </w:r>
      <w:r>
        <w:t xml:space="preserve"> </w:t>
      </w:r>
      <w:r>
        <w:t xml:space="preserve">Essential characteristics</w:t>
      </w:r>
      <w:r>
        <w:t xml:space="preserve"> </w:t>
      </w:r>
      <w:r>
        <w:t xml:space="preserve">Performance</w:t>
      </w:r>
      <w:r>
        <w:t xml:space="preserve"> </w:t>
      </w:r>
      <w:r>
        <w:t xml:space="preserve">hTS</w:t>
      </w:r>
      <w:r>
        <w:t xml:space="preserve"> </w:t>
      </w:r>
      <w:r>
        <w:t xml:space="preserve">Related to</w:t>
      </w:r>
      <w:r>
        <w:t xml:space="preserve"> </w:t>
      </w:r>
      <w:r>
        <w:t xml:space="preserve">SPI</w:t>
      </w:r>
      <w:r>
        <w:t xml:space="preserve"> </w:t>
      </w:r>
      <w:r>
        <w:t xml:space="preserve">targets?</w:t>
      </w:r>
      <w:r>
        <w:t xml:space="preserve"> </w:t>
      </w:r>
      <w:r>
        <w:t xml:space="preserve">Dimensional tolerances</w:t>
      </w:r>
      <w:r>
        <w:t xml:space="preserve"> </w:t>
      </w:r>
      <w:r>
        <w:t xml:space="preserve">Tolerance class T2</w:t>
      </w:r>
      <w:r>
        <w:t xml:space="preserve"> </w:t>
      </w:r>
      <w:r>
        <w:t xml:space="preserve">Range Class R1</w:t>
      </w:r>
      <w:r>
        <w:t xml:space="preserve"> </w:t>
      </w:r>
      <w:r>
        <w:t xml:space="preserve">EN 771-1: 20XX</w:t>
      </w:r>
      <w:r>
        <w:t xml:space="preserve"> </w:t>
      </w:r>
      <w:r>
        <w:t xml:space="preserve">NO</w:t>
      </w:r>
      <w:r>
        <w:t xml:space="preserve"> </w:t>
      </w:r>
      <w:r>
        <w:t xml:space="preserve">Configuration</w:t>
      </w:r>
      <w:r>
        <w:t xml:space="preserve"> </w:t>
      </w:r>
      <w:r>
        <w:t xml:space="preserve">Solid Unit Figure 3a</w:t>
      </w:r>
      <w:r>
        <w:t xml:space="preserve"> </w:t>
      </w:r>
      <w:r>
        <w:t xml:space="preserve">EN 771-1: 20XX</w:t>
      </w:r>
      <w:r>
        <w:t xml:space="preserve"> </w:t>
      </w:r>
      <w:r>
        <w:t xml:space="preserve">NO</w:t>
      </w:r>
      <w:r>
        <w:t xml:space="preserve"> </w:t>
      </w:r>
      <w:r>
        <w:t xml:space="preserve">Compressive strength</w:t>
      </w:r>
      <w:r>
        <w:t xml:space="preserve"> </w:t>
      </w:r>
      <w:r>
        <w:t xml:space="preserve">In Excess of 125 N/mm2</w:t>
      </w:r>
      <w:r>
        <w:t xml:space="preserve"> </w:t>
      </w:r>
      <w:r>
        <w:t xml:space="preserve">EN 771-1: 20XX</w:t>
      </w:r>
      <w:r>
        <w:t xml:space="preserve"> </w:t>
      </w:r>
      <w:r>
        <w:t xml:space="preserve">NO</w:t>
      </w:r>
      <w:r>
        <w:t xml:space="preserve"> </w:t>
      </w:r>
      <w:r>
        <w:t xml:space="preserve">Dimensional stability</w:t>
      </w:r>
      <w:r>
        <w:t xml:space="preserve"> </w:t>
      </w:r>
      <w:r>
        <w:t xml:space="preserve">NPD</w:t>
      </w:r>
      <w:r>
        <w:t xml:space="preserve"> </w:t>
      </w:r>
      <w:r>
        <w:t xml:space="preserve">EN 771-1: 20XX</w:t>
      </w:r>
      <w:r>
        <w:t xml:space="preserve"> </w:t>
      </w:r>
      <w:r>
        <w:t xml:space="preserve">NO</w:t>
      </w:r>
      <w:r>
        <w:t xml:space="preserve"> </w:t>
      </w:r>
      <w:r>
        <w:t xml:space="preserve">Bond strength , flexural bond strength</w:t>
      </w:r>
      <w:r>
        <w:t xml:space="preserve"> </w:t>
      </w:r>
      <w:r>
        <w:t xml:space="preserve">0.15 N/mm2</w:t>
      </w:r>
      <w:r>
        <w:t xml:space="preserve"> </w:t>
      </w:r>
      <w:r>
        <w:t xml:space="preserve">EN 771-1: 20XX</w:t>
      </w:r>
      <w:r>
        <w:t xml:space="preserve"> </w:t>
      </w:r>
      <w:r>
        <w:t xml:space="preserve">NO</w:t>
      </w:r>
      <w:r>
        <w:t xml:space="preserve"> </w:t>
      </w:r>
      <w:r>
        <w:t xml:space="preserve">Active soluble salts content</w:t>
      </w:r>
      <w:r>
        <w:t xml:space="preserve"> </w:t>
      </w:r>
      <w:r>
        <w:t xml:space="preserve">Class S2</w:t>
      </w:r>
      <w:r>
        <w:t xml:space="preserve"> </w:t>
      </w:r>
      <w:r>
        <w:t xml:space="preserve">EN 771-1: 20XX</w:t>
      </w:r>
      <w:r>
        <w:t xml:space="preserve"> </w:t>
      </w:r>
      <w:r>
        <w:t xml:space="preserve">NO</w:t>
      </w:r>
      <w:r>
        <w:t xml:space="preserve"> </w:t>
      </w:r>
      <w:r>
        <w:t xml:space="preserve">Reaction to fire</w:t>
      </w:r>
      <w:r>
        <w:t xml:space="preserve"> </w:t>
      </w:r>
      <w:r>
        <w:t xml:space="preserve">Class A1</w:t>
      </w:r>
      <w:r>
        <w:t xml:space="preserve"> </w:t>
      </w:r>
      <w:r>
        <w:t xml:space="preserve">EN 771-1: 20XX</w:t>
      </w:r>
      <w:r>
        <w:t xml:space="preserve"> </w:t>
      </w:r>
      <w:r>
        <w:t xml:space="preserve">NO</w:t>
      </w:r>
      <w:r>
        <w:t xml:space="preserve"> </w:t>
      </w:r>
      <w:r>
        <w:t xml:space="preserve">Water absorption</w:t>
      </w:r>
      <w:r>
        <w:t xml:space="preserve"> </w:t>
      </w:r>
      <w:r>
        <w:t xml:space="preserve">&lt;4.5%</w:t>
      </w:r>
      <w:r>
        <w:t xml:space="preserve"> </w:t>
      </w:r>
      <w:r>
        <w:t xml:space="preserve">EN 771-1: 20XX</w:t>
      </w:r>
      <w:r>
        <w:t xml:space="preserve"> </w:t>
      </w:r>
      <w:r>
        <w:t xml:space="preserve">NO</w:t>
      </w:r>
      <w:r>
        <w:t xml:space="preserve"> </w:t>
      </w:r>
      <w:r>
        <w:t xml:space="preserve">Water Vapour permeability</w:t>
      </w:r>
      <w:r>
        <w:t xml:space="preserve"> </w:t>
      </w:r>
      <w:r>
        <w:t xml:space="preserve">NPD</w:t>
      </w:r>
      <w:r>
        <w:t xml:space="preserve"> </w:t>
      </w:r>
      <w:r>
        <w:t xml:space="preserve">EN 771-1: 20XX</w:t>
      </w:r>
      <w:r>
        <w:t xml:space="preserve"> </w:t>
      </w:r>
      <w:r>
        <w:t xml:space="preserve">NO</w:t>
      </w:r>
      <w:r>
        <w:t xml:space="preserve"> </w:t>
      </w:r>
      <w:r>
        <w:t xml:space="preserve">Dangerous substances</w:t>
      </w:r>
      <w:r>
        <w:t xml:space="preserve"> </w:t>
      </w:r>
      <w:r>
        <w:t xml:space="preserve">NPD</w:t>
      </w:r>
      <w:r>
        <w:t xml:space="preserve"> </w:t>
      </w:r>
      <w:r>
        <w:t xml:space="preserve">EN 771-1: 20XX</w:t>
      </w:r>
      <w:r>
        <w:t xml:space="preserve"> </w:t>
      </w:r>
      <w:r>
        <w:t xml:space="preserve">potentially</w:t>
      </w:r>
      <w:r>
        <w:t xml:space="preserve"> </w:t>
      </w:r>
      <w:r>
        <w:t xml:space="preserve">Direct airborne sound insulation</w:t>
      </w:r>
      <w:r>
        <w:t xml:space="preserve"> </w:t>
      </w:r>
      <w:r>
        <w:t xml:space="preserve">Net dry density 2200</w:t>
      </w:r>
      <w:r>
        <w:t xml:space="preserve"> </w:t>
      </w:r>
      <w:r>
        <w:t xml:space="preserve">kg/m3</w:t>
      </w:r>
      <w:r>
        <w:t xml:space="preserve"> </w:t>
      </w:r>
      <w:r>
        <w:t xml:space="preserve">EN 771-1: 20XX</w:t>
      </w:r>
      <w:r>
        <w:t xml:space="preserve"> </w:t>
      </w:r>
      <w:r>
        <w:t xml:space="preserve">NO</w:t>
      </w:r>
      <w:r>
        <w:t xml:space="preserve"> </w:t>
      </w:r>
      <w:r>
        <w:t xml:space="preserve">Thermal resistance</w:t>
      </w:r>
      <w:r>
        <w:t xml:space="preserve"> </w:t>
      </w:r>
      <w:r>
        <w:t xml:space="preserve">NPD</w:t>
      </w:r>
      <w:r>
        <w:t xml:space="preserve"> </w:t>
      </w:r>
      <w:r>
        <w:t xml:space="preserve">EN 771-1: 20XX</w:t>
      </w:r>
      <w:r>
        <w:t xml:space="preserve"> </w:t>
      </w:r>
      <w:r>
        <w:t xml:space="preserve">NO</w:t>
      </w:r>
      <w:r>
        <w:t xml:space="preserve"> </w:t>
      </w:r>
      <w:r>
        <w:t xml:space="preserve">Durability against freeze thaw</w:t>
      </w:r>
      <w:r>
        <w:t xml:space="preserve"> </w:t>
      </w:r>
      <w:r>
        <w:t xml:space="preserve">F2</w:t>
      </w:r>
      <w:r>
        <w:t xml:space="preserve"> </w:t>
      </w:r>
      <w:r>
        <w:t xml:space="preserve">EN 771-1: 20XX</w:t>
      </w:r>
      <w:r>
        <w:t xml:space="preserve"> </w:t>
      </w:r>
      <w:r>
        <w:t xml:space="preserve">NO</w:t>
      </w:r>
      <w:r>
        <w:t xml:space="preserve"> </w:t>
      </w:r>
      <w:r>
        <w:t xml:space="preserve">Climate change – total a Global Warming</w:t>
      </w:r>
      <w:r>
        <w:t xml:space="preserve"> </w:t>
      </w:r>
      <w:r>
        <w:t xml:space="preserve">Potential total (GWP-total)</w:t>
      </w:r>
      <w:r>
        <w:t xml:space="preserve"> </w:t>
      </w:r>
      <w:r>
        <w:t xml:space="preserve">XXXXX kg CO2 eq</w:t>
      </w:r>
      <w:r>
        <w:t xml:space="preserve"> </w:t>
      </w:r>
      <w:r>
        <w:t xml:space="preserve">EN 15804: 20XX</w:t>
      </w:r>
      <w:r>
        <w:t xml:space="preserve"> </w:t>
      </w:r>
      <w:r>
        <w:t xml:space="preserve">YES</w:t>
      </w:r>
      <w:r>
        <w:t xml:space="preserve"> </w:t>
      </w:r>
      <w:r>
        <w:t xml:space="preserve">Climate change - fossil Global Warming</w:t>
      </w:r>
      <w:r>
        <w:t xml:space="preserve"> </w:t>
      </w:r>
      <w:r>
        <w:t xml:space="preserve">Potential fossil fuels (GWP-fossil)</w:t>
      </w:r>
      <w:r>
        <w:t xml:space="preserve"> </w:t>
      </w:r>
      <w:r>
        <w:t xml:space="preserve">XXXXX kg CO2 eq</w:t>
      </w:r>
      <w:r>
        <w:t xml:space="preserve"> </w:t>
      </w:r>
      <w:r>
        <w:t xml:space="preserve">EN 15804: 20XX</w:t>
      </w:r>
      <w:r>
        <w:t xml:space="preserve"> </w:t>
      </w:r>
      <w:r>
        <w:t xml:space="preserve">YES</w:t>
      </w:r>
      <w:r>
        <w:t xml:space="preserve"> </w:t>
      </w:r>
      <w:r>
        <w:t xml:space="preserve">Climate change - biogenic Global</w:t>
      </w:r>
      <w:r>
        <w:t xml:space="preserve"> </w:t>
      </w:r>
      <w:r>
        <w:t xml:space="preserve">Warming Potential biogenic (GWP-</w:t>
      </w:r>
      <w:r>
        <w:t xml:space="preserve"> </w:t>
      </w:r>
      <w:r>
        <w:t xml:space="preserve">biogenic)</w:t>
      </w:r>
      <w:r>
        <w:t xml:space="preserve"> </w:t>
      </w:r>
      <w:r>
        <w:t xml:space="preserve">XXXXX kg CO2 eq</w:t>
      </w:r>
      <w:r>
        <w:t xml:space="preserve"> </w:t>
      </w:r>
      <w:r>
        <w:t xml:space="preserve">EN 15804: 20XX</w:t>
      </w:r>
      <w:r>
        <w:t xml:space="preserve"> </w:t>
      </w:r>
      <w:r>
        <w:t xml:space="preserve">YES</w:t>
      </w:r>
      <w:r>
        <w:t xml:space="preserve"> </w:t>
      </w:r>
      <w:r>
        <w:t xml:space="preserve">Climate change - land use and land use</w:t>
      </w:r>
      <w:r>
        <w:t xml:space="preserve"> </w:t>
      </w:r>
      <w:r>
        <w:t xml:space="preserve">change b Global Warming Potential land</w:t>
      </w:r>
      <w:r>
        <w:t xml:space="preserve"> </w:t>
      </w:r>
      <w:r>
        <w:t xml:space="preserve">use and land use change (GWP-luluc)</w:t>
      </w:r>
      <w:r>
        <w:t xml:space="preserve"> </w:t>
      </w:r>
      <w:r>
        <w:t xml:space="preserve">XXXXX kg CO2 eq</w:t>
      </w:r>
      <w:r>
        <w:t xml:space="preserve"> </w:t>
      </w:r>
      <w:r>
        <w:t xml:space="preserve">EN 15804: 20XX</w:t>
      </w:r>
      <w:r>
        <w:t xml:space="preserve"> </w:t>
      </w:r>
      <w:r>
        <w:t xml:space="preserve">YES</w:t>
      </w:r>
      <w:r>
        <w:t xml:space="preserve"> </w:t>
      </w:r>
      <w:r>
        <w:t xml:space="preserve">Depletion of abiotic resources - minerals</w:t>
      </w:r>
      <w:r>
        <w:t xml:space="preserve"> </w:t>
      </w:r>
      <w:r>
        <w:t xml:space="preserve">and metals c d Abiotic depletion potential</w:t>
      </w:r>
      <w:r>
        <w:t xml:space="preserve"> </w:t>
      </w:r>
      <w:r>
        <w:t xml:space="preserve">for non-fossil resources</w:t>
      </w:r>
      <w:r>
        <w:t xml:space="preserve"> </w:t>
      </w:r>
      <w:r>
        <w:t xml:space="preserve">(ADPminerals&amp;metals) kg Sb e</w:t>
      </w:r>
      <w:r>
        <w:t xml:space="preserve"> </w:t>
      </w:r>
      <w:r>
        <w:t xml:space="preserve">NPD</w:t>
      </w:r>
      <w:r>
        <w:t xml:space="preserve"> </w:t>
      </w:r>
      <w:r>
        <w:t xml:space="preserve">EN 15804: 20XX</w:t>
      </w:r>
      <w:r>
        <w:t xml:space="preserve"> </w:t>
      </w:r>
      <w:r>
        <w:t xml:space="preserve">YES</w:t>
      </w:r>
      <w:r>
        <w:t xml:space="preserve"> </w:t>
      </w:r>
      <w:r>
        <w:t xml:space="preserve">Depletion of abiotic resources - fossil</w:t>
      </w:r>
      <w:r>
        <w:t xml:space="preserve"> </w:t>
      </w:r>
      <w:r>
        <w:t xml:space="preserve">fuels c Abiotic depletion for fossil</w:t>
      </w:r>
      <w:r>
        <w:t xml:space="preserve"> </w:t>
      </w:r>
      <w:r>
        <w:t xml:space="preserve">resources potential (ADP-fossil)</w:t>
      </w:r>
      <w:r>
        <w:br/>
      </w:r>
      <w:r>
        <w:t xml:space="preserve">XXXXX MJ, net calorific</w:t>
      </w:r>
      <w:r>
        <w:t xml:space="preserve"> </w:t>
      </w:r>
      <w:r>
        <w:t xml:space="preserve">value</w:t>
      </w:r>
      <w:r>
        <w:t xml:space="preserve"> </w:t>
      </w:r>
      <w:r>
        <w:t xml:space="preserve">EN 15804: 20XX</w:t>
      </w:r>
      <w:r>
        <w:t xml:space="preserve"> </w:t>
      </w:r>
      <w:r>
        <w:t xml:space="preserve">YES</w:t>
      </w:r>
      <w:r>
        <w:t xml:space="preserve"> </w:t>
      </w:r>
      <w:r>
        <w:t xml:space="preserve">Water (user) deprivation potential,</w:t>
      </w:r>
      <w:r>
        <w:t xml:space="preserve"> </w:t>
      </w:r>
      <w:r>
        <w:t xml:space="preserve">deprivation-weighted water consumption</w:t>
      </w:r>
      <w:r>
        <w:t xml:space="preserve"> </w:t>
      </w:r>
      <w:r>
        <w:t xml:space="preserve">(WDP)</w:t>
      </w:r>
      <w:r>
        <w:t xml:space="preserve"> </w:t>
      </w:r>
      <w:r>
        <w:t xml:space="preserve">XXXXX m3 world eq.</w:t>
      </w:r>
      <w:r>
        <w:t xml:space="preserve"> </w:t>
      </w:r>
      <w:r>
        <w:t xml:space="preserve">deprived</w:t>
      </w:r>
      <w:r>
        <w:t xml:space="preserve"> </w:t>
      </w:r>
      <w:r>
        <w:t xml:space="preserve">EN 15804: 20XX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240 Blue highlighted are the new elements introduced in the revised CPR. Most of them also address the needs of</w:t>
      </w:r>
      <w:r>
        <w:t xml:space="preserve"> </w:t>
      </w:r>
      <w:r>
        <w:t xml:space="preserve">the SPI.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REQUIREMENTS ENSURING THE APPROPRIATE FUNCTIONING AND PERFORMANCE</w:t>
      </w:r>
      <w:r>
        <w:t xml:space="preserve"> </w:t>
      </w:r>
      <w:r>
        <w:t xml:space="preserve">Related to</w:t>
      </w:r>
      <w:r>
        <w:t xml:space="preserve"> </w:t>
      </w:r>
      <w:r>
        <w:t xml:space="preserve">SPI</w:t>
      </w:r>
      <w:r>
        <w:t xml:space="preserve"> </w:t>
      </w:r>
      <w:r>
        <w:t xml:space="preserve">targets?</w:t>
      </w:r>
      <w:r>
        <w:t xml:space="preserve"> </w:t>
      </w:r>
      <w:r>
        <w:t xml:space="preserve">Dimensions for units intended to be used in elements subject to structural</w:t>
      </w:r>
      <w:r>
        <w:br/>
      </w:r>
      <w:r>
        <w:t xml:space="preserve">requirements (coming from old E.R.)</w:t>
      </w:r>
      <w:r>
        <w:t xml:space="preserve"> </w:t>
      </w:r>
      <w:r>
        <w:t xml:space="preserve">NO</w:t>
      </w:r>
      <w:r>
        <w:t xml:space="preserve"> </w:t>
      </w:r>
      <w:r>
        <w:t xml:space="preserve">The content in calcium carbonate is within 3%</w:t>
      </w:r>
      <w:r>
        <w:t xml:space="preserve"> </w:t>
      </w:r>
      <w:r>
        <w:t xml:space="preserve">NO</w:t>
      </w:r>
      <w:r>
        <w:t xml:space="preserve"> </w:t>
      </w:r>
      <w:r>
        <w:t xml:space="preserve">The colour is within the range foreseen at the end of the firing process.</w:t>
      </w:r>
      <w:r>
        <w:t xml:space="preserve"> </w:t>
      </w:r>
      <w:r>
        <w:t xml:space="preserve">NO</w:t>
      </w:r>
      <w:r>
        <w:t xml:space="preserve"> </w:t>
      </w:r>
      <w:r>
        <w:t xml:space="preserve">The bricks are to be installed with the following mortar types: type XXX, type YYY (compatible</w:t>
      </w:r>
      <w:r>
        <w:t xml:space="preserve"> </w:t>
      </w:r>
      <w:r>
        <w:t xml:space="preserve">with the full de-installation from the wall to foster the reuse and the re-manufacturing of the</w:t>
      </w:r>
      <w:r>
        <w:t xml:space="preserve"> </w:t>
      </w:r>
      <w:r>
        <w:t xml:space="preserve">bricks.)</w:t>
      </w:r>
      <w:r>
        <w:t xml:space="preserve"> </w:t>
      </w:r>
      <w:r>
        <w:t xml:space="preserve">YES</w:t>
      </w:r>
      <w:r>
        <w:t xml:space="preserve"> </w:t>
      </w:r>
      <w:r>
        <w:t xml:space="preserve">INHERENT PRODUCT REQUIREMENTS</w:t>
      </w:r>
      <w:r>
        <w:t xml:space="preserve"> </w:t>
      </w:r>
      <w:r>
        <w:t xml:space="preserve">Related to</w:t>
      </w:r>
      <w:r>
        <w:t xml:space="preserve"> </w:t>
      </w:r>
      <w:r>
        <w:t xml:space="preserve">SPI</w:t>
      </w:r>
      <w:r>
        <w:t xml:space="preserve"> </w:t>
      </w:r>
      <w:r>
        <w:t xml:space="preserve">targets?</w:t>
      </w:r>
      <w:r>
        <w:t xml:space="preserve"> </w:t>
      </w:r>
      <w:r>
        <w:t xml:space="preserve">The bricks are transported in packaging of at most 1.000 kg in weight</w:t>
      </w:r>
      <w:r>
        <w:t xml:space="preserve"> </w:t>
      </w:r>
      <w:r>
        <w:t xml:space="preserve">NO</w:t>
      </w:r>
      <w:r>
        <w:t xml:space="preserve"> </w:t>
      </w:r>
      <w:r>
        <w:t xml:space="preserve">The GWP-Total for a cubic metre of bricks is at most 50 kg CO2 eq.</w:t>
      </w:r>
      <w:r>
        <w:t xml:space="preserve"> </w:t>
      </w:r>
      <w:r>
        <w:t xml:space="preserve">YES</w:t>
      </w:r>
      <w:r>
        <w:t xml:space="preserve"> </w:t>
      </w:r>
      <w:r>
        <w:t xml:space="preserve">The calcium carbonate content derives only from a recovery process of the CO2 emitted in</w:t>
      </w:r>
      <w:r>
        <w:t xml:space="preserve"> </w:t>
      </w:r>
      <w:r>
        <w:t xml:space="preserve">the production of the bricks (in particular in the grinding and firing process).</w:t>
      </w:r>
      <w:r>
        <w:t xml:space="preserve"> </w:t>
      </w:r>
      <w:r>
        <w:t xml:space="preserve">YES</w:t>
      </w:r>
      <w:r>
        <w:t xml:space="preserve"> </w:t>
      </w:r>
      <w:r>
        <w:t xml:space="preserve">The thermal energy required for the drying process of clay bricks is ensured only by the heat</w:t>
      </w:r>
      <w:r>
        <w:t xml:space="preserve"> </w:t>
      </w:r>
      <w:r>
        <w:t xml:space="preserve">recovery of the firing process.</w:t>
      </w:r>
      <w:r>
        <w:t xml:space="preserve"> </w:t>
      </w:r>
      <w:r>
        <w:t xml:space="preserve">YES</w:t>
      </w:r>
      <w:r>
        <w:t xml:space="preserve"> </w:t>
      </w:r>
      <w:r>
        <w:t xml:space="preserve">The minimum durability of the product performances is 100 years</w:t>
      </w:r>
      <w:r>
        <w:t xml:space="preserve"> </w:t>
      </w:r>
      <w:r>
        <w:t xml:space="preserve">YES</w:t>
      </w:r>
      <w:r>
        <w:t xml:space="preserve"> </w:t>
      </w:r>
      <w:r>
        <w:t xml:space="preserve">The minimum recycled quota of clay is 50%</w:t>
      </w:r>
      <w:r>
        <w:t xml:space="preserve"> </w:t>
      </w:r>
      <w:r>
        <w:t xml:space="preserve">YES</w:t>
      </w:r>
      <w:r>
        <w:t xml:space="preserve"> </w:t>
      </w:r>
      <w:r>
        <w:t xml:space="preserve">The packaging of bricks with paper-derived materials.</w:t>
      </w:r>
      <w:r>
        <w:t xml:space="preserve"> </w:t>
      </w:r>
      <w:r>
        <w:t xml:space="preserve">YES</w:t>
      </w:r>
      <w:r>
        <w:t xml:space="preserve"> </w:t>
      </w:r>
      <w:r>
        <w:t xml:space="preserve">INFORMATION REQUIREMENTS</w:t>
      </w:r>
      <w:r>
        <w:t xml:space="preserve"> </w:t>
      </w:r>
      <w:r>
        <w:t xml:space="preserve">Related to</w:t>
      </w:r>
      <w:r>
        <w:t xml:space="preserve"> </w:t>
      </w:r>
      <w:r>
        <w:t xml:space="preserve">SPI</w:t>
      </w:r>
      <w:r>
        <w:t xml:space="preserve"> </w:t>
      </w:r>
      <w:r>
        <w:t xml:space="preserve">targets?</w:t>
      </w:r>
      <w:r>
        <w:t xml:space="preserve"> </w:t>
      </w:r>
      <w:r>
        <w:t xml:space="preserve">The packaging informs which type of mortars can be used to install the bricks (compatible</w:t>
      </w:r>
      <w:r>
        <w:t xml:space="preserve"> </w:t>
      </w:r>
      <w:r>
        <w:t xml:space="preserve">with the full de-installation from the wall to foster the reuse and the re-manufacturing of the</w:t>
      </w:r>
      <w:r>
        <w:t xml:space="preserve"> </w:t>
      </w:r>
      <w:r>
        <w:t xml:space="preserve">bricks.)</w:t>
      </w:r>
      <w:r>
        <w:t xml:space="preserve"> </w:t>
      </w:r>
      <w:r>
        <w:t xml:space="preserve">YES</w:t>
      </w:r>
      <w:r>
        <w:t xml:space="preserve"> </w:t>
      </w:r>
      <w:r>
        <w:t xml:space="preserve">The bricks shall display on the largest surfaces the type of mortars that can be used;</w:t>
      </w:r>
      <w:r>
        <w:t xml:space="preserve"> </w:t>
      </w:r>
      <w:r>
        <w:t xml:space="preserve">YES</w:t>
      </w:r>
      <w:r>
        <w:t xml:space="preserve"> </w:t>
      </w:r>
      <w:r>
        <w:t xml:space="preserve">The packaging shall inform on how the products have to be stocked</w:t>
      </w:r>
      <w:r>
        <w:br/>
      </w:r>
      <w:r>
        <w:t xml:space="preserve">YES</w:t>
      </w:r>
      <w:r>
        <w:t xml:space="preserve"> </w:t>
      </w:r>
      <w:r>
        <w:t xml:space="preserve">Using the digital product passport (DPP) the producer of the bricks would need to receive data</w:t>
      </w:r>
      <w:r>
        <w:t xml:space="preserve"> </w:t>
      </w:r>
      <w:r>
        <w:t xml:space="preserve">from its raw material supplier concerning e.g. Global Warming Potential total ideally provided</w:t>
      </w:r>
      <w:r>
        <w:t xml:space="preserve"> </w:t>
      </w:r>
      <w:r>
        <w:t xml:space="preserve">under the SPI. The producer would provide all data regarding its bricks via the DPP to its</w:t>
      </w:r>
      <w:r>
        <w:t xml:space="preserve"> </w:t>
      </w:r>
      <w:r>
        <w:t xml:space="preserve">customers. This information could then be inserted in the digital building passport of a building</w:t>
      </w:r>
      <w:r>
        <w:t xml:space="preserve"> </w:t>
      </w:r>
      <w:r>
        <w:t xml:space="preserve">where the bricks are installed.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ANNEX 12: REFINED INDICATIVE OPTIONS PAPER, APRIL 2020</w:t>
      </w:r>
      <w:r>
        <w:t xml:space="preserve"> </w:t>
      </w:r>
      <w:r>
        <w:t xml:space="preserve">REFINED INDICATIVE OPTIONS FOR THE REVIEW OF THE</w:t>
      </w:r>
      <w:r>
        <w:br/>
      </w:r>
      <w:r>
        <w:t xml:space="preserve">CONSTRUCTION PRODUCTS REGULATION, VERSION 2 - 08.04.2020</w:t>
      </w:r>
      <w:r>
        <w:t xml:space="preserve"> </w:t>
      </w:r>
      <w:r>
        <w:t xml:space="preserve">The purpose of this document is to present the options regarding the potential revision of the</w:t>
      </w:r>
      <w:r>
        <w:t xml:space="preserve"> </w:t>
      </w:r>
      <w:r>
        <w:t xml:space="preserve">Construction Product Regulation (CPR). At the same time, this document is deemed to become</w:t>
      </w:r>
      <w:r>
        <w:t xml:space="preserve"> </w:t>
      </w:r>
      <w:r>
        <w:t xml:space="preserve">the basis for discussion with all interested parties in the course of 2020 and to inform the two</w:t>
      </w:r>
      <w:r>
        <w:t xml:space="preserve"> </w:t>
      </w:r>
      <w:r>
        <w:t xml:space="preserve">legislators on the many choices and sub-choices to be made.</w:t>
      </w:r>
      <w:r>
        <w:br/>
      </w:r>
      <w:r>
        <w:t xml:space="preserve">To reach these goals, the options need to be concrete, whilst remaining as open as possible as</w:t>
      </w:r>
      <w:r>
        <w:t xml:space="preserve"> </w:t>
      </w:r>
      <w:r>
        <w:t xml:space="preserve">neither the Commission nor the legislators have expressed any views with regard to the elements</w:t>
      </w:r>
      <w:r>
        <w:t xml:space="preserve"> </w:t>
      </w:r>
      <w:r>
        <w:t xml:space="preserve">contained in these options.</w:t>
      </w:r>
      <w:r>
        <w:br/>
      </w:r>
      <w:r>
        <w:t xml:space="preserve">Therefore, this document follows two approaches:</w:t>
      </w:r>
      <w:r>
        <w:t xml:space="preserve"> </w:t>
      </w:r>
      <w:r>
        <w:t xml:space="preserve"> It describes different ways how the various elements of the options could materialise;</w:t>
      </w:r>
      <w:r>
        <w:t xml:space="preserve"> </w:t>
      </w:r>
      <w:r>
        <w:t xml:space="preserve"> Where the presentation of different ways of materialisation becomes too complex, the most</w:t>
      </w:r>
      <w:r>
        <w:t xml:space="preserve"> </w:t>
      </w:r>
      <w:r>
        <w:t xml:space="preserve">far-reaching materialisation has been presented. This is meant to open the space between the</w:t>
      </w:r>
      <w:r>
        <w:t xml:space="preserve"> </w:t>
      </w:r>
      <w:r>
        <w:t xml:space="preserve">current state and the far-reaching, radical way of materialisation, whilst not favouring any of</w:t>
      </w:r>
      <w:r>
        <w:t xml:space="preserve"> </w:t>
      </w:r>
      <w:r>
        <w:t xml:space="preserve">these ways.</w:t>
      </w:r>
      <w:r>
        <w:t xml:space="preserve"> </w:t>
      </w:r>
      <w:r>
        <w:t xml:space="preserve">Accordingly, this text is not deemed to express any views in terms of how the future CPR should</w:t>
      </w:r>
      <w:r>
        <w:t xml:space="preserve"> </w:t>
      </w:r>
      <w:r>
        <w:t xml:space="preserve">look like, but rather to trigger an open debate.</w:t>
      </w:r>
      <w:r>
        <w:t xml:space="preserve"> </w:t>
      </w:r>
      <w:r>
        <w:t xml:space="preserve">———————————————————————————————————-</w:t>
      </w:r>
      <w:r>
        <w:t xml:space="preserve"> </w:t>
      </w:r>
      <w:r>
        <w:t xml:space="preserve">Table of contents:</w:t>
      </w:r>
    </w:p>
    <w:p>
      <w:pPr>
        <w:pStyle w:val="BodyText"/>
      </w:pPr>
      <w:r>
        <w:t xml:space="preserve">Overview of the options …………………………………………………………. 2</w:t>
      </w:r>
      <w:r>
        <w:t xml:space="preserve"> </w:t>
      </w:r>
      <w:r>
        <w:t xml:space="preserve">Detailed presentation of the options ………………………………………… 4</w:t>
      </w:r>
      <w:r>
        <w:t xml:space="preserve"> </w:t>
      </w:r>
      <w:r>
        <w:t xml:space="preserve">Option A – Baseline scenario …………………………………………………. 4</w:t>
      </w:r>
      <w:r>
        <w:t xml:space="preserve"> </w:t>
      </w:r>
      <w:r>
        <w:t xml:space="preserve">Option B – Repairing the CPR ……………………………………………….. 6</w:t>
      </w:r>
      <w:r>
        <w:t xml:space="preserve"> </w:t>
      </w:r>
      <w:r>
        <w:t xml:space="preserve">Option C – Focusing the CPR ……………………………………………….. 20</w:t>
      </w:r>
      <w:r>
        <w:t xml:space="preserve"> </w:t>
      </w:r>
      <w:r>
        <w:t xml:space="preserve">Option D – Enhancing the CPR …………………………………………….. 23</w:t>
      </w:r>
      <w:r>
        <w:t xml:space="preserve"> </w:t>
      </w:r>
      <w:r>
        <w:t xml:space="preserve">Option E – Repealing the CPR ……………………………………………… 27</w:t>
      </w:r>
      <w:r>
        <w:t xml:space="preserve"> </w:t>
      </w:r>
      <w:r>
        <w:t xml:space="preserve">Annex I – Harmonising decision-making under Option B ………… 28</w:t>
      </w:r>
      <w:r>
        <w:t xml:space="preserve"> </w:t>
      </w:r>
      <w:r>
        <w:t xml:space="preserve">Annex II – Enforcement measures under Option B ………………….. 31</w:t>
      </w:r>
      <w:r>
        <w:t xml:space="preserve"> </w:t>
      </w:r>
      <w:r>
        <w:t xml:space="preserve">Annex III – HTSs under Options A and B ………………………………. 34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OVERVIEW OF THE INDICATIVE REFINED OPTIONS</w:t>
      </w:r>
      <w:r>
        <w:t xml:space="preserve"> </w:t>
      </w:r>
      <w:r>
        <w:t xml:space="preserve">The following graph presents the reformulated options and the logical relationship between</w:t>
      </w:r>
      <w:r>
        <w:t xml:space="preserve"> </w:t>
      </w:r>
      <w:r>
        <w:t xml:space="preserve">them. A detailed description of each option is provided in the next section.</w:t>
      </w:r>
    </w:p>
    <w:p>
      <w:pPr>
        <w:pStyle w:val="BodyText"/>
      </w:pPr>
      <w:r>
        <w:t xml:space="preserve">1 “NLF“ stands for „New Legislative Framework“ as laid down in Decision 768/2008/EC. The predecessor to the NLF is the so-</w:t>
      </w:r>
      <w:r>
        <w:t xml:space="preserve"> </w:t>
      </w:r>
      <w:r>
        <w:t xml:space="preserve">called “New Approach”.</w:t>
      </w:r>
      <w:r>
        <w:t xml:space="preserve"> </w:t>
      </w:r>
      <w:r>
        <w:t xml:space="preserve">2 “Technical specifications” or “Common technical specifications” are technical provisions adopted by the European Commission</w:t>
      </w:r>
      <w:r>
        <w:t xml:space="preserve"> </w:t>
      </w:r>
      <w:r>
        <w:t xml:space="preserve">as Delegated or Implementing Acts. This approach is sometimes also called “Old Approach”.</w:t>
      </w:r>
      <w:r>
        <w:t xml:space="preserve"> </w:t>
      </w:r>
      <w:r>
        <w:t xml:space="preserve">3 These would contain concretions of the Essential Product Requirements, as foreseen in the New Legislative Framework laid</w:t>
      </w:r>
      <w:r>
        <w:t xml:space="preserve"> </w:t>
      </w:r>
      <w:r>
        <w:t xml:space="preserve">down in Decision 768/2008/EC.</w:t>
      </w:r>
      <w:r>
        <w:t xml:space="preserve"> </w:t>
      </w:r>
      <w:r>
        <w:t xml:space="preserve">There is a range of links between the different options:</w:t>
      </w:r>
      <w:r>
        <w:t xml:space="preserve"> </w:t>
      </w:r>
      <w:r>
        <w:t xml:space="preserve"> “Repairing the CPR” (Option B) is a stand-alone option especially based on the issues</w:t>
      </w:r>
      <w:r>
        <w:t xml:space="preserve"> </w:t>
      </w:r>
      <w:r>
        <w:t xml:space="preserve">highlighted in the implementation report.</w:t>
      </w:r>
      <w:r>
        <w:t xml:space="preserve"> </w:t>
      </w:r>
      <w:r>
        <w:t xml:space="preserve"> However, it would be absurd to be in favour of focusing (Option C) or enhancing the CPR</w:t>
      </w:r>
      <w:r>
        <w:t xml:space="preserve"> </w:t>
      </w:r>
      <w:r>
        <w:t xml:space="preserve">(Option D) without at the same time trying to solve the issues identified in the</w:t>
      </w:r>
      <w:r>
        <w:t xml:space="preserve"> </w:t>
      </w:r>
      <w:r>
        <w:t xml:space="preserve">implementation report (i.e. “Repairing the CPR”). This aspect has been reflected in the</w:t>
      </w:r>
      <w:r>
        <w:t xml:space="preserve"> </w:t>
      </w:r>
      <w:r>
        <w:t xml:space="preserve">decision tree graph above.</w:t>
      </w:r>
      <w:r>
        <w:t xml:space="preserve"> </w:t>
      </w:r>
      <w:r>
        <w:t xml:space="preserve"> A combination of focusing (Option C) and enhancing (Option D) is only possible for</w:t>
      </w:r>
      <w:r>
        <w:t xml:space="preserve"> </w:t>
      </w:r>
      <w:r>
        <w:t xml:space="preserve">Element 2 of Option C (limiting scope to core areas), which could also be combined with</w:t>
      </w:r>
      <w:r>
        <w:t xml:space="preserve"> </w:t>
      </w:r>
      <w:r>
        <w:t xml:space="preserve">both Options D1 (NLF) or D2 (technical specifications approach).</w:t>
      </w:r>
      <w:r>
        <w:br/>
      </w:r>
      <w:r>
        <w:t xml:space="preserve"> It would not make sense to combine Element 1 of Option C (limiting scope to assessment</w:t>
      </w:r>
      <w:r>
        <w:t xml:space="preserve"> </w:t>
      </w:r>
      <w:r>
        <w:t xml:space="preserve">methods”) with the enhancement by product requirements of Options D1 or D2, as the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enhancement of product requirements is only possible where technical specifications are</w:t>
      </w:r>
      <w:r>
        <w:t xml:space="preserve"> </w:t>
      </w:r>
      <w:r>
        <w:t xml:space="preserve">complete.</w:t>
      </w:r>
      <w:r>
        <w:t xml:space="preserve"> </w:t>
      </w:r>
      <w:r>
        <w:t xml:space="preserve"> Likewise, there is a logical contradiction between the goal of Options D1 and D2 to establish</w:t>
      </w:r>
      <w:r>
        <w:t xml:space="preserve"> </w:t>
      </w:r>
      <w:r>
        <w:t xml:space="preserve">mandatory product requirements and making the common technical language optional for</w:t>
      </w:r>
      <w:r>
        <w:t xml:space="preserve"> </w:t>
      </w:r>
      <w:r>
        <w:t xml:space="preserve">manufacturers (Element 3 of Option C)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DETAILED PRESENTATION OF THE INDICATIVE REFINED OPTIONS</w:t>
      </w:r>
      <w:r>
        <w:t xml:space="preserve"> </w:t>
      </w:r>
      <w:r>
        <w:t xml:space="preserve">OPTION A - BASELINE SCENARIO</w:t>
      </w:r>
      <w:r>
        <w:br/>
      </w:r>
      <w:r>
        <w:t xml:space="preserve">No legislative change, but improving implementation through guidance / soft law by the</w:t>
      </w:r>
      <w:r>
        <w:t xml:space="preserve"> </w:t>
      </w:r>
      <w:r>
        <w:t xml:space="preserve">European Commission.</w:t>
      </w:r>
      <w:r>
        <w:t xml:space="preserve"> </w:t>
      </w:r>
      <w:r>
        <w:t xml:space="preserve">The Commission would pursue its efforts at implementation level to:</w:t>
      </w:r>
      <w:r>
        <w:t xml:space="preserve"> </w:t>
      </w:r>
      <w:r>
        <w:t xml:space="preserve"> Streamline the standardisation work, to the (limited) extent that it is in the hands of the</w:t>
      </w:r>
      <w:r>
        <w:t xml:space="preserve"> </w:t>
      </w:r>
      <w:r>
        <w:t xml:space="preserve">European Commission241, e.g.:</w:t>
      </w:r>
      <w:r>
        <w:br/>
      </w:r>
      <w:r>
        <w:t xml:space="preserve"> following initiatives like the Joint Initiative for Standardisation;</w:t>
      </w:r>
      <w:r>
        <w:br/>
      </w:r>
      <w:r>
        <w:t xml:space="preserve"> inviting CEN to ensure clarity of the scope of harmonised standards;</w:t>
      </w:r>
      <w:r>
        <w:br/>
      </w:r>
      <w:r>
        <w:t xml:space="preserve"> inviting CEN to front-load242 acceptability criteria to be applied by the European</w:t>
      </w:r>
      <w:r>
        <w:t xml:space="preserve"> </w:t>
      </w:r>
      <w:r>
        <w:t xml:space="preserve">Commission;</w:t>
      </w:r>
      <w:r>
        <w:br/>
      </w:r>
      <w:r>
        <w:t xml:space="preserve"> inviting CEN to ensure internal quality control;</w:t>
      </w:r>
      <w:r>
        <w:br/>
      </w:r>
      <w:r>
        <w:t xml:space="preserve"> inviting CEN to speed up the revision of CPD-era standards with high market relevance</w:t>
      </w:r>
      <w:r>
        <w:t xml:space="preserve"> </w:t>
      </w:r>
      <w:r>
        <w:t xml:space="preserve">or relevance for the safety of citizens;</w:t>
      </w:r>
      <w:r>
        <w:t xml:space="preserve"> </w:t>
      </w:r>
      <w:r>
        <w:t xml:space="preserve"> inviting CEN to ensure fair and equitable representation of various categories of</w:t>
      </w:r>
      <w:r>
        <w:t xml:space="preserve"> </w:t>
      </w:r>
      <w:r>
        <w:t xml:space="preserve">stakeholders;</w:t>
      </w:r>
      <w:r>
        <w:br/>
      </w:r>
      <w:r>
        <w:t xml:space="preserve"> ensuring that the rules in Articles 3(3) and 27 CPR on classes or thresholds are used and</w:t>
      </w:r>
      <w:r>
        <w:t xml:space="preserve"> </w:t>
      </w:r>
      <w:r>
        <w:t xml:space="preserve">respected;</w:t>
      </w:r>
      <w:r>
        <w:t xml:space="preserve"> </w:t>
      </w:r>
      <w:r>
        <w:t xml:space="preserve"> issuing, where needed and promising, new standardisation requests which respond to</w:t>
      </w:r>
      <w:r>
        <w:t xml:space="preserve"> </w:t>
      </w:r>
      <w:r>
        <w:t xml:space="preserve">current legal requirements, Member States’ regulatory needs and market needs.</w:t>
      </w:r>
      <w:r>
        <w:t xml:space="preserve"> </w:t>
      </w:r>
      <w:r>
        <w:t xml:space="preserve"> Go against national marks, ex ante processes and verifications, by using informal</w:t>
      </w:r>
      <w:r>
        <w:t xml:space="preserve"> </w:t>
      </w:r>
      <w:r>
        <w:t xml:space="preserve">dialogue and the formal tools provided by primary or secondary EU law (pending Court</w:t>
      </w:r>
      <w:r>
        <w:t xml:space="preserve"> </w:t>
      </w:r>
      <w:r>
        <w:t xml:space="preserve">judgement on German case T-229/17), namely by infringement procedures and support for</w:t>
      </w:r>
      <w:r>
        <w:t xml:space="preserve"> </w:t>
      </w:r>
      <w:r>
        <w:t xml:space="preserve">economic operators acting against infringements at national courts;</w:t>
      </w:r>
      <w:r>
        <w:t xml:space="preserve"> </w:t>
      </w:r>
      <w:r>
        <w:t xml:space="preserve"> Enhance market surveillance and enforcement (e.g. by recommending highly effective</w:t>
      </w:r>
      <w:r>
        <w:t xml:space="preserve"> </w:t>
      </w:r>
      <w:r>
        <w:t xml:space="preserve">default/standard market surveillance controls243), and this clearly in the context of Regulation</w:t>
      </w:r>
      <w:r>
        <w:t xml:space="preserve"> </w:t>
      </w:r>
      <w:r>
        <w:t xml:space="preserve">(EU) 2019/1020 on market surveillance244;</w:t>
      </w:r>
      <w:r>
        <w:t xml:space="preserve"> </w:t>
      </w:r>
      <w:r>
        <w:t xml:space="preserve"> Improve the functioning of EOTA and Technical Assessment Bodies, Notified Bodies,</w:t>
      </w:r>
      <w:r>
        <w:t xml:space="preserve"> </w:t>
      </w:r>
      <w:r>
        <w:t xml:space="preserve">national authorities, PCPCs245, to the extent that the functioning can be influenced by the</w:t>
      </w:r>
      <w:r>
        <w:t xml:space="preserve"> </w:t>
      </w:r>
      <w:r>
        <w:t xml:space="preserve">European Commission;</w:t>
      </w:r>
      <w:r>
        <w:br/>
      </w:r>
      <w:r>
        <w:t xml:space="preserve"> Increase, to the limited extent possible under the current CPR, the legal sustainability of</w:t>
      </w:r>
      <w:r>
        <w:t xml:space="preserve"> </w:t>
      </w:r>
      <w:r>
        <w:t xml:space="preserve">the EAD route to CE marking, namely by formal Commission Decisions on the citation of</w:t>
      </w:r>
      <w:r>
        <w:t xml:space="preserve"> </w:t>
      </w:r>
      <w:r>
        <w:t xml:space="preserve">EADs in the Official Journal;</w:t>
      </w:r>
      <w:r>
        <w:t xml:space="preserve"> </w:t>
      </w:r>
      <w:r>
        <w:t xml:space="preserve"> Promote the uptake of simplification provisions by clarification / guidance / information,</w:t>
      </w:r>
      <w:r>
        <w:t xml:space="preserve"> </w:t>
      </w:r>
      <w:r>
        <w:t xml:space="preserve">to the extent possible246 (incl. Art. 5, 9(2), 37, and 38 CPR);</w:t>
      </w:r>
    </w:p>
    <w:p>
      <w:pPr>
        <w:pStyle w:val="BodyText"/>
      </w:pPr>
      <w:r>
        <w:t xml:space="preserve">241 The elements listed below have indeed already been pursued by the European Commission services, though with</w:t>
      </w:r>
      <w:r>
        <w:t xml:space="preserve"> </w:t>
      </w:r>
      <w:r>
        <w:t xml:space="preserve">limited success.</w:t>
      </w:r>
      <w:r>
        <w:t xml:space="preserve"> </w:t>
      </w:r>
      <w:r>
        <w:t xml:space="preserve">242 This would mean that the acceptability criteria become quality goals for the development of the respective</w:t>
      </w:r>
      <w:r>
        <w:t xml:space="preserve"> </w:t>
      </w:r>
      <w:r>
        <w:t xml:space="preserve">standards during the entire process of development.</w:t>
      </w:r>
      <w:r>
        <w:t xml:space="preserve"> </w:t>
      </w:r>
      <w:r>
        <w:t xml:space="preserve">243 E.g., it is very efficient to control formal compliance because in most of the cases of formal non-compliance, the</w:t>
      </w:r>
      <w:r>
        <w:t xml:space="preserve"> </w:t>
      </w:r>
      <w:r>
        <w:t xml:space="preserve">manufacturers are also non-compliant for requirements of substance, e.g. regarding performance. Hence, a</w:t>
      </w:r>
      <w:r>
        <w:t xml:space="preserve"> </w:t>
      </w:r>
      <w:r>
        <w:t xml:space="preserve">program could be set-up to list elements of formal non-compliance which can be easily verified.</w:t>
      </w:r>
      <w:r>
        <w:t xml:space="preserve"> </w:t>
      </w:r>
      <w:r>
        <w:t xml:space="preserve">244 OJ L 169, 25.6.2019, p. 1–44.</w:t>
      </w:r>
      <w:r>
        <w:t xml:space="preserve"> </w:t>
      </w:r>
      <w:r>
        <w:t xml:space="preserve">245 Product Contact Points for Construction.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 Promote the understanding of the CPR in general and in particular with regard to the CE</w:t>
      </w:r>
      <w:r>
        <w:t xml:space="preserve"> </w:t>
      </w:r>
      <w:r>
        <w:t xml:space="preserve">marking and the Declaration of Performance, and this with special focus on SME and</w:t>
      </w:r>
      <w:r>
        <w:t xml:space="preserve"> </w:t>
      </w:r>
      <w:r>
        <w:t xml:space="preserve">microenterprises and including the “Your-Europe-Portal” and possibly the “Single Digital</w:t>
      </w:r>
      <w:r>
        <w:t xml:space="preserve"> </w:t>
      </w:r>
      <w:r>
        <w:t xml:space="preserve">Gateway”;</w:t>
      </w:r>
      <w:r>
        <w:t xml:space="preserve"> </w:t>
      </w:r>
      <w:r>
        <w:t xml:space="preserve"> Apply the existing empowerments for delegated and implementing acts, as well as the</w:t>
      </w:r>
      <w:r>
        <w:t xml:space="preserve"> </w:t>
      </w:r>
      <w:r>
        <w:t xml:space="preserve">formal objections procedure, also to complement, correct, overrule or delist deficient</w:t>
      </w:r>
      <w:r>
        <w:t xml:space="preserve"> </w:t>
      </w:r>
      <w:r>
        <w:t xml:space="preserve">standards. The empowerments to correct or overrule deficient standards are uncertain and</w:t>
      </w:r>
      <w:r>
        <w:t xml:space="preserve"> </w:t>
      </w:r>
      <w:r>
        <w:t xml:space="preserve">content-wise limited. Thus only a small part of the deficiencies of harmonised standards can,</w:t>
      </w:r>
      <w:r>
        <w:t xml:space="preserve"> </w:t>
      </w:r>
      <w:r>
        <w:t xml:space="preserve">if any at all, be remedied.</w:t>
      </w:r>
    </w:p>
    <w:p>
      <w:pPr>
        <w:pStyle w:val="BodyText"/>
      </w:pPr>
      <w:r>
        <w:t xml:space="preserve">246 The extent is limited because the European Commission cannot disseminate an authoritative interpretation where</w:t>
      </w:r>
      <w:r>
        <w:t xml:space="preserve"> </w:t>
      </w:r>
      <w:r>
        <w:t xml:space="preserve">different interpretations are equally possible due to an unclear wording of the CPR. Only the European Court of</w:t>
      </w:r>
      <w:r>
        <w:t xml:space="preserve"> </w:t>
      </w:r>
      <w:r>
        <w:t xml:space="preserve">Justice can provide for authoritative interpretations in such situations.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OPTION B – REPAIRING THE CPR</w:t>
      </w:r>
    </w:p>
    <w:p>
      <w:pPr>
        <w:pStyle w:val="BodyText"/>
      </w:pPr>
      <w:r>
        <w:t xml:space="preserve">This option would not so much invest into the implementation of the current CPR, but</w:t>
      </w:r>
      <w:r>
        <w:t xml:space="preserve"> </w:t>
      </w:r>
      <w:r>
        <w:t xml:space="preserve">focus on the repair of the CPR by its revision. Option B might include legislative</w:t>
      </w:r>
      <w:r>
        <w:t xml:space="preserve"> </w:t>
      </w:r>
      <w:r>
        <w:t xml:space="preserve">amendments to realise the following aims (the envisaged amendments are outlined</w:t>
      </w:r>
      <w:r>
        <w:t xml:space="preserve"> </w:t>
      </w:r>
      <w:r>
        <w:t xml:space="preserve">below)247:</w:t>
      </w:r>
    </w:p>
    <w:p>
      <w:pPr>
        <w:pStyle w:val="Compact"/>
        <w:numPr>
          <w:ilvl w:val="0"/>
          <w:numId w:val="1019"/>
        </w:numPr>
      </w:pPr>
      <w:r>
        <w:t xml:space="preserve">Scope and objectives</w:t>
      </w:r>
      <w:r>
        <w:t xml:space="preserve"> </w:t>
      </w:r>
      <w:r>
        <w:t xml:space="preserve"> Clarifying and streamlining the scope of the CPR</w:t>
      </w:r>
      <w:r>
        <w:br/>
      </w:r>
      <w:r>
        <w:t xml:space="preserve"> Ensuring coherence with other EU legislation</w:t>
      </w:r>
      <w:r>
        <w:t xml:space="preserve"> </w:t>
      </w:r>
      <w:r>
        <w:t xml:space="preserve"> Addressing environmental aspects of construction products (BWR7)</w:t>
      </w:r>
      <w:r>
        <w:t xml:space="preserve"> </w:t>
      </w:r>
      <w:r>
        <w:t xml:space="preserve"> Promoting circularity of construction products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Harmonisation</w:t>
      </w:r>
      <w:r>
        <w:t xml:space="preserve"> </w:t>
      </w:r>
      <w:r>
        <w:t xml:space="preserve"> Empowering the Commission to act against partial system failures</w:t>
      </w:r>
      <w:r>
        <w:br/>
      </w:r>
      <w:r>
        <w:t xml:space="preserve"> Ensuring the comprehensiveness of the CPR’s Common Technical Language</w:t>
      </w:r>
      <w:r>
        <w:t xml:space="preserve"> </w:t>
      </w:r>
      <w:r>
        <w:t xml:space="preserve"> Allowing manufacturers to obtain preliminary CE marking</w:t>
      </w:r>
      <w:r>
        <w:t xml:space="preserve"> </w:t>
      </w:r>
      <w:r>
        <w:t xml:space="preserve"> Reducing the administrative burden for manufacturers</w:t>
      </w:r>
      <w:r>
        <w:t xml:space="preserve"> </w:t>
      </w:r>
      <w:r>
        <w:t xml:space="preserve"> Improving access to Harmonised Technical Specifications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Improving effectiveness</w:t>
      </w:r>
      <w:r>
        <w:br/>
      </w:r>
      <w:r>
        <w:t xml:space="preserve"> Improving the use of the CPR’s non-conformity procedures</w:t>
      </w:r>
      <w:r>
        <w:t xml:space="preserve"> </w:t>
      </w:r>
      <w:r>
        <w:t xml:space="preserve"> Enhancing market surveillance</w:t>
      </w:r>
      <w:r>
        <w:t xml:space="preserve"> </w:t>
      </w:r>
      <w:r>
        <w:t xml:space="preserve"> Improving the efficacy of Notified Bodies</w:t>
      </w:r>
      <w:r>
        <w:t xml:space="preserve"> </w:t>
      </w:r>
      <w:r>
        <w:t xml:space="preserve"> Supplementing Notified Bodies with special bodies in charge of BWR7</w:t>
      </w:r>
      <w:r>
        <w:t xml:space="preserve"> </w:t>
      </w:r>
      <w:r>
        <w:t xml:space="preserve"> Evaluating the role of PCPCs</w:t>
      </w:r>
      <w:r>
        <w:br/>
      </w:r>
      <w:r>
        <w:t xml:space="preserve"> Better covering information needs</w:t>
      </w:r>
      <w:r>
        <w:t xml:space="preserve"> </w:t>
      </w:r>
      <w:r>
        <w:t xml:space="preserve"> Allowing for true claims or no claims</w:t>
      </w:r>
      <w:r>
        <w:t xml:space="preserve"> </w:t>
      </w:r>
      <w:r>
        <w:t xml:space="preserve"> Better coverage of Member States’ needs by determining the “harmonised zone”</w:t>
      </w:r>
      <w:r>
        <w:t xml:space="preserve"> </w:t>
      </w:r>
      <w:r>
        <w:t xml:space="preserve"> Improving legal certainty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Transition</w:t>
      </w:r>
      <w:r>
        <w:t xml:space="preserve"> </w:t>
      </w:r>
      <w:r>
        <w:t xml:space="preserve"> Ensuring a smooth phasing in of the revised CPR</w:t>
      </w:r>
    </w:p>
    <w:p>
      <w:pPr>
        <w:pStyle w:val="Compact"/>
        <w:numPr>
          <w:ilvl w:val="0"/>
          <w:numId w:val="1019"/>
        </w:numPr>
      </w:pPr>
      <w:r>
        <w:t xml:space="preserve">Scope and objectives</w:t>
      </w:r>
      <w:r>
        <w:t xml:space="preserve"> </w:t>
      </w:r>
      <w:r>
        <w:t xml:space="preserve">Clarifying and streamlining the scope of the CPR</w:t>
      </w:r>
      <w:r>
        <w:br/>
      </w:r>
      <w:r>
        <w:t xml:space="preserve">The future CPR would dispel confusion by specifying application to certain products or</w:t>
      </w:r>
      <w:r>
        <w:t xml:space="preserve"> </w:t>
      </w:r>
      <w:r>
        <w:t xml:space="preserve">product categories, as well as prevent future confusion by anticipating future developments</w:t>
      </w:r>
      <w:r>
        <w:t xml:space="preserve"> </w:t>
      </w:r>
      <w:r>
        <w:t xml:space="preserve">and allowing the Commission to modify the CPR’s scope in light of such developments.</w:t>
      </w:r>
      <w:r>
        <w:t xml:space="preserve"> </w:t>
      </w:r>
      <w:r>
        <w:t xml:space="preserve">This would include the explicit exclusion of certain product categories, in particular to</w:t>
      </w:r>
      <w:r>
        <w:t xml:space="preserve"> </w:t>
      </w:r>
      <w:r>
        <w:t xml:space="preserve">avoid overlap with other EU legislation (e.g. Drinking Water Directive).</w:t>
      </w:r>
    </w:p>
    <w:p>
      <w:pPr>
        <w:pStyle w:val="FirstParagraph"/>
      </w:pPr>
      <w:r>
        <w:t xml:space="preserve">247 It follows from the preliminary remarks of this document that, while any of the elements might find its way into</w:t>
      </w:r>
      <w:r>
        <w:t xml:space="preserve"> </w:t>
      </w:r>
      <w:r>
        <w:t xml:space="preserve">the final revised CPR, it is extremely unlikely that all the elements will be taken up by the legislator.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In order to dispel confusion about the scope of the regulation as much as possible, a revised CPR</w:t>
      </w:r>
      <w:r>
        <w:t xml:space="preserve"> </w:t>
      </w:r>
      <w:r>
        <w:t xml:space="preserve">would make explicit its application to possibly confusing products or product categories. It</w:t>
      </w:r>
      <w:r>
        <w:t xml:space="preserve"> </w:t>
      </w:r>
      <w:r>
        <w:t xml:space="preserve">would exclude some products for which there are little regulatory needs from Member States,</w:t>
      </w:r>
      <w:r>
        <w:t xml:space="preserve"> </w:t>
      </w:r>
      <w:r>
        <w:t xml:space="preserve">little intra-EU trade and little safety or environmental aspects to be covered as well as explicitly</w:t>
      </w:r>
      <w:r>
        <w:t xml:space="preserve"> </w:t>
      </w:r>
      <w:r>
        <w:t xml:space="preserve">include others for which currently there is uncertainty (e.g. construction products manufactured</w:t>
      </w:r>
      <w:r>
        <w:t xml:space="preserve"> </w:t>
      </w:r>
      <w:r>
        <w:t xml:space="preserve">for immediate incorporation by their manufacturer in construction works248). In addition, a</w:t>
      </w:r>
      <w:r>
        <w:t xml:space="preserve"> </w:t>
      </w:r>
      <w:r>
        <w:t xml:space="preserve">revised CPR would provide clearer definitions of modules, kits and assemblies and specify in</w:t>
      </w:r>
      <w:r>
        <w:t xml:space="preserve"> </w:t>
      </w:r>
      <w:r>
        <w:t xml:space="preserve">what circumstances they can be considered construction products, as well as stipulate under what</w:t>
      </w:r>
      <w:r>
        <w:t xml:space="preserve"> </w:t>
      </w:r>
      <w:r>
        <w:t xml:space="preserve">circumstances used construction products newly made available on the market come under its</w:t>
      </w:r>
      <w:r>
        <w:t xml:space="preserve"> </w:t>
      </w:r>
      <w:r>
        <w:t xml:space="preserve">scope.</w:t>
      </w:r>
      <w:r>
        <w:br/>
      </w:r>
      <w:r>
        <w:t xml:space="preserve">To prevent future confusion about the CPR’s scope, a revision would also anticipate new</w:t>
      </w:r>
      <w:r>
        <w:t xml:space="preserve"> </w:t>
      </w:r>
      <w:r>
        <w:t xml:space="preserve">business models. In anticipation of the increased use of 3Dprinting, a revised CPR would bring</w:t>
      </w:r>
      <w:r>
        <w:t xml:space="preserve"> </w:t>
      </w:r>
      <w:r>
        <w:t xml:space="preserve">the placing on the market materials and datasets used for the decentralised 3Dprinting of</w:t>
      </w:r>
      <w:r>
        <w:t xml:space="preserve"> </w:t>
      </w:r>
      <w:r>
        <w:t xml:space="preserve">construction products by other operators than those responsible for the materials and datasets</w:t>
      </w:r>
      <w:r>
        <w:t xml:space="preserve"> </w:t>
      </w:r>
      <w:r>
        <w:t xml:space="preserve">within its scope249. It would assign to operators of 3Dprintshops the responsibilities of</w:t>
      </w:r>
      <w:r>
        <w:t xml:space="preserve"> </w:t>
      </w:r>
      <w:r>
        <w:t xml:space="preserve">distributors under the current CPR. In addition, it would bring prefabricated one-family-houses</w:t>
      </w:r>
      <w:r>
        <w:t xml:space="preserve"> </w:t>
      </w:r>
      <w:r>
        <w:t xml:space="preserve">of less than 150 m2 exterior ground surface with one floor or of less than 80 m2 with two floors</w:t>
      </w:r>
      <w:r>
        <w:t xml:space="preserve"> </w:t>
      </w:r>
      <w:r>
        <w:t xml:space="preserve">within its scope (probably without the fundament, the roof coverage and façade coverage to</w:t>
      </w:r>
      <w:r>
        <w:t xml:space="preserve"> </w:t>
      </w:r>
      <w:r>
        <w:t xml:space="preserve">permit adaptation to Member States’ construction codes). This could be reached by letting them</w:t>
      </w:r>
      <w:r>
        <w:t xml:space="preserve"> </w:t>
      </w:r>
      <w:r>
        <w:t xml:space="preserve">become a construction product altogether or by qualifying them as a kit.</w:t>
      </w:r>
      <w:r>
        <w:t xml:space="preserve"> </w:t>
      </w:r>
      <w:r>
        <w:t xml:space="preserve">In terms of clarification, lastly, a revised CPR would allow the Commission to modify the CPR’s</w:t>
      </w:r>
      <w:r>
        <w:t xml:space="preserve"> </w:t>
      </w:r>
      <w:r>
        <w:t xml:space="preserve">scope, by Delegated Act, to exclude specific products or to close regulatory loopholes, in</w:t>
      </w:r>
      <w:r>
        <w:t xml:space="preserve"> </w:t>
      </w:r>
      <w:r>
        <w:t xml:space="preserve">particular where this is necessary to clarify the CPR’s application to emerging new business</w:t>
      </w:r>
      <w:r>
        <w:t xml:space="preserve"> </w:t>
      </w:r>
      <w:r>
        <w:t xml:space="preserve">models. The control mechanisms foreseen for the adoption of Delegated Acts would guarantee</w:t>
      </w:r>
      <w:r>
        <w:t xml:space="preserve"> </w:t>
      </w:r>
      <w:r>
        <w:t xml:space="preserve">the involvement of Member States and the European Parliament.</w:t>
      </w:r>
      <w:r>
        <w:t xml:space="preserve"> </w:t>
      </w:r>
      <w:r>
        <w:t xml:space="preserve">Overall, the scope of the future CPR would remain rather broad. However, as today, the</w:t>
      </w:r>
      <w:r>
        <w:t xml:space="preserve"> </w:t>
      </w:r>
      <w:r>
        <w:t xml:space="preserve">harmonised sphere (i.e. the sphere covered by technical specifications) will be not as large as the</w:t>
      </w:r>
      <w:r>
        <w:t xml:space="preserve"> </w:t>
      </w:r>
      <w:r>
        <w:t xml:space="preserve">scope of the CPR. The broad scope of the CPR thus has the function to give room for technical</w:t>
      </w:r>
      <w:r>
        <w:t xml:space="preserve"> </w:t>
      </w:r>
      <w:r>
        <w:t xml:space="preserve">specifications to be developed in accordance with the needs of today and tomorrow.</w:t>
      </w:r>
      <w:r>
        <w:t xml:space="preserve"> </w:t>
      </w:r>
      <w:r>
        <w:t xml:space="preserve">Ensuring coherence with other EU legislation</w:t>
      </w:r>
      <w:r>
        <w:t xml:space="preserve"> </w:t>
      </w:r>
      <w:r>
        <w:t xml:space="preserve">In order to ensure coherence with other EU legislation, a revision of the CPR would clarify</w:t>
      </w:r>
      <w:r>
        <w:t xml:space="preserve"> </w:t>
      </w:r>
      <w:r>
        <w:t xml:space="preserve">its relationship with current rules as well as introduce clear collision rules for potential</w:t>
      </w:r>
      <w:r>
        <w:t xml:space="preserve"> </w:t>
      </w:r>
      <w:r>
        <w:t xml:space="preserve">future overlap.</w:t>
      </w:r>
      <w:r>
        <w:t xml:space="preserve"> </w:t>
      </w:r>
      <w:r>
        <w:t xml:space="preserve">Coherence with existing EU legislation would be ensured by making explicit the CPR’s</w:t>
      </w:r>
      <w:r>
        <w:t xml:space="preserve"> </w:t>
      </w:r>
      <w:r>
        <w:t xml:space="preserve">relationship to overlapping rules (e.g. REACH250 or the Waste Framework Directive251).</w:t>
      </w:r>
      <w:r>
        <w:t xml:space="preserve"> </w:t>
      </w:r>
      <w:r>
        <w:t xml:space="preserve">Additionally, a revised CPR would exclude certain construction products to prevent overlap (e.g. </w:t>
      </w:r>
    </w:p>
    <w:p>
      <w:pPr>
        <w:pStyle w:val="BodyText"/>
      </w:pPr>
      <w:r>
        <w:t xml:space="preserve">248 Regarding this issue: see also the possibility for Member States to exempt certain economic operators on a</w:t>
      </w:r>
      <w:r>
        <w:t xml:space="preserve"> </w:t>
      </w:r>
      <w:r>
        <w:t xml:space="preserve">national basis.</w:t>
      </w:r>
      <w:r>
        <w:t xml:space="preserve"> </w:t>
      </w:r>
      <w:r>
        <w:t xml:space="preserve">249 Regarding the regulatory issues raised by decentralised 3D-printing, see</w:t>
      </w:r>
      <w:r>
        <w:t xml:space="preserve"> </w:t>
      </w:r>
      <w:r>
        <w:t xml:space="preserve">https://www.howtoregulate.org/decentralized-3d-printing-a-regulatory-challenge/#more-23.</w:t>
      </w:r>
      <w:r>
        <w:t xml:space="preserve"> </w:t>
      </w:r>
      <w:r>
        <w:t xml:space="preserve">250 OJ L 396, 30.12.2006, p. 1–849 (https://eur-lex.europa.eu/legal-content/EN/TXT/?uri=CELEX:32008D0768).</w:t>
      </w:r>
      <w:r>
        <w:br/>
      </w:r>
      <w:r>
        <w:t xml:space="preserve">251 OJ L 312, 22.11.2008, p. 3–30 (https://eur-lex.europa.eu/legal-content/EN/TXT/?qid=1576749547065&amp;uri</w:t>
      </w:r>
      <w:r>
        <w:t xml:space="preserve"> </w:t>
      </w:r>
      <w:r>
        <w:t xml:space="preserve">=CELEX:32008L0098).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in relation to the Drinking Water Directive252). For other legislation (e.g. the Energy Labelling</w:t>
      </w:r>
      <w:r>
        <w:t xml:space="preserve"> </w:t>
      </w:r>
      <w:r>
        <w:t xml:space="preserve">Directive253 and the Ecodesign implementing regulations254), coherence would be ensured at the</w:t>
      </w:r>
      <w:r>
        <w:t xml:space="preserve"> </w:t>
      </w:r>
      <w:r>
        <w:t xml:space="preserve">level of tailor-made Harmonised Technical Specifications that cover all aspects amongst those</w:t>
      </w:r>
      <w:r>
        <w:t xml:space="preserve"> </w:t>
      </w:r>
      <w:r>
        <w:t xml:space="preserve">that are not governed by the other legal instrument (“Harmonised Technical Specifications” in</w:t>
      </w:r>
      <w:r>
        <w:t xml:space="preserve"> </w:t>
      </w:r>
      <w:r>
        <w:t xml:space="preserve">this document shall be understood as harmonised standards cited in the Official Journal, or</w:t>
      </w:r>
      <w:r>
        <w:t xml:space="preserve"> </w:t>
      </w:r>
      <w:r>
        <w:t xml:space="preserve">Implementing or Delegated Acts that contain technical specifications).</w:t>
      </w:r>
      <w:r>
        <w:br/>
      </w:r>
      <w:r>
        <w:t xml:space="preserve">In anticipation of the expected increase in energy efficiency, environment, health and consumer</w:t>
      </w:r>
      <w:r>
        <w:t xml:space="preserve"> </w:t>
      </w:r>
      <w:r>
        <w:t xml:space="preserve">protection rules, a revised CPR would also include provisions governing the CPR relationship</w:t>
      </w:r>
      <w:r>
        <w:t xml:space="preserve"> </w:t>
      </w:r>
      <w:r>
        <w:t xml:space="preserve">with such future rules.</w:t>
      </w:r>
      <w:r>
        <w:br/>
      </w:r>
      <w:r>
        <w:t xml:space="preserve">Addressing environmental aspects of construction products (BWR7)</w:t>
      </w:r>
      <w:r>
        <w:t xml:space="preserve"> </w:t>
      </w:r>
      <w:r>
        <w:t xml:space="preserve">A revised CPR would speed up the operationalisation of environmental aspects by</w:t>
      </w:r>
      <w:r>
        <w:t xml:space="preserve"> </w:t>
      </w:r>
      <w:r>
        <w:t xml:space="preserve">introducing a harmonised method for assessing and communicating construction products’</w:t>
      </w:r>
      <w:r>
        <w:t xml:space="preserve"> </w:t>
      </w:r>
      <w:r>
        <w:t xml:space="preserve">environmental performance.</w:t>
      </w:r>
      <w:r>
        <w:t xml:space="preserve"> </w:t>
      </w:r>
      <w:r>
        <w:t xml:space="preserve">Amid increasing environmental concern, Member States are likely to increasingly implement</w:t>
      </w:r>
      <w:r>
        <w:t xml:space="preserve"> </w:t>
      </w:r>
      <w:r>
        <w:t xml:space="preserve">national legislation on how to assess the environmental footprint of construction works and thus</w:t>
      </w:r>
      <w:r>
        <w:t xml:space="preserve"> </w:t>
      </w:r>
      <w:r>
        <w:t xml:space="preserve">implicitly also construction products. As a result, diverging approaches could weaken the</w:t>
      </w:r>
      <w:r>
        <w:t xml:space="preserve"> </w:t>
      </w:r>
      <w:r>
        <w:t xml:space="preserve">internal market. A revised CPR would therefore provide a harmonised method for assessing and</w:t>
      </w:r>
      <w:r>
        <w:t xml:space="preserve"> </w:t>
      </w:r>
      <w:r>
        <w:t xml:space="preserve">communicating the environmental performance of construction products. This would take place</w:t>
      </w:r>
      <w:r>
        <w:t xml:space="preserve"> </w:t>
      </w:r>
      <w:r>
        <w:t xml:space="preserve">in full coherence with the horizontal approach regarding the environmental assessment of</w:t>
      </w:r>
      <w:r>
        <w:t xml:space="preserve"> </w:t>
      </w:r>
      <w:r>
        <w:t xml:space="preserve">products, currently under development at EU level. First, Annex I would be amended to include</w:t>
      </w:r>
      <w:r>
        <w:t xml:space="preserve"> </w:t>
      </w:r>
      <w:r>
        <w:t xml:space="preserve">all relevant environmental aspects in Basic Work Requirement 7255. Second, the CPR would</w:t>
      </w:r>
      <w:r>
        <w:t xml:space="preserve"> </w:t>
      </w:r>
      <w:r>
        <w:t xml:space="preserve">prescribe the general principles of a harmonised method for assessing and communicating</w:t>
      </w:r>
      <w:r>
        <w:t xml:space="preserve"> </w:t>
      </w:r>
      <w:r>
        <w:t xml:space="preserve">construction products’ performance in relation to those aspects; the method itself would be laid</w:t>
      </w:r>
      <w:r>
        <w:t xml:space="preserve"> </w:t>
      </w:r>
      <w:r>
        <w:t xml:space="preserve">down more precisely in a Commission act. The harmonised method would be based on an</w:t>
      </w:r>
      <w:r>
        <w:t xml:space="preserve"> </w:t>
      </w:r>
      <w:r>
        <w:t xml:space="preserve">existing Life Cycle Assessment method, such as the Commission’s Product Environmental</w:t>
      </w:r>
      <w:r>
        <w:t xml:space="preserve"> </w:t>
      </w:r>
      <w:r>
        <w:t xml:space="preserve">Footprint256 or EN 15804, and provide for the development of harmonised Product Category</w:t>
      </w:r>
      <w:r>
        <w:t xml:space="preserve"> </w:t>
      </w:r>
      <w:r>
        <w:t xml:space="preserve">Rules and the use of common datasets in order to ensure fairness and comparability. Importantly,</w:t>
      </w:r>
      <w:r>
        <w:t xml:space="preserve"> </w:t>
      </w:r>
      <w:r>
        <w:t xml:space="preserve">a revised CPR would ensure that the resulting environmental data can be used in the assessment</w:t>
      </w:r>
      <w:r>
        <w:t xml:space="preserve"> </w:t>
      </w:r>
      <w:r>
        <w:t xml:space="preserve">of the environmental performances of buildings257.</w:t>
      </w:r>
      <w:r>
        <w:br/>
      </w:r>
      <w:r>
        <w:t xml:space="preserve">The supervision of the application of these very specific systems could be based on the current</w:t>
      </w:r>
      <w:r>
        <w:t xml:space="preserve"> </w:t>
      </w:r>
      <w:r>
        <w:t xml:space="preserve">Notified Bodies system which would ensure minimisation of burden. However, in view of</w:t>
      </w:r>
      <w:r>
        <w:t xml:space="preserve"> </w:t>
      </w:r>
      <w:r>
        <w:t xml:space="preserve">harmonising the assessment of environmental footprints across all product sectors and to</w:t>
      </w:r>
      <w:r>
        <w:t xml:space="preserve"> </w:t>
      </w:r>
      <w:r>
        <w:t xml:space="preserve">optimise assessment methods, there could also be a separate designation and supervision process</w:t>
      </w:r>
      <w:r>
        <w:t xml:space="preserve"> </w:t>
      </w:r>
      <w:r>
        <w:t xml:space="preserve">(see below under Supplementing Notified Bodies with special bodies in charge of BWR7).</w:t>
      </w:r>
    </w:p>
    <w:p>
      <w:pPr>
        <w:pStyle w:val="BodyText"/>
      </w:pPr>
      <w:r>
        <w:t xml:space="preserve">252 OJ L 330, 5.12.1998, p. 32–54 (https://eur-lex.europa.eu/legal-content/EN/TXT/?uri=CELEX:31998L0083).</w:t>
      </w:r>
      <w:r>
        <w:br/>
      </w:r>
      <w:r>
        <w:t xml:space="preserve">253 OJ L 198, 28.7.2017, p. 1–23 (https://eur-lex.europa.eu/legal-content/EN/TXT/?uri=celex:32017R1369).</w:t>
      </w:r>
      <w:r>
        <w:br/>
      </w:r>
      <w:r>
        <w:t xml:space="preserve">254 OJ L 285, 31.10.2009, p. 10–35 (https://eur-lex.europa.eu/legal-content/EN/TXT/?uri=CELEX:32009L0125), a</w:t>
      </w:r>
      <w:r>
        <w:t xml:space="preserve"> </w:t>
      </w:r>
      <w:r>
        <w:t xml:space="preserve">list of implementing regulations can be found here: https://ec.europa.eu/growth/single-market/european-</w:t>
      </w:r>
      <w:r>
        <w:t xml:space="preserve"> </w:t>
      </w:r>
      <w:r>
        <w:t xml:space="preserve">standards/harmonised-standards/ecodesign_en.</w:t>
      </w:r>
      <w:r>
        <w:br/>
      </w:r>
      <w:r>
        <w:t xml:space="preserve">255 One might regard some environmental aspects as nowadays being covered in BWR 3 and 6 instead of 7. This</w:t>
      </w:r>
      <w:r>
        <w:t xml:space="preserve"> </w:t>
      </w:r>
      <w:r>
        <w:t xml:space="preserve">makes the regulatory management difficult.</w:t>
      </w:r>
      <w:r>
        <w:t xml:space="preserve"> </w:t>
      </w:r>
      <w:r>
        <w:t xml:space="preserve">256 Accessible at https://eur-lex.europa.eu/legal-content/EN/TXT/PDF/?uri=CELEX:32013H0179&amp;from=EN (for</w:t>
      </w:r>
      <w:r>
        <w:t xml:space="preserve"> </w:t>
      </w:r>
      <w:r>
        <w:t xml:space="preserve">proposed updates see https://eplca.jrc.ec.europa.eu/permalink/PEF_method.pdf).</w:t>
      </w:r>
      <w:r>
        <w:br/>
      </w:r>
      <w:r>
        <w:t xml:space="preserve">257 Council of the European Union, Conclusions on Circular Economy in the Construction Sector, 28 November</w:t>
      </w:r>
      <w:r>
        <w:t xml:space="preserve"> </w:t>
      </w:r>
      <w:r>
        <w:t xml:space="preserve">2019, Doc. 14653/19, n9.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Measures directly supporting the reduction of environmental impacts of construction, such as</w:t>
      </w:r>
      <w:r>
        <w:t xml:space="preserve"> </w:t>
      </w:r>
      <w:r>
        <w:t xml:space="preserve">funding the research and development of more sustainable construction products or the creation</w:t>
      </w:r>
      <w:r>
        <w:t xml:space="preserve"> </w:t>
      </w:r>
      <w:r>
        <w:t xml:space="preserve">of incentives to limit the surplus of construction products, as suggested by Member States258, are</w:t>
      </w:r>
      <w:r>
        <w:t xml:space="preserve"> </w:t>
      </w:r>
      <w:r>
        <w:t xml:space="preserve">beyond the remit of the CPR. As mentioned below, the CPR could contribute indirectly through</w:t>
      </w:r>
      <w:r>
        <w:t xml:space="preserve"> </w:t>
      </w:r>
      <w:r>
        <w:t xml:space="preserve">facilitation of the use of certain recycled or used construction products by allowing them to be</w:t>
      </w:r>
      <w:r>
        <w:t xml:space="preserve"> </w:t>
      </w:r>
      <w:r>
        <w:t xml:space="preserve">CE marked. It will also contribute to the transparency of the market by facilitating the</w:t>
      </w:r>
      <w:r>
        <w:t xml:space="preserve"> </w:t>
      </w:r>
      <w:r>
        <w:t xml:space="preserve">comparability of construction products based on their environmental impacts.</w:t>
      </w:r>
      <w:r>
        <w:br/>
      </w:r>
      <w:r>
        <w:t xml:space="preserve">Promoting circularity of construction products</w:t>
      </w:r>
      <w:r>
        <w:br/>
      </w:r>
      <w:r>
        <w:t xml:space="preserve">In order to promote the circular economy, the CPR would support the placing on the</w:t>
      </w:r>
      <w:r>
        <w:t xml:space="preserve"> </w:t>
      </w:r>
      <w:r>
        <w:t xml:space="preserve">market of certain used or used and remanufactured construction products. However,</w:t>
      </w:r>
      <w:r>
        <w:t xml:space="preserve"> </w:t>
      </w:r>
      <w:r>
        <w:t xml:space="preserve">several aspects of the CPR would need to be adapted. In addition, the issue of trans-</w:t>
      </w:r>
      <w:r>
        <w:t xml:space="preserve"> </w:t>
      </w:r>
      <w:r>
        <w:t xml:space="preserve">generational availability of product data needs to be tackled. Finally, the CPR might</w:t>
      </w:r>
      <w:r>
        <w:t xml:space="preserve"> </w:t>
      </w:r>
      <w:r>
        <w:t xml:space="preserve">contain a series of provisions reflecting the Circular Economy Action Plan and the</w:t>
      </w:r>
      <w:r>
        <w:t xml:space="preserve"> </w:t>
      </w:r>
      <w:r>
        <w:t xml:space="preserve">European Green Deal.</w:t>
      </w:r>
    </w:p>
    <w:p>
      <w:pPr>
        <w:pStyle w:val="BodyText"/>
      </w:pPr>
      <w:r>
        <w:t xml:space="preserve">The revised CPR might cover certain construction products which were used and remanufactured</w:t>
      </w:r>
      <w:r>
        <w:t xml:space="preserve"> </w:t>
      </w:r>
      <w:r>
        <w:t xml:space="preserve">or just used but newly made available on the market, allowing such products to obtain CE</w:t>
      </w:r>
      <w:r>
        <w:t xml:space="preserve"> </w:t>
      </w:r>
      <w:r>
        <w:t xml:space="preserve">marking and gain access to the European market. We speak here of “remanufacturing” to cover</w:t>
      </w:r>
      <w:r>
        <w:t xml:space="preserve"> </w:t>
      </w:r>
      <w:r>
        <w:t xml:space="preserve">processes like cleaning, cutting-off of damaged parts and new coating because the term</w:t>
      </w:r>
      <w:r>
        <w:t xml:space="preserve"> </w:t>
      </w:r>
      <w:r>
        <w:t xml:space="preserve">“recycling” in the meaning of the Waste Framework Directive is limited to items which have</w:t>
      </w:r>
      <w:r>
        <w:t xml:space="preserve"> </w:t>
      </w:r>
      <w:r>
        <w:t xml:space="preserve">become waste in the first place, whilst the regulatory approach of the CPR would be different,</w:t>
      </w:r>
      <w:r>
        <w:t xml:space="preserve"> </w:t>
      </w:r>
      <w:r>
        <w:t xml:space="preserve">aiming at used construction products to undergo a process before they become waste259. The</w:t>
      </w:r>
      <w:r>
        <w:t xml:space="preserve"> </w:t>
      </w:r>
      <w:r>
        <w:t xml:space="preserve">purpose would be to promote re-use, in particular to reduce construction products’ climate and</w:t>
      </w:r>
      <w:r>
        <w:t xml:space="preserve"> </w:t>
      </w:r>
      <w:r>
        <w:t xml:space="preserve">other environmental impacts. These goals cannot be pursued without limiting obligations for the</w:t>
      </w:r>
      <w:r>
        <w:t xml:space="preserve"> </w:t>
      </w:r>
      <w:r>
        <w:t xml:space="preserve">relevant economic operators (when compared to the original manufacturer). This could often</w:t>
      </w:r>
      <w:r>
        <w:t xml:space="preserve"> </w:t>
      </w:r>
      <w:r>
        <w:t xml:space="preserve">lead to a marginal loss in terms of safety when compared to new products. If the legislators</w:t>
      </w:r>
      <w:r>
        <w:t xml:space="preserve"> </w:t>
      </w:r>
      <w:r>
        <w:t xml:space="preserve">oppose this approach, a revised CPR might only define a gold standard for certain used or</w:t>
      </w:r>
      <w:r>
        <w:t xml:space="preserve"> </w:t>
      </w:r>
      <w:r>
        <w:t xml:space="preserve">remanufactured construction products permitting free circulation of these (at the end of the day</w:t>
      </w:r>
      <w:r>
        <w:t xml:space="preserve"> </w:t>
      </w:r>
      <w:r>
        <w:t xml:space="preserve">very few) products and empower Member States to regulate on all other products not fulfilling</w:t>
      </w:r>
      <w:r>
        <w:t xml:space="preserve"> </w:t>
      </w:r>
      <w:r>
        <w:t xml:space="preserve">the gold standard. Member States would then be empowered and invited to decide on the best</w:t>
      </w:r>
      <w:r>
        <w:t xml:space="preserve"> </w:t>
      </w:r>
      <w:r>
        <w:t xml:space="preserve">domestic trade-off between two not fully compatible goals: promoting re-use on one hand and</w:t>
      </w:r>
      <w:r>
        <w:t xml:space="preserve"> </w:t>
      </w:r>
      <w:r>
        <w:t xml:space="preserve">preserving full safety as for new products. They would most likely make different choices,</w:t>
      </w:r>
      <w:r>
        <w:t xml:space="preserve"> </w:t>
      </w:r>
      <w:r>
        <w:t xml:space="preserve">adapted to their domestic balancing of interests.</w:t>
      </w:r>
      <w:r>
        <w:t xml:space="preserve"> </w:t>
      </w:r>
      <w:r>
        <w:t xml:space="preserve">Used construction products will have to be treated slightly different in terms of CE marking,</w:t>
      </w:r>
      <w:r>
        <w:t xml:space="preserve"> </w:t>
      </w:r>
      <w:r>
        <w:t xml:space="preserve">declaration of performance, performance assessment and certain other obligations of economic</w:t>
      </w:r>
      <w:r>
        <w:t xml:space="preserve"> </w:t>
      </w:r>
      <w:r>
        <w:t xml:space="preserve">operators. Maybe, the original manufacturer should remain responsible to some extent, e.g. with</w:t>
      </w:r>
      <w:r>
        <w:t xml:space="preserve"> </w:t>
      </w:r>
      <w:r>
        <w:t xml:space="preserve">regard to information that only he can provide, whilst overlapping responsibility fields of</w:t>
      </w:r>
      <w:r>
        <w:t xml:space="preserve"> </w:t>
      </w:r>
      <w:r>
        <w:t xml:space="preserve">different economic operators have to be avoided.</w:t>
      </w:r>
      <w:r>
        <w:t xml:space="preserve"> </w:t>
      </w:r>
      <w:r>
        <w:t xml:space="preserve">Given the likely enhanced longevity of construction products, re-use and remanufacturing will</w:t>
      </w:r>
      <w:r>
        <w:t xml:space="preserve"> </w:t>
      </w:r>
      <w:r>
        <w:t xml:space="preserve">depend to a large extent on the trans-generational availability of product data. The establishment</w:t>
      </w:r>
      <w:r>
        <w:t xml:space="preserve"> </w:t>
      </w:r>
      <w:r>
        <w:t xml:space="preserve">of a public database is the classic response to such a situation. However, alternatives have to be</w:t>
      </w:r>
    </w:p>
    <w:p>
      <w:pPr>
        <w:pStyle w:val="BodyText"/>
      </w:pPr>
      <w:r>
        <w:t xml:space="preserve">258 Ibid., n7.</w:t>
      </w:r>
      <w:r>
        <w:t xml:space="preserve"> </w:t>
      </w:r>
      <w:r>
        <w:t xml:space="preserve">259 See Article 3(17) of the Waste Framework Directive, OJ L 312, 22.11.2008, p. 3–30 (https://eur-</w:t>
      </w:r>
      <w:r>
        <w:t xml:space="preserve"> </w:t>
      </w:r>
      <w:r>
        <w:t xml:space="preserve">lex.europa.eu/legal-content/EN/TXT/?uri=CELEX:32008L0098)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investigated. High market value IT companies are likely to be subject to mergers and</w:t>
      </w:r>
      <w:r>
        <w:t xml:space="preserve"> </w:t>
      </w:r>
      <w:r>
        <w:t xml:space="preserve">acquisitions, but not disappearance. Hence, a multi-generational public tender might be a suitable</w:t>
      </w:r>
      <w:r>
        <w:t xml:space="preserve"> </w:t>
      </w:r>
      <w:r>
        <w:t xml:space="preserve">alternative to the not always efficient process of setting up a public database. Alternatively, a</w:t>
      </w:r>
      <w:r>
        <w:t xml:space="preserve"> </w:t>
      </w:r>
      <w:r>
        <w:t xml:space="preserve">tender could be launched every 5 years, with the running contract to be automatically renewed in</w:t>
      </w:r>
      <w:r>
        <w:t xml:space="preserve"> </w:t>
      </w:r>
      <w:r>
        <w:t xml:space="preserve">case no competitor makes a potentially better offer.</w:t>
      </w:r>
      <w:r>
        <w:t xml:space="preserve"> </w:t>
      </w:r>
      <w:r>
        <w:t xml:space="preserve">In addition, the recently published Circular Economy Action Plan260 and European Green Deal261</w:t>
      </w:r>
      <w:r>
        <w:t xml:space="preserve"> </w:t>
      </w:r>
      <w:r>
        <w:t xml:space="preserve">foresee a comprehensive change of our economy. In the next months and years, there will be a</w:t>
      </w:r>
      <w:r>
        <w:t xml:space="preserve"> </w:t>
      </w:r>
      <w:r>
        <w:t xml:space="preserve">discussion on which measures shall be taken across all sectors. It might not be ideal for</w:t>
      </w:r>
      <w:r>
        <w:t xml:space="preserve"> </w:t>
      </w:r>
      <w:r>
        <w:t xml:space="preserve">construction products to be covered by horizontal regulation as horizontal regulation can hardly</w:t>
      </w:r>
      <w:r>
        <w:t xml:space="preserve"> </w:t>
      </w:r>
      <w:r>
        <w:t xml:space="preserve">be fine-tuned to construction products and might trigger overlapping and partly conflicting</w:t>
      </w:r>
      <w:r>
        <w:t xml:space="preserve"> </w:t>
      </w:r>
      <w:r>
        <w:t xml:space="preserve">obligations. Hence, it is to be considered to which extent the CPR can and should foresee</w:t>
      </w:r>
      <w:r>
        <w:t xml:space="preserve"> </w:t>
      </w:r>
      <w:r>
        <w:t xml:space="preserve">measures applying the policies of the Circular Economy Action Plan and the European Green</w:t>
      </w:r>
      <w:r>
        <w:t xml:space="preserve"> </w:t>
      </w:r>
      <w:r>
        <w:t xml:space="preserve">Deal to construction products. Measures to be considered in this context, as applicable to</w:t>
      </w:r>
      <w:r>
        <w:t xml:space="preserve"> </w:t>
      </w:r>
      <w:r>
        <w:t xml:space="preserve">individual construction products and taking into account safety aspects, might notably include:</w:t>
      </w:r>
      <w:r>
        <w:t xml:space="preserve"> </w:t>
      </w:r>
      <w:r>
        <w:t xml:space="preserve"> The obligation to take back construction products which, after delivery onto the construction</w:t>
      </w:r>
      <w:r>
        <w:t xml:space="preserve"> </w:t>
      </w:r>
      <w:r>
        <w:t xml:space="preserve">site, have not been used262;</w:t>
      </w:r>
      <w:r>
        <w:t xml:space="preserve"> </w:t>
      </w:r>
      <w:r>
        <w:t xml:space="preserve"> conformity assessment or other procedural privileges for construction products which are</w:t>
      </w:r>
      <w:r>
        <w:t xml:space="preserve"> </w:t>
      </w:r>
      <w:r>
        <w:t xml:space="preserve">based on recycled materials, typically derived from a previous construction product which</w:t>
      </w:r>
      <w:r>
        <w:t xml:space="preserve"> </w:t>
      </w:r>
      <w:r>
        <w:t xml:space="preserve">has become waste;</w:t>
      </w:r>
      <w:r>
        <w:t xml:space="preserve"> </w:t>
      </w:r>
      <w:r>
        <w:t xml:space="preserve"> minimum recycled content quota; or</w:t>
      </w:r>
      <w:r>
        <w:t xml:space="preserve"> </w:t>
      </w:r>
      <w:r>
        <w:t xml:space="preserve"> the obligation to give preference to recycled materials where possible;</w:t>
      </w:r>
      <w:r>
        <w:t xml:space="preserve"> </w:t>
      </w:r>
      <w:r>
        <w:t xml:space="preserve"> the obligation to give preference to materials with a low overall environmental footprint,</w:t>
      </w:r>
      <w:r>
        <w:t xml:space="preserve"> </w:t>
      </w:r>
      <w:r>
        <w:t xml:space="preserve">unless a higher environmental footprint is later overcompensated at the building level;</w:t>
      </w:r>
      <w:r>
        <w:t xml:space="preserve"> </w:t>
      </w:r>
      <w:r>
        <w:t xml:space="preserve"> the obligation to refrain from premature obsolescence;</w:t>
      </w:r>
      <w:r>
        <w:t xml:space="preserve"> </w:t>
      </w:r>
      <w:r>
        <w:t xml:space="preserve"> the obligation to reach state-of-the-art durability; and</w:t>
      </w:r>
      <w:r>
        <w:t xml:space="preserve"> </w:t>
      </w:r>
      <w:r>
        <w:t xml:space="preserve"> the obligation to facilitate repair, re-use, remanufacturing and recycling by appropriate</w:t>
      </w:r>
      <w:r>
        <w:t xml:space="preserve"> </w:t>
      </w:r>
      <w:r>
        <w:t xml:space="preserve">design, information and, for repair, accessibility of spare parts.</w:t>
      </w:r>
      <w:r>
        <w:t xml:space="preserve"> </w:t>
      </w:r>
      <w:r>
        <w:t xml:space="preserve">These measures describe only the frame in which the discussion will take place. Not all these</w:t>
      </w:r>
      <w:r>
        <w:t xml:space="preserve"> </w:t>
      </w:r>
      <w:r>
        <w:t xml:space="preserve">measures will be taken, the more so as hardly any of them is applicable to all construction</w:t>
      </w:r>
      <w:r>
        <w:t xml:space="preserve"> </w:t>
      </w:r>
      <w:r>
        <w:t xml:space="preserve">products.</w:t>
      </w:r>
      <w:r>
        <w:t xml:space="preserve"> </w:t>
      </w:r>
      <w:r>
        <w:t xml:space="preserve">Furthermore, a Sustainable Product Policy Initiative has been announced under the umbrella of</w:t>
      </w:r>
      <w:r>
        <w:t xml:space="preserve"> </w:t>
      </w:r>
      <w:r>
        <w:t xml:space="preserve">the European Green Deal and the Circular Economy Action Plan. The core of this legislative</w:t>
      </w:r>
      <w:r>
        <w:t xml:space="preserve"> </w:t>
      </w:r>
      <w:r>
        <w:t xml:space="preserve">initiative will be to widen the Ecodesign Directive beyond energy related products so as to make</w:t>
      </w:r>
      <w:r>
        <w:t xml:space="preserve"> </w:t>
      </w:r>
      <w:r>
        <w:t xml:space="preserve">the Ecodesign Framework applicable to the broadest possible range of products and make it</w:t>
      </w:r>
      <w:r>
        <w:t xml:space="preserve"> </w:t>
      </w:r>
      <w:r>
        <w:t xml:space="preserve">deliver on circularity. As construction products would potentially fall within the scope of this</w:t>
      </w:r>
      <w:r>
        <w:t xml:space="preserve"> </w:t>
      </w:r>
      <w:r>
        <w:t xml:space="preserve">future initiative, there could be multiple interactions between the horizontal policy, its concretion</w:t>
      </w:r>
      <w:r>
        <w:t xml:space="preserve"> </w:t>
      </w:r>
      <w:r>
        <w:t xml:space="preserve">within the CPR and the many other elements of the CPR directly or indirectly aiming to enhance</w:t>
      </w:r>
      <w:r>
        <w:t xml:space="preserve"> </w:t>
      </w:r>
      <w:r>
        <w:t xml:space="preserve">the sustainability of the construction products. It even cannot be excluded that the listed</w:t>
      </w:r>
    </w:p>
    <w:p>
      <w:pPr>
        <w:pStyle w:val="BodyText"/>
      </w:pPr>
      <w:r>
        <w:t xml:space="preserve">260 Available at: https://eur-lex.europa.eu/legal-content/EN/TXT/?qid=1583933814386&amp;uri=COM:2020:98:FIN.</w:t>
      </w:r>
      <w:r>
        <w:br/>
      </w:r>
      <w:r>
        <w:t xml:space="preserve">261 Available at: https://ec.europa.eu/info/sites/info/files/european-green-deal-communication_en.pdf.</w:t>
      </w:r>
      <w:r>
        <w:br/>
      </w:r>
      <w:r>
        <w:t xml:space="preserve">262 This could be economically interesting for both sides if the manufacturer reimburses the transportation costs,</w:t>
      </w:r>
      <w:r>
        <w:t xml:space="preserve"> </w:t>
      </w:r>
      <w:r>
        <w:t xml:space="preserve">capped by his own manufacturing costs, whilst the dumping of the not used construction product would be costly,</w:t>
      </w:r>
      <w:r>
        <w:t xml:space="preserve"> </w:t>
      </w:r>
      <w:r>
        <w:t xml:space="preserve">due to national law.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measures will mostly be laid down in the horizontal framework. In the latter case, defining a</w:t>
      </w:r>
      <w:r>
        <w:t xml:space="preserve"> </w:t>
      </w:r>
      <w:r>
        <w:t xml:space="preserve">clear interface and avoiding duplications will be paramount.</w:t>
      </w:r>
      <w:r>
        <w:br/>
      </w:r>
      <w:r>
        <w:t xml:space="preserve">Finally, measures to promote the use of tools that could facilitate the recycling or reuse of</w:t>
      </w:r>
      <w:r>
        <w:t xml:space="preserve"> </w:t>
      </w:r>
      <w:r>
        <w:t xml:space="preserve">construction products, as suggested by Member States263, are, in so far as such tools apply to the</w:t>
      </w:r>
      <w:r>
        <w:t xml:space="preserve"> </w:t>
      </w:r>
      <w:r>
        <w:t xml:space="preserve">construction work or demolition level, beyond the remit of the CPR. E.g., both economic</w:t>
      </w:r>
      <w:r>
        <w:t xml:space="preserve"> </w:t>
      </w:r>
      <w:r>
        <w:t xml:space="preserve">operators who remanufacture used construction products and those who manufacture new</w:t>
      </w:r>
      <w:r>
        <w:t xml:space="preserve"> </w:t>
      </w:r>
      <w:r>
        <w:t xml:space="preserve">products on the basis of recycled (CP) materials need information about the previous use of the</w:t>
      </w:r>
      <w:r>
        <w:t xml:space="preserve"> </w:t>
      </w:r>
      <w:r>
        <w:t xml:space="preserve">products, at least so as to appropriately inform their own customers. The CPR revision could,</w:t>
      </w:r>
      <w:r>
        <w:t xml:space="preserve"> </w:t>
      </w:r>
      <w:r>
        <w:t xml:space="preserve">informally or in the form of a European Commission Recommendation, be accompanied by</w:t>
      </w:r>
      <w:r>
        <w:t xml:space="preserve"> </w:t>
      </w:r>
      <w:r>
        <w:t xml:space="preserve">some prototype national legal provisions that would generate the relevant data. This example</w:t>
      </w:r>
      <w:r>
        <w:t xml:space="preserve"> </w:t>
      </w:r>
      <w:r>
        <w:t xml:space="preserve">illustrates a general potential, still to be levied, which consists in developing finely imbricated</w:t>
      </w:r>
      <w:r>
        <w:t xml:space="preserve"> </w:t>
      </w:r>
      <w:r>
        <w:t xml:space="preserve">regulatory approaches both at the EU and the Member States’ level, to jointly pursue the</w:t>
      </w:r>
      <w:r>
        <w:t xml:space="preserve"> </w:t>
      </w:r>
      <w:r>
        <w:t xml:space="preserve">common goals.</w:t>
      </w:r>
    </w:p>
    <w:p>
      <w:pPr>
        <w:pStyle w:val="Compact"/>
        <w:numPr>
          <w:ilvl w:val="0"/>
          <w:numId w:val="1020"/>
        </w:numPr>
      </w:pPr>
      <w:r>
        <w:t xml:space="preserve">Harmonisation</w:t>
      </w:r>
      <w:r>
        <w:t xml:space="preserve"> </w:t>
      </w:r>
      <w:r>
        <w:t xml:space="preserve">Empowering the Commission to act against partial system failures</w:t>
      </w:r>
      <w:r>
        <w:br/>
      </w:r>
      <w:r>
        <w:t xml:space="preserve">The current situation where the Commission is not empowered to act against system</w:t>
      </w:r>
      <w:r>
        <w:t xml:space="preserve"> </w:t>
      </w:r>
      <w:r>
        <w:t xml:space="preserve">failures should be remedied. Therefore, a revised CPR would introduce a full range of</w:t>
      </w:r>
      <w:r>
        <w:t xml:space="preserve"> </w:t>
      </w:r>
      <w:r>
        <w:t xml:space="preserve">empowerments for Delegated and Implementing Acts.</w:t>
      </w:r>
      <w:r>
        <w:br/>
      </w:r>
      <w:r>
        <w:t xml:space="preserve">E.g., the situation today is that the legislator has empowered CEN and EOTA to adopt</w:t>
      </w:r>
      <w:r>
        <w:t xml:space="preserve"> </w:t>
      </w:r>
      <w:r>
        <w:t xml:space="preserve">Harmonised Technical Specifications, thus bodies outside the EU law legitimation chain, without</w:t>
      </w:r>
      <w:r>
        <w:t xml:space="preserve"> </w:t>
      </w:r>
      <w:r>
        <w:t xml:space="preserve">empowering the Commission in the first place. Thereby the CPR deviates crucially from the</w:t>
      </w:r>
      <w:r>
        <w:t xml:space="preserve"> </w:t>
      </w:r>
      <w:r>
        <w:t xml:space="preserve">standard pattern of EU legislation according to which the Commission is empowered in the first</w:t>
      </w:r>
      <w:r>
        <w:t xml:space="preserve"> </w:t>
      </w:r>
      <w:r>
        <w:t xml:space="preserve">place and outside bodies only in the second. In the light of the current breakdown of the</w:t>
      </w:r>
      <w:r>
        <w:t xml:space="preserve"> </w:t>
      </w:r>
      <w:r>
        <w:t xml:space="preserve">standardisation system under the CPR264, this unfortunate inversion merits revision, the more so</w:t>
      </w:r>
      <w:r>
        <w:t xml:space="preserve"> </w:t>
      </w:r>
      <w:r>
        <w:t xml:space="preserve">as the ECJ has in the meantime set up severe conditions for delegation of regulatory powers to</w:t>
      </w:r>
      <w:r>
        <w:t xml:space="preserve"> </w:t>
      </w:r>
      <w:r>
        <w:t xml:space="preserve">bodies not already mentioned in the Treaties.</w:t>
      </w:r>
      <w:r>
        <w:t xml:space="preserve"> </w:t>
      </w:r>
      <w:r>
        <w:t xml:space="preserve">But this is only an example of the past, whilst more system failures can emerge in the future. To</w:t>
      </w:r>
      <w:r>
        <w:t xml:space="preserve"> </w:t>
      </w:r>
      <w:r>
        <w:t xml:space="preserve">reduce the likelihood of another system breakdown, comprehensive empowerments to act against</w:t>
      </w:r>
      <w:r>
        <w:t xml:space="preserve"> </w:t>
      </w:r>
      <w:r>
        <w:t xml:space="preserve">system failures should be foreseen.</w:t>
      </w:r>
      <w:r>
        <w:br/>
      </w:r>
      <w:r>
        <w:t xml:space="preserve">Ensuring the comprehensiveness of the CPR’s Common Technical Language</w:t>
      </w:r>
      <w:r>
        <w:t xml:space="preserve"> </w:t>
      </w:r>
      <w:r>
        <w:t xml:space="preserve">Using its aforementioned empowerments to act against system failures, the Commission</w:t>
      </w:r>
      <w:r>
        <w:t xml:space="preserve"> </w:t>
      </w:r>
      <w:r>
        <w:t xml:space="preserve">would complement the Common Technical Language where needed. Furthermore, it might</w:t>
      </w:r>
      <w:r>
        <w:t xml:space="preserve"> </w:t>
      </w:r>
      <w:r>
        <w:t xml:space="preserve">become possible for other bodies than CEN to develop harmonised standards.</w:t>
      </w:r>
      <w:r>
        <w:t xml:space="preserve"> </w:t>
      </w:r>
      <w:r>
        <w:t xml:space="preserve">At least in cases where no harmonised standards exist or where these are insufficient265, the</w:t>
      </w:r>
      <w:r>
        <w:t xml:space="preserve"> </w:t>
      </w:r>
      <w:r>
        <w:t xml:space="preserve">Commission would be empowered to adopt Delegated or Implementing Acts in order to ensure</w:t>
      </w:r>
      <w:r>
        <w:t xml:space="preserve"> </w:t>
      </w:r>
      <w:r>
        <w:t xml:space="preserve">the availability of complete assessment methods and criteria for essential characteristics related</w:t>
      </w:r>
      <w:r>
        <w:t xml:space="preserve"> </w:t>
      </w:r>
      <w:r>
        <w:t xml:space="preserve">to the basic requirements for construction works listed in Annex I. Such acts would contain</w:t>
      </w:r>
      <w:r>
        <w:t xml:space="preserve"> </w:t>
      </w:r>
      <w:r>
        <w:t xml:space="preserve">Harmonised Technical Specifications or, where needed, normative references to existing</w:t>
      </w:r>
    </w:p>
    <w:p>
      <w:pPr>
        <w:pStyle w:val="FirstParagraph"/>
      </w:pPr>
      <w:r>
        <w:t xml:space="preserve">263 Council of the European Union, Conclusions on Circular Economy in the Construction Sector, 28 November</w:t>
      </w:r>
      <w:r>
        <w:t xml:space="preserve"> </w:t>
      </w:r>
      <w:r>
        <w:t xml:space="preserve">2019, Doc. 14653/19, n15 and n16.</w:t>
      </w:r>
      <w:r>
        <w:t xml:space="preserve"> </w:t>
      </w:r>
      <w:r>
        <w:t xml:space="preserve">264 For analysis and explanation, see the evaluation of the current CPR accessible at https://ec.europa.eu/docsr</w:t>
      </w:r>
      <w:r>
        <w:t xml:space="preserve"> </w:t>
      </w:r>
      <w:r>
        <w:t xml:space="preserve">oom/documents/37827 (especially pages 28-31).</w:t>
      </w:r>
      <w:r>
        <w:br/>
      </w:r>
      <w:r>
        <w:t xml:space="preserve">265 See e.g. the wording of Article 9(1) of Regulation (EU) 2017/745.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standards or other documents containing technical specifications (e.g. EADs). When formulating</w:t>
      </w:r>
      <w:r>
        <w:t xml:space="preserve"> </w:t>
      </w:r>
      <w:r>
        <w:t xml:space="preserve">technical specifications, the Commission would gather information from different actors,</w:t>
      </w:r>
      <w:r>
        <w:t xml:space="preserve"> </w:t>
      </w:r>
      <w:r>
        <w:t xml:space="preserve">including namely industry, depending on the products and characteristics under consideration</w:t>
      </w:r>
      <w:r>
        <w:t xml:space="preserve"> </w:t>
      </w:r>
      <w:r>
        <w:t xml:space="preserve">(e.g. CEN, private standardisation consortia, the Joint Research Centre, industry groups,</w:t>
      </w:r>
      <w:r>
        <w:t xml:space="preserve"> </w:t>
      </w:r>
      <w:r>
        <w:t xml:space="preserve">Technical Assessment Bodies or Regulatory Advancement Bodies266, Member States or groups</w:t>
      </w:r>
      <w:r>
        <w:t xml:space="preserve"> </w:t>
      </w:r>
      <w:r>
        <w:t xml:space="preserve">of Member States), and all this in addition to the already now mandatory consultation processes.</w:t>
      </w:r>
      <w:r>
        <w:t xml:space="preserve"> </w:t>
      </w:r>
      <w:r>
        <w:t xml:space="preserve">The governance mechanisms foreseen for the adoption of Delegated or Implementing Acts</w:t>
      </w:r>
      <w:r>
        <w:t xml:space="preserve"> </w:t>
      </w:r>
      <w:r>
        <w:t xml:space="preserve">would guarantee the control by Member States.</w:t>
      </w:r>
      <w:r>
        <w:t xml:space="preserve"> </w:t>
      </w:r>
      <w:r>
        <w:t xml:space="preserve">In addition to the development of technical content for Delegated or Implementing Acts, it is</w:t>
      </w:r>
      <w:r>
        <w:t xml:space="preserve"> </w:t>
      </w:r>
      <w:r>
        <w:t xml:space="preserve">conceivable that other organisations than CEN would be charged with developing harmonised</w:t>
      </w:r>
      <w:r>
        <w:t xml:space="preserve"> </w:t>
      </w:r>
      <w:r>
        <w:t xml:space="preserve">standards. Again we could think of private standardisation consortia, industry groups, Technical</w:t>
      </w:r>
      <w:r>
        <w:t xml:space="preserve"> </w:t>
      </w:r>
      <w:r>
        <w:t xml:space="preserve">Assessment Bodies or their successors, the Regulatory Advancement Bodies, but also Notified</w:t>
      </w:r>
      <w:r>
        <w:t xml:space="preserve"> </w:t>
      </w:r>
      <w:r>
        <w:t xml:space="preserve">Bodies or combinations of these actors. The harmonised standards’ path would thus be enlarged.</w:t>
      </w:r>
      <w:r>
        <w:t xml:space="preserve"> </w:t>
      </w:r>
      <w:r>
        <w:t xml:space="preserve">This would lead to a two-tier system of technical specifications, with Delegated or Implementing</w:t>
      </w:r>
      <w:r>
        <w:t xml:space="preserve"> </w:t>
      </w:r>
      <w:r>
        <w:t xml:space="preserve">Acts on top and harmonised standards below, the first overruling the second if needed.</w:t>
      </w:r>
    </w:p>
    <w:p>
      <w:pPr>
        <w:pStyle w:val="BodyText"/>
      </w:pPr>
      <w:r>
        <w:t xml:space="preserve">Allowing manufacturers to obtain preliminary CE marking</w:t>
      </w:r>
      <w:r>
        <w:br/>
      </w:r>
      <w:r>
        <w:t xml:space="preserve">Where a harmonised technical specification is in the pipeline, a revised CPR would allow</w:t>
      </w:r>
      <w:r>
        <w:t xml:space="preserve"> </w:t>
      </w:r>
      <w:r>
        <w:t xml:space="preserve">manufacturers to have their products assessed by a Regulatory Advancement Body in</w:t>
      </w:r>
      <w:r>
        <w:t xml:space="preserve"> </w:t>
      </w:r>
      <w:r>
        <w:t xml:space="preserve">order to obtain a preliminary right to CE mark their products. This option would replace</w:t>
      </w:r>
      <w:r>
        <w:t xml:space="preserve"> </w:t>
      </w:r>
      <w:r>
        <w:t xml:space="preserve">the current EOTA/TABs route.</w:t>
      </w:r>
    </w:p>
    <w:p>
      <w:pPr>
        <w:pStyle w:val="BodyText"/>
      </w:pPr>
      <w:r>
        <w:t xml:space="preserve">Assuming the Commission is empowered to ensure the completeness of the common technical</w:t>
      </w:r>
      <w:r>
        <w:t xml:space="preserve"> </w:t>
      </w:r>
      <w:r>
        <w:t xml:space="preserve">language, the current EOTA/TABs route will become less relevant. Moreover, the EOTA/TABs</w:t>
      </w:r>
      <w:r>
        <w:t xml:space="preserve"> </w:t>
      </w:r>
      <w:r>
        <w:t xml:space="preserve">route raises many systemic issues, the majority of which have been described in the EOTA</w:t>
      </w:r>
      <w:r>
        <w:t xml:space="preserve"> </w:t>
      </w:r>
      <w:r>
        <w:t xml:space="preserve">report267. To close the loophole in case of its deletion and to advance the development of new</w:t>
      </w:r>
      <w:r>
        <w:t xml:space="preserve"> </w:t>
      </w:r>
      <w:r>
        <w:t xml:space="preserve">harmonised technical specifications in particular for innovative products, the following</w:t>
      </w:r>
      <w:r>
        <w:t xml:space="preserve"> </w:t>
      </w:r>
      <w:r>
        <w:t xml:space="preserve">procedure could be foreseen. The TABs would be replaced by Regulatory Advancement Bodies</w:t>
      </w:r>
      <w:r>
        <w:t xml:space="preserve"> </w:t>
      </w:r>
      <w:r>
        <w:t xml:space="preserve">with the primary task to investigate the potential for new Harmonised Technical</w:t>
      </w:r>
      <w:r>
        <w:t xml:space="preserve"> </w:t>
      </w:r>
      <w:r>
        <w:t xml:space="preserve">Specifications268. Where the Commission assesses a draft Harmonised Technical Specification,</w:t>
      </w:r>
      <w:r>
        <w:t xml:space="preserve"> </w:t>
      </w:r>
      <w:r>
        <w:t xml:space="preserve">of which the technical content was elaborated by a Regulatory Advancement Body, as likely to</w:t>
      </w:r>
      <w:r>
        <w:t xml:space="preserve"> </w:t>
      </w:r>
      <w:r>
        <w:t xml:space="preserve">be cited as Harmonised Standard in the Official Journal or to be transformed into a Delegated or</w:t>
      </w:r>
      <w:r>
        <w:t xml:space="preserve"> </w:t>
      </w:r>
      <w:r>
        <w:t xml:space="preserve">Implementing Act within one year, this and other Regulatory Advancement Bodies would be</w:t>
      </w:r>
      <w:r>
        <w:t xml:space="preserve"> </w:t>
      </w:r>
      <w:r>
        <w:t xml:space="preserve">allowed to issue certificates confirming the performance and the conformity of a construction</w:t>
      </w:r>
      <w:r>
        <w:t xml:space="preserve"> </w:t>
      </w:r>
      <w:r>
        <w:t xml:space="preserve">product as requested in that draft Harmonised Technical Specification. The certificate would be</w:t>
      </w:r>
      <w:r>
        <w:t xml:space="preserve"> </w:t>
      </w:r>
      <w:r>
        <w:t xml:space="preserve">valid until the actual citation269 or publication270 takes effect or, if no citation / publication takes</w:t>
      </w:r>
      <w:r>
        <w:t xml:space="preserve"> </w:t>
      </w:r>
      <w:r>
        <w:t xml:space="preserve">place, for a maximum of 18 months. Once the certificate has been issued, a manufacturer could</w:t>
      </w:r>
      <w:r>
        <w:t xml:space="preserve"> </w:t>
      </w:r>
      <w:r>
        <w:t xml:space="preserve">affix the usual marking followed by the letters “(pr)” and the date of expiry to its products.</w:t>
      </w:r>
      <w:r>
        <w:br/>
      </w:r>
      <w:r>
        <w:t xml:space="preserve">Member States would be invited to designate Notified Bodies or authorities to fulfil the role of a</w:t>
      </w:r>
      <w:r>
        <w:t xml:space="preserve"> </w:t>
      </w:r>
      <w:r>
        <w:t xml:space="preserve">Regulatory Advancement Body. The current TABs would become obsolete.</w:t>
      </w:r>
    </w:p>
    <w:p>
      <w:pPr>
        <w:pStyle w:val="BodyText"/>
      </w:pPr>
      <w:r>
        <w:t xml:space="preserve">266 Replacing the TABs, see below under ’Allowing manufacturers to obtain preliminary CE marking.’</w:t>
      </w:r>
      <w:r>
        <w:br/>
      </w:r>
      <w:r>
        <w:t xml:space="preserve">267 Accessible at https://eur-lex.europa.eu/legal-content/EN/TXT/?qid=1571917158693&amp;uri=COM:2019:800:FIN</w:t>
      </w:r>
      <w:r>
        <w:t xml:space="preserve"> </w:t>
      </w:r>
      <w:r>
        <w:t xml:space="preserve">(COM/2019/800 final, 24.10.2019).</w:t>
      </w:r>
      <w:r>
        <w:t xml:space="preserve"> </w:t>
      </w:r>
      <w:r>
        <w:t xml:space="preserve">268 To be adopted either as Delegated or Implementing Act or as Harmonised Standard.</w:t>
      </w:r>
      <w:r>
        <w:t xml:space="preserve"> </w:t>
      </w:r>
      <w:r>
        <w:t xml:space="preserve">269 In case it becomes a harmonised standard.</w:t>
      </w:r>
      <w:r>
        <w:t xml:space="preserve"> </w:t>
      </w:r>
      <w:r>
        <w:t xml:space="preserve">270 In case of a Commission act.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Reducing the administrative burden for manufacturers</w:t>
      </w:r>
      <w:r>
        <w:t xml:space="preserve"> </w:t>
      </w:r>
      <w:r>
        <w:t xml:space="preserve">The CPR would strive to reduce the burden for manufacturers by offering simplification</w:t>
      </w:r>
      <w:r>
        <w:t xml:space="preserve"> </w:t>
      </w:r>
      <w:r>
        <w:t xml:space="preserve">measures, empowering Member States to exempt certain micro-enterprises from the scope</w:t>
      </w:r>
      <w:r>
        <w:t xml:space="preserve"> </w:t>
      </w:r>
      <w:r>
        <w:t xml:space="preserve">of the CPR, reducing overlap between CE marking and the Declaration of Performance,</w:t>
      </w:r>
      <w:r>
        <w:t xml:space="preserve"> </w:t>
      </w:r>
      <w:r>
        <w:t xml:space="preserve">and establishing empowerments for the Commission to define conditions for reducing or</w:t>
      </w:r>
      <w:r>
        <w:t xml:space="preserve"> </w:t>
      </w:r>
      <w:r>
        <w:t xml:space="preserve">lifting AVCP obligations in case of coverage by a liability insurance.</w:t>
      </w:r>
    </w:p>
    <w:p>
      <w:pPr>
        <w:pStyle w:val="BodyText"/>
      </w:pPr>
      <w:r>
        <w:t xml:space="preserve">In order to promote the uptake of simplification measures, current provisions could be</w:t>
      </w:r>
      <w:r>
        <w:t xml:space="preserve"> </w:t>
      </w:r>
      <w:r>
        <w:t xml:space="preserve">considered to be redrafted with a view to clarification, though feasibility has not yet been</w:t>
      </w:r>
      <w:r>
        <w:t xml:space="preserve"> </w:t>
      </w:r>
      <w:r>
        <w:t xml:space="preserve">completely ascertained. For example, a revised CPR might strive for a clearer difference between</w:t>
      </w:r>
      <w:r>
        <w:t xml:space="preserve"> </w:t>
      </w:r>
      <w:r>
        <w:t xml:space="preserve">Article 5 and 38, clarify the content of Article 37 and 38, notably by defining more clearly what</w:t>
      </w:r>
      <w:r>
        <w:t xml:space="preserve"> </w:t>
      </w:r>
      <w:r>
        <w:t xml:space="preserve">is understood as a ‘non-series process.’</w:t>
      </w:r>
      <w:r>
        <w:br/>
      </w:r>
      <w:r>
        <w:t xml:space="preserve">To further promote simplification, Member States will be offered the possibility to exclude from</w:t>
      </w:r>
      <w:r>
        <w:t xml:space="preserve"> </w:t>
      </w:r>
      <w:r>
        <w:t xml:space="preserve">the CPR’s scope enterprises, or at least SME or micro enterprises, individually producing</w:t>
      </w:r>
      <w:r>
        <w:t xml:space="preserve"> </w:t>
      </w:r>
      <w:r>
        <w:t xml:space="preserve">construction products meant for direct final installation under their own responsibility.</w:t>
      </w:r>
      <w:r>
        <w:t xml:space="preserve"> </w:t>
      </w:r>
      <w:r>
        <w:t xml:space="preserve">Alternatively, Member States could be allowed to exempt such enterprises from certain</w:t>
      </w:r>
      <w:r>
        <w:t xml:space="preserve"> </w:t>
      </w:r>
      <w:r>
        <w:t xml:space="preserve">conformity assessment obligations. There would be a size-limit: to ensure that such a provision</w:t>
      </w:r>
      <w:r>
        <w:t xml:space="preserve"> </w:t>
      </w:r>
      <w:r>
        <w:t xml:space="preserve">does not allow bigger manufacturers to circumvent their obligations, it would exclude cases</w:t>
      </w:r>
      <w:r>
        <w:t xml:space="preserve"> </w:t>
      </w:r>
      <w:r>
        <w:t xml:space="preserve">where individual production is based on materials provided by another economic operator who</w:t>
      </w:r>
      <w:r>
        <w:t xml:space="preserve"> </w:t>
      </w:r>
      <w:r>
        <w:t xml:space="preserve">manages a network of SMEs or craftsmen, e.g. under a franchising structure.</w:t>
      </w:r>
      <w:r>
        <w:br/>
      </w:r>
      <w:r>
        <w:t xml:space="preserve">To reduce the administrative burden for all manufacturers, a revised CPR would aim to eliminate</w:t>
      </w:r>
      <w:r>
        <w:t xml:space="preserve"> </w:t>
      </w:r>
      <w:r>
        <w:t xml:space="preserve">the current performance information overlap between the CE marking and the Declaration of</w:t>
      </w:r>
      <w:r>
        <w:t xml:space="preserve"> </w:t>
      </w:r>
      <w:r>
        <w:t xml:space="preserve">Performance. Moreover, all viable possibilities for digitisation will be used.</w:t>
      </w:r>
      <w:r>
        <w:t xml:space="preserve"> </w:t>
      </w:r>
      <w:r>
        <w:t xml:space="preserve">Finally, a revised CPR might contain an empowerment for the Commission to adopt Delegated</w:t>
      </w:r>
      <w:r>
        <w:t xml:space="preserve"> </w:t>
      </w:r>
      <w:r>
        <w:t xml:space="preserve">Acts determining conditions under which AVCP obligations can be reduced or lifted provided</w:t>
      </w:r>
      <w:r>
        <w:t xml:space="preserve"> </w:t>
      </w:r>
      <w:r>
        <w:t xml:space="preserve">that the manufacturer has concluded a liability insurance which is proportionate to the maximum</w:t>
      </w:r>
      <w:r>
        <w:t xml:space="preserve"> </w:t>
      </w:r>
      <w:r>
        <w:t xml:space="preserve">damages potentially caused by non-compliant or underperforming construction products. In</w:t>
      </w:r>
      <w:r>
        <w:t xml:space="preserve"> </w:t>
      </w:r>
      <w:r>
        <w:t xml:space="preserve">cases where risks are not minimal, the exemption from AVCP obligations can be made subject to</w:t>
      </w:r>
      <w:r>
        <w:t xml:space="preserve"> </w:t>
      </w:r>
      <w:r>
        <w:t xml:space="preserve">the application of a risk reduction scheme271 that is established by the insurance or an association</w:t>
      </w:r>
      <w:r>
        <w:t xml:space="preserve"> </w:t>
      </w:r>
      <w:r>
        <w:t xml:space="preserve">of insurances and verified by agents acting on behalf of the insurance.</w:t>
      </w:r>
    </w:p>
    <w:p>
      <w:pPr>
        <w:pStyle w:val="BodyText"/>
      </w:pPr>
      <w:r>
        <w:t xml:space="preserve">Improving access to Harmonised Technical Specifications</w:t>
      </w:r>
      <w:r>
        <w:br/>
      </w:r>
      <w:r>
        <w:t xml:space="preserve">The revised CPR would improve access to Technical Specifications by ensuring translation</w:t>
      </w:r>
      <w:r>
        <w:t xml:space="preserve"> </w:t>
      </w:r>
      <w:r>
        <w:t xml:space="preserve">into all official languages and free availability.</w:t>
      </w:r>
    </w:p>
    <w:p>
      <w:pPr>
        <w:pStyle w:val="BodyText"/>
      </w:pPr>
      <w:r>
        <w:t xml:space="preserve">Under the current CPR, accessing the content of harmonised standards is sometimes made</w:t>
      </w:r>
      <w:r>
        <w:t xml:space="preserve"> </w:t>
      </w:r>
      <w:r>
        <w:t xml:space="preserve">difficult or costly because they are not available in all official languages or because they are</w:t>
      </w:r>
      <w:r>
        <w:t xml:space="preserve"> </w:t>
      </w:r>
      <w:r>
        <w:t xml:space="preserve">subject to copyright protection. If, under the future CPR, the Commission adopts Harmonised</w:t>
      </w:r>
      <w:r>
        <w:t xml:space="preserve"> </w:t>
      </w:r>
      <w:r>
        <w:t xml:space="preserve">Technical Specifications by Delegated or Implementing Acts, such acts would have to be</w:t>
      </w:r>
      <w:r>
        <w:t xml:space="preserve"> </w:t>
      </w:r>
      <w:r>
        <w:t xml:space="preserve">translated into all official languages, as is the case for all Union acts. Moreover, their content</w:t>
      </w:r>
      <w:r>
        <w:t xml:space="preserve"> </w:t>
      </w:r>
      <w:r>
        <w:t xml:space="preserve">would be included in the Official Journal and would thus be freely available. Where Harmonised</w:t>
      </w:r>
    </w:p>
    <w:p>
      <w:pPr>
        <w:pStyle w:val="BodyText"/>
      </w:pPr>
      <w:r>
        <w:t xml:space="preserve">271 Covering both aspects of performance and aspects of inherent product safety.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Technical Specifications contain normative references to other documents, the revised CPR</w:t>
      </w:r>
      <w:r>
        <w:t xml:space="preserve"> </w:t>
      </w:r>
      <w:r>
        <w:t xml:space="preserve">would ensure that the pertinent content of the referenced documents is available in all languages</w:t>
      </w:r>
      <w:r>
        <w:t xml:space="preserve"> </w:t>
      </w:r>
      <w:r>
        <w:t xml:space="preserve">and free of charge.</w:t>
      </w:r>
      <w:r>
        <w:t xml:space="preserve"> </w:t>
      </w:r>
      <w:r>
        <w:t xml:space="preserve">3) Improving effectiveness</w:t>
      </w:r>
    </w:p>
    <w:p>
      <w:pPr>
        <w:pStyle w:val="BodyText"/>
      </w:pPr>
      <w:r>
        <w:t xml:space="preserve">Improving the use of the CPR’s non-conformity procedures</w:t>
      </w:r>
      <w:r>
        <w:t xml:space="preserve"> </w:t>
      </w:r>
      <w:r>
        <w:t xml:space="preserve">By redrafting Articles 56 to 59, a revised CPR would aim to dispel interpretative confusion</w:t>
      </w:r>
      <w:r>
        <w:t xml:space="preserve"> </w:t>
      </w:r>
      <w:r>
        <w:t xml:space="preserve">and facilitate the use of safeguard mechanisms, possibly even by creating a more</w:t>
      </w:r>
      <w:r>
        <w:t xml:space="preserve"> </w:t>
      </w:r>
      <w:r>
        <w:t xml:space="preserve">streamlined procedural sequence for the different steps to be taken.</w:t>
      </w:r>
      <w:r>
        <w:t xml:space="preserve"> </w:t>
      </w:r>
      <w:r>
        <w:t xml:space="preserve">In its current form, Article 56(1) requires for the launch of the procedure both the inaccuracy of a</w:t>
      </w:r>
      <w:r>
        <w:t xml:space="preserve"> </w:t>
      </w:r>
      <w:r>
        <w:t xml:space="preserve">product’s declared performance and a risk to health and safety. This overly restrictive wording</w:t>
      </w:r>
      <w:r>
        <w:t xml:space="preserve"> </w:t>
      </w:r>
      <w:r>
        <w:t xml:space="preserve">has led to the current situation where Article 56 is hardly used whilst Article 58 is not used at all.</w:t>
      </w:r>
      <w:r>
        <w:t xml:space="preserve"> </w:t>
      </w:r>
      <w:r>
        <w:t xml:space="preserve">Article 58 deals with construction products that achieve their declared performance but</w:t>
      </w:r>
      <w:r>
        <w:t xml:space="preserve"> </w:t>
      </w:r>
      <w:r>
        <w:t xml:space="preserve">nevertheless present a risk to health and safety. By removing the cumulative condition of a</w:t>
      </w:r>
      <w:r>
        <w:t xml:space="preserve"> </w:t>
      </w:r>
      <w:r>
        <w:t xml:space="preserve">product’s inherent safety and the accuracy of declared performance from Article 56(1), a revised</w:t>
      </w:r>
      <w:r>
        <w:t xml:space="preserve"> </w:t>
      </w:r>
      <w:r>
        <w:t xml:space="preserve">CPR would therefore aim to unlock the use of the procedures defined in both articles.</w:t>
      </w:r>
      <w:r>
        <w:br/>
      </w:r>
      <w:r>
        <w:t xml:space="preserve">Enhancing market surveillance</w:t>
      </w:r>
      <w:r>
        <w:t xml:space="preserve"> </w:t>
      </w:r>
      <w:r>
        <w:t xml:space="preserve">A revised CPR would enhance market surveillance by strengthening enforcement powers</w:t>
      </w:r>
      <w:r>
        <w:t xml:space="preserve"> </w:t>
      </w:r>
      <w:r>
        <w:t xml:space="preserve">and aligning the performance of different market surveillance authorities. For the fill list of</w:t>
      </w:r>
      <w:r>
        <w:t xml:space="preserve"> </w:t>
      </w:r>
      <w:r>
        <w:t xml:space="preserve">envisaged measures regarding market surveillance, see Annex II.</w:t>
      </w:r>
    </w:p>
    <w:p>
      <w:pPr>
        <w:pStyle w:val="BodyText"/>
      </w:pPr>
      <w:r>
        <w:t xml:space="preserve">The strengthening of enforcement powers would entail the introduction of appropriate sector-</w:t>
      </w:r>
      <w:r>
        <w:t xml:space="preserve"> </w:t>
      </w:r>
      <w:r>
        <w:t xml:space="preserve">specific provisions to supplement the horizontal provisions contained in Regulation (EU)</w:t>
      </w:r>
      <w:r>
        <w:t xml:space="preserve"> </w:t>
      </w:r>
      <w:r>
        <w:t xml:space="preserve">2019/1020 on market surveillance and compliance of products, which are already part of the</w:t>
      </w:r>
      <w:r>
        <w:t xml:space="preserve"> </w:t>
      </w:r>
      <w:r>
        <w:t xml:space="preserve">Baseline scenario (Option A). Such provisions would include stronger empowerments for market</w:t>
      </w:r>
      <w:r>
        <w:t xml:space="preserve"> </w:t>
      </w:r>
      <w:r>
        <w:t xml:space="preserve">surveillance authorities related to fact-finding (e.g. the right to confiscate samples or to seize</w:t>
      </w:r>
      <w:r>
        <w:t xml:space="preserve"> </w:t>
      </w:r>
      <w:r>
        <w:t xml:space="preserve">documents related to presumably non-compliant products) and possible punitive measures (e.g. </w:t>
      </w:r>
      <w:r>
        <w:t xml:space="preserve"> </w:t>
      </w:r>
      <w:r>
        <w:t xml:space="preserve">the right to impose financial sanctions or to exclude non-compliant operators from public</w:t>
      </w:r>
      <w:r>
        <w:t xml:space="preserve"> </w:t>
      </w:r>
      <w:r>
        <w:t xml:space="preserve">tenders). Special focus will be put on internet trade. Surveillance would be further enhanced by</w:t>
      </w:r>
      <w:r>
        <w:t xml:space="preserve"> </w:t>
      </w:r>
      <w:r>
        <w:t xml:space="preserve">allowing manufacturers to sue their competitors and by allowing consumer and environment</w:t>
      </w:r>
      <w:r>
        <w:t xml:space="preserve"> </w:t>
      </w:r>
      <w:r>
        <w:t xml:space="preserve">organisations to sue non-compliant operators, as well as by setting up a sector-specific EU-wide</w:t>
      </w:r>
      <w:r>
        <w:t xml:space="preserve"> </w:t>
      </w:r>
      <w:r>
        <w:t xml:space="preserve">whistle blowing portal and a Member State forum to discuss and follow up on external</w:t>
      </w:r>
      <w:r>
        <w:t xml:space="preserve"> </w:t>
      </w:r>
      <w:r>
        <w:t xml:space="preserve">complaints (using one of the fora provided for by Regulation 2019/1020 if possible272).</w:t>
      </w:r>
      <w:r>
        <w:br/>
      </w:r>
      <w:r>
        <w:t xml:space="preserve">Aligning the performance of different market surveillance authorities would entail the</w:t>
      </w:r>
      <w:r>
        <w:t xml:space="preserve"> </w:t>
      </w:r>
      <w:r>
        <w:t xml:space="preserve">introduction of absolute273 and parameter-based274 minimum benchmarks for Member State</w:t>
      </w:r>
      <w:r>
        <w:t xml:space="preserve"> </w:t>
      </w:r>
      <w:r>
        <w:t xml:space="preserve">authorities, for example in terms of the number of full-time equivalents dedicated to CPR-related</w:t>
      </w:r>
      <w:r>
        <w:t xml:space="preserve"> </w:t>
      </w:r>
      <w:r>
        <w:t xml:space="preserve">surveillance, as well as the introduction of procedures designed to ensure the proper performance</w:t>
      </w:r>
      <w:r>
        <w:t xml:space="preserve"> </w:t>
      </w:r>
      <w:r>
        <w:t xml:space="preserve">of market surveillance staff. To further improve alignment, appropriate and effective</w:t>
      </w:r>
      <w:r>
        <w:t xml:space="preserve"> </w:t>
      </w:r>
      <w:r>
        <w:t xml:space="preserve">mechanisms would be set up to allow for communication, coordination and cooperation between</w:t>
      </w:r>
    </w:p>
    <w:p>
      <w:pPr>
        <w:pStyle w:val="BodyText"/>
      </w:pPr>
      <w:r>
        <w:t xml:space="preserve">272 See Chapter VIII of Regulation 2019/2011, OJ L 169, 25.6.2019, p. 1–44 (accessible at https://eur-</w:t>
      </w:r>
      <w:r>
        <w:t xml:space="preserve"> </w:t>
      </w:r>
      <w:r>
        <w:t xml:space="preserve">lex.europa.eu/legal-content/EN/TXT/PDF/?uri=CELEX:32019R1020&amp;from=EN).</w:t>
      </w:r>
      <w:r>
        <w:br/>
      </w:r>
      <w:r>
        <w:t xml:space="preserve">273 Even the smallest Member State should have available three full-time equivalences for the enforcement of the</w:t>
      </w:r>
      <w:r>
        <w:t xml:space="preserve"> </w:t>
      </w:r>
      <w:r>
        <w:t xml:space="preserve">CPR.</w:t>
      </w:r>
      <w:r>
        <w:t xml:space="preserve"> </w:t>
      </w:r>
      <w:r>
        <w:t xml:space="preserve">274 Parameters could be the size of the market in terms of €, tonnes or numbers of products sold, inhabitants etc.</w:t>
      </w:r>
      <w:r>
        <w:t xml:space="preserve"> </w:t>
      </w:r>
      <w:r>
        <w:t xml:space="preserve">Evidently, these parameters can be combined.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market surveillance authorities and to make them even mandatory, in particular where this is</w:t>
      </w:r>
      <w:r>
        <w:t xml:space="preserve"> </w:t>
      </w:r>
      <w:r>
        <w:t xml:space="preserve">necessary to align decision-making practice, see Annex I.</w:t>
      </w:r>
      <w:r>
        <w:t xml:space="preserve"> </w:t>
      </w:r>
      <w:r>
        <w:t xml:space="preserve">Improving the efficacy of Notified Bodies</w:t>
      </w:r>
    </w:p>
    <w:p>
      <w:pPr>
        <w:pStyle w:val="BodyText"/>
      </w:pPr>
      <w:r>
        <w:t xml:space="preserve">A revised CPR would improve the efficacy of Notified Bodies by strengthening the</w:t>
      </w:r>
      <w:r>
        <w:t xml:space="preserve"> </w:t>
      </w:r>
      <w:r>
        <w:t xml:space="preserve">designation process and introducing control mechanisms for after designation.</w:t>
      </w:r>
      <w:r>
        <w:t xml:space="preserve"> </w:t>
      </w:r>
      <w:r>
        <w:t xml:space="preserve">In order to moderately strengthen the Notified Bodies’ system, a revised CPR would introduce a</w:t>
      </w:r>
      <w:r>
        <w:t xml:space="preserve"> </w:t>
      </w:r>
      <w:r>
        <w:t xml:space="preserve">mandatory qualification matrix (matching staff to product groups and technologies), to be used</w:t>
      </w:r>
      <w:r>
        <w:t xml:space="preserve"> </w:t>
      </w:r>
      <w:r>
        <w:t xml:space="preserve">by Member States when designating Notified Bodies. Member States would also be asked to</w:t>
      </w:r>
      <w:r>
        <w:t xml:space="preserve"> </w:t>
      </w:r>
      <w:r>
        <w:t xml:space="preserve">provide an accreditation or another assessment report for revision by peers and the European</w:t>
      </w:r>
      <w:r>
        <w:t xml:space="preserve"> </w:t>
      </w:r>
      <w:r>
        <w:t xml:space="preserve">Commission. It would further grant the Commission the explicit right to block the registration of</w:t>
      </w:r>
      <w:r>
        <w:t xml:space="preserve"> </w:t>
      </w:r>
      <w:r>
        <w:t xml:space="preserve">a Notified Body in NANDO where there is a lack of evidence of its competence.</w:t>
      </w:r>
      <w:r>
        <w:br/>
      </w:r>
      <w:r>
        <w:t xml:space="preserve">Measures to strengthen the work of Notified Bodies towards manufacturers would include:</w:t>
      </w:r>
      <w:r>
        <w:br/>
      </w:r>
      <w:r>
        <w:t xml:space="preserve"> Asking Notified Bodies to apply clear pass-fail criteria in their certification practice, thus</w:t>
      </w:r>
      <w:r>
        <w:t xml:space="preserve"> </w:t>
      </w:r>
      <w:r>
        <w:t xml:space="preserve">avoiding that the Notified Body becomes by repetitive feed-back on non-conformities a</w:t>
      </w:r>
      <w:r>
        <w:t xml:space="preserve"> </w:t>
      </w:r>
      <w:r>
        <w:t xml:space="preserve">consultant on the way to certification;</w:t>
      </w:r>
      <w:r>
        <w:br/>
      </w:r>
      <w:r>
        <w:t xml:space="preserve"> requiring Notified Bodies to change the staff responsible for deciding on certification as</w:t>
      </w:r>
      <w:r>
        <w:t xml:space="preserve"> </w:t>
      </w:r>
      <w:r>
        <w:t xml:space="preserve">regards products of a given manufacturer every 3 years;</w:t>
      </w:r>
      <w:r>
        <w:br/>
      </w:r>
      <w:r>
        <w:t xml:space="preserve"> introducing structured reporting obligations for Notified Bodies to their respective Notifying</w:t>
      </w:r>
      <w:r>
        <w:t xml:space="preserve"> </w:t>
      </w:r>
      <w:r>
        <w:t xml:space="preserve">Authority;</w:t>
      </w:r>
      <w:r>
        <w:br/>
      </w:r>
      <w:r>
        <w:t xml:space="preserve"> making control of subcontracting stricter;</w:t>
      </w:r>
      <w:r>
        <w:t xml:space="preserve"> </w:t>
      </w:r>
      <w:r>
        <w:t xml:space="preserve"> complementing existing provision to make currently implicit obligations of Notified Bodies</w:t>
      </w:r>
      <w:r>
        <w:t xml:space="preserve"> </w:t>
      </w:r>
      <w:r>
        <w:t xml:space="preserve">explicit; and</w:t>
      </w:r>
      <w:r>
        <w:t xml:space="preserve"> </w:t>
      </w:r>
      <w:r>
        <w:t xml:space="preserve"> introducing provisions covering the change of certification from one Notified Body to</w:t>
      </w:r>
      <w:r>
        <w:t xml:space="preserve"> </w:t>
      </w:r>
      <w:r>
        <w:t xml:space="preserve">another.</w:t>
      </w:r>
      <w:r>
        <w:t xml:space="preserve"> </w:t>
      </w:r>
      <w:r>
        <w:t xml:space="preserve">Notified Bodies and Notifying Authorities would, together with market surveillance authorities</w:t>
      </w:r>
      <w:r>
        <w:t xml:space="preserve"> </w:t>
      </w:r>
      <w:r>
        <w:t xml:space="preserve">also be affected by a package of measures enhancing harmonised decision-making, outlined in</w:t>
      </w:r>
      <w:r>
        <w:t xml:space="preserve"> </w:t>
      </w:r>
      <w:r>
        <w:t xml:space="preserve">Annex I.</w:t>
      </w:r>
      <w:r>
        <w:br/>
      </w:r>
      <w:r>
        <w:t xml:space="preserve">Supplementing Notified Bodies with special bodies in charge of BWR7</w:t>
      </w:r>
    </w:p>
    <w:p>
      <w:pPr>
        <w:pStyle w:val="BodyText"/>
      </w:pPr>
      <w:r>
        <w:t xml:space="preserve">The current Notified Bodies are not necessarily competent to assess whether the calculation</w:t>
      </w:r>
      <w:r>
        <w:t xml:space="preserve"> </w:t>
      </w:r>
      <w:r>
        <w:t xml:space="preserve">of environmental impacts by manufacturers is correct or, subject to the AVCP system, to</w:t>
      </w:r>
      <w:r>
        <w:t xml:space="preserve"> </w:t>
      </w:r>
      <w:r>
        <w:t xml:space="preserve">make such calculations from scratch. The customary notification procedures are not</w:t>
      </w:r>
      <w:r>
        <w:t xml:space="preserve"> </w:t>
      </w:r>
      <w:r>
        <w:t xml:space="preserve">appropriate to assess these competences either. As these calculations are a science of their</w:t>
      </w:r>
      <w:r>
        <w:t xml:space="preserve"> </w:t>
      </w:r>
      <w:r>
        <w:t xml:space="preserve">own, it might be necessary to complement the current Notified Bodies’ system by</w:t>
      </w:r>
      <w:r>
        <w:t xml:space="preserve"> </w:t>
      </w:r>
      <w:r>
        <w:t xml:space="preserve">designating specialised bodies or creating a responsible sub-group.</w:t>
      </w:r>
    </w:p>
    <w:p>
      <w:pPr>
        <w:pStyle w:val="BodyText"/>
      </w:pPr>
      <w:r>
        <w:t xml:space="preserve">Today, only very few, namely extremely big, Notified Bodies designated under the CPR would</w:t>
      </w:r>
      <w:r>
        <w:t xml:space="preserve"> </w:t>
      </w:r>
      <w:r>
        <w:t xml:space="preserve">also be able to obtain the competences for assessing these calculations. These extremely big</w:t>
      </w:r>
      <w:r>
        <w:t xml:space="preserve"> </w:t>
      </w:r>
      <w:r>
        <w:t xml:space="preserve">Notified Bodies would have a disproportionate, unjustified competitive advantage if the</w:t>
      </w:r>
      <w:r>
        <w:t xml:space="preserve"> </w:t>
      </w:r>
      <w:r>
        <w:t xml:space="preserve">verification of environmental impact calculations were to be done by the ordinary Notified Body</w:t>
      </w:r>
      <w:r>
        <w:t xml:space="preserve"> </w:t>
      </w:r>
      <w:r>
        <w:t xml:space="preserve">in charge. Also to keep the small and medium Notified Bodies which are geographically close to</w:t>
      </w:r>
      <w:r>
        <w:t xml:space="preserve"> </w:t>
      </w:r>
      <w:r>
        <w:t xml:space="preserve">the SME manufacturers alive, it might be useful to split the verification functions for BWR 1 to</w:t>
      </w:r>
      <w:r>
        <w:t xml:space="preserve"> </w:t>
      </w:r>
      <w:r>
        <w:t xml:space="preserve">6 and the one for BWR 7. In addition, it is questionable whether the current few big Notified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Bodies able to calculate environmental aspects suffice, capacity-wise, to cover all (manufacturers</w:t>
      </w:r>
      <w:r>
        <w:t xml:space="preserve"> </w:t>
      </w:r>
      <w:r>
        <w:t xml:space="preserve">of) construction products. Hence, it might be commendable to integrate other organisations that</w:t>
      </w:r>
      <w:r>
        <w:t xml:space="preserve"> </w:t>
      </w:r>
      <w:r>
        <w:t xml:space="preserve">have specialised in calculating environmental impacts, hereafter called environmental</w:t>
      </w:r>
      <w:r>
        <w:t xml:space="preserve"> </w:t>
      </w:r>
      <w:r>
        <w:t xml:space="preserve">verification organisations (EVOs). Such EVOs could either function separately from the current</w:t>
      </w:r>
      <w:r>
        <w:t xml:space="preserve"> </w:t>
      </w:r>
      <w:r>
        <w:t xml:space="preserve">system or function as a sub-group within the current system, like for example the existing sub-</w:t>
      </w:r>
      <w:r>
        <w:t xml:space="preserve"> </w:t>
      </w:r>
      <w:r>
        <w:t xml:space="preserve">group of Notified Bodies in charge of fire safety aspects. A possible split of functions could have</w:t>
      </w:r>
      <w:r>
        <w:t xml:space="preserve"> </w:t>
      </w:r>
      <w:r>
        <w:t xml:space="preserve">another advantage: as some data are relevant both for BWR 3 and 6 on one hand and BWR 7 on</w:t>
      </w:r>
      <w:r>
        <w:t xml:space="preserve"> </w:t>
      </w:r>
      <w:r>
        <w:t xml:space="preserve">the other, there could be a kind of mutual control between different verification organisations.</w:t>
      </w:r>
      <w:r>
        <w:br/>
      </w:r>
      <w:r>
        <w:t xml:space="preserve">EVOs would in particular be called upon to scrutinise whether the methodology applied by the</w:t>
      </w:r>
      <w:r>
        <w:t xml:space="preserve"> </w:t>
      </w:r>
      <w:r>
        <w:t xml:space="preserve">manufacturer or his suppliers is aligned to best available techniques, to verify samples of</w:t>
      </w:r>
      <w:r>
        <w:t xml:space="preserve"> </w:t>
      </w:r>
      <w:r>
        <w:t xml:space="preserve">particular calculations, and to assess the plausibility of the overall results or, subject to the</w:t>
      </w:r>
      <w:r>
        <w:t xml:space="preserve"> </w:t>
      </w:r>
      <w:r>
        <w:t xml:space="preserve">AVCP obligations, to undertake themselves such calculations.</w:t>
      </w:r>
      <w:r>
        <w:t xml:space="preserve"> </w:t>
      </w:r>
      <w:r>
        <w:t xml:space="preserve">The designation and supervision mechanisms of the EVOs in charge of BWR 7 might differ from</w:t>
      </w:r>
      <w:r>
        <w:t xml:space="preserve"> </w:t>
      </w:r>
      <w:r>
        <w:t xml:space="preserve">those of the current Notified Bodies because a much closer alignment of practices across</w:t>
      </w:r>
      <w:r>
        <w:t xml:space="preserve"> </w:t>
      </w:r>
      <w:r>
        <w:t xml:space="preserve">different product sectors must be reached. It cannot be that steel (intended to be) used for cars is</w:t>
      </w:r>
      <w:r>
        <w:t xml:space="preserve"> </w:t>
      </w:r>
      <w:r>
        <w:t xml:space="preserve">to be evaluated differently from steel (intended to be) used for construction products, and the</w:t>
      </w:r>
      <w:r>
        <w:t xml:space="preserve"> </w:t>
      </w:r>
      <w:r>
        <w:t xml:space="preserve">same goes for all other materials or intermediate products. To reach this cross-sector alignment</w:t>
      </w:r>
      <w:r>
        <w:t xml:space="preserve"> </w:t>
      </w:r>
      <w:r>
        <w:t xml:space="preserve">of calculation practices, no designation of an EVO should happen without a methodologically</w:t>
      </w:r>
      <w:r>
        <w:t xml:space="preserve"> </w:t>
      </w:r>
      <w:r>
        <w:t xml:space="preserve">competent entity (be it the Commission Joint Research Centre or an external, entrusted service</w:t>
      </w:r>
      <w:r>
        <w:t xml:space="preserve"> </w:t>
      </w:r>
      <w:r>
        <w:t xml:space="preserve">provider) having reviewed the qualification of the candidate EVO. The form of designation</w:t>
      </w:r>
      <w:r>
        <w:t xml:space="preserve"> </w:t>
      </w:r>
      <w:r>
        <w:t xml:space="preserve">might also vary from that of normal Notified Bodies.</w:t>
      </w:r>
      <w:r>
        <w:br/>
      </w:r>
      <w:r>
        <w:t xml:space="preserve">Comparability of environmental impact calculations can only be ensured if there is a more</w:t>
      </w:r>
      <w:r>
        <w:t xml:space="preserve"> </w:t>
      </w:r>
      <w:r>
        <w:t xml:space="preserve">intense control and alignment in day-to-day decision-making, the more so as the same material</w:t>
      </w:r>
      <w:r>
        <w:t xml:space="preserve"> </w:t>
      </w:r>
      <w:r>
        <w:t xml:space="preserve">or intermediate product might find its way both into construction and other products. This will</w:t>
      </w:r>
      <w:r>
        <w:t xml:space="preserve"> </w:t>
      </w:r>
      <w:r>
        <w:t xml:space="preserve">imply the need for some knowledgeable supervisory body, e.g. the Commission Joint Research</w:t>
      </w:r>
      <w:r>
        <w:t xml:space="preserve"> </w:t>
      </w:r>
      <w:r>
        <w:t xml:space="preserve">Centre, or peer review or both. Where these mechanisms become unsustainable due to a high</w:t>
      </w:r>
      <w:r>
        <w:t xml:space="preserve"> </w:t>
      </w:r>
      <w:r>
        <w:t xml:space="preserve">number of manufacturers and assessments, a two-level supervisory hierarchy could be envisaged.</w:t>
      </w:r>
      <w:r>
        <w:t xml:space="preserve"> </w:t>
      </w:r>
      <w:r>
        <w:t xml:space="preserve">The top-level supervisory body would entrust certain experienced and reliable EVOs to become</w:t>
      </w:r>
      <w:r>
        <w:t xml:space="preserve"> </w:t>
      </w:r>
      <w:r>
        <w:t xml:space="preserve">supervisory bodies for less experienced EVOs.</w:t>
      </w:r>
      <w:r>
        <w:t xml:space="preserve"> </w:t>
      </w:r>
      <w:r>
        <w:t xml:space="preserve">When developing further concepts on the verification of environmental aspects, it has to be</w:t>
      </w:r>
      <w:r>
        <w:t xml:space="preserve"> </w:t>
      </w:r>
      <w:r>
        <w:t xml:space="preserve">borne in mind that there is an inherent tension between the goal of alignment of practices across</w:t>
      </w:r>
      <w:r>
        <w:t xml:space="preserve"> </w:t>
      </w:r>
      <w:r>
        <w:t xml:space="preserve">all product sectors on one side and the goals of minimising the burden specifically for the</w:t>
      </w:r>
      <w:r>
        <w:t xml:space="preserve"> </w:t>
      </w:r>
      <w:r>
        <w:t xml:space="preserve">construction products industry and adapting to construction products specificities on the other</w:t>
      </w:r>
      <w:r>
        <w:t xml:space="preserve"> </w:t>
      </w:r>
      <w:r>
        <w:t xml:space="preserve">side. The two sides cannot be fully served at the same time. But many questions must stay open</w:t>
      </w:r>
      <w:r>
        <w:t xml:space="preserve"> </w:t>
      </w:r>
      <w:r>
        <w:t xml:space="preserve">at this point in time as the development of concepts regarding these questions happens also in</w:t>
      </w:r>
      <w:r>
        <w:t xml:space="preserve"> </w:t>
      </w:r>
      <w:r>
        <w:t xml:space="preserve">other products sectors or at a cross-sector level. The final proposal for a new CPR cannot create</w:t>
      </w:r>
      <w:r>
        <w:t xml:space="preserve"> </w:t>
      </w:r>
      <w:r>
        <w:t xml:space="preserve">a construction products island, but must be in harmony275 with concepts used across other</w:t>
      </w:r>
      <w:r>
        <w:t xml:space="preserve"> </w:t>
      </w:r>
      <w:r>
        <w:t xml:space="preserve">products sectors. Moreover, it cannot be excluded that harmony must be sought for in the light of</w:t>
      </w:r>
      <w:r>
        <w:t xml:space="preserve"> </w:t>
      </w:r>
      <w:r>
        <w:t xml:space="preserve">the different potential uses of environmental impact calculations. In Member States, these</w:t>
      </w:r>
      <w:r>
        <w:t xml:space="preserve"> </w:t>
      </w:r>
      <w:r>
        <w:t xml:space="preserve">calculations are starting to play a role in very different contexts, namely in fiscal policy and for</w:t>
      </w:r>
      <w:r>
        <w:t xml:space="preserve"> </w:t>
      </w:r>
      <w:r>
        <w:t xml:space="preserve">public tenders. Also for manufacturers of construction products it would not be wishful to have</w:t>
      </w:r>
    </w:p>
    <w:p>
      <w:pPr>
        <w:pStyle w:val="BodyText"/>
      </w:pPr>
      <w:r>
        <w:t xml:space="preserve">275 „Harmony“ does not necessarily mean full alignment. Full alignment should not be strived for because</w:t>
      </w:r>
      <w:r>
        <w:t xml:space="preserve"> </w:t>
      </w:r>
      <w:r>
        <w:t xml:space="preserve">construction products need specific environmental read-outs for the environmental assessment of construction</w:t>
      </w:r>
      <w:r>
        <w:t xml:space="preserve"> </w:t>
      </w:r>
      <w:r>
        <w:t xml:space="preserve">works. These read-outs are not needed in most other product sectors.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to calculate the environmental impact in several different ways. Hence, a consensus should be</w:t>
      </w:r>
      <w:r>
        <w:t xml:space="preserve"> </w:t>
      </w:r>
      <w:r>
        <w:t xml:space="preserve">found which goes beyond the field of product regulation.</w:t>
      </w:r>
      <w:r>
        <w:t xml:space="preserve"> </w:t>
      </w:r>
      <w:r>
        <w:t xml:space="preserve">Evaluating the role of PCPCs</w:t>
      </w:r>
      <w:r>
        <w:br/>
      </w:r>
      <w:r>
        <w:t xml:space="preserve">The Commission will investigate how Product Contact Points for Construction are</w:t>
      </w:r>
      <w:r>
        <w:t xml:space="preserve"> </w:t>
      </w:r>
      <w:r>
        <w:t xml:space="preserve">currently being used.</w:t>
      </w:r>
      <w:r>
        <w:br/>
      </w:r>
      <w:r>
        <w:t xml:space="preserve">In case they are not or hardly used for their main purpose, i.e. providing information about</w:t>
      </w:r>
      <w:r>
        <w:t xml:space="preserve"> </w:t>
      </w:r>
      <w:r>
        <w:t xml:space="preserve">Member States’ building regulations relevant to the intended use of construction products, a</w:t>
      </w:r>
      <w:r>
        <w:t xml:space="preserve"> </w:t>
      </w:r>
      <w:r>
        <w:t xml:space="preserve">different purpose could be envisaged. Namely, they could be put in charge of providing</w:t>
      </w:r>
      <w:r>
        <w:t xml:space="preserve"> </w:t>
      </w:r>
      <w:r>
        <w:t xml:space="preserve">information on the harmonised system created by and under the CPR. To some extent, they do</w:t>
      </w:r>
      <w:r>
        <w:t xml:space="preserve"> </w:t>
      </w:r>
      <w:r>
        <w:t xml:space="preserve">this already today, we learnt.</w:t>
      </w:r>
      <w:r>
        <w:t xml:space="preserve"> </w:t>
      </w:r>
      <w:r>
        <w:t xml:space="preserve">Better covering information needs</w:t>
      </w:r>
      <w:r>
        <w:t xml:space="preserve"> </w:t>
      </w:r>
      <w:r>
        <w:t xml:space="preserve">In order to better cover Member States’ and stakeholders’ information needs, a revised</w:t>
      </w:r>
      <w:r>
        <w:t xml:space="preserve"> </w:t>
      </w:r>
      <w:r>
        <w:t xml:space="preserve">CPR would allow, in certain specified cases, additional information to be included in the</w:t>
      </w:r>
      <w:r>
        <w:t xml:space="preserve"> </w:t>
      </w:r>
      <w:r>
        <w:t xml:space="preserve">Declaration of Performance as well as empower the Commission to make mandatory the</w:t>
      </w:r>
      <w:r>
        <w:t xml:space="preserve"> </w:t>
      </w:r>
      <w:r>
        <w:t xml:space="preserve">declaration of certain characteristics. Manufacturers can declare additional performances</w:t>
      </w:r>
      <w:r>
        <w:t xml:space="preserve"> </w:t>
      </w:r>
      <w:r>
        <w:t xml:space="preserve">and characteristics.</w:t>
      </w:r>
      <w:r>
        <w:br/>
      </w:r>
      <w:r>
        <w:t xml:space="preserve">To better cover information needs of architects and users, a revised CPR would include a</w:t>
      </w:r>
      <w:r>
        <w:t xml:space="preserve"> </w:t>
      </w:r>
      <w:r>
        <w:t xml:space="preserve">positive list of additional information that manufacturers are allowed to include in their</w:t>
      </w:r>
      <w:r>
        <w:t xml:space="preserve"> </w:t>
      </w:r>
      <w:r>
        <w:t xml:space="preserve">Declaration of Performance (additional to a product’s performance in relation to the essential</w:t>
      </w:r>
      <w:r>
        <w:t xml:space="preserve"> </w:t>
      </w:r>
      <w:r>
        <w:t xml:space="preserve">characteristics covered by Harmonised Technical Specifications). Examples might include</w:t>
      </w:r>
      <w:r>
        <w:t xml:space="preserve"> </w:t>
      </w:r>
      <w:r>
        <w:t xml:space="preserve">information on the presence or absence of certain chemical components276, the product’s</w:t>
      </w:r>
      <w:r>
        <w:t xml:space="preserve"> </w:t>
      </w:r>
      <w:r>
        <w:t xml:space="preserve">conformity with Member State regulations, its durability in the meaning of usability endurance</w:t>
      </w:r>
      <w:r>
        <w:t xml:space="preserve"> </w:t>
      </w:r>
      <w:r>
        <w:t xml:space="preserve">of the product, or a link to instructions for use and installation. The Commission would be</w:t>
      </w:r>
      <w:r>
        <w:t xml:space="preserve"> </w:t>
      </w:r>
      <w:r>
        <w:t xml:space="preserve">empowered to modify this positive list by means of Delegated Acts in light of information needs</w:t>
      </w:r>
      <w:r>
        <w:t xml:space="preserve"> </w:t>
      </w:r>
      <w:r>
        <w:t xml:space="preserve">or other developments.</w:t>
      </w:r>
      <w:r>
        <w:br/>
      </w:r>
      <w:r>
        <w:t xml:space="preserve">Currently, manufacturers only have to declare performance for one essential characteristic of a</w:t>
      </w:r>
      <w:r>
        <w:t xml:space="preserve"> </w:t>
      </w:r>
      <w:r>
        <w:t xml:space="preserve">construction product in order to obtain CE marking. While it is not intended to oblige</w:t>
      </w:r>
      <w:r>
        <w:t xml:space="preserve"> </w:t>
      </w:r>
      <w:r>
        <w:t xml:space="preserve">manufacturers to declare performance related to all product characteristics covered by</w:t>
      </w:r>
      <w:r>
        <w:t xml:space="preserve"> </w:t>
      </w:r>
      <w:r>
        <w:t xml:space="preserve">Harmonised Technical Specifications, a revised CPR would, similar to its current Article 3(3),</w:t>
      </w:r>
      <w:r>
        <w:t xml:space="preserve"> </w:t>
      </w:r>
      <w:r>
        <w:t xml:space="preserve">empower the Commission to lay down mandatory characteristics by Delegated or Implementing</w:t>
      </w:r>
      <w:r>
        <w:t xml:space="preserve"> </w:t>
      </w:r>
      <w:r>
        <w:t xml:space="preserve">Acts where necessary, most frequently in the context of having such a specification cited or</w:t>
      </w:r>
      <w:r>
        <w:t xml:space="preserve"> </w:t>
      </w:r>
      <w:r>
        <w:t xml:space="preserve">adopted. Thus the revised CPR would start with the current situation where only one of the</w:t>
      </w:r>
      <w:r>
        <w:t xml:space="preserve"> </w:t>
      </w:r>
      <w:r>
        <w:t xml:space="preserve">characteristics needs to be declared. However, based on a more precise analysis of the respective</w:t>
      </w:r>
      <w:r>
        <w:t xml:space="preserve"> </w:t>
      </w:r>
      <w:r>
        <w:t xml:space="preserve">product group, regulatory needs, safety and environmental aspects, certain characteristics can be</w:t>
      </w:r>
      <w:r>
        <w:t xml:space="preserve"> </w:t>
      </w:r>
      <w:r>
        <w:t xml:space="preserve">made gradually mandatory.</w:t>
      </w:r>
      <w:r>
        <w:t xml:space="preserve"> </w:t>
      </w:r>
      <w:r>
        <w:t xml:space="preserve">True claims or no claims</w:t>
      </w:r>
      <w:r>
        <w:t xml:space="preserve"> </w:t>
      </w:r>
      <w:r>
        <w:t xml:space="preserve">Wherever a performance or product characteristic is declared, whilst there is not yet any</w:t>
      </w:r>
      <w:r>
        <w:t xml:space="preserve"> </w:t>
      </w:r>
      <w:r>
        <w:t xml:space="preserve">Harmonised Technical Specification, the manufacturer would be obliged to ensure the</w:t>
      </w:r>
    </w:p>
    <w:p>
      <w:pPr>
        <w:pStyle w:val="BodyText"/>
      </w:pPr>
      <w:r>
        <w:t xml:space="preserve">276 In line with, not duplicating REACH (OJ L 396, 30.12.2006, p. 1–849, https://eur-lex.europa.eu/legal-</w:t>
      </w:r>
      <w:r>
        <w:t xml:space="preserve"> </w:t>
      </w:r>
      <w:r>
        <w:t xml:space="preserve">content/EN/TXT/?uri=CELEX:32008D0768) and other legislation on chemicals such as Regulation 1272/2008</w:t>
      </w:r>
      <w:r>
        <w:t xml:space="preserve"> </w:t>
      </w:r>
      <w:r>
        <w:t xml:space="preserve">on classification, labelling and packaging of substances and mixtures (OJ L 353, 31.12.2008, p. 1–1355,</w:t>
      </w:r>
      <w:r>
        <w:t xml:space="preserve"> </w:t>
      </w:r>
      <w:r>
        <w:t xml:space="preserve">https://eur-lex.europa.eu/legal-content/EN/TXT/?uri=CELEX:32008R1272).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correctness of the declared information by using at least “state of the art” methodology.</w:t>
      </w:r>
      <w:r>
        <w:t xml:space="preserve"> </w:t>
      </w:r>
      <w:r>
        <w:t xml:space="preserve">This brings standards into play in an additional (third) way.</w:t>
      </w:r>
      <w:r>
        <w:t xml:space="preserve"> </w:t>
      </w:r>
      <w:r>
        <w:t xml:space="preserve">To avoid misleading claims, the manufacturer should be obliged to assess the performance or the</w:t>
      </w:r>
      <w:r>
        <w:t xml:space="preserve"> </w:t>
      </w:r>
      <w:r>
        <w:t xml:space="preserve">characteristic in accordance with a methodology that fulfils the quality notion “state of the art” or</w:t>
      </w:r>
      <w:r>
        <w:t xml:space="preserve"> </w:t>
      </w:r>
      <w:r>
        <w:t xml:space="preserve">“best available technique” (the latter being more severe). The “state of the art” or “best available</w:t>
      </w:r>
      <w:r>
        <w:t xml:space="preserve"> </w:t>
      </w:r>
      <w:r>
        <w:t xml:space="preserve">technique” is to be determined on a case-by-case basis in the light of available methodological</w:t>
      </w:r>
      <w:r>
        <w:t xml:space="preserve"> </w:t>
      </w:r>
      <w:r>
        <w:t xml:space="preserve">documents, namely but not exclusively international and EU standards. Thus, in addition to the</w:t>
      </w:r>
      <w:r>
        <w:t xml:space="preserve"> </w:t>
      </w:r>
      <w:r>
        <w:t xml:space="preserve">incorporation of the content of standards into Commission acts277 (1st path) and harmonised</w:t>
      </w:r>
      <w:r>
        <w:t xml:space="preserve"> </w:t>
      </w:r>
      <w:r>
        <w:t xml:space="preserve">standards becoming harmonised technical specifications (2nd path), there would be a third, more</w:t>
      </w:r>
      <w:r>
        <w:t xml:space="preserve"> </w:t>
      </w:r>
      <w:r>
        <w:t xml:space="preserve">remote and indirect way of using the valuable content of standards (3rd path). This third path</w:t>
      </w:r>
      <w:r>
        <w:t xml:space="preserve"> </w:t>
      </w:r>
      <w:r>
        <w:t xml:space="preserve">would not be subject to the same legal and formal constraints as the other two. It might</w:t>
      </w:r>
      <w:r>
        <w:t xml:space="preserve"> </w:t>
      </w:r>
      <w:r>
        <w:t xml:space="preserve">resuscitate some of the advantages of the “New Approach” in its initial stage, meaning before</w:t>
      </w:r>
      <w:r>
        <w:t xml:space="preserve"> </w:t>
      </w:r>
      <w:r>
        <w:t xml:space="preserve">full legal control of harmonised standards became obviously mandatory through Regulation (EU)</w:t>
      </w:r>
      <w:r>
        <w:t xml:space="preserve"> </w:t>
      </w:r>
      <w:r>
        <w:t xml:space="preserve">1025/2012 on European Standardisation and rulings of the European Court of Justice.</w:t>
      </w:r>
      <w:r>
        <w:t xml:space="preserve"> </w:t>
      </w:r>
      <w:r>
        <w:t xml:space="preserve">Better coverage of Member States’ needs by determining the “harmonised zone”</w:t>
      </w:r>
      <w:r>
        <w:t xml:space="preserve"> </w:t>
      </w:r>
      <w:r>
        <w:t xml:space="preserve">Following a given procedural order, Member States would, after a fair standstill period,</w:t>
      </w:r>
      <w:r>
        <w:t xml:space="preserve"> </w:t>
      </w:r>
      <w:r>
        <w:t xml:space="preserve">become free to establish national requirements where EU provisions do not yet</w:t>
      </w:r>
      <w:r>
        <w:t xml:space="preserve"> </w:t>
      </w:r>
      <w:r>
        <w:t xml:space="preserve">satisfactorily cover the relevant aspects.</w:t>
      </w:r>
      <w:r>
        <w:br/>
      </w:r>
      <w:r>
        <w:t xml:space="preserve">In order to better cover Member States’ regulatory needs, a revised CPR would allow the</w:t>
      </w:r>
      <w:r>
        <w:t xml:space="preserve"> </w:t>
      </w:r>
      <w:r>
        <w:t xml:space="preserve">Commission to determine by Delegated or Implementing Acts the exact borderlines of the</w:t>
      </w:r>
      <w:r>
        <w:t xml:space="preserve"> </w:t>
      </w:r>
      <w:r>
        <w:t xml:space="preserve">“harmonised zone”278, the sphere effectively covered by EU law. This clarification would work</w:t>
      </w:r>
      <w:r>
        <w:t xml:space="preserve"> </w:t>
      </w:r>
      <w:r>
        <w:t xml:space="preserve">with product lists and lists of aspects covered. This would bring the legal concept of</w:t>
      </w:r>
      <w:r>
        <w:t xml:space="preserve"> </w:t>
      </w:r>
      <w:r>
        <w:t xml:space="preserve">“exhaustiveness” (hindering Member States to regulate or otherwise interfere) in line with the de</w:t>
      </w:r>
      <w:r>
        <w:t xml:space="preserve"> </w:t>
      </w:r>
      <w:r>
        <w:t xml:space="preserve">facto degree of “completeness” of the CPR Acquis. It would also reduce a good part of the legal</w:t>
      </w:r>
      <w:r>
        <w:t xml:space="preserve"> </w:t>
      </w:r>
      <w:r>
        <w:t xml:space="preserve">uncertainty of the current CPR.</w:t>
      </w:r>
      <w:r>
        <w:t xml:space="preserve"> </w:t>
      </w:r>
      <w:r>
        <w:t xml:space="preserve">The procedure upstream to the determination of the “harmonised zone” together with the</w:t>
      </w:r>
      <w:r>
        <w:t xml:space="preserve"> </w:t>
      </w:r>
      <w:r>
        <w:t xml:space="preserve">development of technical specifications would give Member States the right and obligation to</w:t>
      </w:r>
      <w:r>
        <w:t xml:space="preserve"> </w:t>
      </w:r>
      <w:r>
        <w:t xml:space="preserve">communicate needs for technical aspects to be covered. If, after determination of the</w:t>
      </w:r>
      <w:r>
        <w:t xml:space="preserve"> </w:t>
      </w:r>
      <w:r>
        <w:t xml:space="preserve">“harmonised zone”, Member States discover additional regulatory needs, they have to</w:t>
      </w:r>
      <w:r>
        <w:t xml:space="preserve"> </w:t>
      </w:r>
      <w:r>
        <w:t xml:space="preserve">communicate them first to the Commission so as to give opportunity to cover them at EU level.</w:t>
      </w:r>
      <w:r>
        <w:t xml:space="preserve"> </w:t>
      </w:r>
      <w:r>
        <w:t xml:space="preserve">Only after a standstill period of e.g. 4 years Member States would be authorised to establish</w:t>
      </w:r>
      <w:r>
        <w:t xml:space="preserve"> </w:t>
      </w:r>
      <w:r>
        <w:t xml:space="preserve">additional national requirements, provided there is evidence of the relevant Member State’s</w:t>
      </w:r>
      <w:r>
        <w:t xml:space="preserve"> </w:t>
      </w:r>
      <w:r>
        <w:t xml:space="preserve">regulatory need and if the claimed needs are legitimate. In order to avoid too the establishment of</w:t>
      </w:r>
      <w:r>
        <w:t xml:space="preserve"> </w:t>
      </w:r>
      <w:r>
        <w:t xml:space="preserve">protectionist trade hurdles by the back-door, some acceptability criteria for Member States’</w:t>
      </w:r>
      <w:r>
        <w:t xml:space="preserve"> </w:t>
      </w:r>
      <w:r>
        <w:t xml:space="preserve">needs should be developed – not every need, even when well documented, might be legitimate.</w:t>
      </w:r>
      <w:r>
        <w:t xml:space="preserve"> </w:t>
      </w:r>
      <w:r>
        <w:t xml:space="preserve">A variant for the above mentioned standstill period could be that, after obtaining a formal279 or</w:t>
      </w:r>
      <w:r>
        <w:t xml:space="preserve"> </w:t>
      </w:r>
      <w:r>
        <w:t xml:space="preserve">implicit280 validation, any Member State could introduce a national assessment method, to be</w:t>
      </w:r>
      <w:r>
        <w:t xml:space="preserve"> </w:t>
      </w:r>
      <w:r>
        <w:t xml:space="preserve">used in relation to essential characteristics still lacking a harmonised EU method, for the duration</w:t>
      </w:r>
    </w:p>
    <w:p>
      <w:pPr>
        <w:pStyle w:val="BodyText"/>
      </w:pPr>
      <w:r>
        <w:t xml:space="preserve">277 Either by taking over text or by normative reference where, exceptionally, translations into all languages exist.</w:t>
      </w:r>
      <w:r>
        <w:t xml:space="preserve"> </w:t>
      </w:r>
      <w:r>
        <w:t xml:space="preserve">278 The expression “harmonised zone” has been chosen on purpose because the expression “harmonised sphere”,</w:t>
      </w:r>
      <w:r>
        <w:t xml:space="preserve"> </w:t>
      </w:r>
      <w:r>
        <w:t xml:space="preserve">referred to in the context of rulings of the European Court of Justice, is broader and also encompasses aspects</w:t>
      </w:r>
      <w:r>
        <w:t xml:space="preserve"> </w:t>
      </w:r>
      <w:r>
        <w:t xml:space="preserve">that are not covered by harmonised technical specifications in reality.</w:t>
      </w:r>
      <w:r>
        <w:t xml:space="preserve"> </w:t>
      </w:r>
      <w:r>
        <w:t xml:space="preserve">279 By a decision of the European Commission.</w:t>
      </w:r>
      <w:r>
        <w:t xml:space="preserve"> </w:t>
      </w:r>
      <w:r>
        <w:t xml:space="preserve">280 No objection by other Member States or the European Commission.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of that standstill period. Notified Bodies across the EU could also apply that method and issue</w:t>
      </w:r>
      <w:r>
        <w:t xml:space="preserve"> </w:t>
      </w:r>
      <w:r>
        <w:t xml:space="preserve">certificates on the basis of it. Other Member States would be obliged to recognise as well the</w:t>
      </w:r>
      <w:r>
        <w:t xml:space="preserve"> </w:t>
      </w:r>
      <w:r>
        <w:t xml:space="preserve">respective assessment method and certificates.</w:t>
      </w:r>
      <w:r>
        <w:t xml:space="preserve"> </w:t>
      </w:r>
      <w:r>
        <w:t xml:space="preserve">Improving legal certainty</w:t>
      </w:r>
    </w:p>
    <w:p>
      <w:pPr>
        <w:pStyle w:val="BodyText"/>
      </w:pPr>
      <w:r>
        <w:t xml:space="preserve">A revised CPR would improve legal certainty by addressing interpretation issues and</w:t>
      </w:r>
      <w:r>
        <w:t xml:space="preserve"> </w:t>
      </w:r>
      <w:r>
        <w:t xml:space="preserve">clarifying the validity of Commission acts adopted prior to the application date of a revised</w:t>
      </w:r>
      <w:r>
        <w:t xml:space="preserve"> </w:t>
      </w:r>
      <w:r>
        <w:t xml:space="preserve">CPR.</w:t>
      </w:r>
      <w:r>
        <w:t xml:space="preserve"> </w:t>
      </w:r>
      <w:r>
        <w:t xml:space="preserve">Many of the sections above deal also with legal uncertainty. In addition, the revised CPR could</w:t>
      </w:r>
      <w:r>
        <w:t xml:space="preserve"> </w:t>
      </w:r>
      <w:r>
        <w:t xml:space="preserve">contain the following elements:</w:t>
      </w:r>
      <w:r>
        <w:t xml:space="preserve"> </w:t>
      </w:r>
      <w:r>
        <w:t xml:space="preserve">Under the current CPR, several ambiguous definitions have led to divergent interpretations. A</w:t>
      </w:r>
      <w:r>
        <w:t xml:space="preserve"> </w:t>
      </w:r>
      <w:r>
        <w:t xml:space="preserve">revised CPR would seek to address such interpretation issues as far as possible. This would</w:t>
      </w:r>
      <w:r>
        <w:t xml:space="preserve"> </w:t>
      </w:r>
      <w:r>
        <w:t xml:space="preserve">include making more specific existing definitions (e.g. for ‘construction product’, ‘construction</w:t>
      </w:r>
      <w:r>
        <w:t xml:space="preserve"> </w:t>
      </w:r>
      <w:r>
        <w:t xml:space="preserve">work’ and ‘placing on the market’) as well as introducing new definitions where necessary (e.g. </w:t>
      </w:r>
      <w:r>
        <w:t xml:space="preserve"> </w:t>
      </w:r>
      <w:r>
        <w:t xml:space="preserve">for ‘assembly’, ‘module’ and ‘building’).</w:t>
      </w:r>
      <w:r>
        <w:br/>
      </w:r>
      <w:r>
        <w:t xml:space="preserve">An internal analysis showed that under the current CPR, substantive legal uncertainty exists</w:t>
      </w:r>
      <w:r>
        <w:t xml:space="preserve"> </w:t>
      </w:r>
      <w:r>
        <w:t xml:space="preserve">regarding the validity of acts adopted under the CPD, its predecessor, in particular where their</w:t>
      </w:r>
      <w:r>
        <w:t xml:space="preserve"> </w:t>
      </w:r>
      <w:r>
        <w:t xml:space="preserve">content is not fully in line with the CPR. To prevent this from occurring again, a revised CPR</w:t>
      </w:r>
      <w:r>
        <w:t xml:space="preserve"> </w:t>
      </w:r>
      <w:r>
        <w:t xml:space="preserve">would lay down clear rules on the validity of Commission acts adopted prior to its application</w:t>
      </w:r>
      <w:r>
        <w:t xml:space="preserve"> </w:t>
      </w:r>
      <w:r>
        <w:t xml:space="preserve">date. This is evidently also part of the smooth phasing-in of the revised CPR.</w:t>
      </w:r>
      <w:r>
        <w:t xml:space="preserve"> </w:t>
      </w:r>
      <w:r>
        <w:t xml:space="preserve">4) Transition</w:t>
      </w:r>
    </w:p>
    <w:p>
      <w:pPr>
        <w:pStyle w:val="BodyText"/>
      </w:pPr>
      <w:r>
        <w:t xml:space="preserve">Ensuring a smooth phasing-in of the revised CPR</w:t>
      </w:r>
      <w:r>
        <w:br/>
      </w:r>
      <w:r>
        <w:t xml:space="preserve">For a variety of legal reasons, only very few of the current Harmonised Technical</w:t>
      </w:r>
      <w:r>
        <w:t xml:space="preserve"> </w:t>
      </w:r>
      <w:r>
        <w:t xml:space="preserve">Specifications, Commission Delegated and Implementing Acts could be used immediately</w:t>
      </w:r>
      <w:r>
        <w:t xml:space="preserve"> </w:t>
      </w:r>
      <w:r>
        <w:t xml:space="preserve">and as such under the future CPR. Hence, clear transitional provisions would provide for a</w:t>
      </w:r>
      <w:r>
        <w:t xml:space="preserve"> </w:t>
      </w:r>
      <w:r>
        <w:t xml:space="preserve">multiannual phase-in period, during which a large part of the CPR Acquis would be</w:t>
      </w:r>
      <w:r>
        <w:t xml:space="preserve"> </w:t>
      </w:r>
      <w:r>
        <w:t xml:space="preserve">readopted whilst the old CPR remains applicable.</w:t>
      </w:r>
      <w:r>
        <w:br/>
      </w:r>
      <w:r>
        <w:t xml:space="preserve">Almost the entirety of the current CPR Acquis has to be rebuilt and readopted. This will not</w:t>
      </w:r>
      <w:r>
        <w:t xml:space="preserve"> </w:t>
      </w:r>
      <w:r>
        <w:t xml:space="preserve">happen overnight. Given the size of the current Acquis (444 Harmonised Standards and 157</w:t>
      </w:r>
      <w:r>
        <w:t xml:space="preserve"> </w:t>
      </w:r>
      <w:r>
        <w:t xml:space="preserve">EADs281), the entire exercise will take at least 5 to 10 years. In the meantime, transitional</w:t>
      </w:r>
      <w:r>
        <w:t xml:space="preserve"> </w:t>
      </w:r>
      <w:r>
        <w:t xml:space="preserve">provisions would provide, where appropriate and for a limited time, for the continued application</w:t>
      </w:r>
      <w:r>
        <w:t xml:space="preserve"> </w:t>
      </w:r>
      <w:r>
        <w:t xml:space="preserve">of the current CPR’s Acquis for those product groups not yet covered by Harmonised Technical</w:t>
      </w:r>
      <w:r>
        <w:t xml:space="preserve"> </w:t>
      </w:r>
      <w:r>
        <w:t xml:space="preserve">Specifications fit for the future CPR. Both regimes would thus exist in parallel for many years to</w:t>
      </w:r>
      <w:r>
        <w:t xml:space="preserve"> </w:t>
      </w:r>
      <w:r>
        <w:t xml:space="preserve">come. This would trigger the need for authorities and economic operators to distinguish between</w:t>
      </w:r>
      <w:r>
        <w:t xml:space="preserve"> </w:t>
      </w:r>
      <w:r>
        <w:t xml:space="preserve">products placed on the market under the old CPR and those placed on the market under the new</w:t>
      </w:r>
      <w:r>
        <w:t xml:space="preserve"> </w:t>
      </w:r>
      <w:r>
        <w:t xml:space="preserve">CPR, possibly even with a distinct marking. A distinct marking would also make sense in so far</w:t>
      </w:r>
      <w:r>
        <w:t xml:space="preserve"> </w:t>
      </w:r>
      <w:r>
        <w:t xml:space="preserve">as, contrary to other sectors, the CE marking on construction products refers to performance</w:t>
      </w:r>
      <w:r>
        <w:t xml:space="preserve"> </w:t>
      </w:r>
      <w:r>
        <w:t xml:space="preserve">declaration, not to conformity. To shift to a distinct marking on the occasion of the introduction</w:t>
      </w:r>
      <w:r>
        <w:t xml:space="preserve"> </w:t>
      </w:r>
      <w:r>
        <w:t xml:space="preserve">of the new CPR could thus kill two birds with one stone.</w:t>
      </w:r>
    </w:p>
    <w:p>
      <w:pPr>
        <w:pStyle w:val="BodyText"/>
      </w:pPr>
      <w:r>
        <w:t xml:space="preserve">281 There are 210 in NANDO, but these include superseded ones.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To organise this process, transitional provisions would lay down priorities according to which</w:t>
      </w:r>
      <w:r>
        <w:t xml:space="preserve"> </w:t>
      </w:r>
      <w:r>
        <w:t xml:space="preserve">the development of the future CPR Acquis could be planned. Priority would be given to product</w:t>
      </w:r>
      <w:r>
        <w:t xml:space="preserve"> </w:t>
      </w:r>
      <w:r>
        <w:t xml:space="preserve">groups that are of high importance to Member States (in view of the safety of buildings), that are</w:t>
      </w:r>
      <w:r>
        <w:t xml:space="preserve"> </w:t>
      </w:r>
      <w:r>
        <w:t xml:space="preserve">most relevant for the internal market, or that raise problems regarding inherent product safety,</w:t>
      </w:r>
      <w:r>
        <w:t xml:space="preserve"> </w:t>
      </w:r>
      <w:r>
        <w:t xml:space="preserve">consumer protection, or the environment (see legal basis of Article 114 TFEU).</w:t>
      </w:r>
      <w:r>
        <w:br/>
      </w:r>
      <w:r>
        <w:t xml:space="preserve">As it is likely that the harmonised technical specifications adopted under the CPD and the CPR</w:t>
      </w:r>
      <w:r>
        <w:t xml:space="preserve"> </w:t>
      </w:r>
      <w:r>
        <w:t xml:space="preserve">cannot be transferred to the future CPR, there is a need to adopt a high number of technical</w:t>
      </w:r>
      <w:r>
        <w:t xml:space="preserve"> </w:t>
      </w:r>
      <w:r>
        <w:t xml:space="preserve">specifications in very short time, that is to say much less than the previously mentioned 5 to 10</w:t>
      </w:r>
      <w:r>
        <w:t xml:space="preserve"> </w:t>
      </w:r>
      <w:r>
        <w:t xml:space="preserve">years. As the first wave of technical specifications will mainly consist of technical content of the</w:t>
      </w:r>
      <w:r>
        <w:t xml:space="preserve"> </w:t>
      </w:r>
      <w:r>
        <w:t xml:space="preserve">current Harmonised Technical Specifications, major impacts for economic operators are not to</w:t>
      </w:r>
      <w:r>
        <w:t xml:space="preserve"> </w:t>
      </w:r>
      <w:r>
        <w:t xml:space="preserve">be expected. Therefore we expect the acts to be adoptable without impact assessments.</w:t>
      </w:r>
      <w:r>
        <w:t xml:space="preserve"> </w:t>
      </w:r>
      <w:r>
        <w:t xml:space="preserve">Lastly, the transitional provisions would stipulate the continuation of the legal validity of</w:t>
      </w:r>
      <w:r>
        <w:t xml:space="preserve"> </w:t>
      </w:r>
      <w:r>
        <w:t xml:space="preserve">certificates and other documentation issued under the current CPR or before, or clarify that</w:t>
      </w:r>
      <w:r>
        <w:t xml:space="preserve"> </w:t>
      </w:r>
      <w:r>
        <w:t xml:space="preserve">certain document types have to be reissued, either by the end of the general transition period or</w:t>
      </w:r>
      <w:r>
        <w:t xml:space="preserve"> </w:t>
      </w:r>
      <w:r>
        <w:t xml:space="preserve">by the respective ends of the “coexistence” periods between the current and the new CPR</w:t>
      </w:r>
      <w:r>
        <w:t xml:space="preserve"> </w:t>
      </w:r>
      <w:r>
        <w:t xml:space="preserve">regimes per product family.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OPTION C – FOCUSING THE CPR</w:t>
      </w:r>
      <w:r>
        <w:br/>
      </w:r>
      <w:r>
        <w:t xml:space="preserve">The CPR would be focused, freeing up capacity to improve the quality and</w:t>
      </w:r>
      <w:r>
        <w:t xml:space="preserve"> </w:t>
      </w:r>
      <w:r>
        <w:t xml:space="preserve">comprehensiveness of the remaining harmonised sphere. This option builds on the</w:t>
      </w:r>
      <w:r>
        <w:t xml:space="preserve"> </w:t>
      </w:r>
      <w:r>
        <w:t xml:space="preserve">“Repairing CPR” option, meaning that it would, to the extent that there is compatibility,</w:t>
      </w:r>
      <w:r>
        <w:t xml:space="preserve"> </w:t>
      </w:r>
      <w:r>
        <w:t xml:space="preserve">include all the elements described in Option B. The three elements presented here could be</w:t>
      </w:r>
      <w:r>
        <w:t xml:space="preserve"> </w:t>
      </w:r>
      <w:r>
        <w:t xml:space="preserve">combined:</w:t>
      </w:r>
      <w:r>
        <w:t xml:space="preserve"> </w:t>
      </w:r>
      <w:r>
        <w:t xml:space="preserve">Element 1: Limiting the CPR’s scope to assessment methods</w:t>
      </w:r>
      <w:r>
        <w:t xml:space="preserve"> </w:t>
      </w:r>
      <w:r>
        <w:t xml:space="preserve">The Common Technical Language would be limited to assessment methods</w:t>
      </w:r>
      <w:r>
        <w:t xml:space="preserve"> </w:t>
      </w:r>
      <w:r>
        <w:t xml:space="preserve">Harmonised Technical Specifications would include only assessment methods for performance</w:t>
      </w:r>
      <w:r>
        <w:t xml:space="preserve"> </w:t>
      </w:r>
      <w:r>
        <w:t xml:space="preserve">calculation. No performance threshold levels or classes would be laid down at EU level. No</w:t>
      </w:r>
      <w:r>
        <w:t xml:space="preserve"> </w:t>
      </w:r>
      <w:r>
        <w:t xml:space="preserve">other requirements or “characteristics” would be established at EU level.</w:t>
      </w:r>
      <w:r>
        <w:br/>
      </w:r>
      <w:r>
        <w:t xml:space="preserve">Assessment methods would be developed as set out under Option B</w:t>
      </w:r>
      <w:r>
        <w:t xml:space="preserve"> </w:t>
      </w:r>
      <w:r>
        <w:t xml:space="preserve">As a primary root, the Commission would adopt Delegated or Implementing Acts containing</w:t>
      </w:r>
      <w:r>
        <w:t xml:space="preserve"> </w:t>
      </w:r>
      <w:r>
        <w:t xml:space="preserve">Harmonised Technical Specifications indicating which assessment methods apply to certain</w:t>
      </w:r>
      <w:r>
        <w:t xml:space="preserve"> </w:t>
      </w:r>
      <w:r>
        <w:t xml:space="preserve">identified essential characteristics of a specific product family. In doing so, the Commission</w:t>
      </w:r>
      <w:r>
        <w:t xml:space="preserve"> </w:t>
      </w:r>
      <w:r>
        <w:t xml:space="preserve">would base itself on the assessment methods included in existing standards. The result would be</w:t>
      </w:r>
      <w:r>
        <w:t xml:space="preserve"> </w:t>
      </w:r>
      <w:r>
        <w:t xml:space="preserve">a list of assessment methods specifying the range of product families and the essential</w:t>
      </w:r>
      <w:r>
        <w:t xml:space="preserve"> </w:t>
      </w:r>
      <w:r>
        <w:t xml:space="preserve">characteristics they address, published in the OJEU.</w:t>
      </w:r>
      <w:r>
        <w:br/>
      </w:r>
      <w:r>
        <w:t xml:space="preserve">National construction regulation would refer to these harmonised assessment methods</w:t>
      </w:r>
      <w:r>
        <w:t xml:space="preserve"> </w:t>
      </w:r>
      <w:r>
        <w:t xml:space="preserve">Member States would be obliged to refer to harmonised assessment methods when setting up</w:t>
      </w:r>
      <w:r>
        <w:t xml:space="preserve"> </w:t>
      </w:r>
      <w:r>
        <w:t xml:space="preserve">product-related requirements in their construction regulation and to list the product families to</w:t>
      </w:r>
      <w:r>
        <w:t xml:space="preserve"> </w:t>
      </w:r>
      <w:r>
        <w:t xml:space="preserve">which a particular assessment method should be applied. Indirectly, therefore, manufacturers of</w:t>
      </w:r>
      <w:r>
        <w:t xml:space="preserve"> </w:t>
      </w:r>
      <w:r>
        <w:t xml:space="preserve">products covered by harmonised assessment methods will be obliged to use those methods when</w:t>
      </w:r>
      <w:r>
        <w:t xml:space="preserve"> </w:t>
      </w:r>
      <w:r>
        <w:t xml:space="preserve">selling on the EU market.</w:t>
      </w:r>
      <w:r>
        <w:br/>
      </w:r>
      <w:r>
        <w:t xml:space="preserve">Entire product groups for which no harmonised assessment methods have been provided would</w:t>
      </w:r>
      <w:r>
        <w:t xml:space="preserve"> </w:t>
      </w:r>
      <w:r>
        <w:t xml:space="preserve">fall outside the harmonised sphere and would be covered freely by national legislation, including</w:t>
      </w:r>
      <w:r>
        <w:t xml:space="preserve"> </w:t>
      </w:r>
      <w:r>
        <w:t xml:space="preserve">national assessment methods and EU rules on mutual recognition. The Member States would</w:t>
      </w:r>
      <w:r>
        <w:t xml:space="preserve"> </w:t>
      </w:r>
      <w:r>
        <w:t xml:space="preserve">have the same freedom with regard to the essential characteristics of a certain product group that</w:t>
      </w:r>
      <w:r>
        <w:t xml:space="preserve"> </w:t>
      </w:r>
      <w:r>
        <w:t xml:space="preserve">have not been covered by a harmonised assessment method.</w:t>
      </w:r>
      <w:r>
        <w:t xml:space="preserve"> </w:t>
      </w:r>
      <w:r>
        <w:t xml:space="preserve">Element 2: Limiting the CPR’s scope to core areas</w:t>
      </w:r>
      <w:r>
        <w:t xml:space="preserve"> </w:t>
      </w:r>
      <w:r>
        <w:t xml:space="preserve">Core areas would be identified during the legislative process</w:t>
      </w:r>
      <w:r>
        <w:t xml:space="preserve"> </w:t>
      </w:r>
      <w:r>
        <w:t xml:space="preserve">The CPR’s scope would be redefined to focus on core areas, and this would be done at the level</w:t>
      </w:r>
      <w:r>
        <w:t xml:space="preserve"> </w:t>
      </w:r>
      <w:r>
        <w:t xml:space="preserve">of the CPR itself so that the CPR would need to be revised to go beyond the boundaries of that</w:t>
      </w:r>
      <w:r>
        <w:t xml:space="preserve"> </w:t>
      </w:r>
      <w:r>
        <w:t xml:space="preserve">scope. The core areas would be identified according to three criteria: the coherence of Member</w:t>
      </w:r>
      <w:r>
        <w:t xml:space="preserve"> </w:t>
      </w:r>
      <w:r>
        <w:t xml:space="preserve">States’ regulatory needs282, the relevance for the environment or for citizens in terms of safety283</w:t>
      </w:r>
    </w:p>
    <w:p>
      <w:pPr>
        <w:pStyle w:val="BodyText"/>
      </w:pPr>
      <w:r>
        <w:t xml:space="preserve">282 Thus excluding areas where Member States’ regulatory expectations and needs differ so much that a harmonised</w:t>
      </w:r>
      <w:r>
        <w:t xml:space="preserve"> </w:t>
      </w:r>
      <w:r>
        <w:t xml:space="preserve">approach barely makes sense.</w:t>
      </w:r>
      <w:r>
        <w:t xml:space="preserve"> </w:t>
      </w:r>
      <w:r>
        <w:t xml:space="preserve">283 “Safety” in a broad sense, including e.g. harmful emissions.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and market relevance. These criteria are thus not only applied by the Commission when setting</w:t>
      </w:r>
      <w:r>
        <w:t xml:space="preserve"> </w:t>
      </w:r>
      <w:r>
        <w:t xml:space="preserve">priorities for formulating Harmonised Technical Specifications as described under Option B, but</w:t>
      </w:r>
      <w:r>
        <w:t xml:space="preserve"> </w:t>
      </w:r>
      <w:r>
        <w:t xml:space="preserve">already by the legislator when determining the overall scope of the CPR.</w:t>
      </w:r>
      <w:r>
        <w:br/>
      </w:r>
      <w:r>
        <w:t xml:space="preserve">This approach would permit a better focusing on the regulatory needs of the Member States. It</w:t>
      </w:r>
      <w:r>
        <w:t xml:space="preserve"> </w:t>
      </w:r>
      <w:r>
        <w:t xml:space="preserve">would give Member States the certainty that the EU cannot quickly extend the harmonised zone</w:t>
      </w:r>
      <w:r>
        <w:t xml:space="preserve"> </w:t>
      </w:r>
      <w:r>
        <w:t xml:space="preserve">beyond what is laid down as the scope of the CPR. It would also to some extent</w:t>
      </w:r>
      <w:r>
        <w:t xml:space="preserve"> </w:t>
      </w:r>
      <w:r>
        <w:t xml:space="preserve">“legalise”</w:t>
      </w:r>
      <w:r>
        <w:t xml:space="preserve"> </w:t>
      </w:r>
      <w:r>
        <w:t xml:space="preserve">the de</w:t>
      </w:r>
      <w:r>
        <w:t xml:space="preserve"> </w:t>
      </w:r>
      <w:r>
        <w:t xml:space="preserve">facto market fragmentation that already exists in some areas. On the other hand, it would deprive</w:t>
      </w:r>
      <w:r>
        <w:t xml:space="preserve"> </w:t>
      </w:r>
      <w:r>
        <w:t xml:space="preserve">the Commission and the Member States to react quickly to new harmonisation, safety or</w:t>
      </w:r>
      <w:r>
        <w:t xml:space="preserve"> </w:t>
      </w:r>
      <w:r>
        <w:t xml:space="preserve">environmental needs</w:t>
      </w:r>
      <w:r>
        <w:t xml:space="preserve"> </w:t>
      </w:r>
      <w:r>
        <w:t xml:space="preserve">Outside core areas mutual recognition would apply</w:t>
      </w:r>
      <w:r>
        <w:t xml:space="preserve"> </w:t>
      </w:r>
      <w:r>
        <w:t xml:space="preserve">For essential characteristics and products outside the resulting core areas, Member States could</w:t>
      </w:r>
      <w:r>
        <w:t xml:space="preserve"> </w:t>
      </w:r>
      <w:r>
        <w:t xml:space="preserve">lawfully regulate performance assessment and communication (subject to Articles 34-36 TFEU).</w:t>
      </w:r>
      <w:r>
        <w:br/>
      </w:r>
      <w:r>
        <w:t xml:space="preserve">National requirements subject to notification under Directive 2015/1535 would be notified</w:t>
      </w:r>
      <w:r>
        <w:t xml:space="preserve"> </w:t>
      </w:r>
      <w:r>
        <w:t xml:space="preserve">through TRIS (Technical Regulation Information System284), allowing the Commission to follow</w:t>
      </w:r>
      <w:r>
        <w:t xml:space="preserve"> </w:t>
      </w:r>
      <w:r>
        <w:t xml:space="preserve">up by initiating amendments to harmonised technical specifications if appropriate. If the</w:t>
      </w:r>
      <w:r>
        <w:t xml:space="preserve"> </w:t>
      </w:r>
      <w:r>
        <w:t xml:space="preserve">Commission does not, mutual recognition rules would apply (to the limited extent they are</w:t>
      </w:r>
      <w:r>
        <w:t xml:space="preserve"> </w:t>
      </w:r>
      <w:r>
        <w:t xml:space="preserve">effective in the construction sector285). For all other aspects, Option B would apply, however</w:t>
      </w:r>
      <w:r>
        <w:t xml:space="preserve"> </w:t>
      </w:r>
      <w:r>
        <w:t xml:space="preserve">limited to the reduced scope.</w:t>
      </w:r>
      <w:r>
        <w:t xml:space="preserve"> </w:t>
      </w:r>
      <w:r>
        <w:t xml:space="preserve">Element 3: Making the Common Technical Language optional for manufacturers</w:t>
      </w:r>
      <w:r>
        <w:t xml:space="preserve"> </w:t>
      </w:r>
      <w:r>
        <w:t xml:space="preserve">Manufacturers could choose whether they use the Common Technical Language</w:t>
      </w:r>
      <w:r>
        <w:br/>
      </w:r>
      <w:r>
        <w:t xml:space="preserve">In case manufacturers choose not to use the common technical language to assess and</w:t>
      </w:r>
      <w:r>
        <w:t xml:space="preserve"> </w:t>
      </w:r>
      <w:r>
        <w:t xml:space="preserve">communicate performance, they would not be allowed to affix CE marking or deliver any</w:t>
      </w:r>
      <w:r>
        <w:t xml:space="preserve"> </w:t>
      </w:r>
      <w:r>
        <w:t xml:space="preserve">document that could be mistaken for a Declaration of Performance.</w:t>
      </w:r>
      <w:r>
        <w:t xml:space="preserve"> </w:t>
      </w:r>
      <w:r>
        <w:t xml:space="preserve">Member States would remain obliged to offer market access to manufacturers that choose</w:t>
      </w:r>
      <w:r>
        <w:t xml:space="preserve"> </w:t>
      </w:r>
      <w:r>
        <w:t xml:space="preserve">to use the Common Technical Language</w:t>
      </w:r>
      <w:r>
        <w:t xml:space="preserve"> </w:t>
      </w:r>
      <w:r>
        <w:t xml:space="preserve">Member States would continue to be required to offer a path to market access based on national</w:t>
      </w:r>
      <w:r>
        <w:t xml:space="preserve"> </w:t>
      </w:r>
      <w:r>
        <w:t xml:space="preserve">requirements referring to the Common Technical Language. Manufacturers would thereby have</w:t>
      </w:r>
      <w:r>
        <w:t xml:space="preserve"> </w:t>
      </w:r>
      <w:r>
        <w:t xml:space="preserve">the certainty of access to the European market if they use the Common Technical Language.</w:t>
      </w:r>
      <w:r>
        <w:t xml:space="preserve"> </w:t>
      </w:r>
      <w:r>
        <w:t xml:space="preserve">Thus, the free circulation of products, which is the CPR’s main goal, would be ensured for CE</w:t>
      </w:r>
      <w:r>
        <w:t xml:space="preserve"> </w:t>
      </w:r>
      <w:r>
        <w:t xml:space="preserve">marked products.</w:t>
      </w:r>
      <w:r>
        <w:t xml:space="preserve"> </w:t>
      </w:r>
      <w:r>
        <w:t xml:space="preserve">Member States would be allowed to regulate for an alternative path to market access not</w:t>
      </w:r>
      <w:r>
        <w:t xml:space="preserve"> </w:t>
      </w:r>
      <w:r>
        <w:t xml:space="preserve">based on the Common Technical Language</w:t>
      </w:r>
      <w:r>
        <w:t xml:space="preserve"> </w:t>
      </w:r>
      <w:r>
        <w:t xml:space="preserve">Member States may wish to take into account in their national requirements the possibility of</w:t>
      </w:r>
      <w:r>
        <w:t xml:space="preserve"> </w:t>
      </w:r>
      <w:r>
        <w:t xml:space="preserve">manufacturers not using the Common Technical Language. Such deviating requirements would</w:t>
      </w:r>
    </w:p>
    <w:p>
      <w:pPr>
        <w:pStyle w:val="BodyText"/>
      </w:pPr>
      <w:r>
        <w:t xml:space="preserve">284 The (EU) 2015/1535 procedure aims to stop barriers before they materialize in the internal market. Through</w:t>
      </w:r>
      <w:r>
        <w:t xml:space="preserve"> </w:t>
      </w:r>
      <w:r>
        <w:t xml:space="preserve">TRIS, Member States notify their legislative projects regarding products and Information Society services to the</w:t>
      </w:r>
      <w:r>
        <w:t xml:space="preserve"> </w:t>
      </w:r>
      <w:r>
        <w:t xml:space="preserve">Commission which analyses these projects in the light of EU legislation. Member States participate in this</w:t>
      </w:r>
      <w:r>
        <w:t xml:space="preserve"> </w:t>
      </w:r>
      <w:r>
        <w:t xml:space="preserve">procedure on an equal footing with the Commission and they can also provide their opinions on the notified</w:t>
      </w:r>
      <w:r>
        <w:t xml:space="preserve"> </w:t>
      </w:r>
      <w:r>
        <w:t xml:space="preserve">drafts.</w:t>
      </w:r>
      <w:r>
        <w:t xml:space="preserve"> </w:t>
      </w:r>
      <w:r>
        <w:t xml:space="preserve">285 See the analysis of the effectiveness below at the end of Option E (the repeal option).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constitute an alternative path to market access, so that manufacturers have a choice. More leeway</w:t>
      </w:r>
      <w:r>
        <w:t xml:space="preserve"> </w:t>
      </w:r>
      <w:r>
        <w:t xml:space="preserve">would thus be given to the use of national marks, to the extent that these do not hinder market</w:t>
      </w:r>
      <w:r>
        <w:t xml:space="preserve"> </w:t>
      </w:r>
      <w:r>
        <w:t xml:space="preserve">access based on the Common Technical Language286.</w:t>
      </w:r>
      <w:r>
        <w:br/>
      </w:r>
      <w:r>
        <w:t xml:space="preserve">Evidently, such an alternative national path might lead to higher performance requirements and</w:t>
      </w:r>
      <w:r>
        <w:t xml:space="preserve"> </w:t>
      </w:r>
      <w:r>
        <w:t xml:space="preserve">subsequent marketing advantages, although free circulation is ensured. Alternatively, an</w:t>
      </w:r>
      <w:r>
        <w:t xml:space="preserve"> </w:t>
      </w:r>
      <w:r>
        <w:t xml:space="preserve">alternative national path might also lead to lower requirements than in the Common Technical</w:t>
      </w:r>
      <w:r>
        <w:t xml:space="preserve"> </w:t>
      </w:r>
      <w:r>
        <w:t xml:space="preserve">Language path, e.g. by allowing test methods which are less severe than the ones foreseen at EU</w:t>
      </w:r>
      <w:r>
        <w:t xml:space="preserve"> </w:t>
      </w:r>
      <w:r>
        <w:t xml:space="preserve">level or by refraining from minimum threshold levels. Therefore, the EU regulation would no</w:t>
      </w:r>
      <w:r>
        <w:t xml:space="preserve"> </w:t>
      </w:r>
      <w:r>
        <w:t xml:space="preserve">more achieve the goal of establishing minimum environmental or safety requirements.</w:t>
      </w:r>
      <w:r>
        <w:t xml:space="preserve"> </w:t>
      </w:r>
      <w:r>
        <w:t xml:space="preserve">Accordingly, Element 3 might not be in line with the mandate of Article 114 TFEU to pursue a</w:t>
      </w:r>
      <w:r>
        <w:t xml:space="preserve"> </w:t>
      </w:r>
      <w:r>
        <w:t xml:space="preserve">high level of protection of these values.</w:t>
      </w:r>
      <w:r>
        <w:t xml:space="preserve"> </w:t>
      </w:r>
      <w:r>
        <w:t xml:space="preserve">OPTION D – ENHANCING THE CPR</w:t>
      </w:r>
      <w:r>
        <w:br/>
      </w:r>
      <w:r>
        <w:t xml:space="preserve">Under this option, a revised CPR would introduce product requirements dealing with</w:t>
      </w:r>
      <w:r>
        <w:t xml:space="preserve"> </w:t>
      </w:r>
      <w:r>
        <w:t xml:space="preserve">product inherent aspects287 in order to protect health, safety and the environment. It builds</w:t>
      </w:r>
      <w:r>
        <w:t xml:space="preserve"> </w:t>
      </w:r>
      <w:r>
        <w:t xml:space="preserve">on Option B “Repairing CPR”, which in turn includes the Baseline scenario outlined under</w:t>
      </w:r>
      <w:r>
        <w:t xml:space="preserve"> </w:t>
      </w:r>
      <w:r>
        <w:t xml:space="preserve">Option A. Such product requirements could follow two different approaches, which are</w:t>
      </w:r>
      <w:r>
        <w:t xml:space="preserve"> </w:t>
      </w:r>
      <w:r>
        <w:t xml:space="preserve">outlined under D1 and D2. The elements common to both approaches are outlined here:</w:t>
      </w:r>
      <w:r>
        <w:br/>
      </w:r>
      <w:r>
        <w:t xml:space="preserve">Product requirements would be gradually introduced into the CPR system</w:t>
      </w:r>
      <w:r>
        <w:br/>
      </w:r>
      <w:r>
        <w:t xml:space="preserve">A revised CPR would gradually introduce product requirements for certain specific product</w:t>
      </w:r>
      <w:r>
        <w:t xml:space="preserve"> </w:t>
      </w:r>
      <w:r>
        <w:t xml:space="preserve">inherent aspects of selected products or products families. Going beyond the provision of a</w:t>
      </w:r>
      <w:r>
        <w:t xml:space="preserve"> </w:t>
      </w:r>
      <w:r>
        <w:t xml:space="preserve">common technical language for the assessment of performance, such requirements would</w:t>
      </w:r>
      <w:r>
        <w:t xml:space="preserve"> </w:t>
      </w:r>
      <w:r>
        <w:t xml:space="preserve">prescribe a products’ mandatory minimum requirements.288 The current common technical</w:t>
      </w:r>
      <w:r>
        <w:t xml:space="preserve"> </w:t>
      </w:r>
      <w:r>
        <w:t xml:space="preserve">language approach would thus be complemented by proper product requirements aimed at</w:t>
      </w:r>
      <w:r>
        <w:t xml:space="preserve"> </w:t>
      </w:r>
      <w:r>
        <w:t xml:space="preserve">ensuring the health and safety of citizens and protection of the environment. The degree to which</w:t>
      </w:r>
      <w:r>
        <w:t xml:space="preserve"> </w:t>
      </w:r>
      <w:r>
        <w:t xml:space="preserve">health and safety of citizens and protection of the environment can be improved would determine</w:t>
      </w:r>
      <w:r>
        <w:t xml:space="preserve"> </w:t>
      </w:r>
      <w:r>
        <w:t xml:space="preserve">priorities.</w:t>
      </w:r>
      <w:r>
        <w:t xml:space="preserve"> </w:t>
      </w:r>
      <w:r>
        <w:t xml:space="preserve">Tailor-made product requirements would in particular ensure inherent product safety</w:t>
      </w:r>
      <w:r>
        <w:t xml:space="preserve"> </w:t>
      </w:r>
      <w:r>
        <w:t xml:space="preserve">This option would allow for the introduction of effective product safety requirements and</w:t>
      </w:r>
      <w:r>
        <w:t xml:space="preserve"> </w:t>
      </w:r>
      <w:r>
        <w:t xml:space="preserve">obligations meant to guarantee inherent product safety into the standards (see D1) or in the</w:t>
      </w:r>
      <w:r>
        <w:t xml:space="preserve"> </w:t>
      </w:r>
      <w:r>
        <w:t xml:space="preserve">technical specifications (see D2). Inherent product safety should be distinguished from</w:t>
      </w:r>
      <w:r>
        <w:t xml:space="preserve"> </w:t>
      </w:r>
      <w:r>
        <w:t xml:space="preserve">construction work safety, which is framed by national legislation. Manufacturers of the products</w:t>
      </w:r>
      <w:r>
        <w:t xml:space="preserve"> </w:t>
      </w:r>
      <w:r>
        <w:t xml:space="preserve">concerned would have to comply with such requirements and obligations even if their products</w:t>
      </w:r>
      <w:r>
        <w:t xml:space="preserve"> </w:t>
      </w:r>
      <w:r>
        <w:t xml:space="preserve">are not covered by national regulation on construction works, for example in the case of products</w:t>
      </w:r>
      <w:r>
        <w:t xml:space="preserve"> </w:t>
      </w:r>
      <w:r>
        <w:t xml:space="preserve">sold directly to consumers in DIY (do-it-yourself) shops.289 They would not have the possibility</w:t>
      </w:r>
    </w:p>
    <w:p>
      <w:pPr>
        <w:pStyle w:val="BodyText"/>
      </w:pPr>
      <w:r>
        <w:t xml:space="preserve">286 However, unless deliberately decided otherwise by the legislator, ECJ ruling C-227/06 would apply, limiting the</w:t>
      </w:r>
      <w:r>
        <w:t xml:space="preserve"> </w:t>
      </w:r>
      <w:r>
        <w:t xml:space="preserve">room for national marks.</w:t>
      </w:r>
      <w:r>
        <w:t xml:space="preserve"> </w:t>
      </w:r>
      <w:r>
        <w:t xml:space="preserve">287 Thus not with aspects that become relevant for health, safety and the environment via the construction works.</w:t>
      </w:r>
      <w:r>
        <w:t xml:space="preserve"> </w:t>
      </w:r>
      <w:r>
        <w:t xml:space="preserve">288 These requirements can go beyond threshold levels as they might also touch upon non-scalable characteristics,</w:t>
      </w:r>
      <w:r>
        <w:t xml:space="preserve"> </w:t>
      </w:r>
      <w:r>
        <w:t xml:space="preserve">labelling, and instructions for use etc. They might relate to physical characteristics like (absence) of sharps,</w:t>
      </w:r>
      <w:r>
        <w:t xml:space="preserve"> </w:t>
      </w:r>
      <w:r>
        <w:t xml:space="preserve">mechanisms or other characteristics protecting users, IT safety, electrical and mechanical safety etc., but also to</w:t>
      </w:r>
      <w:r>
        <w:t xml:space="preserve"> </w:t>
      </w:r>
      <w:r>
        <w:t xml:space="preserve">environmental characteristics like easy disposability or recyclability.</w:t>
      </w:r>
      <w:r>
        <w:br/>
      </w:r>
      <w:r>
        <w:t xml:space="preserve">289 European Commission services took note of the fact that some national regulation on construction works also</w:t>
      </w:r>
      <w:r>
        <w:t xml:space="preserve"> </w:t>
      </w:r>
      <w:r>
        <w:t xml:space="preserve">covers DIY products. However, they are also aware that this is anything but systematic. Furthermore, the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to refrain from CE marking and thereby avoid EU regulation. A similar logic could apply to</w:t>
      </w:r>
      <w:r>
        <w:t xml:space="preserve"> </w:t>
      </w:r>
      <w:r>
        <w:t xml:space="preserve">environmental product requirements.</w:t>
      </w:r>
      <w:r>
        <w:br/>
      </w:r>
      <w:r>
        <w:t xml:space="preserve">The CPR itself would include a first thin layer of horizontal product requirements</w:t>
      </w:r>
      <w:r>
        <w:t xml:space="preserve"> </w:t>
      </w:r>
      <w:r>
        <w:t xml:space="preserve">A first thin layer of “horizontal” environmental and product safety requirements and obligations</w:t>
      </w:r>
      <w:r>
        <w:t xml:space="preserve"> </w:t>
      </w:r>
      <w:r>
        <w:t xml:space="preserve">would be laid down in an Annex to the CPR itself. Currently, the European Commission and the</w:t>
      </w:r>
      <w:r>
        <w:t xml:space="preserve"> </w:t>
      </w:r>
      <w:r>
        <w:t xml:space="preserve">Member States are assessing which types of requirements and obligations are necessary or at</w:t>
      </w:r>
      <w:r>
        <w:t xml:space="preserve"> </w:t>
      </w:r>
      <w:r>
        <w:t xml:space="preserve">least useful for the vast majority of construction products. In order to avoid repetition in each</w:t>
      </w:r>
      <w:r>
        <w:t xml:space="preserve"> </w:t>
      </w:r>
      <w:r>
        <w:t xml:space="preserve">individual Harmonised Technical Specification, these requirements and obligations would</w:t>
      </w:r>
      <w:r>
        <w:t xml:space="preserve"> </w:t>
      </w:r>
      <w:r>
        <w:t xml:space="preserve">already be laid down horizontally. A certain number of these horizontal requirements and</w:t>
      </w:r>
      <w:r>
        <w:t xml:space="preserve"> </w:t>
      </w:r>
      <w:r>
        <w:t xml:space="preserve">obligations are likely to be identified in particular with regard to instructions for (safe and</w:t>
      </w:r>
      <w:r>
        <w:t xml:space="preserve"> </w:t>
      </w:r>
      <w:r>
        <w:t xml:space="preserve">environmentally friendly) use and environmental information290. Some of them might also be of</w:t>
      </w:r>
      <w:r>
        <w:t xml:space="preserve"> </w:t>
      </w:r>
      <w:r>
        <w:t xml:space="preserve">such fundamental character (e.g. the obligation to disclose chemical components) that it is</w:t>
      </w:r>
      <w:r>
        <w:t xml:space="preserve"> </w:t>
      </w:r>
      <w:r>
        <w:t xml:space="preserve">legally preferable, if not necessary, to establish them at the level of the CPR itself.</w:t>
      </w:r>
      <w:r>
        <w:t xml:space="preserve"> </w:t>
      </w:r>
      <w:r>
        <w:t xml:space="preserve">The establishment of such a thin layer of horizontal requirements and obligations would establish</w:t>
      </w:r>
      <w:r>
        <w:t xml:space="preserve"> </w:t>
      </w:r>
      <w:r>
        <w:t xml:space="preserve">a kind of minimum protection of the three goals prescribed by the CPR’s legal basis (Article 114</w:t>
      </w:r>
      <w:r>
        <w:t xml:space="preserve"> </w:t>
      </w:r>
      <w:r>
        <w:t xml:space="preserve">of the Treaty on the Functioning of the European Union) besides ensuring the functioning of the</w:t>
      </w:r>
      <w:r>
        <w:t xml:space="preserve"> </w:t>
      </w:r>
      <w:r>
        <w:t xml:space="preserve">internal market: environmental protection, safety and (in our case: indirectly) consumer</w:t>
      </w:r>
      <w:r>
        <w:t xml:space="preserve"> </w:t>
      </w:r>
      <w:r>
        <w:t xml:space="preserve">protection. It would have this role wherever Harmonised Technical Specifications are</w:t>
      </w:r>
      <w:r>
        <w:t xml:space="preserve"> </w:t>
      </w:r>
      <w:r>
        <w:t xml:space="preserve">incomplete. In particular in the first phase of the applicability of the new CPR, it is likely that</w:t>
      </w:r>
      <w:r>
        <w:t xml:space="preserve"> </w:t>
      </w:r>
      <w:r>
        <w:t xml:space="preserve">some Harmonised Technical Specifications will be incomplete.</w:t>
      </w:r>
      <w:r>
        <w:br/>
      </w:r>
      <w:r>
        <w:t xml:space="preserve">Background: One has to distinguish between the safety of construction works and the inherent</w:t>
      </w:r>
      <w:r>
        <w:t xml:space="preserve"> </w:t>
      </w:r>
      <w:r>
        <w:t xml:space="preserve">safety of construction products as such. Article 114 TFEU, the CPR’s legal basis, requires a</w:t>
      </w:r>
      <w:r>
        <w:t xml:space="preserve"> </w:t>
      </w:r>
      <w:r>
        <w:t xml:space="preserve">“high level of protection”. The Commission’s proposal therefore must be oriented towards this</w:t>
      </w:r>
      <w:r>
        <w:t xml:space="preserve"> </w:t>
      </w:r>
      <w:r>
        <w:t xml:space="preserve">goal. The Commission has an obligation to investigate possibilities to enhance citizens’ health</w:t>
      </w:r>
      <w:r>
        <w:t xml:space="preserve"> </w:t>
      </w:r>
      <w:r>
        <w:t xml:space="preserve">and safety by establishing requirements for the inherent safety of construction products. It</w:t>
      </w:r>
      <w:r>
        <w:t xml:space="preserve"> </w:t>
      </w:r>
      <w:r>
        <w:t xml:space="preserve">should also be remembered, however, that Option D is only an enhancement option, an add-on.</w:t>
      </w:r>
      <w:r>
        <w:t xml:space="preserve"> </w:t>
      </w:r>
      <w:r>
        <w:t xml:space="preserve">It builds on the CPR as “repaired” under Option B and still has the Common Technical</w:t>
      </w:r>
      <w:r>
        <w:t xml:space="preserve"> </w:t>
      </w:r>
      <w:r>
        <w:t xml:space="preserve">Language approach at its core. It is thus an enhancement option and does not propose a radical</w:t>
      </w:r>
      <w:r>
        <w:t xml:space="preserve"> </w:t>
      </w:r>
      <w:r>
        <w:t xml:space="preserve">system change.</w:t>
      </w:r>
      <w:r>
        <w:br/>
      </w:r>
      <w:r>
        <w:t xml:space="preserve">OPTION D1 – NEW LEGISLATIVE FRAMEWORK APPROACH FOR PRODUCT</w:t>
      </w:r>
      <w:r>
        <w:t xml:space="preserve"> </w:t>
      </w:r>
      <w:r>
        <w:t xml:space="preserve">REQUIREMENTS</w:t>
      </w:r>
      <w:r>
        <w:t xml:space="preserve"> </w:t>
      </w:r>
      <w:r>
        <w:t xml:space="preserve">Beyond the initial thin layer of horizontal environmental and product safety requirements</w:t>
      </w:r>
      <w:r>
        <w:t xml:space="preserve"> </w:t>
      </w:r>
      <w:r>
        <w:t xml:space="preserve">and obligations laid down in an Annex of the CPR, Option D1 would formulate product</w:t>
      </w:r>
      <w:r>
        <w:t xml:space="preserve"> </w:t>
      </w:r>
      <w:r>
        <w:t xml:space="preserve">requirements based on the New Legislative Framework approach. In case the resulting</w:t>
      </w:r>
      <w:r>
        <w:t xml:space="preserve"> </w:t>
      </w:r>
      <w:r>
        <w:t xml:space="preserve">requirements address certain aspects covered by the CPR’s horizontal requirements in a</w:t>
      </w:r>
      <w:r>
        <w:t xml:space="preserve"> </w:t>
      </w:r>
      <w:r>
        <w:t xml:space="preserve">more specific manner, these more specific requirements would supersede the relevant</w:t>
      </w:r>
      <w:r>
        <w:t xml:space="preserve"> </w:t>
      </w:r>
      <w:r>
        <w:t xml:space="preserve">horizontal requirements.</w:t>
      </w:r>
      <w:r>
        <w:t xml:space="preserve"> </w:t>
      </w:r>
      <w:r>
        <w:t xml:space="preserve"> Essential requirements would be laid down in standardisation requests</w:t>
      </w:r>
    </w:p>
    <w:p>
      <w:pPr>
        <w:pStyle w:val="BodyText"/>
      </w:pPr>
      <w:r>
        <w:t xml:space="preserve">application and in particular the market surveillance varies strongly. In view of all this there is a regulatory</w:t>
      </w:r>
      <w:r>
        <w:t xml:space="preserve"> </w:t>
      </w:r>
      <w:r>
        <w:t xml:space="preserve">loophole.</w:t>
      </w:r>
      <w:r>
        <w:t xml:space="preserve"> </w:t>
      </w:r>
      <w:r>
        <w:t xml:space="preserve">290 Which could well go beyond the information needed under BWR 3, 6 and 7, namely in view of chemicals</w:t>
      </w:r>
      <w:r>
        <w:t xml:space="preserve"> </w:t>
      </w:r>
      <w:r>
        <w:t xml:space="preserve">legislation.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For the products or product families concerned, essential requirements would be laid down in</w:t>
      </w:r>
      <w:r>
        <w:t xml:space="preserve"> </w:t>
      </w:r>
      <w:r>
        <w:t xml:space="preserve">standardisation requests addressed to CEN.</w:t>
      </w:r>
      <w:r>
        <w:br/>
      </w:r>
      <w:r>
        <w:t xml:space="preserve"> CEN would be requested to develop voluntary standards</w:t>
      </w:r>
      <w:r>
        <w:t xml:space="preserve"> </w:t>
      </w:r>
      <w:r>
        <w:t xml:space="preserve">CEN would be mandated to develop standards providing technical detail. These voluntary</w:t>
      </w:r>
      <w:r>
        <w:t xml:space="preserve"> </w:t>
      </w:r>
      <w:r>
        <w:t xml:space="preserve">standards would be harmonised by referencing in the OJEU.</w:t>
      </w:r>
      <w:r>
        <w:br/>
      </w:r>
      <w:r>
        <w:t xml:space="preserve"> Compliance with standards would provide presumption of conformity</w:t>
      </w:r>
      <w:r>
        <w:br/>
      </w:r>
      <w:r>
        <w:t xml:space="preserve">Following the voluntary standards would lead to the presumption of a product’s conformity</w:t>
      </w:r>
      <w:r>
        <w:t xml:space="preserve"> </w:t>
      </w:r>
      <w:r>
        <w:t xml:space="preserve">with the relevant essential requirements, but other means to prove conformity would remain</w:t>
      </w:r>
      <w:r>
        <w:t xml:space="preserve"> </w:t>
      </w:r>
      <w:r>
        <w:t xml:space="preserve">possible.</w:t>
      </w:r>
      <w:r>
        <w:br/>
      </w:r>
      <w:r>
        <w:t xml:space="preserve"> The Declaration of Performance291 would, depending on the case, be complemented by</w:t>
      </w:r>
      <w:r>
        <w:t xml:space="preserve"> </w:t>
      </w:r>
      <w:r>
        <w:t xml:space="preserve">a Declaration of Conformity and both would be combined in one document.</w:t>
      </w:r>
      <w:r>
        <w:br/>
      </w:r>
      <w:r>
        <w:t xml:space="preserve">OPTION D2 – TECHNICAL SPECIFICATIONS APPROACH FOR PRODUCT</w:t>
      </w:r>
      <w:r>
        <w:t xml:space="preserve"> </w:t>
      </w:r>
      <w:r>
        <w:t xml:space="preserve">REQUIREMENTS</w:t>
      </w:r>
      <w:r>
        <w:t xml:space="preserve"> </w:t>
      </w:r>
      <w:r>
        <w:t xml:space="preserve">Beyond the initial thin layer of horizontal environmental and product safety requirements</w:t>
      </w:r>
      <w:r>
        <w:t xml:space="preserve"> </w:t>
      </w:r>
      <w:r>
        <w:t xml:space="preserve">and obligations laid down in an Annex of the CPR, Option D2 would formulate product</w:t>
      </w:r>
      <w:r>
        <w:t xml:space="preserve"> </w:t>
      </w:r>
      <w:r>
        <w:t xml:space="preserve">requirements based on the Technical Specifications Approach. In case the resulting</w:t>
      </w:r>
      <w:r>
        <w:t xml:space="preserve"> </w:t>
      </w:r>
      <w:r>
        <w:t xml:space="preserve">requirements address certain aspects covered by the CPR’s horizontal requirements in a</w:t>
      </w:r>
      <w:r>
        <w:t xml:space="preserve"> </w:t>
      </w:r>
      <w:r>
        <w:t xml:space="preserve">more specific manner, these more specific requirements would supersede the relevant</w:t>
      </w:r>
      <w:r>
        <w:t xml:space="preserve"> </w:t>
      </w:r>
      <w:r>
        <w:t xml:space="preserve">horizontal requirements.</w:t>
      </w:r>
      <w:r>
        <w:t xml:space="preserve"> </w:t>
      </w:r>
      <w:r>
        <w:t xml:space="preserve"> Detailed requirements would be included in Harmonised Technical Specifications</w:t>
      </w:r>
      <w:r>
        <w:t xml:space="preserve"> </w:t>
      </w:r>
      <w:r>
        <w:t xml:space="preserve">Considering the problems experienced with the quality of the harmonised European</w:t>
      </w:r>
      <w:r>
        <w:t xml:space="preserve"> </w:t>
      </w:r>
      <w:r>
        <w:t xml:space="preserve">standards at the core of the current CPR system292, it appears appropriate to envisage the</w:t>
      </w:r>
      <w:r>
        <w:t xml:space="preserve"> </w:t>
      </w:r>
      <w:r>
        <w:t xml:space="preserve">possibility for reconsidering the Technical Specifications Approach for product requirements</w:t>
      </w:r>
      <w:r>
        <w:t xml:space="preserve"> </w:t>
      </w:r>
      <w:r>
        <w:t xml:space="preserve">(the “Old Approach”). For the products concerned, the relevant Commission acts would lay</w:t>
      </w:r>
      <w:r>
        <w:t xml:space="preserve"> </w:t>
      </w:r>
      <w:r>
        <w:t xml:space="preserve">down technically detailed product requirements.</w:t>
      </w:r>
      <w:r>
        <w:br/>
      </w:r>
      <w:r>
        <w:t xml:space="preserve"> Requirements would be developed in line with Option B</w:t>
      </w:r>
      <w:r>
        <w:t xml:space="preserve"> </w:t>
      </w:r>
      <w:r>
        <w:t xml:space="preserve">Like under Option B, the Commission would be empowered to adopt Delegated or</w:t>
      </w:r>
      <w:r>
        <w:t xml:space="preserve"> </w:t>
      </w:r>
      <w:r>
        <w:t xml:space="preserve">Implementing Acts containing, alongside the technical specifications pertaining to the</w:t>
      </w:r>
      <w:r>
        <w:t xml:space="preserve"> </w:t>
      </w:r>
      <w:r>
        <w:t xml:space="preserve">Common Technical Language approach, detailed product requirements. When formulating</w:t>
      </w:r>
      <w:r>
        <w:t xml:space="preserve"> </w:t>
      </w:r>
      <w:r>
        <w:t xml:space="preserve">technical specifications, the Commission would gather information from different actors</w:t>
      </w:r>
      <w:r>
        <w:t xml:space="preserve"> </w:t>
      </w:r>
      <w:r>
        <w:t xml:space="preserve">depending on the products and characteristics under consideration (e.g. CEN, private</w:t>
      </w:r>
      <w:r>
        <w:t xml:space="preserve"> </w:t>
      </w:r>
      <w:r>
        <w:t xml:space="preserve">standardisation consortia, the Joint Research Centre, industry groups, Regulatory</w:t>
      </w:r>
      <w:r>
        <w:t xml:space="preserve"> </w:t>
      </w:r>
      <w:r>
        <w:t xml:space="preserve">Advancement Bodies, Member States or groups of Member States). Such Commission Acts</w:t>
      </w:r>
    </w:p>
    <w:p>
      <w:pPr>
        <w:pStyle w:val="BodyText"/>
      </w:pPr>
      <w:r>
        <w:t xml:space="preserve">291 One and the same product may fall under the classic Common Technical Language Approach (triggering the</w:t>
      </w:r>
      <w:r>
        <w:t xml:space="preserve"> </w:t>
      </w:r>
      <w:r>
        <w:t xml:space="preserve">need for a Declaration of Performance) and the newly introduced product requirements, triggering the need for a</w:t>
      </w:r>
      <w:r>
        <w:t xml:space="preserve"> </w:t>
      </w:r>
      <w:r>
        <w:t xml:space="preserve">Declaration of Conformity e.g. for inherent aspects of product safety.</w:t>
      </w:r>
      <w:r>
        <w:t xml:space="preserve"> </w:t>
      </w:r>
      <w:r>
        <w:t xml:space="preserve">292 In most cases, harmonised standards do not cover all the essential characteristics impacting the Basic Work</w:t>
      </w:r>
      <w:r>
        <w:t xml:space="preserve"> </w:t>
      </w:r>
      <w:r>
        <w:t xml:space="preserve">Requirements listed in Annex I to the CPR; certain draft standards remain blocked by industry representatives to</w:t>
      </w:r>
      <w:r>
        <w:t xml:space="preserve"> </w:t>
      </w:r>
      <w:r>
        <w:t xml:space="preserve">protect national markets; most harmonised standards offered by CEN for citation in the OJ contain legal and</w:t>
      </w:r>
      <w:r>
        <w:t xml:space="preserve"> </w:t>
      </w:r>
      <w:r>
        <w:t xml:space="preserve">other formal deficiencies (this is the reason for a high rejection rate by the COM services and cumbersome repair</w:t>
      </w:r>
      <w:r>
        <w:t xml:space="preserve"> </w:t>
      </w:r>
      <w:r>
        <w:t xml:space="preserve">exercises, all delaying the timely adoption and subsequent OJ listing of harmonised standards); harmonised</w:t>
      </w:r>
      <w:r>
        <w:t xml:space="preserve"> </w:t>
      </w:r>
      <w:r>
        <w:t xml:space="preserve">standards quite often contain content which aims at the protection of certain major companies and thus turn out to</w:t>
      </w:r>
      <w:r>
        <w:t xml:space="preserve"> </w:t>
      </w:r>
      <w:r>
        <w:t xml:space="preserve">be SME-unfriendly; finally, EADs are often cast in such a way that they cannot be used for a broad range of</w:t>
      </w:r>
      <w:r>
        <w:t xml:space="preserve"> </w:t>
      </w:r>
      <w:r>
        <w:t xml:space="preserve">products (hence they cannot always serve as substitutions for missing harmonised standards).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would be developed step by step and in accordance with clear priority setting, in particular</w:t>
      </w:r>
      <w:r>
        <w:t xml:space="preserve"> </w:t>
      </w:r>
      <w:r>
        <w:t xml:space="preserve">by Member States.</w:t>
      </w:r>
      <w:r>
        <w:t xml:space="preserve"> </w:t>
      </w:r>
      <w:r>
        <w:t xml:space="preserve"> Harmonised standards would continue to play a role</w:t>
      </w:r>
      <w:r>
        <w:br/>
      </w:r>
      <w:r>
        <w:t xml:space="preserve">Harmonised European standards would have a new role because the technical specifications</w:t>
      </w:r>
      <w:r>
        <w:t xml:space="preserve"> </w:t>
      </w:r>
      <w:r>
        <w:t xml:space="preserve">adopted by the Commission would partly refer to such standards, e.g. to the test methods</w:t>
      </w:r>
      <w:r>
        <w:t xml:space="preserve"> </w:t>
      </w:r>
      <w:r>
        <w:t xml:space="preserve">contained in the standards. Other content of the harmonised European standards could simply</w:t>
      </w:r>
      <w:r>
        <w:t xml:space="preserve"> </w:t>
      </w:r>
      <w:r>
        <w:t xml:space="preserve">be integrated into Harmonised Technical Specifications.</w:t>
      </w:r>
      <w:r>
        <w:br/>
      </w:r>
      <w:r>
        <w:t xml:space="preserve"> The Declaration of Performance293 would, depending on the case, be complemented by</w:t>
      </w:r>
      <w:r>
        <w:t xml:space="preserve"> </w:t>
      </w:r>
      <w:r>
        <w:t xml:space="preserve">a Declaration of Conformity and both would be combined in one document.</w:t>
      </w:r>
      <w:r>
        <w:t xml:space="preserve"> </w:t>
      </w:r>
      <w:r>
        <w:t xml:space="preserve">OPTION E – REPEALING THE CPR</w:t>
      </w:r>
      <w:r>
        <w:t xml:space="preserve"> </w:t>
      </w:r>
      <w:r>
        <w:t xml:space="preserve">1. The CPR would be repealed without any substitute</w:t>
      </w:r>
      <w:r>
        <w:t xml:space="preserve"> </w:t>
      </w:r>
      <w:r>
        <w:t xml:space="preserve">There would be no harmonisation, i.e. no common technical language, no mandatory harmonised</w:t>
      </w:r>
      <w:r>
        <w:t xml:space="preserve"> </w:t>
      </w:r>
      <w:r>
        <w:t xml:space="preserve">standards, no voluntary harmonised standards either, no basic work requirements for</w:t>
      </w:r>
      <w:r>
        <w:t xml:space="preserve"> </w:t>
      </w:r>
      <w:r>
        <w:t xml:space="preserve">construction works, no obligation to draw up a Declaration of Performance or communicate it,</w:t>
      </w:r>
      <w:r>
        <w:t xml:space="preserve"> </w:t>
      </w:r>
      <w:r>
        <w:t xml:space="preserve">no CE marking, no classes or thresholds, no AVCP systems, and no conditions for classification</w:t>
      </w:r>
      <w:r>
        <w:t xml:space="preserve"> </w:t>
      </w:r>
      <w:r>
        <w:t xml:space="preserve">determined at EU level.</w:t>
      </w:r>
      <w:r>
        <w:t xml:space="preserve"> </w:t>
      </w:r>
      <w:r>
        <w:t xml:space="preserve">2. Relying on mutual recognition would likely fragment the construction products market</w:t>
      </w:r>
      <w:r>
        <w:t xml:space="preserve"> </w:t>
      </w:r>
      <w:r>
        <w:t xml:space="preserve">Based on experience outside the sphere for which requirements are set under the CPR doubts</w:t>
      </w:r>
      <w:r>
        <w:t xml:space="preserve"> </w:t>
      </w:r>
      <w:r>
        <w:t xml:space="preserve">must be raised as to the effectiveness of the principle of mutual recognition. The main reason for</w:t>
      </w:r>
      <w:r>
        <w:t xml:space="preserve"> </w:t>
      </w:r>
      <w:r>
        <w:t xml:space="preserve">the supposedly weak effectiveness of the principle is that Member States regulations on</w:t>
      </w:r>
      <w:r>
        <w:t xml:space="preserve"> </w:t>
      </w:r>
      <w:r>
        <w:t xml:space="preserve">construction works (and thus implicitly the product requirements derived therefrom) differ very</w:t>
      </w:r>
      <w:r>
        <w:t xml:space="preserve"> </w:t>
      </w:r>
      <w:r>
        <w:t xml:space="preserve">much, as can be proven by the fact that national regulation requires very different performance</w:t>
      </w:r>
      <w:r>
        <w:t xml:space="preserve"> </w:t>
      </w:r>
      <w:r>
        <w:t xml:space="preserve">levels. Hence, little conclusions294 can be drawn from the acceptance of a certain product with</w:t>
      </w:r>
      <w:r>
        <w:t xml:space="preserve"> </w:t>
      </w:r>
      <w:r>
        <w:t xml:space="preserve">regard to Criteria list A in Member State X for the Criteria list B in Member State Y, the Criteria</w:t>
      </w:r>
      <w:r>
        <w:t xml:space="preserve"> </w:t>
      </w:r>
      <w:r>
        <w:t xml:space="preserve">list B reflecting other construction work needs that are easily explained by natural factors. A</w:t>
      </w:r>
      <w:r>
        <w:t xml:space="preserve"> </w:t>
      </w:r>
      <w:r>
        <w:t xml:space="preserve">manufacturer strategy based on mutual recognition thus becomes particularly risky in the field of</w:t>
      </w:r>
      <w:r>
        <w:t xml:space="preserve"> </w:t>
      </w:r>
      <w:r>
        <w:t xml:space="preserve">construction products. These elements may explain why, in reality, manufacturers mostly seem</w:t>
      </w:r>
      <w:r>
        <w:t xml:space="preserve"> </w:t>
      </w:r>
      <w:r>
        <w:t xml:space="preserve">to adapt to the different national requirements in all the different Member States where they wish</w:t>
      </w:r>
      <w:r>
        <w:t xml:space="preserve"> </w:t>
      </w:r>
      <w:r>
        <w:t xml:space="preserve">to market their products, without relying on mutual recognition. Repealing the CPR is likely to</w:t>
      </w:r>
      <w:r>
        <w:t xml:space="preserve"> </w:t>
      </w:r>
      <w:r>
        <w:t xml:space="preserve">compel manufacturers of ever more construction products to go down this road.</w:t>
      </w:r>
      <w:r>
        <w:br/>
      </w:r>
      <w:r>
        <w:t xml:space="preserve">Equally, the current CPR-imposed criteria on the design of public tenders would cease to apply.</w:t>
      </w:r>
      <w:r>
        <w:t xml:space="preserve"> </w:t>
      </w:r>
      <w:r>
        <w:t xml:space="preserve">The diversity of requirements established in public tenders would widen even more.</w:t>
      </w:r>
      <w:r>
        <w:t xml:space="preserve"> </w:t>
      </w:r>
      <w:r>
        <w:t xml:space="preserve">3. The repeal would not contribute to the European Green Deal</w:t>
      </w:r>
      <w:r>
        <w:t xml:space="preserve"> </w:t>
      </w:r>
      <w:r>
        <w:t xml:space="preserve">It must be noted that a repeal without replacement would not, contrary to a CPR as revised as</w:t>
      </w:r>
      <w:r>
        <w:t xml:space="preserve"> </w:t>
      </w:r>
      <w:r>
        <w:t xml:space="preserve">outlined in Options B and D, provide a substantial contribution to the European Green Deal (e.g. </w:t>
      </w:r>
      <w:r>
        <w:t xml:space="preserve"> </w:t>
      </w:r>
      <w:r>
        <w:t xml:space="preserve">by providing harmonised information on construction products’ environmental performance or</w:t>
      </w:r>
      <w:r>
        <w:t xml:space="preserve"> </w:t>
      </w:r>
      <w:r>
        <w:t xml:space="preserve">introducing environmental product requirements).</w:t>
      </w:r>
    </w:p>
    <w:p>
      <w:pPr>
        <w:pStyle w:val="BodyText"/>
      </w:pPr>
      <w:r>
        <w:t xml:space="preserve">293 See footnote 51.</w:t>
      </w:r>
      <w:r>
        <w:t xml:space="preserve"> </w:t>
      </w:r>
      <w:r>
        <w:t xml:space="preserve">294 Regarding the likelihood of acceptance or matching.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ANNEX I [OF REFINED OPTION PAPER] – PACKAGE OF MEASURES AIMED AT</w:t>
      </w:r>
      <w:r>
        <w:t xml:space="preserve"> </w:t>
      </w:r>
      <w:r>
        <w:t xml:space="preserve">HARMONISING DECISION-MAKING (OPTION B)</w:t>
      </w:r>
      <w:r>
        <w:t xml:space="preserve"> </w:t>
      </w:r>
      <w:r>
        <w:t xml:space="preserve">In order to harmonise the decision-making of market surveillance authorities (MSAs),</w:t>
      </w:r>
      <w:r>
        <w:t xml:space="preserve"> </w:t>
      </w:r>
      <w:r>
        <w:t xml:space="preserve">Notified Bodies (NBs), Environmental Verification Organisations (EVOs) and Notifying</w:t>
      </w:r>
      <w:r>
        <w:t xml:space="preserve"> </w:t>
      </w:r>
      <w:r>
        <w:t xml:space="preserve">Authorities (NAs), a revised CPR would include a package of measures providing for their</w:t>
      </w:r>
      <w:r>
        <w:t xml:space="preserve"> </w:t>
      </w:r>
      <w:r>
        <w:t xml:space="preserve">structured communication, coordination and cooperation, as well as lay down</w:t>
      </w:r>
      <w:r>
        <w:t xml:space="preserve"> </w:t>
      </w:r>
      <w:r>
        <w:t xml:space="preserve">requirements for their qualification and performance. The measures described here would</w:t>
      </w:r>
      <w:r>
        <w:t xml:space="preserve"> </w:t>
      </w:r>
      <w:r>
        <w:t xml:space="preserve">be part of Option B.</w:t>
      </w:r>
      <w:r>
        <w:br/>
      </w:r>
      <w:r>
        <w:t xml:space="preserve">Note: The measures described here are unlikely to be selected all or even by majority. The</w:t>
      </w:r>
      <w:r>
        <w:t xml:space="preserve"> </w:t>
      </w:r>
      <w:r>
        <w:t xml:space="preserve">purpose of this listing is just to describe what might be needed to be considered as possible</w:t>
      </w:r>
      <w:r>
        <w:t xml:space="preserve"> </w:t>
      </w:r>
      <w:r>
        <w:t xml:space="preserve">means for harmonising decision-making.</w:t>
      </w:r>
      <w:r>
        <w:t xml:space="preserve"> </w:t>
      </w:r>
      <w:r>
        <w:t xml:space="preserve">Setting up a structured information mechanisms</w:t>
      </w:r>
      <w:r>
        <w:t xml:space="preserve"> </w:t>
      </w:r>
      <w:r>
        <w:t xml:space="preserve">As a necessary fundament for harmonised decision-making, a revised CPR would set up a</w:t>
      </w:r>
      <w:r>
        <w:t xml:space="preserve"> </w:t>
      </w:r>
      <w:r>
        <w:t xml:space="preserve">structured mechanism for the exchange of information between the relevant actors. Such a</w:t>
      </w:r>
      <w:r>
        <w:t xml:space="preserve"> </w:t>
      </w:r>
      <w:r>
        <w:t xml:space="preserve">mechanism would allow for the identification and communication of interpretative</w:t>
      </w:r>
      <w:r>
        <w:t xml:space="preserve"> </w:t>
      </w:r>
      <w:r>
        <w:t xml:space="preserve">questions, as well as the collection and evaluation of different possible interpretations.</w:t>
      </w:r>
      <w:r>
        <w:br/>
      </w:r>
      <w:r>
        <w:t xml:space="preserve">To achieve this aim, a revised CPR might possibly:</w:t>
      </w:r>
      <w:r>
        <w:t xml:space="preserve"> </w:t>
      </w:r>
      <w:r>
        <w:t xml:space="preserve"> Set up a single information infrastructure;</w:t>
      </w:r>
      <w:r>
        <w:t xml:space="preserve"> </w:t>
      </w:r>
      <w:r>
        <w:t xml:space="preserve"> Provide clear rules on when and how relevant actors must report on new interpretative</w:t>
      </w:r>
      <w:r>
        <w:t xml:space="preserve"> </w:t>
      </w:r>
      <w:r>
        <w:t xml:space="preserve">questions;</w:t>
      </w:r>
      <w:r>
        <w:t xml:space="preserve"> </w:t>
      </w:r>
      <w:r>
        <w:t xml:space="preserve"> Provide for the possible use of artificial intelligence to detect recurring patterns (e.g. similar</w:t>
      </w:r>
      <w:r>
        <w:t xml:space="preserve"> </w:t>
      </w:r>
      <w:r>
        <w:t xml:space="preserve">decision types) and deviating decisions (to prevent unjust decisions, any final decision would</w:t>
      </w:r>
      <w:r>
        <w:t xml:space="preserve"> </w:t>
      </w:r>
      <w:r>
        <w:t xml:space="preserve">be left to a human agent);</w:t>
      </w:r>
      <w:r>
        <w:t xml:space="preserve"> </w:t>
      </w:r>
      <w:r>
        <w:t xml:space="preserve"> Permit 3rd parties (citizens and economic operators) to raise interpretative questions (after the</w:t>
      </w:r>
      <w:r>
        <w:t xml:space="preserve"> </w:t>
      </w:r>
      <w:r>
        <w:t xml:space="preserve">single information infrastructure is up and running).</w:t>
      </w:r>
      <w:r>
        <w:t xml:space="preserve"> </w:t>
      </w:r>
      <w:r>
        <w:t xml:space="preserve">Ensuring common approach to interpretative questions</w:t>
      </w:r>
      <w:r>
        <w:t xml:space="preserve"> </w:t>
      </w:r>
      <w:r>
        <w:t xml:space="preserve">A revised CPR would provide for the centralised processing of identified interpretative</w:t>
      </w:r>
      <w:r>
        <w:t xml:space="preserve"> </w:t>
      </w:r>
      <w:r>
        <w:t xml:space="preserve">questions, with validity for all relevant actors.</w:t>
      </w:r>
      <w:r>
        <w:br/>
      </w:r>
      <w:r>
        <w:t xml:space="preserve">In addition to possible informal interpretations or interpretation rules, the Commission would be</w:t>
      </w:r>
      <w:r>
        <w:t xml:space="preserve"> </w:t>
      </w:r>
      <w:r>
        <w:t xml:space="preserve">empowered to adopt Implementing Acts containing binding interpretations or implementation</w:t>
      </w:r>
      <w:r>
        <w:t xml:space="preserve"> </w:t>
      </w:r>
      <w:r>
        <w:t xml:space="preserve">rules. This empowerment would be used to address pertinent interpretative questions raised</w:t>
      </w:r>
      <w:r>
        <w:t xml:space="preserve"> </w:t>
      </w:r>
      <w:r>
        <w:t xml:space="preserve">through the structured information mechanism. The resulting binding interpretations would be</w:t>
      </w:r>
      <w:r>
        <w:t xml:space="preserve"> </w:t>
      </w:r>
      <w:r>
        <w:t xml:space="preserve">based on careful analysis of the practical, legal and economic impacts of various possible</w:t>
      </w:r>
      <w:r>
        <w:t xml:space="preserve"> </w:t>
      </w:r>
      <w:r>
        <w:t xml:space="preserve">interpretations (maybe even following a testing period of the chosen interpretation). Moreover,</w:t>
      </w:r>
      <w:r>
        <w:t xml:space="preserve"> </w:t>
      </w:r>
      <w:r>
        <w:t xml:space="preserve">before adopting a binding interpretation, the Commission would discuss the options and their</w:t>
      </w:r>
      <w:r>
        <w:t xml:space="preserve"> </w:t>
      </w:r>
      <w:r>
        <w:t xml:space="preserve">effects with the relevant actors and with Member States in virtual fora. Lastly, from the moment</w:t>
      </w:r>
      <w:r>
        <w:t xml:space="preserve"> </w:t>
      </w:r>
      <w:r>
        <w:t xml:space="preserve">an interpretative question is taken under consideration by the Commission a standstill period</w:t>
      </w:r>
      <w:r>
        <w:t xml:space="preserve"> </w:t>
      </w:r>
      <w:r>
        <w:t xml:space="preserve">might apply under certain circumstances to avoid a drifting apart of views.</w:t>
      </w:r>
      <w:r>
        <w:t xml:space="preserve"> </w:t>
      </w:r>
      <w:r>
        <w:t xml:space="preserve">Introducing rules for the qualification of agents</w:t>
      </w:r>
      <w:r>
        <w:t xml:space="preserve"> </w:t>
      </w:r>
      <w:r>
        <w:t xml:space="preserve">Knowledge gaps may lead to wrong decisions. As most actors decide correctly and wrong</w:t>
      </w:r>
      <w:r>
        <w:t xml:space="preserve"> </w:t>
      </w:r>
      <w:r>
        <w:t xml:space="preserve">decisions are unlikely to be consistent, knowledge gaps also lead to non-harmonised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decision-making. Qualification measures addressed at the relevant agents could close such</w:t>
      </w:r>
      <w:r>
        <w:t xml:space="preserve"> </w:t>
      </w:r>
      <w:r>
        <w:t xml:space="preserve">gaps.</w:t>
      </w:r>
      <w:r>
        <w:br/>
      </w:r>
      <w:r>
        <w:t xml:space="preserve">To close existing knowledge gaps and to prevent the emergence of new knowledge gaps, a</w:t>
      </w:r>
      <w:r>
        <w:t xml:space="preserve"> </w:t>
      </w:r>
      <w:r>
        <w:t xml:space="preserve">revised CPR would provide for the following measures aimed at ensuring the qualification of the</w:t>
      </w:r>
      <w:r>
        <w:t xml:space="preserve"> </w:t>
      </w:r>
      <w:r>
        <w:t xml:space="preserve">agents of MSAs, NBs, EVOs and NAs:</w:t>
      </w:r>
      <w:r>
        <w:br/>
      </w:r>
      <w:r>
        <w:t xml:space="preserve"> Inserting minimum qualification criteria;</w:t>
      </w:r>
      <w:r>
        <w:br/>
      </w:r>
      <w:r>
        <w:t xml:space="preserve"> Introducing mandatory periodic training after qualification;</w:t>
      </w:r>
      <w:r>
        <w:br/>
      </w:r>
      <w:r>
        <w:t xml:space="preserve"> Ensuring availability of online training modules or at least visual recordings of training</w:t>
      </w:r>
      <w:r>
        <w:t xml:space="preserve"> </w:t>
      </w:r>
      <w:r>
        <w:t xml:space="preserve">courses to complement live training courses.</w:t>
      </w:r>
      <w:r>
        <w:t xml:space="preserve"> </w:t>
      </w:r>
      <w:r>
        <w:t xml:space="preserve">Introducing quantitative minimum requirements</w:t>
      </w:r>
      <w:r>
        <w:t xml:space="preserve"> </w:t>
      </w:r>
      <w:r>
        <w:t xml:space="preserve">Non-harmonised decision-making often also results from uneven or insufficient human</w:t>
      </w:r>
      <w:r>
        <w:t xml:space="preserve"> </w:t>
      </w:r>
      <w:r>
        <w:t xml:space="preserve">resources. In technical fields, the lack of laboratory capacities plays a role. To address</w:t>
      </w:r>
      <w:r>
        <w:t xml:space="preserve"> </w:t>
      </w:r>
      <w:r>
        <w:t xml:space="preserve">these issues, a revised CPR would set up minimum requirements, in terms of output and</w:t>
      </w:r>
      <w:r>
        <w:t xml:space="preserve"> </w:t>
      </w:r>
      <w:r>
        <w:t xml:space="preserve">input, for relevant actors (in addition to those already mentioned in Option B).</w:t>
      </w:r>
      <w:r>
        <w:br/>
      </w:r>
      <w:r>
        <w:t xml:space="preserve">A revised CPR might possibly include two kinds of minimum requirements:</w:t>
      </w:r>
      <w:r>
        <w:t xml:space="preserve"> </w:t>
      </w:r>
      <w:r>
        <w:t xml:space="preserve"> Input requirements: proportionate, parameter-based minimum resources (for example in</w:t>
      </w:r>
      <w:r>
        <w:t xml:space="preserve"> </w:t>
      </w:r>
      <w:r>
        <w:t xml:space="preserve">terms of full-time equivalents) to be made available by relevant actors;</w:t>
      </w:r>
      <w:r>
        <w:t xml:space="preserve"> </w:t>
      </w:r>
      <w:r>
        <w:t xml:space="preserve"> Output requirements: different minimum control measures depending on the relevant actor,</w:t>
      </w:r>
      <w:r>
        <w:t xml:space="preserve"> </w:t>
      </w:r>
      <w:r>
        <w:t xml:space="preserve">e.g. a minimum number of unannounced verification to be performed by MSAs.</w:t>
      </w:r>
      <w:r>
        <w:br/>
      </w:r>
      <w:r>
        <w:t xml:space="preserve">Promoting a common decision-making culture</w:t>
      </w:r>
      <w:r>
        <w:t xml:space="preserve"> </w:t>
      </w:r>
      <w:r>
        <w:t xml:space="preserve">Promoting a collaborative attitude among the relevant actors can further favour</w:t>
      </w:r>
      <w:r>
        <w:t xml:space="preserve"> </w:t>
      </w:r>
      <w:r>
        <w:t xml:space="preserve">harmonised decision-making. When relevant agents do not hesitate to inform and ask their</w:t>
      </w:r>
      <w:r>
        <w:t xml:space="preserve"> </w:t>
      </w:r>
      <w:r>
        <w:t xml:space="preserve">peers about interpretative issues, when such issues are viewed as occasions for common</w:t>
      </w:r>
      <w:r>
        <w:t xml:space="preserve"> </w:t>
      </w:r>
      <w:r>
        <w:t xml:space="preserve">learning, they are more likely to be settled in a harmonised way.</w:t>
      </w:r>
      <w:r>
        <w:br/>
      </w:r>
      <w:r>
        <w:t xml:space="preserve">In order to promote a common decision-making culture, a revised CPR might possibly:</w:t>
      </w:r>
      <w:r>
        <w:t xml:space="preserve"> </w:t>
      </w:r>
      <w:r>
        <w:t xml:space="preserve"> Establish requirements for periodic trainings that might bring together actors from different</w:t>
      </w:r>
      <w:r>
        <w:t xml:space="preserve"> </w:t>
      </w:r>
      <w:r>
        <w:t xml:space="preserve">Member States;</w:t>
      </w:r>
      <w:r>
        <w:t xml:space="preserve"> </w:t>
      </w:r>
      <w:r>
        <w:t xml:space="preserve"> Ensure that such trainings are based on common simulated cases;</w:t>
      </w:r>
      <w:r>
        <w:t xml:space="preserve"> </w:t>
      </w:r>
      <w:r>
        <w:t xml:space="preserve"> Ensure that such trainings also address cultural aspects (e.g. pace of decisions);</w:t>
      </w:r>
      <w:r>
        <w:t xml:space="preserve"> </w:t>
      </w:r>
      <w:r>
        <w:t xml:space="preserve"> Create a legal basis for sharing national responsibilities and attribution of shared roles</w:t>
      </w:r>
      <w:r>
        <w:t xml:space="preserve"> </w:t>
      </w:r>
      <w:r>
        <w:t xml:space="preserve">(depending on the context, roles could be shared according to knowledge and capacities).</w:t>
      </w:r>
      <w:r>
        <w:br/>
      </w:r>
      <w:r>
        <w:t xml:space="preserve">Ensuring the involvement of peers</w:t>
      </w:r>
      <w:r>
        <w:t xml:space="preserve"> </w:t>
      </w:r>
      <w:r>
        <w:t xml:space="preserve">At the level of decision-making itself, a revised CPR could provide for the involvement of</w:t>
      </w:r>
      <w:r>
        <w:t xml:space="preserve"> </w:t>
      </w:r>
      <w:r>
        <w:t xml:space="preserve">peers where appropriate. The structure of involvement would depend on the context and</w:t>
      </w:r>
      <w:r>
        <w:t xml:space="preserve"> </w:t>
      </w:r>
      <w:r>
        <w:t xml:space="preserve">relevant actors.</w:t>
      </w:r>
      <w:r>
        <w:t xml:space="preserve"> </w:t>
      </w:r>
      <w:r>
        <w:t xml:space="preserve">Examples of possible measures might possibly include:</w:t>
      </w:r>
      <w:r>
        <w:t xml:space="preserve"> </w:t>
      </w:r>
      <w:r>
        <w:t xml:space="preserve"> Reporting obligations on past decision-making practice and discussion thereof;</w:t>
      </w:r>
      <w:r>
        <w:t xml:space="preserve"> </w:t>
      </w:r>
      <w:r>
        <w:t xml:space="preserve"> Mandatory participation to meetings dealing with decision-making practice;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 Reporting obligations on inspection planning (indirectly disclosing intended decision-</w:t>
      </w:r>
      <w:r>
        <w:t xml:space="preserve"> </w:t>
      </w:r>
      <w:r>
        <w:t xml:space="preserve">making);</w:t>
      </w:r>
      <w:r>
        <w:t xml:space="preserve"> </w:t>
      </w:r>
      <w:r>
        <w:t xml:space="preserve"> Peers observe each other’s enforcement activities like audits and inspections of economic</w:t>
      </w:r>
      <w:r>
        <w:t xml:space="preserve"> </w:t>
      </w:r>
      <w:r>
        <w:t xml:space="preserve">operators and publish a report on their performance;</w:t>
      </w:r>
      <w:r>
        <w:t xml:space="preserve"> </w:t>
      </w:r>
      <w:r>
        <w:t xml:space="preserve"> Allow for joint decision-making of different relevant actors;</w:t>
      </w:r>
      <w:r>
        <w:t xml:space="preserve"> </w:t>
      </w:r>
      <w:r>
        <w:t xml:space="preserve"> Setting up a formal or informal entity to coordinate decision-making across different relevant</w:t>
      </w:r>
      <w:r>
        <w:t xml:space="preserve"> </w:t>
      </w:r>
      <w:r>
        <w:t xml:space="preserve">actors, which would also disseminate information and promote alignment of views among</w:t>
      </w:r>
      <w:r>
        <w:t xml:space="preserve"> </w:t>
      </w:r>
      <w:r>
        <w:t xml:space="preserve">relevant actors.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ANNEX II [OF REFINED OPTION PAPER] – PACKAGE OF MEASURES ON</w:t>
      </w:r>
      <w:r>
        <w:t xml:space="preserve"> </w:t>
      </w:r>
      <w:r>
        <w:t xml:space="preserve">ENHANCED ENFORCEMENT (OPTION B)</w:t>
      </w:r>
      <w:r>
        <w:t xml:space="preserve"> </w:t>
      </w:r>
      <w:r>
        <w:t xml:space="preserve">A revised CPR would improve enforcement by introducing a series of measures already to</w:t>
      </w:r>
      <w:r>
        <w:t xml:space="preserve"> </w:t>
      </w:r>
      <w:r>
        <w:t xml:space="preserve">be foreseen in the legal text (which are not or not fully covered by Regulation (EU)</w:t>
      </w:r>
      <w:r>
        <w:t xml:space="preserve"> </w:t>
      </w:r>
      <w:r>
        <w:t xml:space="preserve">2019/1020 on market surveillance and compliance of products). The measures listed below</w:t>
      </w:r>
      <w:r>
        <w:t xml:space="preserve"> </w:t>
      </w:r>
      <w:r>
        <w:t xml:space="preserve">are part of Option B.</w:t>
      </w:r>
      <w:r>
        <w:br/>
      </w:r>
      <w:r>
        <w:t xml:space="preserve">Note: The measures described here are unlikely to be selected all or even by majority. The</w:t>
      </w:r>
      <w:r>
        <w:t xml:space="preserve"> </w:t>
      </w:r>
      <w:r>
        <w:t xml:space="preserve">purpose of this listing is just to describe what might be needed to be considered as possible</w:t>
      </w:r>
      <w:r>
        <w:t xml:space="preserve"> </w:t>
      </w:r>
      <w:r>
        <w:t xml:space="preserve">means for enhancing enforcement.</w:t>
      </w:r>
      <w:r>
        <w:t xml:space="preserve"> </w:t>
      </w:r>
      <w:r>
        <w:t xml:space="preserve">Rights to sue:</w:t>
      </w:r>
      <w:r>
        <w:t xml:space="preserve"> </w:t>
      </w:r>
      <w:r>
        <w:t xml:space="preserve"> Give competitors the right to sue non-compliant manufacturers and their distributors (such a</w:t>
      </w:r>
      <w:r>
        <w:t xml:space="preserve"> </w:t>
      </w:r>
      <w:r>
        <w:t xml:space="preserve">right has been foreseen in EU and Member States’ competition law and some Member States</w:t>
      </w:r>
      <w:r>
        <w:t xml:space="preserve"> </w:t>
      </w:r>
      <w:r>
        <w:t xml:space="preserve">have extended the right to sue competitors to cases where EU product law is infringed);</w:t>
      </w:r>
      <w:r>
        <w:t xml:space="preserve"> </w:t>
      </w:r>
      <w:r>
        <w:t xml:space="preserve"> Give consumer organisations the right so sue non-compliant manufacturers and their</w:t>
      </w:r>
      <w:r>
        <w:t xml:space="preserve"> </w:t>
      </w:r>
      <w:r>
        <w:t xml:space="preserve">distributors (such a right has been foreseen in some pieces of EU environmental law).</w:t>
      </w:r>
      <w:r>
        <w:t xml:space="preserve"> </w:t>
      </w:r>
      <w:r>
        <w:t xml:space="preserve">Minimum requirements:</w:t>
      </w:r>
      <w:r>
        <w:t xml:space="preserve"> </w:t>
      </w:r>
      <w:r>
        <w:t xml:space="preserve"> Establish minimum benchmarks for market surveillance, e.g. in terms of qualified full-time</w:t>
      </w:r>
      <w:r>
        <w:t xml:space="preserve"> </w:t>
      </w:r>
      <w:r>
        <w:t xml:space="preserve">equivalences to be made available or of enforcement measures or actions to be taken;</w:t>
      </w:r>
      <w:r>
        <w:t xml:space="preserve"> </w:t>
      </w:r>
      <w:r>
        <w:t xml:space="preserve"> Establish procedures and other arrangements for the proper performance of the duties of</w:t>
      </w:r>
      <w:r>
        <w:t xml:space="preserve"> </w:t>
      </w:r>
      <w:r>
        <w:t xml:space="preserve">market surveillance staff, e.g. a qualification matrix to be used when hiring staff.</w:t>
      </w:r>
      <w:r>
        <w:t xml:space="preserve"> </w:t>
      </w:r>
      <w:r>
        <w:t xml:space="preserve">Investigative powers:</w:t>
      </w:r>
      <w:r>
        <w:t xml:space="preserve"> </w:t>
      </w:r>
      <w:r>
        <w:t xml:space="preserve"> Give market surveillance authorities the power to require any public authority, body or</w:t>
      </w:r>
      <w:r>
        <w:t xml:space="preserve"> </w:t>
      </w:r>
      <w:r>
        <w:t xml:space="preserve">agency within the market surveillance authority’s Member State, any natural or legal person</w:t>
      </w:r>
      <w:r>
        <w:t xml:space="preserve"> </w:t>
      </w:r>
      <w:r>
        <w:t xml:space="preserve">or any economic operator to provide any information, data or document (in any form or</w:t>
      </w:r>
      <w:r>
        <w:t xml:space="preserve"> </w:t>
      </w:r>
      <w:r>
        <w:t xml:space="preserve">format and irrespective of its storage medium or the place where it is stored) on compliance,</w:t>
      </w:r>
      <w:r>
        <w:t xml:space="preserve"> </w:t>
      </w:r>
      <w:r>
        <w:t xml:space="preserve">physical aspects, supply chain, distribution network or quantities? (this empowerment goes,</w:t>
      </w:r>
      <w:r>
        <w:t xml:space="preserve"> </w:t>
      </w:r>
      <w:r>
        <w:t xml:space="preserve">except for economic operators, beyond the empowerments foreseen in Article 14(3) of</w:t>
      </w:r>
      <w:r>
        <w:t xml:space="preserve"> </w:t>
      </w:r>
      <w:r>
        <w:t xml:space="preserve">Regulation (EU) 2019/20 - letters (a) and (b) thereof only relate to economic operators);</w:t>
      </w:r>
      <w:r>
        <w:br/>
      </w:r>
      <w:r>
        <w:t xml:space="preserve"> Give market surveillance authorities the right to request information directly from economic</w:t>
      </w:r>
      <w:r>
        <w:t xml:space="preserve"> </w:t>
      </w:r>
      <w:r>
        <w:t xml:space="preserve">operators in another Member State;</w:t>
      </w:r>
      <w:r>
        <w:t xml:space="preserve"> </w:t>
      </w:r>
      <w:r>
        <w:t xml:space="preserve"> Give market surveillance authorities the right to obtain information from internet service</w:t>
      </w:r>
      <w:r>
        <w:t xml:space="preserve"> </w:t>
      </w:r>
      <w:r>
        <w:t xml:space="preserve">providers on communication and data-exchange of presumably non-compliant operators and</w:t>
      </w:r>
      <w:r>
        <w:t xml:space="preserve"> </w:t>
      </w:r>
      <w:r>
        <w:t xml:space="preserve">supervising the internet communication or telecommunication (meta-data or even content) in</w:t>
      </w:r>
      <w:r>
        <w:t xml:space="preserve"> </w:t>
      </w:r>
      <w:r>
        <w:t xml:space="preserve">a personalised or generic way;</w:t>
      </w:r>
      <w:r>
        <w:t xml:space="preserve"> </w:t>
      </w:r>
      <w:r>
        <w:t xml:space="preserve"> Give market surveillance authorities the right to acquire product samples, including under a</w:t>
      </w:r>
      <w:r>
        <w:t xml:space="preserve"> </w:t>
      </w:r>
      <w:r>
        <w:t xml:space="preserve">cover identity, to inspect them and to reverse-engineer them in order to detect non-</w:t>
      </w:r>
      <w:r>
        <w:t xml:space="preserve"> </w:t>
      </w:r>
      <w:r>
        <w:t xml:space="preserve">compliance and obtain evidence;</w:t>
      </w:r>
      <w:r>
        <w:t xml:space="preserve"> </w:t>
      </w:r>
      <w:r>
        <w:t xml:space="preserve"> Give market surveillance authorities the right to visit and inspect, without prior</w:t>
      </w:r>
      <w:r>
        <w:t xml:space="preserve"> </w:t>
      </w:r>
      <w:r>
        <w:t xml:space="preserve">announcement, offices, factories, warehouses, wholesaling establishments, retailing</w:t>
      </w:r>
      <w:r>
        <w:t xml:space="preserve"> </w:t>
      </w:r>
      <w:r>
        <w:t xml:space="preserve">establishments, laboratories, research institutions and other premises or vehicles in which</w:t>
      </w:r>
      <w:r>
        <w:t xml:space="preserve"> </w:t>
      </w:r>
      <w:r>
        <w:t xml:space="preserve">products are produced or kept (this empowerment is broader than the empowerment foreseen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in Article 14(3)(e) of Regulation (EU) 2019/1020 in so far as it is not limited to premises</w:t>
      </w:r>
      <w:r>
        <w:t xml:space="preserve"> </w:t>
      </w:r>
      <w:r>
        <w:t xml:space="preserve">‘that the economic operator uses’);</w:t>
      </w:r>
      <w:r>
        <w:t xml:space="preserve"> </w:t>
      </w:r>
      <w:r>
        <w:t xml:space="preserve"> Give market surveillance authorities the right to seize and take possession of all documents,</w:t>
      </w:r>
      <w:r>
        <w:t xml:space="preserve"> </w:t>
      </w:r>
      <w:r>
        <w:t xml:space="preserve">data and products which might serve as means of proof for stating the non-conformity;</w:t>
      </w:r>
      <w:r>
        <w:t xml:space="preserve"> </w:t>
      </w:r>
      <w:r>
        <w:t xml:space="preserve"> Give market surveillance authorities the right to confiscate samples of possibly non-</w:t>
      </w:r>
      <w:r>
        <w:t xml:space="preserve"> </w:t>
      </w:r>
      <w:r>
        <w:t xml:space="preserve">compliant products;</w:t>
      </w:r>
      <w:r>
        <w:t xml:space="preserve"> </w:t>
      </w:r>
      <w:r>
        <w:t xml:space="preserve"> Give market surveillance authorities the right to seize and take possession of all non-</w:t>
      </w:r>
      <w:r>
        <w:t xml:space="preserve"> </w:t>
      </w:r>
      <w:r>
        <w:t xml:space="preserve">compliant products, be they in a possession of the person responsible for the infringement or</w:t>
      </w:r>
      <w:r>
        <w:t xml:space="preserve"> </w:t>
      </w:r>
      <w:r>
        <w:t xml:space="preserve">another person;</w:t>
      </w:r>
      <w:r>
        <w:t xml:space="preserve"> </w:t>
      </w:r>
      <w:r>
        <w:t xml:space="preserve"> Give market surveillance authorities the right to confiscate non-compliant products or</w:t>
      </w:r>
      <w:r>
        <w:t xml:space="preserve"> </w:t>
      </w:r>
      <w:r>
        <w:t xml:space="preserve">property used in or in connection with the illegal activity or obtained in return or in</w:t>
      </w:r>
      <w:r>
        <w:t xml:space="preserve"> </w:t>
      </w:r>
      <w:r>
        <w:t xml:space="preserve">connection with the illegal activity;</w:t>
      </w:r>
      <w:r>
        <w:t xml:space="preserve"> </w:t>
      </w:r>
      <w:r>
        <w:t xml:space="preserve"> Give market surveillance authorities the right to compel the attendance of witnesses and the</w:t>
      </w:r>
      <w:r>
        <w:t xml:space="preserve"> </w:t>
      </w:r>
      <w:r>
        <w:t xml:space="preserve">production of evidence by third parties, when there are reasons to believe or first evidence</w:t>
      </w:r>
      <w:r>
        <w:t xml:space="preserve"> </w:t>
      </w:r>
      <w:r>
        <w:t xml:space="preserve">exist that an infringement is ongoing;</w:t>
      </w:r>
      <w:r>
        <w:t xml:space="preserve"> </w:t>
      </w:r>
      <w:r>
        <w:t xml:space="preserve"> Give market surveillance authorities the right to acquire data and documents from third</w:t>
      </w:r>
      <w:r>
        <w:t xml:space="preserve"> </w:t>
      </w:r>
      <w:r>
        <w:t xml:space="preserve">parties, including against payment or providing advantages.</w:t>
      </w:r>
      <w:r>
        <w:t xml:space="preserve"> </w:t>
      </w:r>
      <w:r>
        <w:t xml:space="preserve">Information exchange:</w:t>
      </w:r>
      <w:r>
        <w:t xml:space="preserve"> </w:t>
      </w:r>
      <w:r>
        <w:t xml:space="preserve"> Give market surveillance authorities appropriate and effective communication and</w:t>
      </w:r>
      <w:r>
        <w:t xml:space="preserve"> </w:t>
      </w:r>
      <w:r>
        <w:t xml:space="preserve">cooperation mechanisms with other market surveillance authorities and other relevant</w:t>
      </w:r>
      <w:r>
        <w:t xml:space="preserve"> </w:t>
      </w:r>
      <w:r>
        <w:t xml:space="preserve">authorities, including customs authorities for the identification and examination of potential</w:t>
      </w:r>
      <w:r>
        <w:t xml:space="preserve"> </w:t>
      </w:r>
      <w:r>
        <w:t xml:space="preserve">risks related to counterfeit products and withdrawal of such products from the market;</w:t>
      </w:r>
      <w:r>
        <w:t xml:space="preserve"> </w:t>
      </w:r>
      <w:r>
        <w:t xml:space="preserve"> Give market surveillance authorities the right to communicate or exchange data with third</w:t>
      </w:r>
      <w:r>
        <w:t xml:space="preserve"> </w:t>
      </w:r>
      <w:r>
        <w:t xml:space="preserve">parties, other authorities, courts, natural or legal persons or other jurisdictions and adopting</w:t>
      </w:r>
      <w:r>
        <w:t xml:space="preserve"> </w:t>
      </w:r>
      <w:r>
        <w:t xml:space="preserve">agreements in this regard to obtain further evidence on possible non-compliance;</w:t>
      </w:r>
      <w:r>
        <w:t xml:space="preserve"> </w:t>
      </w:r>
      <w:r>
        <w:t xml:space="preserve"> Give market surveillance authorities the right to use, without any further formal</w:t>
      </w:r>
      <w:r>
        <w:t xml:space="preserve"> </w:t>
      </w:r>
      <w:r>
        <w:t xml:space="preserve">requirements, evidence produced by a market surveillance authority in one Member State as</w:t>
      </w:r>
      <w:r>
        <w:t xml:space="preserve"> </w:t>
      </w:r>
      <w:r>
        <w:t xml:space="preserve">part of investigations to verify product compliance.</w:t>
      </w:r>
      <w:r>
        <w:t xml:space="preserve"> </w:t>
      </w:r>
      <w:r>
        <w:t xml:space="preserve">Sanctioning powers:</w:t>
      </w:r>
      <w:r>
        <w:t xml:space="preserve"> </w:t>
      </w:r>
      <w:r>
        <w:t xml:space="preserve"> Give market surveillance authorities the possibility to block or to remove content from</w:t>
      </w:r>
      <w:r>
        <w:t xml:space="preserve"> </w:t>
      </w:r>
      <w:r>
        <w:t xml:space="preserve">internet websites offering products which are not in compliance with requirements applicable</w:t>
      </w:r>
      <w:r>
        <w:t xml:space="preserve"> </w:t>
      </w:r>
      <w:r>
        <w:t xml:space="preserve">to them (hereafter: “non-compliant products”) or to order the explicit display of a related</w:t>
      </w:r>
      <w:r>
        <w:t xml:space="preserve"> </w:t>
      </w:r>
      <w:r>
        <w:t xml:space="preserve">warning to end-users when they access the website (this empowerment goes beyond the</w:t>
      </w:r>
      <w:r>
        <w:t xml:space="preserve"> </w:t>
      </w:r>
      <w:r>
        <w:t xml:space="preserve">empowerment of Article 14(3)(k) of Regulation (EU) 2019/1020 which requires that there is</w:t>
      </w:r>
      <w:r>
        <w:t xml:space="preserve"> </w:t>
      </w:r>
      <w:r>
        <w:t xml:space="preserve">no other effective means to eliminate a serious risk);</w:t>
      </w:r>
      <w:r>
        <w:t xml:space="preserve"> </w:t>
      </w:r>
      <w:r>
        <w:t xml:space="preserve"> Give market surveillance authorities the right to recover from non-compliant economic</w:t>
      </w:r>
      <w:r>
        <w:t xml:space="preserve"> </w:t>
      </w:r>
      <w:r>
        <w:t xml:space="preserve">operators costs for state action triggered by infringements (Article 15 of Regulation (EU)</w:t>
      </w:r>
      <w:r>
        <w:t xml:space="preserve"> </w:t>
      </w:r>
      <w:r>
        <w:t xml:space="preserve">2019/1020 gives Member States the right to do convey such empowerments to authorities,</w:t>
      </w:r>
      <w:r>
        <w:t xml:space="preserve"> </w:t>
      </w:r>
      <w:r>
        <w:t xml:space="preserve">but does not itself convey the empowerment);</w:t>
      </w:r>
      <w:r>
        <w:t xml:space="preserve"> </w:t>
      </w:r>
      <w:r>
        <w:t xml:space="preserve"> Give market surveillance authorities the right to impose other enforcement costs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 Give market surveillance authorities the right to decide on penalties, including fines, for non-</w:t>
      </w:r>
      <w:r>
        <w:t xml:space="preserve"> </w:t>
      </w:r>
      <w:r>
        <w:t xml:space="preserve">compliant natural persons (Article 41 of Regulation (EU) 2019/1020 covers only penalties</w:t>
      </w:r>
      <w:r>
        <w:t xml:space="preserve"> </w:t>
      </w:r>
      <w:r>
        <w:t xml:space="preserve">against economic operators);</w:t>
      </w:r>
      <w:r>
        <w:t xml:space="preserve"> </w:t>
      </w:r>
      <w:r>
        <w:t xml:space="preserve"> Give market surveillance authorities the right to impose financial sanctions for non-</w:t>
      </w:r>
      <w:r>
        <w:t xml:space="preserve"> </w:t>
      </w:r>
      <w:r>
        <w:t xml:space="preserve">compliant legal persons (Article 41 of Regulation (EU) 2019/1020 covers only penalties</w:t>
      </w:r>
      <w:r>
        <w:t xml:space="preserve"> </w:t>
      </w:r>
      <w:r>
        <w:t xml:space="preserve">against economic operators);</w:t>
      </w:r>
      <w:r>
        <w:t xml:space="preserve"> </w:t>
      </w:r>
      <w:r>
        <w:t xml:space="preserve"> Give market surveillance authorities the right to enforce financial obligations and financial</w:t>
      </w:r>
      <w:r>
        <w:t xml:space="preserve"> </w:t>
      </w:r>
      <w:r>
        <w:t xml:space="preserve">sanctions or penalties via confiscation of products, rights or money;</w:t>
      </w:r>
      <w:r>
        <w:t xml:space="preserve"> </w:t>
      </w:r>
      <w:r>
        <w:t xml:space="preserve"> Give market surveillance authorities the right to ban non-compliant economic operators from</w:t>
      </w:r>
      <w:r>
        <w:t xml:space="preserve"> </w:t>
      </w:r>
      <w:r>
        <w:t xml:space="preserve">receiving subsidies;</w:t>
      </w:r>
      <w:r>
        <w:t xml:space="preserve"> </w:t>
      </w:r>
      <w:r>
        <w:t xml:space="preserve"> Give market surveillance authorities the right to exclude non-compliant economic operators</w:t>
      </w:r>
      <w:r>
        <w:t xml:space="preserve"> </w:t>
      </w:r>
      <w:r>
        <w:t xml:space="preserve">from public tenders;</w:t>
      </w:r>
      <w:r>
        <w:t xml:space="preserve"> </w:t>
      </w:r>
      <w:r>
        <w:t xml:space="preserve"> Give market surveillance authorities the right to practice public naming and shaming of non-</w:t>
      </w:r>
      <w:r>
        <w:t xml:space="preserve"> </w:t>
      </w:r>
      <w:r>
        <w:t xml:space="preserve">compliant economic operators and, in particular, to publish any final decisions, final</w:t>
      </w:r>
      <w:r>
        <w:t xml:space="preserve"> </w:t>
      </w:r>
      <w:r>
        <w:t xml:space="preserve">measures, commitments given by the economic operator or decisions, including the</w:t>
      </w:r>
      <w:r>
        <w:t xml:space="preserve"> </w:t>
      </w:r>
      <w:r>
        <w:t xml:space="preserve">publication of the identity of the economic operator who was responsible for the non-</w:t>
      </w:r>
      <w:r>
        <w:t xml:space="preserve"> </w:t>
      </w:r>
      <w:r>
        <w:t xml:space="preserve">compliance and of the identity of the natural persons acting on behalf of these operators;</w:t>
      </w:r>
      <w:r>
        <w:t xml:space="preserve"> </w:t>
      </w:r>
      <w:r>
        <w:t xml:space="preserve"> Give market surveillance authorities the right to extend sanctions to mother or sister</w:t>
      </w:r>
      <w:r>
        <w:t xml:space="preserve"> </w:t>
      </w:r>
      <w:r>
        <w:t xml:space="preserve">companies and their agents, at least in cases where a company has been set-up as a shield for</w:t>
      </w:r>
      <w:r>
        <w:t xml:space="preserve"> </w:t>
      </w:r>
      <w:r>
        <w:t xml:space="preserve">illegal activities;</w:t>
      </w:r>
      <w:r>
        <w:t xml:space="preserve"> </w:t>
      </w:r>
      <w:r>
        <w:t xml:space="preserve"> Give market surveillance authorities the right to extend sanctions to partner companies and</w:t>
      </w:r>
      <w:r>
        <w:t xml:space="preserve"> </w:t>
      </w:r>
      <w:r>
        <w:t xml:space="preserve">their agents where they contributed to illegal activities.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ANNEX III [OF REFINED OPTION PAPER] – HARMONISED TECHNICAL</w:t>
      </w:r>
      <w:r>
        <w:t xml:space="preserve"> </w:t>
      </w:r>
      <w:r>
        <w:t xml:space="preserve">SPECIFICATIONS UNDER OPTION A (TODAY) AND UNDER OPTION B (POSSIBLY</w:t>
      </w:r>
      <w:r>
        <w:t xml:space="preserve"> </w:t>
      </w:r>
      <w:r>
        <w:t xml:space="preserve">TOMORROW)</w:t>
      </w:r>
    </w:p>
    <w:p>
      <w:pPr>
        <w:pStyle w:val="Compact"/>
        <w:numPr>
          <w:ilvl w:val="0"/>
          <w:numId w:val="1021"/>
        </w:numPr>
      </w:pPr>
      <w:r>
        <w:t xml:space="preserve">Issues of the current HTS system</w:t>
      </w:r>
      <w:r>
        <w:t xml:space="preserve"> </w:t>
      </w:r>
      <w:r>
        <w:t xml:space="preserve">As the system of the current HTSs is well-known and described in detail in the Commission</w:t>
      </w:r>
      <w:r>
        <w:t xml:space="preserve"> </w:t>
      </w:r>
      <w:r>
        <w:t xml:space="preserve">evaluation295 and the EOTA report296, we focus on highlighting the issues which might be</w:t>
      </w:r>
      <w:r>
        <w:t xml:space="preserve"> </w:t>
      </w:r>
      <w:r>
        <w:t xml:space="preserve">regarded as necessary to be solved:</w:t>
      </w:r>
    </w:p>
    <w:p>
      <w:pPr>
        <w:pStyle w:val="Compact"/>
        <w:numPr>
          <w:ilvl w:val="0"/>
          <w:numId w:val="1022"/>
        </w:numPr>
      </w:pPr>
      <w:r>
        <w:t xml:space="preserve">Both Harmonised Standards and EADs (European Assessment Documents)</w:t>
      </w:r>
      <w:r>
        <w:t xml:space="preserve"> </w:t>
      </w:r>
      <w:r>
        <w:t xml:space="preserve"> Translations not available in all EU languages, thus potential formal invalidity;</w:t>
      </w:r>
      <w:r>
        <w:t xml:space="preserve"> </w:t>
      </w:r>
      <w:r>
        <w:t xml:space="preserve"> Infringement of requirements for legal preciseness by imprecise normative references (e.g. </w:t>
      </w:r>
      <w:r>
        <w:t xml:space="preserve"> </w:t>
      </w:r>
      <w:r>
        <w:t xml:space="preserve">undated or to standards which have been withdrawn or contradicting normative reference</w:t>
      </w:r>
      <w:r>
        <w:t xml:space="preserve"> </w:t>
      </w:r>
      <w:r>
        <w:t xml:space="preserve">chains);</w:t>
      </w:r>
      <w:r>
        <w:t xml:space="preserve"> </w:t>
      </w:r>
      <w:r>
        <w:t xml:space="preserve"> De facto little involvement of authorities and stakeholders other than industry;</w:t>
      </w:r>
      <w:r>
        <w:t xml:space="preserve"> </w:t>
      </w:r>
      <w:r>
        <w:t xml:space="preserve"> Weak or absent democratic legitimation;</w:t>
      </w:r>
      <w:r>
        <w:t xml:space="preserve"> </w:t>
      </w:r>
      <w:r>
        <w:t xml:space="preserve"> High risk of deviation from legal requirements (e.g. giving leeway to economic operators</w:t>
      </w:r>
      <w:r>
        <w:t xml:space="preserve"> </w:t>
      </w:r>
      <w:r>
        <w:t xml:space="preserve">not foreseen in law);</w:t>
      </w:r>
      <w:r>
        <w:t xml:space="preserve"> </w:t>
      </w:r>
      <w:r>
        <w:t xml:space="preserve"> Mixture of requirements that are necessary for the respective regulation and others that are</w:t>
      </w:r>
      <w:r>
        <w:t xml:space="preserve"> </w:t>
      </w:r>
      <w:r>
        <w:t xml:space="preserve">not (“superfluous” ones);</w:t>
      </w:r>
      <w:r>
        <w:t xml:space="preserve"> </w:t>
      </w:r>
      <w:r>
        <w:t xml:space="preserve"> Requirements which give privileges to certain manufacturers and keep out of the market</w:t>
      </w:r>
      <w:r>
        <w:t xml:space="preserve"> </w:t>
      </w:r>
      <w:r>
        <w:t xml:space="preserve">others;</w:t>
      </w:r>
      <w:r>
        <w:t xml:space="preserve"> </w:t>
      </w:r>
      <w:r>
        <w:t xml:space="preserve"> SME underrepresentation;</w:t>
      </w:r>
      <w:r>
        <w:t xml:space="preserve"> </w:t>
      </w:r>
      <w:r>
        <w:t xml:space="preserve"> No possibility for authorities to step in when CEN / EOTA do not deliver.</w:t>
      </w:r>
    </w:p>
    <w:p>
      <w:pPr>
        <w:pStyle w:val="Compact"/>
        <w:numPr>
          <w:ilvl w:val="0"/>
          <w:numId w:val="1022"/>
        </w:numPr>
      </w:pPr>
      <w:r>
        <w:t xml:space="preserve">Only Harmonised Standards</w:t>
      </w:r>
      <w:r>
        <w:t xml:space="preserve"> </w:t>
      </w:r>
      <w:r>
        <w:t xml:space="preserve"> Extremely high rejection rate;</w:t>
      </w:r>
      <w:r>
        <w:t xml:space="preserve"> </w:t>
      </w:r>
      <w:r>
        <w:t xml:space="preserve"> Refusal of CEN to establish internal legal control, which can be explained by:</w:t>
      </w:r>
      <w:r>
        <w:t xml:space="preserve"> </w:t>
      </w:r>
      <w:r>
        <w:t xml:space="preserve"> CEN’s strategic preference for ISO alignment versus EU regulatory alignment.</w:t>
      </w:r>
    </w:p>
    <w:p>
      <w:pPr>
        <w:pStyle w:val="Compact"/>
        <w:numPr>
          <w:ilvl w:val="0"/>
          <w:numId w:val="1022"/>
        </w:numPr>
      </w:pPr>
      <w:r>
        <w:t xml:space="preserve">Only EADs</w:t>
      </w:r>
      <w:r>
        <w:t xml:space="preserve"> </w:t>
      </w:r>
      <w:r>
        <w:t xml:space="preserve"> No formal validation of EADs by Commission decision297 and no empowerment for such</w:t>
      </w:r>
      <w:r>
        <w:t xml:space="preserve"> </w:t>
      </w:r>
      <w:r>
        <w:t xml:space="preserve">validation and hence potential formal invalidity in application of ECJ rulings since 1958 (</w:t>
      </w:r>
    </w:p>
    <w:p>
      <w:pPr>
        <w:pStyle w:val="FirstParagraph"/>
      </w:pPr>
      <w:r>
        <w:t xml:space="preserve">295°COM/2019/800°final,°24.10.2019,°accessible°at°https://eur-lex.europa.eu/legal-</w:t>
      </w:r>
      <w:r>
        <w:t xml:space="preserve"> </w:t>
      </w:r>
      <w:r>
        <w:t xml:space="preserve">content/EN/TXT/?qid=1571917158693&amp;uri=COM:2019:800:FIN ().</w:t>
      </w:r>
      <w:r>
        <w:t xml:space="preserve"> </w:t>
      </w:r>
      <w:r>
        <w:t xml:space="preserve">296°COM/2019/800°final,°24.10.2019,°accessible°at°https://eur-lex.europa.eu/legal-</w:t>
      </w:r>
      <w:r>
        <w:t xml:space="preserve"> </w:t>
      </w:r>
      <w:r>
        <w:t xml:space="preserve">content/EN/TXT/?qid=1571917158693&amp;uri=COM:2019:800:FIN</w:t>
      </w:r>
      <w:r>
        <w:br/>
      </w:r>
      <w:r>
        <w:t xml:space="preserve">297 The right of Commission staff to object to the EADs does not constitute a formal decision of the Commission.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see the Meroni case298 - for more recent rulings applying Meroni, see for example</w:t>
      </w:r>
      <w:r>
        <w:t xml:space="preserve"> </w:t>
      </w:r>
      <w:r>
        <w:t xml:space="preserve">Parliament v Council299 and the ESMA case300);</w:t>
      </w:r>
      <w:r>
        <w:t xml:space="preserve"> </w:t>
      </w:r>
      <w:r>
        <w:t xml:space="preserve"> EAD proliferation – too many variants;</w:t>
      </w:r>
      <w:r>
        <w:t xml:space="preserve"> </w:t>
      </w:r>
      <w:r>
        <w:t xml:space="preserve"> EAD proliferation – EADs going beyond the purpose of EADs (“innovation”), becoming</w:t>
      </w:r>
      <w:r>
        <w:t xml:space="preserve"> </w:t>
      </w:r>
      <w:r>
        <w:t xml:space="preserve">de facto another type of Harmonised Standard;</w:t>
      </w:r>
      <w:r>
        <w:t xml:space="preserve"> </w:t>
      </w:r>
      <w:r>
        <w:t xml:space="preserve"> Too many stages for EADs, legal uncertainty, which can lead to ETAs being issued</w:t>
      </w:r>
      <w:r>
        <w:t xml:space="preserve"> </w:t>
      </w:r>
      <w:r>
        <w:t xml:space="preserve">without formally valid EADs.</w:t>
      </w:r>
      <w:r>
        <w:t xml:space="preserve"> </w:t>
      </w:r>
      <w:r>
        <w:t xml:space="preserve">2. Outline of the HTS / standardisation system under Option B</w:t>
      </w:r>
      <w:r>
        <w:t xml:space="preserve"> </w:t>
      </w:r>
      <w:r>
        <w:t xml:space="preserve">a) The current system of Harmonised Standards would continue to exist, but for the time</w:t>
      </w:r>
      <w:r>
        <w:t xml:space="preserve"> </w:t>
      </w:r>
      <w:r>
        <w:t xml:space="preserve">being only as a second best (or “back-up”) solution301. The range of standardisation</w:t>
      </w:r>
      <w:r>
        <w:t xml:space="preserve"> </w:t>
      </w:r>
      <w:r>
        <w:t xml:space="preserve">organisations would be enlarged, including a follow-up organisation to EOTA. Some of the</w:t>
      </w:r>
      <w:r>
        <w:t xml:space="preserve"> </w:t>
      </w:r>
      <w:r>
        <w:t xml:space="preserve">issues listed above can be remedied within the context of the revision of the CPR, but not all.</w:t>
      </w:r>
      <w:r>
        <w:t xml:space="preserve"> </w:t>
      </w:r>
      <w:r>
        <w:t xml:space="preserve">Others can only be addressed, if at all, by a future revision of the Regulation (EU) 1025/2012</w:t>
      </w:r>
      <w:r>
        <w:t xml:space="preserve"> </w:t>
      </w:r>
      <w:r>
        <w:t xml:space="preserve">on European Standardisation. Therefore, the current system of Harmonised Standards under</w:t>
      </w:r>
      <w:r>
        <w:t xml:space="preserve"> </w:t>
      </w:r>
      <w:r>
        <w:t xml:space="preserve">the CPR needs to be complemented. It could become complemented “above” by a thick new</w:t>
      </w:r>
      <w:r>
        <w:t xml:space="preserve"> </w:t>
      </w:r>
      <w:r>
        <w:t xml:space="preserve">level of Harmonised Technical Specifications adopted by the European Commission (letter</w:t>
      </w:r>
      <w:r>
        <w:t xml:space="preserve"> </w:t>
      </w:r>
      <w:r>
        <w:t xml:space="preserve">b)) and “below” by a thin layer of indirect references to standards (letter c)).</w:t>
      </w:r>
      <w:r>
        <w:t xml:space="preserve"> </w:t>
      </w:r>
      <w:r>
        <w:t xml:space="preserve">b) The main pillar of Option B is the re-introduction of the centuries old principle that</w:t>
      </w:r>
      <w:r>
        <w:t xml:space="preserve"> </w:t>
      </w:r>
      <w:r>
        <w:t xml:space="preserve">regulation is, as default path, formally adopted by public authorities302, in this case by</w:t>
      </w:r>
      <w:r>
        <w:t xml:space="preserve"> </w:t>
      </w:r>
      <w:r>
        <w:t xml:space="preserve">the European Commission. This does not imply that the technical content of the HTS is</w:t>
      </w:r>
      <w:r>
        <w:t xml:space="preserve"> </w:t>
      </w:r>
      <w:r>
        <w:t xml:space="preserve">elaborated by the European Commission or other authorities. Private bodies (CEN, EOTA or</w:t>
      </w:r>
      <w:r>
        <w:t xml:space="preserve"> </w:t>
      </w:r>
      <w:r>
        <w:t xml:space="preserve">its follow-up organisation, industry associations, private standardisation bodies or consortia,</w:t>
      </w:r>
      <w:r>
        <w:t xml:space="preserve"> </w:t>
      </w:r>
      <w:r>
        <w:t xml:space="preserve">Notified</w:t>
      </w:r>
      <w:r>
        <w:t xml:space="preserve"> </w:t>
      </w:r>
      <w:r>
        <w:t xml:space="preserve">Bodies,</w:t>
      </w:r>
      <w:r>
        <w:t xml:space="preserve"> </w:t>
      </w:r>
      <w:r>
        <w:t xml:space="preserve">or</w:t>
      </w:r>
      <w:r>
        <w:t xml:space="preserve"> </w:t>
      </w:r>
      <w:r>
        <w:t xml:space="preserve">combinations/consortia</w:t>
      </w:r>
      <w:r>
        <w:t xml:space="preserve"> </w:t>
      </w:r>
      <w:r>
        <w:t xml:space="preserve">of</w:t>
      </w:r>
      <w:r>
        <w:t xml:space="preserve"> </w:t>
      </w:r>
      <w:r>
        <w:t xml:space="preserve">these)</w:t>
      </w:r>
      <w:r>
        <w:t xml:space="preserve"> </w:t>
      </w:r>
      <w:r>
        <w:t xml:space="preserve">and</w:t>
      </w:r>
      <w:r>
        <w:t xml:space="preserve"> </w:t>
      </w:r>
      <w:r>
        <w:t xml:space="preserve">Member</w:t>
      </w:r>
      <w:r>
        <w:t xml:space="preserve"> </w:t>
      </w:r>
      <w:r>
        <w:t xml:space="preserve">States’</w:t>
      </w:r>
      <w:r>
        <w:t xml:space="preserve"> </w:t>
      </w:r>
      <w:r>
        <w:t xml:space="preserve">authorities/institutes would all be welcome to provide technical content which can be cast</w:t>
      </w:r>
      <w:r>
        <w:t xml:space="preserve"> </w:t>
      </w:r>
      <w:r>
        <w:t xml:space="preserve">into a harmonised standard format for Harmonised Technical Specifications adopted by the</w:t>
      </w:r>
      <w:r>
        <w:t xml:space="preserve"> </w:t>
      </w:r>
      <w:r>
        <w:t xml:space="preserve">European Commission. Subject to readiness, available resources and specialisation, one or</w:t>
      </w:r>
      <w:r>
        <w:t xml:space="preserve"> </w:t>
      </w:r>
      <w:r>
        <w:t xml:space="preserve">the other or a combination of these actors would become entrusted with elaborating the</w:t>
      </w:r>
      <w:r>
        <w:t xml:space="preserve"> </w:t>
      </w:r>
      <w:r>
        <w:t xml:space="preserve">technical content, whilst the European Commission, together with authorities, would ensure</w:t>
      </w:r>
      <w:r>
        <w:t xml:space="preserve"> </w:t>
      </w:r>
      <w:r>
        <w:t xml:space="preserve">by supervision that regulatory needs are covered and that legal requirements are fulfilled.</w:t>
      </w:r>
      <w:r>
        <w:t xml:space="preserve"> </w:t>
      </w:r>
      <w:r>
        <w:t xml:space="preserve">Entrusted actors would be asked to provide for transparency towards other stakeholders and</w:t>
      </w:r>
      <w:r>
        <w:t xml:space="preserve"> </w:t>
      </w:r>
      <w:r>
        <w:t xml:space="preserve">to invite them to contribute to the development of the technical content. At the level of the</w:t>
      </w:r>
      <w:r>
        <w:t xml:space="preserve"> </w:t>
      </w:r>
      <w:r>
        <w:t xml:space="preserve">formal adoption by the European Commission, the usual public consultation mechanisms</w:t>
      </w:r>
    </w:p>
    <w:p>
      <w:pPr>
        <w:pStyle w:val="BodyText"/>
      </w:pPr>
      <w:r>
        <w:t xml:space="preserve">298 Judgement of 13 June 1958, Meroni v High Authority, C-10/56, ECLI:EU:C:1958:8, https://eur-</w:t>
      </w:r>
      <w:r>
        <w:t xml:space="preserve"> </w:t>
      </w:r>
      <w:r>
        <w:t xml:space="preserve">lex.europa.eu/legal-content/EN/TXT/PDF/?uri=CELEX:61956CJ0010&amp;from=EN</w:t>
      </w:r>
      <w:r>
        <w:br/>
      </w:r>
      <w:r>
        <w:t xml:space="preserve">299 Judgement of 5 September 2012, Parliament v Council, C‑355/10, ECLI:EU:C:2012:516, paras. 64-82,</w:t>
      </w:r>
      <w:r>
        <w:t xml:space="preserve"> </w:t>
      </w:r>
      <w:r>
        <w:t xml:space="preserve">http://curia.europa.eu/juris/document/document.jsf?text=&amp;docid=126363&amp;pageIndex=0&amp;doclang=EN&amp;mode=ls</w:t>
      </w:r>
      <w:r>
        <w:t xml:space="preserve"> </w:t>
      </w:r>
      <w:r>
        <w:t xml:space="preserve">t&amp;dir=&amp;occ=first&amp;part=1&amp;cid=935739</w:t>
      </w:r>
      <w:r>
        <w:t xml:space="preserve"> </w:t>
      </w:r>
      <w:r>
        <w:t xml:space="preserve">300 Judgement of 22 January 2014, UK v Council and Parliament, C-270/12, ECLI:EU:C:2014:18, paras. 41-55,</w:t>
      </w:r>
      <w:r>
        <w:t xml:space="preserve"> </w:t>
      </w:r>
      <w:r>
        <w:t xml:space="preserve">http://curia.europa.eu/juris/document/document.jsf?text=&amp;docid=146621&amp;pageIndex=0&amp;doclang=en&amp;mode=lst</w:t>
      </w:r>
      <w:r>
        <w:t xml:space="preserve"> </w:t>
      </w:r>
      <w:r>
        <w:t xml:space="preserve">&amp;dir=&amp;occ=first&amp;part=1&amp;cid=5618770</w:t>
      </w:r>
      <w:r>
        <w:br/>
      </w:r>
      <w:r>
        <w:t xml:space="preserve">301 In the medium or long term, however, it might become very relevant again, see Section 4. Outlook.</w:t>
      </w:r>
      <w:r>
        <w:t xml:space="preserve"> </w:t>
      </w:r>
      <w:r>
        <w:t xml:space="preserve">302 This is anything but new, history of regulation has not started with the New Approach. The New Approach is</w:t>
      </w:r>
      <w:r>
        <w:t xml:space="preserve"> </w:t>
      </w:r>
      <w:r>
        <w:t xml:space="preserve">rather a historic exception to the rule. It is also an exception when we compare the overall number of sectors</w:t>
      </w:r>
      <w:r>
        <w:t xml:space="preserve"> </w:t>
      </w:r>
      <w:r>
        <w:t xml:space="preserve">covered by the New Approach versus others. Finally, the New Approach is also, in a worldwide perspective, the</w:t>
      </w:r>
      <w:r>
        <w:t xml:space="preserve"> </w:t>
      </w:r>
      <w:r>
        <w:t xml:space="preserve">exception from the rule.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would kick-in. Hence, there would be a double-layer of stakeholder information and</w:t>
      </w:r>
      <w:r>
        <w:t xml:space="preserve"> </w:t>
      </w:r>
      <w:r>
        <w:t xml:space="preserve">participation.</w:t>
      </w:r>
      <w:r>
        <w:br/>
      </w:r>
      <w:r>
        <w:t xml:space="preserve">On an organisational level, neither CEN nor (the follow-up organisation of) EOTA would be</w:t>
      </w:r>
      <w:r>
        <w:t xml:space="preserve"> </w:t>
      </w:r>
      <w:r>
        <w:t xml:space="preserve">obliged to substantially change its internal organisation. They can provide technical content</w:t>
      </w:r>
      <w:r>
        <w:t xml:space="preserve"> </w:t>
      </w:r>
      <w:r>
        <w:t xml:space="preserve">on the basis of their current internal organisation or another. But both would be discharged of</w:t>
      </w:r>
      <w:r>
        <w:t xml:space="preserve"> </w:t>
      </w:r>
      <w:r>
        <w:t xml:space="preserve">formal adoption mechanisms, which will facilitate their task and permits them to focus on</w:t>
      </w:r>
      <w:r>
        <w:t xml:space="preserve"> </w:t>
      </w:r>
      <w:r>
        <w:t xml:space="preserve">what they are particularly good at: developing technical content.</w:t>
      </w:r>
      <w:r>
        <w:t xml:space="preserve"> </w:t>
      </w:r>
      <w:r>
        <w:t xml:space="preserve">The integration into Commission acts of technical content can happen in two ways:</w:t>
      </w:r>
      <w:r>
        <w:t xml:space="preserve"> </w:t>
      </w:r>
      <w:r>
        <w:t xml:space="preserve"> by inserting the content;</w:t>
      </w:r>
      <w:r>
        <w:t xml:space="preserve"> </w:t>
      </w:r>
      <w:r>
        <w:t xml:space="preserve"> by referencing the content laid down in a document which is publicly available and</w:t>
      </w:r>
      <w:r>
        <w:t xml:space="preserve"> </w:t>
      </w:r>
      <w:r>
        <w:t xml:space="preserve">translated into all EU languages.</w:t>
      </w:r>
      <w:r>
        <w:t xml:space="preserve"> </w:t>
      </w:r>
      <w:r>
        <w:t xml:space="preserve">The latter path could in particular be practiced if CEN wished to continue to formally adopt</w:t>
      </w:r>
      <w:r>
        <w:t xml:space="preserve"> </w:t>
      </w:r>
      <w:r>
        <w:t xml:space="preserve">standards. In this variant, little would change for CEN, except, for the variant of the second</w:t>
      </w:r>
      <w:r>
        <w:t xml:space="preserve"> </w:t>
      </w:r>
      <w:r>
        <w:t xml:space="preserve">indent, the need to ensure translations into all languages via the national standardisation</w:t>
      </w:r>
      <w:r>
        <w:t xml:space="preserve"> </w:t>
      </w:r>
      <w:r>
        <w:t xml:space="preserve">bodies303. In return, the complex administrative process in relation to the European</w:t>
      </w:r>
      <w:r>
        <w:t xml:space="preserve"> </w:t>
      </w:r>
      <w:r>
        <w:t xml:space="preserve">Commission, namely the standardisation requests and the responses thereto, could be</w:t>
      </w:r>
      <w:r>
        <w:t xml:space="preserve"> </w:t>
      </w:r>
      <w:r>
        <w:t xml:space="preserve">dropped.</w:t>
      </w:r>
      <w:r>
        <w:t xml:space="preserve"> </w:t>
      </w:r>
      <w:r>
        <w:t xml:space="preserve">c) On a level “below” the current Harmonised Standards, a thin layer of indirect references to</w:t>
      </w:r>
      <w:r>
        <w:t xml:space="preserve"> </w:t>
      </w:r>
      <w:r>
        <w:t xml:space="preserve">standards (not necessarily “Harmonised Standards”, i.e. standards covered by a</w:t>
      </w:r>
      <w:r>
        <w:t xml:space="preserve"> </w:t>
      </w:r>
      <w:r>
        <w:t xml:space="preserve">standardisation request of the European Commission) would be added. To avoid misleading</w:t>
      </w:r>
      <w:r>
        <w:t xml:space="preserve"> </w:t>
      </w:r>
      <w:r>
        <w:t xml:space="preserve">claims, the manufacturer should be obliged to assess the performance or the characteristics</w:t>
      </w:r>
      <w:r>
        <w:t xml:space="preserve"> </w:t>
      </w:r>
      <w:r>
        <w:t xml:space="preserve">they claim in accordance with a methodology that fulfils the quality notion “state of the art”</w:t>
      </w:r>
      <w:r>
        <w:t xml:space="preserve"> </w:t>
      </w:r>
      <w:r>
        <w:t xml:space="preserve">or “best available technique”304. Although “state of the art” can be interpreted to mean the</w:t>
      </w:r>
      <w:r>
        <w:t xml:space="preserve"> </w:t>
      </w:r>
      <w:r>
        <w:t xml:space="preserve">best available method305, this outcome is by no means certain. The severity of this quality</w:t>
      </w:r>
      <w:r>
        <w:t xml:space="preserve"> </w:t>
      </w:r>
      <w:r>
        <w:t xml:space="preserve">notion will thus depend on the formula chosen (“best available technique” being more</w:t>
      </w:r>
      <w:r>
        <w:t xml:space="preserve"> </w:t>
      </w:r>
      <w:r>
        <w:t xml:space="preserve">severe). What then constitutes the “state of the art” or “best available technique” is to be</w:t>
      </w:r>
      <w:r>
        <w:t xml:space="preserve"> </w:t>
      </w:r>
      <w:r>
        <w:t xml:space="preserve">determined on a case-by-case basis in the light of available methodological documents,</w:t>
      </w:r>
      <w:r>
        <w:t xml:space="preserve"> </w:t>
      </w:r>
      <w:r>
        <w:t xml:space="preserve">namely but not exclusively international and EU standards. De facto, standards would</w:t>
      </w:r>
      <w:r>
        <w:t xml:space="preserve"> </w:t>
      </w:r>
      <w:r>
        <w:t xml:space="preserve">become the main source for the concretion of these abstract terms, as they are already today</w:t>
      </w:r>
      <w:r>
        <w:t xml:space="preserve"> </w:t>
      </w:r>
      <w:r>
        <w:t xml:space="preserve">in those Member States that use this regulatory technique. The indirect referencing avoids so</w:t>
      </w:r>
      <w:r>
        <w:t xml:space="preserve"> </w:t>
      </w:r>
      <w:r>
        <w:t xml:space="preserve">far the need for severe legal scrutiny of the standards. It thereby pursues the intention of the</w:t>
      </w:r>
      <w:r>
        <w:t xml:space="preserve"> </w:t>
      </w:r>
      <w:r>
        <w:t xml:space="preserve">now already old “New Approach” of using the flexibility of standards without buying-in the</w:t>
      </w:r>
      <w:r>
        <w:t xml:space="preserve"> </w:t>
      </w:r>
      <w:r>
        <w:t xml:space="preserve">formal burdens of regulation.</w:t>
      </w:r>
    </w:p>
    <w:p>
      <w:pPr>
        <w:pStyle w:val="BodyText"/>
      </w:pPr>
      <w:r>
        <w:t xml:space="preserve">303 In case of insertion of CEN technical content into the legal acts adopted by the European Commission, the</w:t>
      </w:r>
      <w:r>
        <w:t xml:space="preserve"> </w:t>
      </w:r>
      <w:r>
        <w:t xml:space="preserve">translation would be ensured by the European Commission itself.</w:t>
      </w:r>
      <w:r>
        <w:br/>
      </w:r>
      <w:r>
        <w:t xml:space="preserve">304 See for example Article 5 of Delegated Regulation (EU) 665/2013 supplementing Directive 2010/13 on the</w:t>
      </w:r>
      <w:r>
        <w:t xml:space="preserve"> </w:t>
      </w:r>
      <w:r>
        <w:t xml:space="preserve">energy labelling of vacuum cleaners (https://eur-lex.europa.eu/legal-content/EN/TXT/PDF/?uri=CELEX:0201</w:t>
      </w:r>
      <w:r>
        <w:t xml:space="preserve"> </w:t>
      </w:r>
      <w:r>
        <w:t xml:space="preserve">3R0665-20170307&amp;from=NL), which states that ‘the information to be provided […] shall be obtained by</w:t>
      </w:r>
      <w:r>
        <w:t xml:space="preserve"> </w:t>
      </w:r>
      <w:r>
        <w:t xml:space="preserve">reliable, accurate and reproducible measurement and calculations methods, which take into account the</w:t>
      </w:r>
      <w:r>
        <w:t xml:space="preserve"> </w:t>
      </w:r>
      <w:r>
        <w:t xml:space="preserve">recognised state-of-the-art measurement and calculation methods’.</w:t>
      </w:r>
      <w:r>
        <w:t xml:space="preserve"> </w:t>
      </w:r>
      <w:r>
        <w:t xml:space="preserve">305 See for example Opinion of the Advocate General of 26 January 1999, Commission v Germany, C-198/97,</w:t>
      </w:r>
      <w:r>
        <w:t xml:space="preserve"> </w:t>
      </w:r>
      <w:r>
        <w:t xml:space="preserve">ECLI:EU:C:1999:23,</w:t>
      </w:r>
      <w:r>
        <w:t xml:space="preserve"> </w:t>
      </w:r>
      <w:r>
        <w:t xml:space="preserve">para.</w:t>
      </w:r>
      <w:r>
        <w:t xml:space="preserve"> </w:t>
      </w:r>
      <w:r>
        <w:t xml:space="preserve">21,</w:t>
      </w:r>
      <w:r>
        <w:t xml:space="preserve"> </w:t>
      </w:r>
      <w:r>
        <w:t xml:space="preserve">http://curia.europa.eu/juris/document/document.jsf?text=&amp;docid=44378&amp;pageIndex=0&amp;doclang=EN&amp;mode=lst</w:t>
      </w:r>
      <w:r>
        <w:t xml:space="preserve"> </w:t>
      </w:r>
      <w:r>
        <w:t xml:space="preserve">&amp;dir=&amp;occ=first&amp;part=1&amp;cid=5784189 in which the ‘État optimal de la technologie’ was taken to be equivalent</w:t>
      </w:r>
      <w:r>
        <w:t xml:space="preserve"> </w:t>
      </w:r>
      <w:r>
        <w:t xml:space="preserve">to ‘state of the art technology’.</w:t>
      </w:r>
    </w:p>
    <w:p>
      <w:pPr>
        <w:pStyle w:val="BodyText"/>
      </w:pPr>
      <w:r>
        <w:t xml:space="preserve">154</w:t>
      </w:r>
    </w:p>
    <w:p>
      <w:pPr>
        <w:pStyle w:val="Compact"/>
        <w:numPr>
          <w:ilvl w:val="0"/>
          <w:numId w:val="1023"/>
        </w:numPr>
      </w:pPr>
      <w:r>
        <w:t xml:space="preserve">Risks and downsides of the HTS / standardisation system under Option B</w:t>
      </w:r>
    </w:p>
    <w:p>
      <w:pPr>
        <w:pStyle w:val="Compact"/>
        <w:numPr>
          <w:ilvl w:val="0"/>
          <w:numId w:val="1024"/>
        </w:numPr>
      </w:pPr>
      <w:r>
        <w:t xml:space="preserve">The subsidiary new element of Option B is the introduction of a thin layer of indirect</w:t>
      </w:r>
      <w:r>
        <w:t xml:space="preserve"> </w:t>
      </w:r>
      <w:r>
        <w:t xml:space="preserve">references to standards. This regulatory technique has been used with success and for many</w:t>
      </w:r>
      <w:r>
        <w:t xml:space="preserve"> </w:t>
      </w:r>
      <w:r>
        <w:t xml:space="preserve">decades by some Member States and in particular Germany. It has some downsides at the</w:t>
      </w:r>
      <w:r>
        <w:t xml:space="preserve"> </w:t>
      </w:r>
      <w:r>
        <w:t xml:space="preserve">level of legal preciseness. However, if courts play the game as they did in Germany, the legal</w:t>
      </w:r>
      <w:r>
        <w:t xml:space="preserve"> </w:t>
      </w:r>
      <w:r>
        <w:t xml:space="preserve">preciseness increases over time306. As mentioned above, the interpretative outcome also</w:t>
      </w:r>
      <w:r>
        <w:t xml:space="preserve"> </w:t>
      </w:r>
      <w:r>
        <w:t xml:space="preserve">depends on how the reference is formulated.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The main element of Option B is the re-opening of the classic, centuries old path for adoption</w:t>
      </w:r>
      <w:r>
        <w:t xml:space="preserve"> </w:t>
      </w:r>
      <w:r>
        <w:t xml:space="preserve">or regulation by authorities. This path has proven to be viable across sectors, across</w:t>
      </w:r>
      <w:r>
        <w:t xml:space="preserve"> </w:t>
      </w:r>
      <w:r>
        <w:t xml:space="preserve">jurisdictions and across centuries. There is no reason why it should not be viable in the case</w:t>
      </w:r>
      <w:r>
        <w:t xml:space="preserve"> </w:t>
      </w:r>
      <w:r>
        <w:t xml:space="preserve">of the CPR either.</w:t>
      </w:r>
    </w:p>
    <w:p>
      <w:pPr>
        <w:pStyle w:val="Compact"/>
        <w:numPr>
          <w:ilvl w:val="0"/>
          <w:numId w:val="1024"/>
        </w:numPr>
      </w:pPr>
      <w:r>
        <w:t xml:space="preserve">However, we cannot, at this point in time, estimate the speed of delivery of the system. The</w:t>
      </w:r>
      <w:r>
        <w:t xml:space="preserve"> </w:t>
      </w:r>
      <w:r>
        <w:t xml:space="preserve">speed of delivery depends on a long range of factors such as cooperation and engagement of</w:t>
      </w:r>
      <w:r>
        <w:t xml:space="preserve"> </w:t>
      </w:r>
      <w:r>
        <w:t xml:space="preserve">industry, of CEN, of (the follow-up organisation of) EOTA, of Member States authorities</w:t>
      </w:r>
      <w:r>
        <w:t xml:space="preserve"> </w:t>
      </w:r>
      <w:r>
        <w:t xml:space="preserve">and specialised institutes, but also Commission human resources and intra-administrative</w:t>
      </w:r>
      <w:r>
        <w:t xml:space="preserve"> </w:t>
      </w:r>
      <w:r>
        <w:t xml:space="preserve">obligations / hurdles for the formal adoption of HTSs as Commission acts.</w:t>
      </w:r>
    </w:p>
    <w:p>
      <w:pPr>
        <w:pStyle w:val="Compact"/>
        <w:numPr>
          <w:ilvl w:val="0"/>
          <w:numId w:val="1024"/>
        </w:numPr>
      </w:pPr>
      <w:r>
        <w:t xml:space="preserve">Assuming an equivalent engagement of industry, there is no reason to assume that the output</w:t>
      </w:r>
      <w:r>
        <w:t xml:space="preserve"> </w:t>
      </w:r>
      <w:r>
        <w:t xml:space="preserve">in normal times, once basic mechanisms have been established, would be lower than under</w:t>
      </w:r>
      <w:r>
        <w:t xml:space="preserve"> </w:t>
      </w:r>
      <w:r>
        <w:t xml:space="preserve">the current standardisation system – even when we disregard that currently virtually no</w:t>
      </w:r>
      <w:r>
        <w:t xml:space="preserve"> </w:t>
      </w:r>
      <w:r>
        <w:t xml:space="preserve">harmonised standards are newly cited in the Official Journal. As can be seen in many</w:t>
      </w:r>
      <w:r>
        <w:t xml:space="preserve"> </w:t>
      </w:r>
      <w:r>
        <w:t xml:space="preserve">different sectors, the European Commission is able to produce a high number of regulatory</w:t>
      </w:r>
      <w:r>
        <w:t xml:space="preserve"> </w:t>
      </w:r>
      <w:r>
        <w:t xml:space="preserve">acts in a given sector307.</w:t>
      </w:r>
    </w:p>
    <w:p>
      <w:pPr>
        <w:pStyle w:val="Compact"/>
        <w:numPr>
          <w:ilvl w:val="0"/>
          <w:numId w:val="1024"/>
        </w:numPr>
      </w:pPr>
      <w:r>
        <w:t xml:space="preserve">However, a precondition is that Member States engage slightly more than currently. They</w:t>
      </w:r>
      <w:r>
        <w:t xml:space="preserve"> </w:t>
      </w:r>
      <w:r>
        <w:t xml:space="preserve">should engage at the same level as they used to engage – speaking now across all sectors, not</w:t>
      </w:r>
      <w:r>
        <w:t xml:space="preserve"> </w:t>
      </w:r>
      <w:r>
        <w:t xml:space="preserve">just for the CPR – in standardisation one or two decades ago. One or two decades ago,</w:t>
      </w:r>
      <w:r>
        <w:t xml:space="preserve"> </w:t>
      </w:r>
      <w:r>
        <w:t xml:space="preserve">Member States were still very active also at the level of Technical Committees of</w:t>
      </w:r>
      <w:r>
        <w:t xml:space="preserve"> </w:t>
      </w:r>
      <w:r>
        <w:t xml:space="preserve">standardisation bodies, avoiding that standards deviate too much from legal requirements308.</w:t>
      </w:r>
      <w:r>
        <w:t xml:space="preserve"> </w:t>
      </w:r>
      <w:r>
        <w:t xml:space="preserve">This level of engagement would need to be re-established to reach a full output of HTSs. Not</w:t>
      </w:r>
      <w:r>
        <w:t xml:space="preserve"> </w:t>
      </w:r>
      <w:r>
        <w:t xml:space="preserve">more.</w:t>
      </w:r>
    </w:p>
    <w:p>
      <w:pPr>
        <w:pStyle w:val="Compact"/>
        <w:numPr>
          <w:ilvl w:val="0"/>
          <w:numId w:val="1024"/>
        </w:numPr>
      </w:pPr>
      <w:r>
        <w:t xml:space="preserve">Without any engagement of Member States and of industry, the European Commission</w:t>
      </w:r>
      <w:r>
        <w:t xml:space="preserve"> </w:t>
      </w:r>
      <w:r>
        <w:t xml:space="preserve">would, with the help of its consultants, its Joint Research Centre and contractors, still be in a</w:t>
      </w:r>
      <w:r>
        <w:t xml:space="preserve"> </w:t>
      </w:r>
      <w:r>
        <w:t xml:space="preserve">position to prepare HTSs. However, the overall speed and thus output would be dramatically</w:t>
      </w:r>
      <w:r>
        <w:t xml:space="preserve"> </w:t>
      </w:r>
      <w:r>
        <w:t xml:space="preserve">reduced, whilst being still higher than the output of the current system in terms of HTSs</w:t>
      </w:r>
      <w:r>
        <w:t xml:space="preserve"> </w:t>
      </w:r>
      <w:r>
        <w:t xml:space="preserve">really becoming law. Hence, as much as it would be disappointing if there was no</w:t>
      </w:r>
      <w:r>
        <w:t xml:space="preserve"> </w:t>
      </w:r>
      <w:r>
        <w:t xml:space="preserve">contribution from Member States and from industry, the situation would be much better than</w:t>
      </w:r>
    </w:p>
    <w:p>
      <w:pPr>
        <w:pStyle w:val="FirstParagraph"/>
      </w:pPr>
      <w:r>
        <w:t xml:space="preserve">306 See for example the Judgement of 30 September 1996 of the German Federal Administrative Court (http://w</w:t>
      </w:r>
      <w:r>
        <w:t xml:space="preserve"> </w:t>
      </w:r>
      <w:r>
        <w:t xml:space="preserve">eb.archive.org/web/19991009005152/http://www.vrp.de/archiv/rupdig/mrz97/aktuell/ar387.htm), in which the</w:t>
      </w:r>
      <w:r>
        <w:t xml:space="preserve"> </w:t>
      </w:r>
      <w:r>
        <w:t xml:space="preserve">“generally recognised state of the art” was defined as those methods that “are tested and proven in practice.”</w:t>
      </w:r>
      <w:r>
        <w:t xml:space="preserve"> </w:t>
      </w:r>
      <w:r>
        <w:t xml:space="preserve">307 Such regulatory „machines“ exist for instance in the field of pharmaceuticals, automotive industry, transport,</w:t>
      </w:r>
      <w:r>
        <w:t xml:space="preserve"> </w:t>
      </w:r>
      <w:r>
        <w:t xml:space="preserve">agriculture, food and feed safety, to name but a few.</w:t>
      </w:r>
      <w:r>
        <w:br/>
      </w:r>
      <w:r>
        <w:t xml:space="preserve">308 With successive budget cuts, the engagement of Member States in standardisation bodies has dwindled and, in</w:t>
      </w:r>
      <w:r>
        <w:t xml:space="preserve"> </w:t>
      </w:r>
      <w:r>
        <w:t xml:space="preserve">parallel thereto, the mismatch with regulation has increased.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today309. Accordingly, there does not seem to be an alternative for opening the path of</w:t>
      </w:r>
      <w:r>
        <w:t xml:space="preserve"> </w:t>
      </w:r>
      <w:r>
        <w:t xml:space="preserve">adoption of technical regulation by the European Commission310.</w:t>
      </w:r>
      <w:r>
        <w:t xml:space="preserve"> </w:t>
      </w:r>
      <w:r>
        <w:t xml:space="preserve">4. Outlook</w:t>
      </w:r>
      <w:r>
        <w:t xml:space="preserve"> </w:t>
      </w:r>
      <w:r>
        <w:t xml:space="preserve">From the current perspective, where the standardisation path is at least as procedurally</w:t>
      </w:r>
      <w:r>
        <w:t xml:space="preserve"> </w:t>
      </w:r>
      <w:r>
        <w:t xml:space="preserve">cumbersome as the adoption of technical regulation by the European Commission, it might be</w:t>
      </w:r>
      <w:r>
        <w:t xml:space="preserve"> </w:t>
      </w:r>
      <w:r>
        <w:t xml:space="preserve">questionable why the standardisation path should be kept as an alternative for the CPR.</w:t>
      </w:r>
      <w:r>
        <w:t xml:space="preserve"> </w:t>
      </w:r>
      <w:r>
        <w:t xml:space="preserve">However, things can change, as they changed in the past. Adopting technical regulation by the</w:t>
      </w:r>
      <w:r>
        <w:t xml:space="preserve"> </w:t>
      </w:r>
      <w:r>
        <w:t xml:space="preserve">European Commission was easy three or four decades ago, but became increasingly cumbersome</w:t>
      </w:r>
      <w:r>
        <w:t xml:space="preserve"> </w:t>
      </w:r>
      <w:r>
        <w:t xml:space="preserve">in the last two decades311. This gave standardisation a tremendous comparative advantage, in</w:t>
      </w:r>
      <w:r>
        <w:t xml:space="preserve"> </w:t>
      </w:r>
      <w:r>
        <w:t xml:space="preserve">addition to the much less severe legal and formal control. With the Regulation (EU) 1025/2012</w:t>
      </w:r>
      <w:r>
        <w:t xml:space="preserve"> </w:t>
      </w:r>
      <w:r>
        <w:t xml:space="preserve">on European Standardisation312 and the fall-out of the James Elliott ruling313 in the years after</w:t>
      </w:r>
      <w:r>
        <w:t xml:space="preserve"> </w:t>
      </w:r>
      <w:r>
        <w:t xml:space="preserve">2016, however, the standardisation path is now equally if not more cumbersome than the</w:t>
      </w:r>
      <w:r>
        <w:t xml:space="preserve"> </w:t>
      </w:r>
      <w:r>
        <w:t xml:space="preserve">adoption of technical regulation by the European Commission314. Hence, the adoption of</w:t>
      </w:r>
      <w:r>
        <w:t xml:space="preserve"> </w:t>
      </w:r>
      <w:r>
        <w:t xml:space="preserve">technical regulation by the European Commission is a – comparatively – more promising path.</w:t>
      </w:r>
      <w:r>
        <w:t xml:space="preserve"> </w:t>
      </w:r>
      <w:r>
        <w:t xml:space="preserve">Subject to a revision of the Regulation on European Standardisation and of the regulatory</w:t>
      </w:r>
      <w:r>
        <w:t xml:space="preserve"> </w:t>
      </w:r>
      <w:r>
        <w:t xml:space="preserve">policies for regulation of the European Commission this might change again. Hence, it is</w:t>
      </w:r>
      <w:r>
        <w:t xml:space="preserve"> </w:t>
      </w:r>
      <w:r>
        <w:t xml:space="preserve">commendable to keep both paths open and to complement both with the thin layer of indirect</w:t>
      </w:r>
      <w:r>
        <w:t xml:space="preserve"> </w:t>
      </w:r>
      <w:r>
        <w:t xml:space="preserve">references to standards.</w:t>
      </w:r>
      <w:r>
        <w:br/>
      </w:r>
      <w:r>
        <w:t xml:space="preserve">In an even broader perspective, having three different regulatory techniques at hand provides a</w:t>
      </w:r>
      <w:r>
        <w:t xml:space="preserve"> </w:t>
      </w:r>
      <w:r>
        <w:t xml:space="preserve">large range of choices and possibilities for intelligent combinations that can be arranged in a</w:t>
      </w:r>
      <w:r>
        <w:t xml:space="preserve"> </w:t>
      </w:r>
      <w:r>
        <w:t xml:space="preserve">flexible way in accordance with the concrete situation at a given time. The actual handling of the</w:t>
      </w:r>
      <w:r>
        <w:t xml:space="preserve"> </w:t>
      </w:r>
      <w:r>
        <w:t xml:space="preserve">three regulatory techniques should be made in view of the concrete situation, namely the</w:t>
      </w:r>
      <w:r>
        <w:t xml:space="preserve"> </w:t>
      </w:r>
      <w:r>
        <w:t xml:space="preserve">respective product family, the knowledge, performance and willingness of potential cooperation</w:t>
      </w:r>
      <w:r>
        <w:t xml:space="preserve"> </w:t>
      </w:r>
      <w:r>
        <w:t xml:space="preserve">partners, the specific regulatory needs of authorities and industry, the speed of update to</w:t>
      </w:r>
      <w:r>
        <w:t xml:space="preserve"> </w:t>
      </w:r>
      <w:r>
        <w:t xml:space="preserve">technical progress needed etc. Our services are confident that, if all parties involved realise the</w:t>
      </w:r>
      <w:r>
        <w:t xml:space="preserve"> </w:t>
      </w:r>
      <w:r>
        <w:t xml:space="preserve">full potential given by pragmatic tailor-made combinations of these three techniques, the current</w:t>
      </w:r>
      <w:r>
        <w:t xml:space="preserve"> </w:t>
      </w:r>
      <w:r>
        <w:t xml:space="preserve">debate on whether this or that path “is the right one” will be quickly forgotten.</w:t>
      </w:r>
    </w:p>
    <w:p>
      <w:pPr>
        <w:pStyle w:val="BodyText"/>
      </w:pPr>
      <w:r>
        <w:t xml:space="preserve">309 Admittedly, the situation could be hardly worse than today.</w:t>
      </w:r>
      <w:r>
        <w:t xml:space="preserve"> </w:t>
      </w:r>
      <w:r>
        <w:t xml:space="preserve">310 The detailed reasons for the failure of the current standardisation system in the field of the CPR have been</w:t>
      </w:r>
      <w:r>
        <w:t xml:space="preserve"> </w:t>
      </w:r>
      <w:r>
        <w:t xml:space="preserve">described in detail in the recently published evaluation, accessible at https://eur-lex.europa.eu/legal-</w:t>
      </w:r>
      <w:r>
        <w:t xml:space="preserve"> </w:t>
      </w:r>
      <w:r>
        <w:t xml:space="preserve">content/EN/TXT/?qid=1571917158693&amp;uri=COM:2019:800:FIN (COM/2019/800 final, 24.10.2019). Many</w:t>
      </w:r>
      <w:r>
        <w:t xml:space="preserve"> </w:t>
      </w:r>
      <w:r>
        <w:t xml:space="preserve">efforts have been spent in vain to get the system afloat again.</w:t>
      </w:r>
      <w:r>
        <w:t xml:space="preserve"> </w:t>
      </w:r>
      <w:r>
        <w:t xml:space="preserve">311 There were many very valid reasons for the establishment of the different procedural steps, from the better</w:t>
      </w:r>
      <w:r>
        <w:t xml:space="preserve"> </w:t>
      </w:r>
      <w:r>
        <w:t xml:space="preserve">integration of EU policies to a better control by the legislators to more transparency towards trade partners and</w:t>
      </w:r>
      <w:r>
        <w:t xml:space="preserve"> </w:t>
      </w:r>
      <w:r>
        <w:t xml:space="preserve">stakeholders.</w:t>
      </w:r>
      <w:r>
        <w:t xml:space="preserve"> </w:t>
      </w:r>
      <w:r>
        <w:t xml:space="preserve">312 OJ L 316, 14.11.2012, p. 12–33, https://eur-lex.europa.eu/legal-content/EN/TXT/?uri=celex%3A32012R1025</w:t>
      </w:r>
      <w:r>
        <w:t xml:space="preserve"> </w:t>
      </w:r>
      <w:r>
        <w:t xml:space="preserve">313</w:t>
      </w:r>
      <w:r>
        <w:t xml:space="preserve"> </w:t>
      </w:r>
      <w:r>
        <w:t xml:space="preserve">Judgement</w:t>
      </w:r>
      <w:r>
        <w:t xml:space="preserve"> </w:t>
      </w:r>
      <w:r>
        <w:t xml:space="preserve">of</w:t>
      </w:r>
      <w:r>
        <w:t xml:space="preserve"> </w:t>
      </w:r>
      <w:r>
        <w:t xml:space="preserve">27</w:t>
      </w:r>
      <w:r>
        <w:t xml:space="preserve"> </w:t>
      </w:r>
      <w:r>
        <w:t xml:space="preserve">October</w:t>
      </w:r>
      <w:r>
        <w:t xml:space="preserve"> </w:t>
      </w:r>
      <w:r>
        <w:t xml:space="preserve">2016,</w:t>
      </w:r>
      <w:r>
        <w:t xml:space="preserve"> </w:t>
      </w:r>
      <w:r>
        <w:t xml:space="preserve">James</w:t>
      </w:r>
      <w:r>
        <w:t xml:space="preserve"> </w:t>
      </w:r>
      <w:r>
        <w:t xml:space="preserve">Elliot</w:t>
      </w:r>
      <w:r>
        <w:t xml:space="preserve"> </w:t>
      </w:r>
      <w:r>
        <w:t xml:space="preserve">Construction,</w:t>
      </w:r>
      <w:r>
        <w:t xml:space="preserve"> </w:t>
      </w:r>
      <w:r>
        <w:t xml:space="preserve">C-613/14,</w:t>
      </w:r>
      <w:r>
        <w:t xml:space="preserve"> </w:t>
      </w:r>
      <w:r>
        <w:t xml:space="preserve">ECLI:EU:C:2016:821,</w:t>
      </w:r>
      <w:r>
        <w:t xml:space="preserve"> </w:t>
      </w:r>
      <w:r>
        <w:t xml:space="preserve">http://curia.europa.eu/juris/document/document.jsf?text=&amp;docid=184891&amp;pageIndex=0&amp;doclang=en&amp;mode=lst</w:t>
      </w:r>
      <w:r>
        <w:t xml:space="preserve"> </w:t>
      </w:r>
      <w:r>
        <w:t xml:space="preserve">&amp;dir=&amp;occ=first&amp;part=1&amp;cid=5620375</w:t>
      </w:r>
      <w:r>
        <w:t xml:space="preserve"> </w:t>
      </w:r>
      <w:r>
        <w:t xml:space="preserve">314 We exempt cases where an impact assessment is needed.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ANNEX 13: OPTIONS AND ELEMENTS DISCARDED</w:t>
      </w:r>
      <w:r>
        <w:t xml:space="preserve"> </w:t>
      </w:r>
      <w:r>
        <w:t xml:space="preserve">1. Discarded options</w:t>
      </w:r>
      <w:r>
        <w:t xml:space="preserve"> </w:t>
      </w:r>
      <w:r>
        <w:t xml:space="preserve">During various surveys315 of the years 2018 to 2019, stakeholders and Member States gave their</w:t>
      </w:r>
      <w:r>
        <w:t xml:space="preserve"> </w:t>
      </w:r>
      <w:r>
        <w:t xml:space="preserve">view on the idea of reverting to voluntary standards under the CPR. Almost unanimously, they</w:t>
      </w:r>
      <w:r>
        <w:t xml:space="preserve"> </w:t>
      </w:r>
      <w:r>
        <w:t xml:space="preserve">voiced massive concerns against replacing the current mandatory standards by voluntary</w:t>
      </w:r>
      <w:r>
        <w:t xml:space="preserve"> </w:t>
      </w:r>
      <w:r>
        <w:t xml:space="preserve">standards for the assessment of the construction products’ performance, e.g. in terms of load</w:t>
      </w:r>
      <w:r>
        <w:t xml:space="preserve"> </w:t>
      </w:r>
      <w:r>
        <w:t xml:space="preserve">bearing capacity or fire resistance. The main argument was that voluntary standards cannot</w:t>
      </w:r>
      <w:r>
        <w:t xml:space="preserve"> </w:t>
      </w:r>
      <w:r>
        <w:t xml:space="preserve">guarantee that manufacturers assess the performance of their products in the same way so that</w:t>
      </w:r>
      <w:r>
        <w:t xml:space="preserve"> </w:t>
      </w:r>
      <w:r>
        <w:t xml:space="preserve">the national building codes can rely on the assessed performance. This view coincides with the</w:t>
      </w:r>
      <w:r>
        <w:t xml:space="preserve"> </w:t>
      </w:r>
      <w:r>
        <w:t xml:space="preserve">Commission services’ view. Accordingly, the return to voluntary standards has been sidelined in</w:t>
      </w:r>
      <w:r>
        <w:t xml:space="preserve"> </w:t>
      </w:r>
      <w:r>
        <w:t xml:space="preserve">the Refined indicative options paper and thus from the later surveys and the public consultation,</w:t>
      </w:r>
      <w:r>
        <w:t xml:space="preserve"> </w:t>
      </w:r>
      <w:r>
        <w:t xml:space="preserve">whilst elements of the voluntary standards’ concept could be maintained in Options C and D.</w:t>
      </w:r>
      <w:r>
        <w:t xml:space="preserve"> </w:t>
      </w:r>
      <w:r>
        <w:t xml:space="preserve">In late 2019, two Member States voiced the view that the CPR revision should focus on “getting</w:t>
      </w:r>
      <w:r>
        <w:t xml:space="preserve"> </w:t>
      </w:r>
      <w:r>
        <w:t xml:space="preserve">the boat afloat for standardization” in a first round, tackling the remaining issues in a second</w:t>
      </w:r>
      <w:r>
        <w:t xml:space="preserve"> </w:t>
      </w:r>
      <w:r>
        <w:t xml:space="preserve">legislative procedure. The same view was taken by numerous stakeholders. A deeper analysis of</w:t>
      </w:r>
      <w:r>
        <w:t xml:space="preserve"> </w:t>
      </w:r>
      <w:r>
        <w:t xml:space="preserve">this suggestion led to the conclusion that the issues of the CPR are so much intertwined that</w:t>
      </w:r>
      <w:r>
        <w:t xml:space="preserve"> </w:t>
      </w:r>
      <w:r>
        <w:t xml:space="preserve">focusing on standardization cannot even solve the standardization issue. Moreover, political</w:t>
      </w:r>
      <w:r>
        <w:t xml:space="preserve"> </w:t>
      </w:r>
      <w:r>
        <w:t xml:space="preserve">imperatives, in particular the need to incorporate the goals of the European Green Deal and of</w:t>
      </w:r>
      <w:r>
        <w:t xml:space="preserve"> </w:t>
      </w:r>
      <w:r>
        <w:t xml:space="preserve">the Circular Economy Action Plan, made it necessary to go for a more comprehensive solution.</w:t>
      </w:r>
      <w:r>
        <w:t xml:space="preserve"> </w:t>
      </w:r>
      <w:r>
        <w:t xml:space="preserve">Late 2020 and early 2021, business associations presented a concept paper containing a so-called</w:t>
      </w:r>
      <w:r>
        <w:t xml:space="preserve"> </w:t>
      </w:r>
      <w:r>
        <w:t xml:space="preserve">“Option F”316. This concept paper was focusing on a new way of elaborating technical</w:t>
      </w:r>
      <w:r>
        <w:t xml:space="preserve"> </w:t>
      </w:r>
      <w:r>
        <w:t xml:space="preserve">specifications which resembled to the elaboration mode of Option D2 for product requirements.</w:t>
      </w:r>
      <w:r>
        <w:t xml:space="preserve"> </w:t>
      </w:r>
      <w:r>
        <w:t xml:space="preserve">As a result, there would be only Commission acts with – to the extent possible - mandatory</w:t>
      </w:r>
      <w:r>
        <w:t xml:space="preserve"> </w:t>
      </w:r>
      <w:r>
        <w:t xml:space="preserve">references to standards, and this also for the performance assessment of essential characteristics.</w:t>
      </w:r>
      <w:r>
        <w:t xml:space="preserve"> </w:t>
      </w:r>
      <w:r>
        <w:t xml:space="preserve">Besides the fact that this “Option F” could not anymore be integrated into the public</w:t>
      </w:r>
      <w:r>
        <w:t xml:space="preserve"> </w:t>
      </w:r>
      <w:r>
        <w:t xml:space="preserve">consultation, it was perceived as being too radical, for scrapping completely the use of</w:t>
      </w:r>
      <w:r>
        <w:t xml:space="preserve"> </w:t>
      </w:r>
      <w:r>
        <w:t xml:space="preserve">harmonised standards as distinct path for the development of technical specifications. Instead of</w:t>
      </w:r>
      <w:r>
        <w:t xml:space="preserve"> </w:t>
      </w:r>
      <w:r>
        <w:t xml:space="preserve">having at its disposal two elaboration modes for technical specifications, the Commission would</w:t>
      </w:r>
      <w:r>
        <w:t xml:space="preserve"> </w:t>
      </w:r>
      <w:r>
        <w:t xml:space="preserve">again only have one. Bearing in mind that one elaboration mode can easily fail, as seen today,</w:t>
      </w:r>
      <w:r>
        <w:t xml:space="preserve"> </w:t>
      </w:r>
      <w:r>
        <w:t xml:space="preserve">the likelihood of a system functioning can only be increased by having two or more elaboration</w:t>
      </w:r>
      <w:r>
        <w:t xml:space="preserve"> </w:t>
      </w:r>
      <w:r>
        <w:t xml:space="preserve">modes.</w:t>
      </w:r>
    </w:p>
    <w:p>
      <w:pPr>
        <w:pStyle w:val="BodyText"/>
      </w:pPr>
      <w:r>
        <w:t xml:space="preserve">315 VVA Economics &amp; Policy, Joint Institute for Innovation Policy (JIIP), Danish Technological Institute (DTI),</w:t>
      </w:r>
      <w:r>
        <w:t xml:space="preserve"> </w:t>
      </w:r>
      <w:r>
        <w:t xml:space="preserve">Global Data Collection Company (2018). Supporting study for the Review of the Construction Products</w:t>
      </w:r>
      <w:r>
        <w:t xml:space="preserve"> </w:t>
      </w:r>
      <w:r>
        <w:t xml:space="preserve">Regulation: Evaluation.</w:t>
      </w:r>
      <w:r>
        <w:t xml:space="preserve"> </w:t>
      </w:r>
      <w:r>
        <w:t xml:space="preserve">VVA Economics &amp; Policy, Joint Institute for Innovation Policy (JIIP), Danish Technological Institute (DTI),</w:t>
      </w:r>
      <w:r>
        <w:t xml:space="preserve"> </w:t>
      </w:r>
      <w:r>
        <w:t xml:space="preserve">Global Data Collection Company (2018). Supporting study for the Review of the Construction Products</w:t>
      </w:r>
      <w:r>
        <w:t xml:space="preserve"> </w:t>
      </w:r>
      <w:r>
        <w:t xml:space="preserve">Regulation: Impact Assessment.</w:t>
      </w:r>
      <w:r>
        <w:t xml:space="preserve"> </w:t>
      </w:r>
      <w:r>
        <w:t xml:space="preserve">Public consultation on EU rules for products used in the construction of buildings and infrastructure works</w:t>
      </w:r>
      <w:r>
        <w:t xml:space="preserve"> </w:t>
      </w:r>
      <w:r>
        <w:t xml:space="preserve">(January-April 2018), https://ec.europa.eu/docsroom/documents/32082.</w:t>
      </w:r>
      <w:r>
        <w:t xml:space="preserve"> </w:t>
      </w:r>
      <w:r>
        <w:t xml:space="preserve">316 See Results of the Survey on the Refined indicative options paper, April-August 2020, Annex II on option B,</w:t>
      </w:r>
      <w:r>
        <w:t xml:space="preserve"> </w:t>
      </w:r>
      <w:r>
        <w:t xml:space="preserve">available: https://ec.europa.eu/docsroom/documents/43103.</w:t>
      </w:r>
    </w:p>
    <w:p>
      <w:pPr>
        <w:pStyle w:val="BodyText"/>
      </w:pPr>
      <w:r>
        <w:t xml:space="preserve">157</w:t>
      </w:r>
    </w:p>
    <w:p>
      <w:pPr>
        <w:pStyle w:val="Compact"/>
        <w:numPr>
          <w:ilvl w:val="0"/>
          <w:numId w:val="1025"/>
        </w:numPr>
      </w:pPr>
      <w:r>
        <w:t xml:space="preserve">Discarded elements</w:t>
      </w:r>
      <w:r>
        <w:t xml:space="preserve"> </w:t>
      </w:r>
      <w:r>
        <w:t xml:space="preserve">In April 2020, Option B was designed as a full package of repair elements that could be</w:t>
      </w:r>
      <w:r>
        <w:t xml:space="preserve"> </w:t>
      </w:r>
      <w:r>
        <w:t xml:space="preserve">combined in multiple combinations. It had been decided to keep all the debatable elements on</w:t>
      </w:r>
      <w:r>
        <w:t xml:space="preserve"> </w:t>
      </w:r>
      <w:r>
        <w:t xml:space="preserve">the table as long as possible in order to be transparent towards the stakeholders: only by</w:t>
      </w:r>
      <w:r>
        <w:t xml:space="preserve"> </w:t>
      </w:r>
      <w:r>
        <w:t xml:space="preserve">presenting all the elements, we made clear how big the playing field of the CPR revision is. This</w:t>
      </w:r>
      <w:r>
        <w:t xml:space="preserve"> </w:t>
      </w:r>
      <w:r>
        <w:t xml:space="preserve">with the view of allowing them to comment on all the elements which potentially could find its</w:t>
      </w:r>
      <w:r>
        <w:t xml:space="preserve"> </w:t>
      </w:r>
      <w:r>
        <w:t xml:space="preserve">way into the revision.</w:t>
      </w:r>
      <w:r>
        <w:br/>
      </w:r>
      <w:r>
        <w:t xml:space="preserve">The downside of not discarding some of the potential elements of the options at an early stage</w:t>
      </w:r>
      <w:r>
        <w:t xml:space="preserve"> </w:t>
      </w:r>
      <w:r>
        <w:t xml:space="preserve">was that the options containing these elements were assessed by the stakeholders more critically</w:t>
      </w:r>
      <w:r>
        <w:t xml:space="preserve"> </w:t>
      </w:r>
      <w:r>
        <w:t xml:space="preserve">than they would have been otherwise. However, the differentiated views with regard to all the</w:t>
      </w:r>
      <w:r>
        <w:t xml:space="preserve"> </w:t>
      </w:r>
      <w:r>
        <w:t xml:space="preserve">elements permitted identification of the precise interests of the stakeholders and thus correction</w:t>
      </w:r>
      <w:r>
        <w:t xml:space="preserve"> </w:t>
      </w:r>
      <w:r>
        <w:t xml:space="preserve">of the bias in favour of keeping the current regulatory system.</w:t>
      </w:r>
      <w:r>
        <w:t xml:space="preserve"> </w:t>
      </w:r>
      <w:r>
        <w:t xml:space="preserve">For several elements the iterative process with stakeholders and deeper analysis has triggered the</w:t>
      </w:r>
      <w:r>
        <w:t xml:space="preserve"> </w:t>
      </w:r>
      <w:r>
        <w:t xml:space="preserve">need to discard them at a later point in time, just before or even during the drafting of the Impact</w:t>
      </w:r>
      <w:r>
        <w:t xml:space="preserve"> </w:t>
      </w:r>
      <w:r>
        <w:t xml:space="preserve">Assessment report. This was the case in particular where the feedback was turning out to be very</w:t>
      </w:r>
      <w:r>
        <w:t xml:space="preserve"> </w:t>
      </w:r>
      <w:r>
        <w:t xml:space="preserve">negative.</w:t>
      </w:r>
      <w:r>
        <w:br/>
      </w:r>
      <w:r>
        <w:t xml:space="preserve">In consequence, after the feedback received on the Refined indicative options paper, several</w:t>
      </w:r>
      <w:r>
        <w:t xml:space="preserve"> </w:t>
      </w:r>
      <w:r>
        <w:t xml:space="preserve">elements initially considered within the context of Option B and presented as such in April 2020,</w:t>
      </w:r>
      <w:r>
        <w:t xml:space="preserve"> </w:t>
      </w:r>
      <w:r>
        <w:t xml:space="preserve">in the Refined indicative options paper, have been discarded, amongst them namely:</w:t>
      </w:r>
    </w:p>
    <w:p>
      <w:pPr>
        <w:pStyle w:val="Compact"/>
        <w:numPr>
          <w:ilvl w:val="0"/>
          <w:numId w:val="1026"/>
        </w:numPr>
      </w:pPr>
      <w:r>
        <w:t xml:space="preserve">Preliminary CE marking on the basis of assessments of Regulatory Advancement Bodies</w:t>
      </w:r>
      <w:r>
        <w:t xml:space="preserve"> </w:t>
      </w:r>
      <w:r>
        <w:t xml:space="preserve">which were to replace the Technical Assessment Bodies (EOTA route): Stakeholders and</w:t>
      </w:r>
      <w:r>
        <w:t xml:space="preserve"> </w:t>
      </w:r>
      <w:r>
        <w:t xml:space="preserve">authorities feared legal uncertainty, in particular regarding the transition from the preliminary</w:t>
      </w:r>
      <w:r>
        <w:t xml:space="preserve"> </w:t>
      </w:r>
      <w:r>
        <w:t xml:space="preserve">to the definitive CE marking;</w:t>
      </w:r>
    </w:p>
    <w:p>
      <w:pPr>
        <w:pStyle w:val="Compact"/>
        <w:numPr>
          <w:ilvl w:val="0"/>
          <w:numId w:val="1026"/>
        </w:numPr>
      </w:pPr>
      <w:r>
        <w:t xml:space="preserve">Establishment of special bodies for the environmental assessments: Stakeholders and</w:t>
      </w:r>
      <w:r>
        <w:t xml:space="preserve"> </w:t>
      </w:r>
      <w:r>
        <w:t xml:space="preserve">authorities saw no need for these dedicated bodies as the current notified bodies framework</w:t>
      </w:r>
      <w:r>
        <w:t xml:space="preserve"> </w:t>
      </w:r>
      <w:r>
        <w:t xml:space="preserve">permits specialisation, e.g. on fire safety, and the combination of the involvement of different</w:t>
      </w:r>
      <w:r>
        <w:t xml:space="preserve"> </w:t>
      </w:r>
      <w:r>
        <w:t xml:space="preserve">notified bodies;</w:t>
      </w:r>
    </w:p>
    <w:p>
      <w:pPr>
        <w:pStyle w:val="Compact"/>
        <w:numPr>
          <w:ilvl w:val="0"/>
          <w:numId w:val="1026"/>
        </w:numPr>
      </w:pPr>
      <w:r>
        <w:t xml:space="preserve">Improving the efficacy of notified bodies: Deviation from the default provisions established</w:t>
      </w:r>
      <w:r>
        <w:t xml:space="preserve"> </w:t>
      </w:r>
      <w:r>
        <w:t xml:space="preserve">by the NLF would create different practices amongst different product sectors;</w:t>
      </w:r>
    </w:p>
    <w:p>
      <w:pPr>
        <w:pStyle w:val="Compact"/>
        <w:numPr>
          <w:ilvl w:val="0"/>
          <w:numId w:val="1026"/>
        </w:numPr>
      </w:pPr>
      <w:r>
        <w:t xml:space="preserve">Streamlining of the procedures in case of non-conformities: Deviation from the default</w:t>
      </w:r>
      <w:r>
        <w:t xml:space="preserve"> </w:t>
      </w:r>
      <w:r>
        <w:t xml:space="preserve">provisions established by the NLF would create different practices amongst different product</w:t>
      </w:r>
      <w:r>
        <w:t xml:space="preserve"> </w:t>
      </w:r>
      <w:r>
        <w:t xml:space="preserve">sectors;</w:t>
      </w:r>
    </w:p>
    <w:p>
      <w:pPr>
        <w:pStyle w:val="Compact"/>
        <w:numPr>
          <w:ilvl w:val="0"/>
          <w:numId w:val="1026"/>
        </w:numPr>
      </w:pPr>
      <w:r>
        <w:t xml:space="preserve">Enhancing market surveillance: Instead of extending the empowerments, some measures</w:t>
      </w:r>
      <w:r>
        <w:t xml:space="preserve"> </w:t>
      </w:r>
      <w:r>
        <w:t xml:space="preserve">were taken in line with the SPI;</w:t>
      </w:r>
    </w:p>
    <w:p>
      <w:pPr>
        <w:pStyle w:val="Compact"/>
        <w:numPr>
          <w:ilvl w:val="0"/>
          <w:numId w:val="1026"/>
        </w:numPr>
      </w:pPr>
      <w:r>
        <w:t xml:space="preserve">Reducing or lifting AVCP obligations in case of coverage by liability insurance: This was</w:t>
      </w:r>
      <w:r>
        <w:t xml:space="preserve"> </w:t>
      </w:r>
      <w:r>
        <w:t xml:space="preserve">felt to be an important further complication of the system with little practical added value;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6"/>
        </w:numPr>
      </w:pPr>
      <w:r>
        <w:t xml:space="preserve">Better access to harmonised standards by translation into all official languages and free</w:t>
      </w:r>
      <w:r>
        <w:t xml:space="preserve"> </w:t>
      </w:r>
      <w:r>
        <w:t xml:space="preserve">availability: Budgetary constraints made it necessary to drop this point.</w:t>
      </w:r>
    </w:p>
    <w:p>
      <w:pPr>
        <w:pStyle w:val="FirstParagraph"/>
      </w:pPr>
      <w:r>
        <w:t xml:space="preserve">158</w:t>
      </w:r>
    </w:p>
    <w:p>
      <w:pPr>
        <w:pStyle w:val="BodyText"/>
      </w:pPr>
      <w:r>
        <w:t xml:space="preserve">ANNEX 14: JAMES ELLIOTT JUDGMENT (C-613/14)317</w:t>
      </w:r>
      <w:r>
        <w:br/>
      </w:r>
      <w:r>
        <w:t xml:space="preserve">In the James Elliott judgment,318 the Court gave a preliminary ruling addressing important issues</w:t>
      </w:r>
      <w:r>
        <w:t xml:space="preserve"> </w:t>
      </w:r>
      <w:r>
        <w:t xml:space="preserve">in relation to the role of the European standard-setting bodies and the harmonised standards</w:t>
      </w:r>
      <w:r>
        <w:t xml:space="preserve"> </w:t>
      </w:r>
      <w:r>
        <w:t xml:space="preserve">adopted in compliance with New Approach directives. In particular, for the first time, the Court</w:t>
      </w:r>
      <w:r>
        <w:t xml:space="preserve"> </w:t>
      </w:r>
      <w:r>
        <w:t xml:space="preserve">established its jurisdiction to give preliminary rulings on the interpretation of harmonised</w:t>
      </w:r>
      <w:r>
        <w:t xml:space="preserve"> </w:t>
      </w:r>
      <w:r>
        <w:t xml:space="preserve">standards, clarifying their position in relation to EU law. For the ground-breaking outcome of the</w:t>
      </w:r>
      <w:r>
        <w:t xml:space="preserve"> </w:t>
      </w:r>
      <w:r>
        <w:t xml:space="preserve">case and for the institutional implications it entails, the judgment in James Elliott Construction</w:t>
      </w:r>
      <w:r>
        <w:t xml:space="preserve"> </w:t>
      </w:r>
      <w:r>
        <w:t xml:space="preserve">represents a fundamental step in the evolution of the case law concerning standardisation in its</w:t>
      </w:r>
      <w:r>
        <w:t xml:space="preserve"> </w:t>
      </w:r>
      <w:r>
        <w:t xml:space="preserve">relation to the EU legal system and to the law in general.</w:t>
      </w:r>
      <w:r>
        <w:t xml:space="preserve"> </w:t>
      </w:r>
      <w:r>
        <w:t xml:space="preserve">The Court started by recalling its case law according to which it has jurisdiction to interpret not</w:t>
      </w:r>
      <w:r>
        <w:t xml:space="preserve"> </w:t>
      </w:r>
      <w:r>
        <w:t xml:space="preserve">only “acts of the institutions, bodies, offices or agencies of the Union”, but also other acts which</w:t>
      </w:r>
      <w:r>
        <w:t xml:space="preserve"> </w:t>
      </w:r>
      <w:r>
        <w:t xml:space="preserve">are “by their nature measures implementing or applying an act of EU law”319. Thus, in a</w:t>
      </w:r>
      <w:r>
        <w:t xml:space="preserve"> </w:t>
      </w:r>
      <w:r>
        <w:t xml:space="preserve">teleological reading of Article 267 TFEU, the Court can establish its jurisdiction also over such</w:t>
      </w:r>
      <w:r>
        <w:t xml:space="preserve"> </w:t>
      </w:r>
      <w:r>
        <w:t xml:space="preserve">acts of other bodies in order to ensure the uniform application of EU law320. Acknowledging that</w:t>
      </w:r>
      <w:r>
        <w:t xml:space="preserve"> </w:t>
      </w:r>
      <w:r>
        <w:t xml:space="preserve">the standard-setting bodies cannot be described as “institutions, bodies, offices or agencies of the</w:t>
      </w:r>
      <w:r>
        <w:t xml:space="preserve"> </w:t>
      </w:r>
      <w:r>
        <w:t xml:space="preserve">Union”, the Court considered whether the standard at issue represents a measure implementing</w:t>
      </w:r>
      <w:r>
        <w:t xml:space="preserve"> </w:t>
      </w:r>
      <w:r>
        <w:t xml:space="preserve">or applying an act of EU law.</w:t>
      </w:r>
      <w:r>
        <w:t xml:space="preserve"> </w:t>
      </w:r>
      <w:r>
        <w:t xml:space="preserve">For this purpose, it analysed the provisions of the Construction Products Directive and stressed</w:t>
      </w:r>
      <w:r>
        <w:t xml:space="preserve"> </w:t>
      </w:r>
      <w:r>
        <w:t xml:space="preserve">the relevance of the essential requirements set out by European legislation321, as well as the</w:t>
      </w:r>
      <w:r>
        <w:t xml:space="preserve"> </w:t>
      </w:r>
      <w:r>
        <w:t xml:space="preserve">control exercised by the European Commission in initiating, managing and monitoring the</w:t>
      </w:r>
      <w:r>
        <w:t xml:space="preserve"> </w:t>
      </w:r>
      <w:r>
        <w:t xml:space="preserve">procedure for the adoption of a harmonized standard322. In light of this, the Court concluded that</w:t>
      </w:r>
      <w:r>
        <w:t xml:space="preserve"> </w:t>
      </w:r>
      <w:r>
        <w:t xml:space="preserve">the standard at issue is “a necessary implementing measure” of the Construction Products</w:t>
      </w:r>
      <w:r>
        <w:t xml:space="preserve"> </w:t>
      </w:r>
      <w:r>
        <w:t xml:space="preserve">Directive323, and therefore it can be considered as “part of EU law”.324 As such, the harmonised</w:t>
      </w:r>
      <w:r>
        <w:t xml:space="preserve"> </w:t>
      </w:r>
      <w:r>
        <w:t xml:space="preserve">standard can be subject to interpretation by the Court, which thus establishes its jurisdiction to</w:t>
      </w:r>
      <w:r>
        <w:t xml:space="preserve"> </w:t>
      </w:r>
      <w:r>
        <w:t xml:space="preserve">give a preliminary ruling. Moreover, the lack of binding effects of harmonised standards does</w:t>
      </w:r>
      <w:r>
        <w:t xml:space="preserve"> </w:t>
      </w:r>
      <w:r>
        <w:t xml:space="preserve">not preclude the Court from ruling on its interpretation, having regard to the legal effects of the</w:t>
      </w:r>
      <w:r>
        <w:t xml:space="preserve"> </w:t>
      </w:r>
      <w:r>
        <w:t xml:space="preserve">presumption of conformity to the New Approach directives that the compliance with the standard</w:t>
      </w:r>
      <w:r>
        <w:t xml:space="preserve"> </w:t>
      </w:r>
      <w:r>
        <w:t xml:space="preserve">entails.</w:t>
      </w:r>
      <w:r>
        <w:br/>
      </w:r>
      <w:r>
        <w:t xml:space="preserve">With reference to the third question, the Court clarified that the presumption of fitness for use of</w:t>
      </w:r>
      <w:r>
        <w:t xml:space="preserve"> </w:t>
      </w:r>
      <w:r>
        <w:t xml:space="preserve">a construction product manufactured in compliance with a harmonised standard must be read in</w:t>
      </w:r>
      <w:r>
        <w:t xml:space="preserve"> </w:t>
      </w:r>
      <w:r>
        <w:t xml:space="preserve">connection with its purpose of guaranteeing the free circulation of the product within the internal</w:t>
      </w:r>
      <w:r>
        <w:t xml:space="preserve"> </w:t>
      </w:r>
      <w:r>
        <w:t xml:space="preserve">market and is meaningful only in this context. Therefore, national courts cannot apply it to give</w:t>
      </w:r>
      <w:r>
        <w:t xml:space="preserve"> </w:t>
      </w:r>
      <w:r>
        <w:t xml:space="preserve">meaning to general clauses of national law, such as the obligation to supply products “of</w:t>
      </w:r>
    </w:p>
    <w:p>
      <w:pPr>
        <w:pStyle w:val="BodyText"/>
      </w:pPr>
      <w:r>
        <w:t xml:space="preserve">317 Excerpts from the Common Market Law Review 54: 591–604, 2017.</w:t>
      </w:r>
      <w:r>
        <w:t xml:space="preserve"> </w:t>
      </w:r>
      <w:r>
        <w:t xml:space="preserve">318 Judgment of 27 October 2016 in case C-613/14 James Elliott Construction Limited v Irish Asphalt Limited,</w:t>
      </w:r>
      <w:r>
        <w:t xml:space="preserve"> </w:t>
      </w:r>
      <w:r>
        <w:t xml:space="preserve">ECLI:EU:C:2016:821.</w:t>
      </w:r>
      <w:r>
        <w:t xml:space="preserve"> </w:t>
      </w:r>
      <w:r>
        <w:t xml:space="preserve">319 Judgment, para 34. The ECJ refers to Case C-192/89, S.Z. Sevince v. Staatssecretaris van Justitie,</w:t>
      </w:r>
      <w:r>
        <w:t xml:space="preserve"> </w:t>
      </w:r>
      <w:r>
        <w:t xml:space="preserve">EU:C:1990:322; Case C-188/91, Deutsche Shell AG v. Hauptzollamt Hamburg-Harburg, EU:C:1993:24.</w:t>
      </w:r>
      <w:r>
        <w:t xml:space="preserve"> </w:t>
      </w:r>
      <w:r>
        <w:t xml:space="preserve">320 Judgment, para 34.</w:t>
      </w:r>
      <w:r>
        <w:t xml:space="preserve"> </w:t>
      </w:r>
      <w:r>
        <w:t xml:space="preserve">321 Ibid., para 43.</w:t>
      </w:r>
      <w:r>
        <w:br/>
      </w:r>
      <w:r>
        <w:t xml:space="preserve">322 Ibid., para 45.</w:t>
      </w:r>
      <w:r>
        <w:t xml:space="preserve"> </w:t>
      </w:r>
      <w:r>
        <w:t xml:space="preserve">323 Ibid., para 43.</w:t>
      </w:r>
      <w:r>
        <w:t xml:space="preserve"> </w:t>
      </w:r>
      <w:r>
        <w:t xml:space="preserve">324 Ibid., para 40.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merchantable quality” or “fit for purpose”.325 Having replied to the referring court’s question in</w:t>
      </w:r>
      <w:r>
        <w:t xml:space="preserve"> </w:t>
      </w:r>
      <w:r>
        <w:t xml:space="preserve">the negative, the fourth and fifth questions could be omitted.</w:t>
      </w:r>
      <w:r>
        <w:t xml:space="preserve"> </w:t>
      </w:r>
      <w:r>
        <w:t xml:space="preserve">Finally, as regards the second question, concerning the application of the CIA Security</w:t>
      </w:r>
      <w:r>
        <w:t xml:space="preserve"> </w:t>
      </w:r>
      <w:r>
        <w:t xml:space="preserve">International and Unilever case law to the Irish provision on the need to provide products “of</w:t>
      </w:r>
      <w:r>
        <w:t xml:space="preserve"> </w:t>
      </w:r>
      <w:r>
        <w:t xml:space="preserve">merchantable quality”, the Court considered whether this provision falls within the scope of the</w:t>
      </w:r>
      <w:r>
        <w:t xml:space="preserve"> </w:t>
      </w:r>
      <w:r>
        <w:t xml:space="preserve">notification duty imposed by Article 8 of Directive 98/34. Since the Irish provision did not fall</w:t>
      </w:r>
      <w:r>
        <w:t xml:space="preserve"> </w:t>
      </w:r>
      <w:r>
        <w:t xml:space="preserve">within the concepts of “technical specification”, “technical regulation” or “other requirements”</w:t>
      </w:r>
      <w:r>
        <w:t xml:space="preserve"> </w:t>
      </w:r>
      <w:r>
        <w:t xml:space="preserve">within the meaning of Article 1 of Directive 98/34, the Court concluded that there was no need</w:t>
      </w:r>
      <w:r>
        <w:t xml:space="preserve"> </w:t>
      </w:r>
      <w:r>
        <w:t xml:space="preserve">to notify such a provision to the European Commission and, therefore, the Irish judge may apply</w:t>
      </w:r>
      <w:r>
        <w:t xml:space="preserve"> </w:t>
      </w:r>
      <w:r>
        <w:t xml:space="preserve">it in the proceedings before it.</w:t>
      </w:r>
    </w:p>
    <w:p>
      <w:pPr>
        <w:pStyle w:val="BodyText"/>
      </w:pPr>
      <w:r>
        <w:t xml:space="preserve">325 Ibid., para 59.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12">
    <w:nsid w:val="00A99812"/>
    <w:multiLevelType w:val="multilevel"/>
    <w:lvl w:ilvl="0">
      <w:start w:val="2"/>
      <w:numFmt w:val="upperLetter"/>
      <w:lvlText w:val="%1."/>
      <w:lvlJc w:val="left"/>
      <w:pPr>
        <w:ind w:left="720" w:hanging="360"/>
      </w:pPr>
    </w:lvl>
    <w:lvl w:ilvl="1">
      <w:start w:val="2"/>
      <w:numFmt w:val="upperLetter"/>
      <w:lvlText w:val="%2."/>
      <w:lvlJc w:val="left"/>
      <w:pPr>
        <w:ind w:left="1440" w:hanging="360"/>
      </w:pPr>
    </w:lvl>
    <w:lvl w:ilvl="2">
      <w:start w:val="2"/>
      <w:numFmt w:val="upperLetter"/>
      <w:lvlText w:val="%3."/>
      <w:lvlJc w:val="left"/>
      <w:pPr>
        <w:ind w:left="2160" w:hanging="360"/>
      </w:pPr>
    </w:lvl>
    <w:lvl w:ilvl="3">
      <w:start w:val="2"/>
      <w:numFmt w:val="upperLetter"/>
      <w:lvlText w:val="%4."/>
      <w:lvlJc w:val="left"/>
      <w:pPr>
        <w:ind w:left="2880" w:hanging="360"/>
      </w:pPr>
    </w:lvl>
    <w:lvl w:ilvl="4">
      <w:start w:val="2"/>
      <w:numFmt w:val="upperLetter"/>
      <w:lvlText w:val="%5."/>
      <w:lvlJc w:val="left"/>
      <w:pPr>
        <w:ind w:left="3600" w:hanging="360"/>
      </w:pPr>
    </w:lvl>
    <w:lvl w:ilvl="5">
      <w:start w:val="2"/>
      <w:numFmt w:val="upperLetter"/>
      <w:lvlText w:val="%6."/>
      <w:lvlJc w:val="left"/>
      <w:pPr>
        <w:ind w:left="4320" w:hanging="360"/>
      </w:pPr>
    </w:lvl>
    <w:lvl w:ilvl="6">
      <w:start w:val="2"/>
      <w:numFmt w:val="upperLetter"/>
      <w:lvlText w:val="%7."/>
      <w:lvlJc w:val="left"/>
      <w:pPr>
        <w:ind w:left="5040" w:hanging="360"/>
      </w:pPr>
    </w:lvl>
    <w:lvl w:ilvl="7">
      <w:start w:val="2"/>
      <w:numFmt w:val="upperLetter"/>
      <w:lvlText w:val="%8."/>
      <w:lvlJc w:val="left"/>
      <w:pPr>
        <w:ind w:left="5760" w:hanging="360"/>
      </w:pPr>
    </w:lvl>
    <w:lvl w:ilvl="8">
      <w:start w:val="2"/>
      <w:numFmt w:val="upperLetter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1"/>
  </w:num>
  <w:num w:numId="1008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1"/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1"/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2026-07-31T16:47:45Z</dcterms:created>
  <dcterms:modified xsi:type="dcterms:W3CDTF">2026-07-31T16:47:45Z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