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18.4.2023</w:t>
      </w:r>
      <w:r>
        <w:br/>
      </w:r>
      <w:r>
        <w:t xml:space="preserve">SWD(2023) 225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</w:t>
      </w:r>
      <w:r>
        <w:br/>
      </w:r>
      <w:r>
        <w:t xml:space="preserve">Proposals for a</w:t>
      </w:r>
      <w:r>
        <w:t xml:space="preserve"> </w:t>
      </w:r>
      <w:r>
        <w:t xml:space="preserve">DIRECTIVE OF THE EUROPEAN PARLIAMENT AND COUNCIL</w:t>
      </w:r>
      <w:r>
        <w:br/>
      </w:r>
      <w:r>
        <w:t xml:space="preserve">amending Directive 2014/59/EU as regards early intervention measures, conditions for</w:t>
      </w:r>
      <w:r>
        <w:t xml:space="preserve"> </w:t>
      </w:r>
      <w:r>
        <w:t xml:space="preserve">resolution and financing of resolution action</w:t>
      </w:r>
    </w:p>
    <w:p>
      <w:pPr>
        <w:pStyle w:val="BodyText"/>
      </w:pPr>
      <w:r>
        <w:t xml:space="preserve">REGULATION OF THE EUROPEAN PARLIAMENT AND COUNCIL</w:t>
      </w:r>
      <w:r>
        <w:br/>
      </w:r>
      <w:r>
        <w:t xml:space="preserve">amending Regulation (EU) 806/2014 as regards early intervention measures, conditions</w:t>
      </w:r>
      <w:r>
        <w:t xml:space="preserve"> </w:t>
      </w:r>
      <w:r>
        <w:t xml:space="preserve">for resolution and financing of resolution action</w:t>
      </w:r>
    </w:p>
    <w:p>
      <w:pPr>
        <w:pStyle w:val="BodyText"/>
      </w:pPr>
      <w:r>
        <w:t xml:space="preserve">DIRECTIVE OF THE EUROPEAN PARLIAMENT AND COUNCIL amending</w:t>
      </w:r>
      <w:r>
        <w:t xml:space="preserve"> </w:t>
      </w:r>
      <w:r>
        <w:t xml:space="preserve">Directive 2014/49/EU as regards the scope of deposit protection, use of deposit guarantee</w:t>
      </w:r>
      <w:r>
        <w:t xml:space="preserve"> </w:t>
      </w:r>
      <w:r>
        <w:t xml:space="preserve">schemes funds, cross-border cooperation, and transparency</w:t>
      </w:r>
    </w:p>
    <w:p>
      <w:pPr>
        <w:pStyle w:val="BodyText"/>
      </w:pPr>
      <w:r>
        <w:t xml:space="preserve">{COM(2023) 226-228 final} - {SWD(2023) 226 final} - {SEC(2023) 230 final}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Table of contents</w:t>
      </w:r>
    </w:p>
    <w:p>
      <w:pPr>
        <w:pStyle w:val="BodyText"/>
      </w:pPr>
      <w:r>
        <w:t xml:space="preserve">GLOSSARY ………………………………………………………………………………………………………. III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…………………………….. 12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……………………………………………………………………………. 19</w:t>
      </w:r>
      <w:r>
        <w:t xml:space="preserve"> </w:t>
      </w:r>
      <w:r>
        <w:t xml:space="preserve">2.1. Problem 1: Insufficient legal certainty and predictability in the</w:t>
      </w:r>
      <w:r>
        <w:t xml:space="preserve"> </w:t>
      </w:r>
      <w:r>
        <w:t xml:space="preserve">management of bank failures ………………………………………………………………….. 23</w:t>
      </w:r>
      <w:r>
        <w:t xml:space="preserve"> </w:t>
      </w:r>
      <w:r>
        <w:t xml:space="preserve">2.2. Problem 2: Ineffective funding options and divergent access to funding</w:t>
      </w:r>
      <w:r>
        <w:t xml:space="preserve"> </w:t>
      </w:r>
      <w:r>
        <w:t xml:space="preserve">conditions in resolution and outside resolution …………………………………………. 28</w:t>
      </w:r>
      <w:r>
        <w:t xml:space="preserve"> </w:t>
      </w:r>
      <w:r>
        <w:t xml:space="preserve">2.3. Problem 3: Uneven and inconsistent depositor protection and lack of</w:t>
      </w:r>
      <w:r>
        <w:t xml:space="preserve"> </w:t>
      </w:r>
      <w:r>
        <w:t xml:space="preserve">robustness in DGS funding …………………………………………………………………….. 33</w:t>
      </w:r>
      <w:r>
        <w:t xml:space="preserve"> </w:t>
      </w:r>
      <w:r>
        <w:t xml:space="preserve">2.4. How will the problems evolve? ………………………………………………………………. 35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 36</w:t>
      </w:r>
      <w:r>
        <w:t xml:space="preserve"> </w:t>
      </w:r>
      <w:r>
        <w:t xml:space="preserve">3.1. Legal basis …………………………………………………………………………………………… 36</w:t>
      </w:r>
      <w:r>
        <w:t xml:space="preserve"> </w:t>
      </w:r>
      <w:r>
        <w:t xml:space="preserve">3.2. Subsidiarity: Necessity and added-value of EU action ……………………………….. 36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…………………………………………….. 41</w:t>
      </w:r>
      <w:r>
        <w:t xml:space="preserve"> </w:t>
      </w:r>
      <w:r>
        <w:t xml:space="preserve">4.1. General objectives …………………………………………………………………………………. 41</w:t>
      </w:r>
      <w:r>
        <w:t xml:space="preserve"> </w:t>
      </w:r>
      <w:r>
        <w:t xml:space="preserve">4.2. Specific objectives ………………………………………………………………………………… 41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 41</w:t>
      </w:r>
      <w:r>
        <w:t xml:space="preserve"> </w:t>
      </w:r>
      <w:r>
        <w:t xml:space="preserve">5.1. Approach to design of policy options ………………………………………………………. 41</w:t>
      </w:r>
      <w:r>
        <w:t xml:space="preserve"> </w:t>
      </w:r>
      <w:r>
        <w:t xml:space="preserve">5.2. Review of the 2013 Banking Communication on State aid rules …………………. 42</w:t>
      </w:r>
      <w:r>
        <w:t xml:space="preserve"> </w:t>
      </w:r>
      <w:r>
        <w:t xml:space="preserve">5.3. What is the baseline from which options are assessed? ………………………………. 43</w:t>
      </w:r>
      <w:r>
        <w:t xml:space="preserve"> </w:t>
      </w:r>
      <w:r>
        <w:t xml:space="preserve">5.4. Overview of the policy options ……………………………………………………………….. 45</w:t>
      </w:r>
      <w:r>
        <w:t xml:space="preserve"> </w:t>
      </w:r>
      <w:r>
        <w:t xml:space="preserve">5.5. Common elements across the packages of options …………………………………….. 45</w:t>
      </w:r>
      <w:r>
        <w:t xml:space="preserve"> </w:t>
      </w:r>
      <w:r>
        <w:t xml:space="preserve">5.6. Options discarded at an early stage ………………………………………………………….. 46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 AND HOW DO</w:t>
      </w:r>
      <w:r>
        <w:t xml:space="preserve"> </w:t>
      </w:r>
      <w:r>
        <w:t xml:space="preserve">THEY COMPARE? …………………………………………………………………………………….. 46</w:t>
      </w:r>
      <w:r>
        <w:t xml:space="preserve"> </w:t>
      </w:r>
      <w:r>
        <w:t xml:space="preserve">6.1. Assessment of policy options …………………………………………………………………. 47</w:t>
      </w:r>
      <w:r>
        <w:t xml:space="preserve"> </w:t>
      </w:r>
      <w:r>
        <w:t xml:space="preserve">6.2. Comparison and choice of preferred options …………………………………………….. 82</w:t>
      </w:r>
      <w:r>
        <w:t xml:space="preserve"> </w:t>
      </w:r>
      <w:r>
        <w:t xml:space="preserve">6.3. Common elements across the packages of options …………………………………….. 84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 ………………………………………………………………………………… 85</w:t>
      </w:r>
      <w:r>
        <w:t xml:space="preserve"> </w:t>
      </w:r>
      <w:r>
        <w:t xml:space="preserve">8.</w:t>
      </w:r>
      <w:r>
        <w:t xml:space="preserve"> </w:t>
      </w:r>
      <w:r>
        <w:t xml:space="preserve">HOW</w:t>
      </w:r>
      <w:r>
        <w:t xml:space="preserve"> </w:t>
      </w:r>
      <w:r>
        <w:t xml:space="preserve">WILL</w:t>
      </w:r>
      <w:r>
        <w:t xml:space="preserve"> </w:t>
      </w:r>
      <w:r>
        <w:t xml:space="preserve">ACTUAL</w:t>
      </w:r>
      <w:r>
        <w:t xml:space="preserve"> </w:t>
      </w:r>
      <w:r>
        <w:t xml:space="preserve">IMPACTS</w:t>
      </w:r>
      <w:r>
        <w:t xml:space="preserve"> </w:t>
      </w:r>
      <w:r>
        <w:t xml:space="preserve">BE</w:t>
      </w:r>
      <w:r>
        <w:t xml:space="preserve"> </w:t>
      </w:r>
      <w:r>
        <w:t xml:space="preserve">MONITORED</w:t>
      </w:r>
      <w:r>
        <w:t xml:space="preserve"> </w:t>
      </w:r>
      <w:r>
        <w:t xml:space="preserve">AND</w:t>
      </w:r>
      <w:r>
        <w:t xml:space="preserve"> </w:t>
      </w:r>
      <w:r>
        <w:t xml:space="preserve">EVALUATED? …………………………………………………………………………………………… 92</w:t>
      </w:r>
    </w:p>
    <w:p>
      <w:pPr>
        <w:pStyle w:val="BodyText"/>
      </w:pPr>
      <w:r>
        <w:t xml:space="preserve">ANNEX 1: PROCEDURAL INFORMATION ………………………………………………………. 95</w:t>
      </w:r>
      <w:r>
        <w:t xml:space="preserve"> </w:t>
      </w:r>
      <w:r>
        <w:t xml:space="preserve">ANNEX 2: STAKEHOLDER CONSULTATION ………………………………………………… 101</w:t>
      </w:r>
      <w:r>
        <w:t xml:space="preserve"> </w:t>
      </w:r>
      <w:r>
        <w:t xml:space="preserve">ANNEX 3: WHO IS AFFECTED AND HOW? ……………………………………………………. 113</w:t>
      </w:r>
      <w:r>
        <w:t xml:space="preserve"> </w:t>
      </w:r>
      <w:r>
        <w:t xml:space="preserve">ANNEX 4: ‘ZOOM-IN’ ON CORE ELEMENTS OF THE CRISIS</w:t>
      </w:r>
      <w:r>
        <w:t xml:space="preserve"> </w:t>
      </w:r>
      <w:r>
        <w:t xml:space="preserve">MANAGEMENT AND DEPOSIT INSURANCE FRAMEWORK …………………. 126</w:t>
      </w:r>
      <w:r>
        <w:t xml:space="preserve"> </w:t>
      </w:r>
      <w:r>
        <w:t xml:space="preserve">ANNEX 5: EVALUATION OF THE CMDI FRAMEWORK ………………………………… 140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ANNEX 6: OVERVIEW OF DEPOSIT INSURANCE ISSUES COVERED IN</w:t>
      </w:r>
      <w:r>
        <w:t xml:space="preserve"> </w:t>
      </w:r>
      <w:r>
        <w:t xml:space="preserve">THE IMPACT ASSESSMENT ……………………………………………………………………. 215</w:t>
      </w:r>
      <w:r>
        <w:t xml:space="preserve"> </w:t>
      </w:r>
      <w:r>
        <w:t xml:space="preserve">ANNEX 7: ANALYTICAL METHODS ……………………………………………………………… 237</w:t>
      </w:r>
      <w:r>
        <w:t xml:space="preserve"> </w:t>
      </w:r>
      <w:r>
        <w:t xml:space="preserve">ANNEX 8: IMPACT ASSESSMENT OF TECHNICAL TOPICS THAT WERE</w:t>
      </w:r>
      <w:r>
        <w:t xml:space="preserve"> </w:t>
      </w:r>
      <w:r>
        <w:t xml:space="preserve">NOT EXHAUSTIVELY COVERED IN THE MAIN BODY OF THE</w:t>
      </w:r>
      <w:r>
        <w:t xml:space="preserve"> </w:t>
      </w:r>
      <w:r>
        <w:t xml:space="preserve">IMPACT ASSESSMENT …………………………………………………………………………… 315</w:t>
      </w:r>
      <w:r>
        <w:t xml:space="preserve"> </w:t>
      </w:r>
      <w:r>
        <w:t xml:space="preserve">ANNEX 9: SELECTED CASES OF APPLICATION OF THE CMDI</w:t>
      </w:r>
      <w:r>
        <w:t xml:space="preserve"> </w:t>
      </w:r>
      <w:r>
        <w:t xml:space="preserve">FRAMEWORK SINCE 2015 ……………………………………………………………………… 349</w:t>
      </w:r>
      <w:r>
        <w:t xml:space="preserve"> </w:t>
      </w:r>
      <w:r>
        <w:t xml:space="preserve">ANNEX 10: RATIONALE AND DESIGN FEATURES FOR A COMMON</w:t>
      </w:r>
      <w:r>
        <w:t xml:space="preserve"> </w:t>
      </w:r>
      <w:r>
        <w:t xml:space="preserve">DEPOSITOR PROTECTION IN THE BANKING UNION ……………………………. 358</w:t>
      </w:r>
      <w:r>
        <w:t xml:space="preserve"> </w:t>
      </w:r>
      <w:r>
        <w:t xml:space="preserve">ANNEX 11: EBA RESPONSE TO THE CALL FOR ADVICE …………………………….. 384</w:t>
      </w:r>
      <w:r>
        <w:t xml:space="preserve"> </w:t>
      </w:r>
      <w:r>
        <w:t xml:space="preserve">ANNEX 12: ANALYTICAL WORK BY THE JOINT RESEARCH CENTRE ……….. 385</w:t>
      </w:r>
      <w:r>
        <w:t xml:space="preserve"> </w:t>
      </w:r>
      <w:r>
        <w:t xml:space="preserve">ANNEX 13: OTHER QUANTITATIVE ANALYSES ………………………………………….. 386</w:t>
      </w:r>
      <w:r>
        <w:t xml:space="preserve"> </w:t>
      </w:r>
      <w:r>
        <w:t xml:space="preserve">ANNEX 14: OPTIONS DISCARDED AT AN EARLY STAGE ……………………………. 413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Please note: All acronyms and relevant terms used in this impact assessment are</w:t>
      </w:r>
      <w:r>
        <w:t xml:space="preserve"> </w:t>
      </w:r>
      <w:r>
        <w:t xml:space="preserve">explained in this glossary. In order to avoid duplication these are not repeated in the</w:t>
      </w:r>
      <w:r>
        <w:t xml:space="preserve"> </w:t>
      </w:r>
      <w:r>
        <w:t xml:space="preserve">main body. The reader should revert to the glossary when needed.</w:t>
      </w:r>
      <w:r>
        <w:br/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Alternative funding arrangements</w:t>
      </w:r>
      <w:r>
        <w:t xml:space="preserve"> </w:t>
      </w:r>
      <w:r>
        <w:t xml:space="preserve">Member States must ensure that DGSs have adequate alternative</w:t>
      </w:r>
      <w:r>
        <w:t xml:space="preserve"> </w:t>
      </w:r>
      <w:r>
        <w:t xml:space="preserve">funding arrangements in place to enable them to meet any claims</w:t>
      </w:r>
      <w:r>
        <w:t xml:space="preserve"> </w:t>
      </w:r>
      <w:r>
        <w:t xml:space="preserve">against them (Article 10(9) DGSD). These alternative funding</w:t>
      </w:r>
      <w:r>
        <w:t xml:space="preserve"> </w:t>
      </w:r>
      <w:r>
        <w:t xml:space="preserve">arrangements can, for instance, include temporary State financing</w:t>
      </w:r>
      <w:r>
        <w:t xml:space="preserve"> </w:t>
      </w:r>
      <w:r>
        <w:t xml:space="preserve">(which will ultimately be repaid by the DGS). DGSs can also raise</w:t>
      </w:r>
      <w:r>
        <w:t xml:space="preserve"> </w:t>
      </w:r>
      <w:r>
        <w:t xml:space="preserve">extraordinary contributions from those institutions covered by the</w:t>
      </w:r>
      <w:r>
        <w:t xml:space="preserve"> </w:t>
      </w:r>
      <w:r>
        <w:t xml:space="preserve">DGS where they do not have enough money immediately available</w:t>
      </w:r>
      <w:r>
        <w:t xml:space="preserve"> </w:t>
      </w:r>
      <w:r>
        <w:t xml:space="preserve">in their fund. DGSs can also choose to establish borrowing</w:t>
      </w:r>
      <w:r>
        <w:t xml:space="preserve"> </w:t>
      </w:r>
      <w:r>
        <w:t xml:space="preserve">arrangements between themselves, provided the respective</w:t>
      </w:r>
      <w:r>
        <w:t xml:space="preserve"> </w:t>
      </w:r>
      <w:r>
        <w:t xml:space="preserve">national law provisions allow them to do so.</w:t>
      </w:r>
      <w:r>
        <w:t xml:space="preserve"> </w:t>
      </w:r>
      <w:r>
        <w:t xml:space="preserve">Alternative measures (in insolvency) DGS have in some Member States in the context of national</w:t>
      </w:r>
      <w:r>
        <w:t xml:space="preserve"> </w:t>
      </w:r>
      <w:r>
        <w:t xml:space="preserve">insolvency proceedings the capacity to intervene with other</w:t>
      </w:r>
      <w:r>
        <w:t xml:space="preserve"> </w:t>
      </w:r>
      <w:r>
        <w:t xml:space="preserve">modalities than direct payout as allowed in Article 11(6) DGSD.</w:t>
      </w:r>
      <w:r>
        <w:t xml:space="preserve"> </w:t>
      </w:r>
      <w:r>
        <w:t xml:space="preserve">Such measures intend to preserve the access of depositors to</w:t>
      </w:r>
      <w:r>
        <w:t xml:space="preserve"> </w:t>
      </w:r>
      <w:r>
        <w:t xml:space="preserve">covered deposits, including transfer of assets and liabilities and</w:t>
      </w:r>
      <w:r>
        <w:t xml:space="preserve"> </w:t>
      </w:r>
      <w:r>
        <w:t xml:space="preserve">deposit book transfer. A condition for such measures is that the</w:t>
      </w:r>
      <w:r>
        <w:t xml:space="preserve"> </w:t>
      </w:r>
      <w:r>
        <w:t xml:space="preserve">costs borne by the DGS do not exceed the net amount of</w:t>
      </w:r>
      <w:r>
        <w:t xml:space="preserve"> </w:t>
      </w:r>
      <w:r>
        <w:t xml:space="preserve">compensating covered depositors at the credit institution</w:t>
      </w:r>
      <w:r>
        <w:t xml:space="preserve"> </w:t>
      </w:r>
      <w:r>
        <w:t xml:space="preserve">concerned.</w:t>
      </w:r>
      <w:r>
        <w:t xml:space="preserve"> </w:t>
      </w:r>
      <w:r>
        <w:t xml:space="preserve">AML/CFT</w:t>
      </w:r>
      <w:r>
        <w:t xml:space="preserve"> </w:t>
      </w:r>
      <w:r>
        <w:t xml:space="preserve">Anti-Money Laundering/Combating the Financing of Terrorism</w:t>
      </w:r>
      <w:r>
        <w:t xml:space="preserve"> </w:t>
      </w:r>
      <w:r>
        <w:t xml:space="preserve">AMLD</w:t>
      </w:r>
      <w:r>
        <w:t xml:space="preserve"> </w:t>
      </w:r>
      <w:r>
        <w:t xml:space="preserve">Anti-Money Laundering Directive</w:t>
      </w:r>
      <w:r>
        <w:t xml:space="preserve"> </w:t>
      </w:r>
      <w:r>
        <w:t xml:space="preserve">Asset encumbrance</w:t>
      </w:r>
      <w:r>
        <w:t xml:space="preserve"> </w:t>
      </w:r>
      <w:r>
        <w:t xml:space="preserve">An asset is encumbered if it has been pledged or if it is subject to</w:t>
      </w:r>
      <w:r>
        <w:t xml:space="preserve"> </w:t>
      </w:r>
      <w:r>
        <w:t xml:space="preserve">any form of arrangement to secure, collateralise or credit enhance</w:t>
      </w:r>
      <w:r>
        <w:t xml:space="preserve"> </w:t>
      </w:r>
      <w:r>
        <w:t xml:space="preserve">any transaction from which it cannot be freely withdrawn.</w:t>
      </w:r>
      <w:r>
        <w:t xml:space="preserve"> </w:t>
      </w:r>
      <w:r>
        <w:t xml:space="preserve">AT1</w:t>
      </w:r>
      <w:r>
        <w:t xml:space="preserve"> </w:t>
      </w:r>
      <w:r>
        <w:t xml:space="preserve">Additional Tier 1</w:t>
      </w:r>
      <w:r>
        <w:t xml:space="preserve"> </w:t>
      </w:r>
      <w:r>
        <w:t xml:space="preserve">AT1 is a component of Tier 1 Capital and it encompasses</w:t>
      </w:r>
      <w:r>
        <w:t xml:space="preserve"> </w:t>
      </w:r>
      <w:r>
        <w:t xml:space="preserve">instruments that are perpetual in nature and may be automatically</w:t>
      </w:r>
      <w:r>
        <w:t xml:space="preserve"> </w:t>
      </w:r>
      <w:r>
        <w:t xml:space="preserve">written-down or converted into CET1.</w:t>
      </w:r>
      <w:r>
        <w:t xml:space="preserve"> </w:t>
      </w:r>
      <w:r>
        <w:t xml:space="preserve">Bail-in</w:t>
      </w:r>
      <w:r>
        <w:t xml:space="preserve"> </w:t>
      </w:r>
      <w:r>
        <w:t xml:space="preserve">A bail-in is a legal procedure that may be used in bank resolution.</w:t>
      </w:r>
      <w:r>
        <w:t xml:space="preserve"> </w:t>
      </w:r>
      <w:r>
        <w:t xml:space="preserve">Carrying out a bail-in means that the claims of shareholders and</w:t>
      </w:r>
      <w:r>
        <w:t xml:space="preserve"> </w:t>
      </w:r>
      <w:r>
        <w:t xml:space="preserve">certain creditors in a bank are written-down or converted into</w:t>
      </w:r>
      <w:r>
        <w:t xml:space="preserve"> </w:t>
      </w:r>
      <w:r>
        <w:t xml:space="preserve">capital, meaning that they are forced to accept losses incurred by</w:t>
      </w:r>
      <w:r>
        <w:t xml:space="preserve"> </w:t>
      </w:r>
      <w:r>
        <w:t xml:space="preserve">the bank and to contribute to its recapitalisation.</w:t>
      </w:r>
      <w:r>
        <w:br/>
      </w:r>
      <w:r>
        <w:t xml:space="preserve">Bail-out</w:t>
      </w:r>
      <w:r>
        <w:t xml:space="preserve"> </w:t>
      </w:r>
      <w:r>
        <w:t xml:space="preserve">A bail-out involves the rescue of a financial institution through the</w:t>
      </w:r>
      <w:r>
        <w:t xml:space="preserve"> </w:t>
      </w:r>
      <w:r>
        <w:t xml:space="preserve">intervention of the government using taxpayers’ money for</w:t>
      </w:r>
      <w:r>
        <w:t xml:space="preserve"> </w:t>
      </w:r>
      <w:r>
        <w:t xml:space="preserve">funding.</w:t>
      </w:r>
      <w:r>
        <w:br/>
      </w:r>
      <w:r>
        <w:t xml:space="preserve">Banking Package</w:t>
      </w:r>
      <w:r>
        <w:t xml:space="preserve"> </w:t>
      </w:r>
      <w:r>
        <w:t xml:space="preserve">The 2019 Banking package (also referred to as the “risk reduction</w:t>
      </w:r>
      <w:r>
        <w:t xml:space="preserve"> </w:t>
      </w:r>
      <w:r>
        <w:t xml:space="preserve">package”) amends the BRRD as regards the ranking of unsecured</w:t>
      </w:r>
      <w:r>
        <w:t xml:space="preserve"> </w:t>
      </w:r>
      <w:r>
        <w:t xml:space="preserve">debt instruments in insolvency hierarchy. It also implements in the</w:t>
      </w:r>
      <w:r>
        <w:t xml:space="preserve"> </w:t>
      </w:r>
      <w:r>
        <w:t xml:space="preserve">CRR II, the SRMR II and the BRRD II the minimum Total Loss-</w:t>
      </w:r>
      <w:r>
        <w:t xml:space="preserve"> </w:t>
      </w:r>
      <w:r>
        <w:t xml:space="preserve">Absorbing Capacity (TLAC) requirement for EU G-SIIs and</w:t>
      </w:r>
      <w:r>
        <w:t xml:space="preserve"> </w:t>
      </w:r>
      <w:r>
        <w:t xml:space="preserve">includes a revision of the MREL requirement for all banks with</w:t>
      </w:r>
      <w:r>
        <w:t xml:space="preserve"> </w:t>
      </w:r>
      <w:r>
        <w:t xml:space="preserve">strengthened eligibility and subordination criteria. These</w:t>
      </w:r>
      <w:r>
        <w:t xml:space="preserve"> </w:t>
      </w:r>
      <w:r>
        <w:t xml:space="preserve">amendments were adopted in 2019.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bn</w:t>
      </w:r>
      <w:r>
        <w:t xml:space="preserve"> </w:t>
      </w:r>
      <w:r>
        <w:t xml:space="preserve">billion</w:t>
      </w:r>
      <w:r>
        <w:t xml:space="preserve"> </w:t>
      </w:r>
      <w:r>
        <w:t xml:space="preserve">BRRD</w:t>
      </w:r>
      <w:r>
        <w:t xml:space="preserve"> </w:t>
      </w:r>
      <w:r>
        <w:t xml:space="preserve">Bank recovery and resolution Directive</w:t>
      </w:r>
      <w:r>
        <w:t xml:space="preserve"> </w:t>
      </w:r>
      <w:r>
        <w:t xml:space="preserve">A directive establishing a common framework of rules and powers</w:t>
      </w:r>
      <w:r>
        <w:t xml:space="preserve"> </w:t>
      </w:r>
      <w:r>
        <w:t xml:space="preserve">for EU Member States to intervene in the case of failing banks.</w:t>
      </w:r>
      <w:r>
        <w:t xml:space="preserve"> </w:t>
      </w:r>
      <w:r>
        <w:t xml:space="preserve">The directive gives broad powers to national authorities to</w:t>
      </w:r>
      <w:r>
        <w:t xml:space="preserve"> </w:t>
      </w:r>
      <w:r>
        <w:t xml:space="preserve">prevent, intervene early and conduct the resolution of troubled</w:t>
      </w:r>
      <w:r>
        <w:t xml:space="preserve"> </w:t>
      </w:r>
      <w:r>
        <w:t xml:space="preserve">banks. Such powers include selling the bank (in whole or in</w:t>
      </w:r>
      <w:r>
        <w:t xml:space="preserve"> </w:t>
      </w:r>
      <w:r>
        <w:t xml:space="preserve">parts), setting up a temporary bridge bank, and bailing-in</w:t>
      </w:r>
      <w:r>
        <w:t xml:space="preserve"> </w:t>
      </w:r>
      <w:r>
        <w:t xml:space="preserve">shareholders and creditors of the bank.</w:t>
      </w:r>
      <w:r>
        <w:t xml:space="preserve"> </w:t>
      </w:r>
      <w:r>
        <w:t xml:space="preserve">Burden sharing</w:t>
      </w:r>
      <w:r>
        <w:t xml:space="preserve"> </w:t>
      </w:r>
      <w:r>
        <w:t xml:space="preserve">Burden sharing is generally referred to when losses in a bank are</w:t>
      </w:r>
      <w:r>
        <w:t xml:space="preserve"> </w:t>
      </w:r>
      <w:r>
        <w:t xml:space="preserve">borne by the bank’s shareholders and creditors.</w:t>
      </w:r>
      <w:r>
        <w:br/>
      </w:r>
      <w:r>
        <w:t xml:space="preserve">CCU</w:t>
      </w:r>
      <w:r>
        <w:t xml:space="preserve"> </w:t>
      </w:r>
      <w:r>
        <w:t xml:space="preserve">Central Credit Union</w:t>
      </w:r>
      <w:r>
        <w:t xml:space="preserve"> </w:t>
      </w:r>
      <w:r>
        <w:t xml:space="preserve">CDS</w:t>
      </w:r>
      <w:r>
        <w:t xml:space="preserve"> </w:t>
      </w:r>
      <w:r>
        <w:t xml:space="preserve">Credit Default Swap</w:t>
      </w:r>
      <w:r>
        <w:t xml:space="preserve"> </w:t>
      </w:r>
      <w:r>
        <w:t xml:space="preserve">A CDS is a financial swap agreement that the seller of the CDS</w:t>
      </w:r>
      <w:r>
        <w:t xml:space="preserve"> </w:t>
      </w:r>
      <w:r>
        <w:t xml:space="preserve">will compensate the buyer in the event of a debt default (by the</w:t>
      </w:r>
      <w:r>
        <w:t xml:space="preserve"> </w:t>
      </w:r>
      <w:r>
        <w:t xml:space="preserve">debtor) or other credit event.</w:t>
      </w:r>
      <w:r>
        <w:br/>
      </w:r>
      <w:r>
        <w:t xml:space="preserve">CEPS</w:t>
      </w:r>
      <w:r>
        <w:t xml:space="preserve"> </w:t>
      </w:r>
      <w:r>
        <w:t xml:space="preserve">Centre for European Policy Studies</w:t>
      </w:r>
      <w:r>
        <w:t xml:space="preserve"> </w:t>
      </w:r>
      <w:r>
        <w:t xml:space="preserve">CET1</w:t>
      </w:r>
      <w:r>
        <w:t xml:space="preserve"> </w:t>
      </w:r>
      <w:r>
        <w:t xml:space="preserve">Common Equity Tier 1</w:t>
      </w:r>
      <w:r>
        <w:t xml:space="preserve"> </w:t>
      </w:r>
      <w:r>
        <w:t xml:space="preserve">CET1 is a component of Tier 1 Capital, and it encompasses</w:t>
      </w:r>
      <w:r>
        <w:t xml:space="preserve"> </w:t>
      </w:r>
      <w:r>
        <w:t xml:space="preserve">ordinary shares and retained earnings.</w:t>
      </w:r>
      <w:r>
        <w:t xml:space="preserve"> </w:t>
      </w:r>
      <w:r>
        <w:t xml:space="preserve">CET1 depletion</w:t>
      </w:r>
      <w:r>
        <w:t xml:space="preserve"> </w:t>
      </w:r>
      <w:r>
        <w:t xml:space="preserve">The level of CET1 equity absorbing losses prior to the</w:t>
      </w:r>
      <w:r>
        <w:t xml:space="preserve"> </w:t>
      </w:r>
      <w:r>
        <w:t xml:space="preserve">determination of a bank as FOLF</w:t>
      </w:r>
      <w:r>
        <w:t xml:space="preserve"> </w:t>
      </w:r>
      <w:r>
        <w:t xml:space="preserve">CfA</w:t>
      </w:r>
      <w:r>
        <w:t xml:space="preserve"> </w:t>
      </w:r>
      <w:r>
        <w:t xml:space="preserve">Call for advice</w:t>
      </w:r>
      <w:r>
        <w:t xml:space="preserve"> </w:t>
      </w:r>
      <w:r>
        <w:t xml:space="preserve">CMDI</w:t>
      </w:r>
      <w:r>
        <w:t xml:space="preserve"> </w:t>
      </w:r>
      <w:r>
        <w:t xml:space="preserve">Crisis management and deposit insurance</w:t>
      </w:r>
      <w:r>
        <w:t xml:space="preserve"> </w:t>
      </w:r>
      <w:r>
        <w:t xml:space="preserve">CMDI framework</w:t>
      </w:r>
      <w:r>
        <w:t xml:space="preserve"> </w:t>
      </w:r>
      <w:r>
        <w:t xml:space="preserve">References to the CMDI framework in the impact assessment</w:t>
      </w:r>
      <w:r>
        <w:t xml:space="preserve"> </w:t>
      </w:r>
      <w:r>
        <w:t xml:space="preserve">relate to the harmonised EU rules in the BRRD/SRMR and DGSD,</w:t>
      </w:r>
      <w:r>
        <w:t xml:space="preserve"> </w:t>
      </w:r>
      <w:r>
        <w:t xml:space="preserve">while national insolvency proceedings, which are unharmonized,</w:t>
      </w:r>
      <w:r>
        <w:t xml:space="preserve"> </w:t>
      </w:r>
      <w:r>
        <w:t xml:space="preserve">are outside of the framework. However, the decision by the</w:t>
      </w:r>
      <w:r>
        <w:t xml:space="preserve"> </w:t>
      </w:r>
      <w:r>
        <w:t xml:space="preserve">resolution authority whether to place a failing bank in resolution</w:t>
      </w:r>
      <w:r>
        <w:t xml:space="preserve"> </w:t>
      </w:r>
      <w:r>
        <w:t xml:space="preserve">or in national insolvency proceedings is part of the CMDI</w:t>
      </w:r>
      <w:r>
        <w:t xml:space="preserve"> </w:t>
      </w:r>
      <w:r>
        <w:t xml:space="preserve">framework (public interest assessment). The CMDI framework,</w:t>
      </w:r>
      <w:r>
        <w:t xml:space="preserve"> </w:t>
      </w:r>
      <w:r>
        <w:t xml:space="preserve">through the DGSD, also encompasses preventive measures (under</w:t>
      </w:r>
      <w:r>
        <w:t xml:space="preserve"> </w:t>
      </w:r>
      <w:r>
        <w:t xml:space="preserve">Article 11(3) DGSD) and alternative measures in insolvency</w:t>
      </w:r>
      <w:r>
        <w:t xml:space="preserve"> </w:t>
      </w:r>
      <w:r>
        <w:t xml:space="preserve">(under Article 11(6) DGSD) as national options, which are only</w:t>
      </w:r>
      <w:r>
        <w:t xml:space="preserve"> </w:t>
      </w:r>
      <w:r>
        <w:t xml:space="preserve">available in national laws in a minority of Member States and</w:t>
      </w:r>
      <w:r>
        <w:t xml:space="preserve"> </w:t>
      </w:r>
      <w:r>
        <w:t xml:space="preserve">regulates the access conditions for these measures (such as the</w:t>
      </w:r>
      <w:r>
        <w:t xml:space="preserve"> </w:t>
      </w:r>
      <w:r>
        <w:t xml:space="preserve">least cost test)</w:t>
      </w:r>
      <w:r>
        <w:br/>
      </w:r>
      <w:r>
        <w:t xml:space="preserve">CMU</w:t>
      </w:r>
      <w:r>
        <w:t xml:space="preserve"> </w:t>
      </w:r>
      <w:r>
        <w:t xml:space="preserve">Capital markets union</w:t>
      </w:r>
      <w:r>
        <w:t xml:space="preserve"> </w:t>
      </w:r>
      <w:r>
        <w:t xml:space="preserve">The capital markets union is a Commission initiative to create a</w:t>
      </w:r>
      <w:r>
        <w:t xml:space="preserve"> </w:t>
      </w:r>
      <w:r>
        <w:t xml:space="preserve">single market for capital, in order to get investments and savings</w:t>
      </w:r>
      <w:r>
        <w:t xml:space="preserve"> </w:t>
      </w:r>
      <w:r>
        <w:t xml:space="preserve">flowing across the EU so that they can benefit consumers,</w:t>
      </w:r>
      <w:r>
        <w:t xml:space="preserve"> </w:t>
      </w:r>
      <w:r>
        <w:t xml:space="preserve">investors and companies, regardless of where they are located.</w:t>
      </w:r>
      <w:r>
        <w:t xml:space="preserve"> </w:t>
      </w:r>
      <w:r>
        <w:t xml:space="preserve">Common backstop</w:t>
      </w:r>
      <w:r>
        <w:t xml:space="preserve"> </w:t>
      </w:r>
      <w:r>
        <w:t xml:space="preserve">In the event that the Single Resolution Fund is depleted, the</w:t>
      </w:r>
      <w:r>
        <w:t xml:space="preserve"> </w:t>
      </w:r>
      <w:r>
        <w:t xml:space="preserve">European Stability Mechanism can act as a common backstop. It</w:t>
      </w:r>
      <w:r>
        <w:t xml:space="preserve"> </w:t>
      </w:r>
      <w:r>
        <w:t xml:space="preserve">can lend the necessary funds to the SRF to finance resolution by</w:t>
      </w:r>
      <w:r>
        <w:t xml:space="preserve"> </w:t>
      </w:r>
      <w:r>
        <w:t xml:space="preserve">providing a revolving credit line. The aim of the common backstop</w:t>
      </w:r>
      <w:r>
        <w:t xml:space="preserve"> </w:t>
      </w:r>
      <w:r>
        <w:t xml:space="preserve">is to strengthen the resilience and crisis resolution capacity of the</w:t>
      </w:r>
      <w:r>
        <w:t xml:space="preserve"> </w:t>
      </w:r>
      <w:r>
        <w:t xml:space="preserve">Banking Union.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The part of the eligible deposits that can be repaid by the DGS (as</w:t>
      </w:r>
      <w:r>
        <w:t xml:space="preserve"> </w:t>
      </w:r>
      <w:r>
        <w:t xml:space="preserve">a rule, up to EUR 100 000).</w:t>
      </w:r>
    </w:p>
    <w:p>
      <w:pPr>
        <w:pStyle w:val="BodyText"/>
      </w:pPr>
      <w:r>
        <w:t xml:space="preserve">V</w:t>
      </w:r>
      <w:r>
        <w:t xml:space="preserve"> </w:t>
      </w:r>
      <w:r>
        <w:t xml:space="preserve">CRD</w:t>
      </w:r>
      <w:r>
        <w:t xml:space="preserve"> </w:t>
      </w:r>
      <w:r>
        <w:t xml:space="preserve">Capital Requirements Directive</w:t>
      </w:r>
      <w:r>
        <w:t xml:space="preserve"> </w:t>
      </w:r>
      <w:r>
        <w:t xml:space="preserve">Creditor hierarchy in insolvency</w:t>
      </w:r>
      <w:r>
        <w:t xml:space="preserve"> </w:t>
      </w:r>
      <w:r>
        <w:t xml:space="preserve">(hierarchy of claims)</w:t>
      </w:r>
      <w:r>
        <w:t xml:space="preserve"> </w:t>
      </w:r>
      <w:r>
        <w:t xml:space="preserve">The order according to which creditors must be repaid in the</w:t>
      </w:r>
      <w:r>
        <w:t xml:space="preserve"> </w:t>
      </w:r>
      <w:r>
        <w:t xml:space="preserve">context of the insolvency proceedings (in accordance with</w:t>
      </w:r>
      <w:r>
        <w:t xml:space="preserve"> </w:t>
      </w:r>
      <w:r>
        <w:t xml:space="preserve">national insolvency laws). While some elements of the creditor</w:t>
      </w:r>
      <w:r>
        <w:t xml:space="preserve"> </w:t>
      </w:r>
      <w:r>
        <w:t xml:space="preserve">hierarchy have been harmonised at EU level, this order is largely</w:t>
      </w:r>
      <w:r>
        <w:t xml:space="preserve"> </w:t>
      </w:r>
      <w:r>
        <w:t xml:space="preserve">determined by national law.</w:t>
      </w:r>
      <w:r>
        <w:t xml:space="preserve"> </w:t>
      </w:r>
      <w:r>
        <w:t xml:space="preserve">CRR</w:t>
      </w:r>
      <w:r>
        <w:t xml:space="preserve"> </w:t>
      </w:r>
      <w:r>
        <w:t xml:space="preserve">Capital Requirements Regulation</w:t>
      </w:r>
      <w:r>
        <w:t xml:space="preserve"> </w:t>
      </w:r>
      <w:r>
        <w:t xml:space="preserve">CWP</w:t>
      </w:r>
      <w:r>
        <w:t xml:space="preserve"> </w:t>
      </w:r>
      <w:r>
        <w:t xml:space="preserve">Council working party on financial stability and Banking Union</w:t>
      </w:r>
      <w:r>
        <w:t xml:space="preserve"> </w:t>
      </w:r>
      <w:r>
        <w:t xml:space="preserve">The CWP is a preparatory body created by the Council in January</w:t>
      </w:r>
      <w:r>
        <w:t xml:space="preserve"> </w:t>
      </w:r>
      <w:r>
        <w:t xml:space="preserve">2016 (previously named Ad-hoc working party) following the</w:t>
      </w:r>
      <w:r>
        <w:t xml:space="preserve"> </w:t>
      </w:r>
      <w:r>
        <w:t xml:space="preserve">Commission’s proposal to establish a European Deposit</w:t>
      </w:r>
      <w:r>
        <w:t xml:space="preserve"> </w:t>
      </w:r>
      <w:r>
        <w:t xml:space="preserve">Insurance Scheme (EDIS). Its functions are to address initiatives</w:t>
      </w:r>
      <w:r>
        <w:t xml:space="preserve"> </w:t>
      </w:r>
      <w:r>
        <w:t xml:space="preserve">and legislative proposals to the objective of strengthening the</w:t>
      </w:r>
      <w:r>
        <w:t xml:space="preserve"> </w:t>
      </w:r>
      <w:r>
        <w:t xml:space="preserve">banking union and to establish Council’s position on the EDIS.</w:t>
      </w:r>
      <w:r>
        <w:t xml:space="preserve"> </w:t>
      </w:r>
      <w:r>
        <w:t xml:space="preserve">The European Central Bank and the Single Resolution Board are</w:t>
      </w:r>
      <w:r>
        <w:t xml:space="preserve"> </w:t>
      </w:r>
      <w:r>
        <w:t xml:space="preserve">invited as observers to its meetings.</w:t>
      </w:r>
      <w:r>
        <w:br/>
      </w:r>
      <w:r>
        <w:t xml:space="preserve">DG FISMA</w:t>
      </w:r>
      <w:r>
        <w:t xml:space="preserve"> </w:t>
      </w:r>
      <w:r>
        <w:t xml:space="preserve">Directorate General for Financial Stability, Financial Services and</w:t>
      </w:r>
      <w:r>
        <w:t xml:space="preserve"> </w:t>
      </w:r>
      <w:r>
        <w:t xml:space="preserve">Capital Markets Union</w:t>
      </w:r>
      <w:r>
        <w:t xml:space="preserve"> </w:t>
      </w:r>
      <w:r>
        <w:t xml:space="preserve">DGSD</w:t>
      </w:r>
      <w:r>
        <w:t xml:space="preserve"> </w:t>
      </w:r>
      <w:r>
        <w:t xml:space="preserve">Deposit guarantee scheme Directive</w:t>
      </w:r>
      <w:r>
        <w:t xml:space="preserve"> </w:t>
      </w:r>
      <w:r>
        <w:t xml:space="preserve">DIF</w:t>
      </w:r>
      <w:r>
        <w:t xml:space="preserve"> </w:t>
      </w:r>
      <w:r>
        <w:t xml:space="preserve">Deposit Insurance Fund</w:t>
      </w:r>
      <w:r>
        <w:t xml:space="preserve"> </w:t>
      </w:r>
      <w:r>
        <w:t xml:space="preserve">The hybrid EDIS model is built around the idea of a coexistence of</w:t>
      </w:r>
      <w:r>
        <w:t xml:space="preserve"> </w:t>
      </w:r>
      <w:r>
        <w:t xml:space="preserve">a deposit insurance fund at central level (DIF) and funds</w:t>
      </w:r>
      <w:r>
        <w:t xml:space="preserve"> </w:t>
      </w:r>
      <w:r>
        <w:t xml:space="preserve">remaining within the national DGSs.</w:t>
      </w:r>
      <w:r>
        <w:t xml:space="preserve"> </w:t>
      </w:r>
      <w:r>
        <w:t xml:space="preserve">EBA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EBA CfA report</w:t>
      </w:r>
      <w:r>
        <w:t xml:space="preserve"> </w:t>
      </w:r>
      <w:r>
        <w:t xml:space="preserve">EBA’s reply to the Commission’s Call for Advice on the review</w:t>
      </w:r>
      <w:r>
        <w:t xml:space="preserve"> </w:t>
      </w:r>
      <w:r>
        <w:t xml:space="preserve">of the CMDI framework.</w:t>
      </w:r>
      <w:r>
        <w:t xml:space="preserve"> </w:t>
      </w:r>
      <w:r>
        <w:t xml:space="preserve">ECB</w:t>
      </w:r>
      <w:r>
        <w:t xml:space="preserve"> </w:t>
      </w:r>
      <w:r>
        <w:t xml:space="preserve">European Central Bank</w:t>
      </w:r>
      <w:r>
        <w:t xml:space="preserve"> </w:t>
      </w:r>
      <w:r>
        <w:t xml:space="preserve">EDIS</w:t>
      </w:r>
      <w:r>
        <w:t xml:space="preserve"> </w:t>
      </w:r>
      <w:r>
        <w:t xml:space="preserve">European deposit insurance scheme</w:t>
      </w:r>
      <w:r>
        <w:t xml:space="preserve"> </w:t>
      </w:r>
      <w:r>
        <w:t xml:space="preserve">EDIS liquidity support</w:t>
      </w:r>
      <w:r>
        <w:t xml:space="preserve"> </w:t>
      </w:r>
      <w:r>
        <w:t xml:space="preserve">EDIS would provide liquidity support to a beneficiary DGS, once</w:t>
      </w:r>
      <w:r>
        <w:t xml:space="preserve"> </w:t>
      </w:r>
      <w:r>
        <w:t xml:space="preserve">the latter has exhausted its funds (following one or multiple</w:t>
      </w:r>
      <w:r>
        <w:t xml:space="preserve"> </w:t>
      </w:r>
      <w:r>
        <w:t xml:space="preserve">interventions). Liquidity support is an essential element to avoid</w:t>
      </w:r>
      <w:r>
        <w:t xml:space="preserve"> </w:t>
      </w:r>
      <w:r>
        <w:t xml:space="preserve">that possible shortfalls in DGS funding would have to be financed</w:t>
      </w:r>
      <w:r>
        <w:t xml:space="preserve"> </w:t>
      </w:r>
      <w:r>
        <w:t xml:space="preserve">by governments. Liquidity support is eventually reimbursed by the</w:t>
      </w:r>
      <w:r>
        <w:t xml:space="preserve"> </w:t>
      </w:r>
      <w:r>
        <w:t xml:space="preserve">beneficiary DGS (on the basis of recoupments or replenishment</w:t>
      </w:r>
      <w:r>
        <w:t xml:space="preserve"> </w:t>
      </w:r>
      <w:r>
        <w:t xml:space="preserve">contributions from the banks in its remit).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br/>
      </w:r>
      <w:r>
        <w:t xml:space="preserve">EGBPI</w:t>
      </w:r>
      <w:r>
        <w:t xml:space="preserve"> </w:t>
      </w:r>
      <w:r>
        <w:t xml:space="preserve">Expert Group on Banking, Payments and Insurance</w:t>
      </w:r>
      <w:r>
        <w:t xml:space="preserve"> </w:t>
      </w:r>
      <w:r>
        <w:t xml:space="preserve">The EGBPI is a consultative entity composed of experts appointed</w:t>
      </w:r>
      <w:r>
        <w:t xml:space="preserve"> </w:t>
      </w:r>
      <w:r>
        <w:t xml:space="preserve">by EU countries that provides advice and expertise in the</w:t>
      </w:r>
      <w:r>
        <w:t xml:space="preserve"> </w:t>
      </w:r>
      <w:r>
        <w:t xml:space="preserve">preparation of draft delegated acts in the area of banking,</w:t>
      </w:r>
      <w:r>
        <w:t xml:space="preserve"> </w:t>
      </w:r>
      <w:r>
        <w:t xml:space="preserve">payments and insurance for the Commission and its services.</w:t>
      </w:r>
      <w:r>
        <w:t xml:space="preserve"> </w:t>
      </w:r>
      <w:r>
        <w:t xml:space="preserve">EIM</w:t>
      </w:r>
      <w:r>
        <w:t xml:space="preserve"> </w:t>
      </w:r>
      <w:r>
        <w:t xml:space="preserve">Early intervention measures</w:t>
      </w:r>
      <w:r>
        <w:t xml:space="preserve"> </w:t>
      </w:r>
      <w:r>
        <w:t xml:space="preserve">Early intervention measures are taken by competent authorities to</w:t>
      </w:r>
      <w:r>
        <w:t xml:space="preserve"> </w:t>
      </w:r>
      <w:r>
        <w:t xml:space="preserve">avert a bank failure when a bank shows signs of distress</w:t>
      </w:r>
      <w:r>
        <w:t xml:space="preserve"> </w:t>
      </w:r>
      <w:r>
        <w:t xml:space="preserve">(Articles 27-30 BRRD).</w:t>
      </w:r>
      <w:r>
        <w:br/>
      </w:r>
      <w:r>
        <w:t xml:space="preserve">ELA</w:t>
      </w:r>
      <w:r>
        <w:t xml:space="preserve"> </w:t>
      </w:r>
      <w:r>
        <w:t xml:space="preserve">Emergency Liquidity Assistance</w:t>
      </w:r>
      <w:r>
        <w:br/>
      </w:r>
      <w:r>
        <w:t xml:space="preserve">Eligible deposits</w:t>
      </w:r>
      <w:r>
        <w:t xml:space="preserve"> </w:t>
      </w:r>
      <w:r>
        <w:t xml:space="preserve">Deposits that are protected by the DGS, i.e. deposits that are not</w:t>
      </w:r>
    </w:p>
    <w:p>
      <w:pPr>
        <w:pStyle w:val="BodyText"/>
      </w:pPr>
      <w:r>
        <w:t xml:space="preserve">VI</w:t>
      </w:r>
      <w:r>
        <w:t xml:space="preserve"> </w:t>
      </w:r>
      <w:r>
        <w:t xml:space="preserve">excluded from the repayment guaranteed by the DGS.</w:t>
      </w:r>
      <w:r>
        <w:t xml:space="preserve"> </w:t>
      </w:r>
      <w:r>
        <w:t xml:space="preserve">ESM</w:t>
      </w:r>
      <w:r>
        <w:t xml:space="preserve"> </w:t>
      </w:r>
      <w:r>
        <w:t xml:space="preserve">European Stability Mechanism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Ex ante contributions to DGS</w:t>
      </w:r>
      <w:r>
        <w:t xml:space="preserve"> </w:t>
      </w:r>
      <w:r>
        <w:t xml:space="preserve">These are regular financial contributions by the industry to build</w:t>
      </w:r>
      <w:r>
        <w:t xml:space="preserve"> </w:t>
      </w:r>
      <w:r>
        <w:t xml:space="preserve">up and maintain the fund, to ensure that depositors in all Member</w:t>
      </w:r>
      <w:r>
        <w:t xml:space="preserve"> </w:t>
      </w:r>
      <w:r>
        <w:t xml:space="preserve">States enjoy a similarly high level of protection.</w:t>
      </w:r>
      <w:r>
        <w:t xml:space="preserve"> </w:t>
      </w:r>
      <w:r>
        <w:t xml:space="preserve">Ex post contributions to DGS</w:t>
      </w:r>
      <w:r>
        <w:t xml:space="preserve"> </w:t>
      </w:r>
      <w:r>
        <w:t xml:space="preserve">These are extraordinary financial contributions to the DGS that</w:t>
      </w:r>
      <w:r>
        <w:t xml:space="preserve"> </w:t>
      </w:r>
      <w:r>
        <w:t xml:space="preserve">are collected, in case the fund does not accommodate the needs,</w:t>
      </w:r>
      <w:r>
        <w:t xml:space="preserve"> </w:t>
      </w:r>
      <w:r>
        <w:t xml:space="preserve">e.g. after a bank failure to replenish the fund.</w:t>
      </w:r>
      <w:r>
        <w:br/>
      </w:r>
      <w:r>
        <w:t xml:space="preserve">F4F Platform</w:t>
      </w:r>
      <w:r>
        <w:t xml:space="preserve"> </w:t>
      </w:r>
      <w:r>
        <w:t xml:space="preserve">Fit for the Future Platform</w:t>
      </w:r>
      <w:r>
        <w:t xml:space="preserve"> </w:t>
      </w:r>
      <w:r>
        <w:t xml:space="preserve">The F4F platform is a high-level expert group that provides input</w:t>
      </w:r>
      <w:r>
        <w:t xml:space="preserve"> </w:t>
      </w:r>
      <w:r>
        <w:t xml:space="preserve">for the REFIT part of the ‘Better Regulation’ agenda of the</w:t>
      </w:r>
      <w:r>
        <w:t xml:space="preserve"> </w:t>
      </w:r>
      <w:r>
        <w:t xml:space="preserve">Commission for stepping up the efforts on simplification,</w:t>
      </w:r>
      <w:r>
        <w:t xml:space="preserve"> </w:t>
      </w:r>
      <w:r>
        <w:t xml:space="preserve">modernisation and burden reduction of EU legislation.</w:t>
      </w:r>
      <w:r>
        <w:t xml:space="preserve"> </w:t>
      </w:r>
      <w:r>
        <w:t xml:space="preserve">FOLF</w:t>
      </w:r>
      <w:r>
        <w:t xml:space="preserve"> </w:t>
      </w:r>
      <w:r>
        <w:t xml:space="preserve">Failing or likely to fail</w:t>
      </w:r>
      <w:r>
        <w:t xml:space="preserve"> </w:t>
      </w:r>
      <w:r>
        <w:t xml:space="preserve">The first condition for resolution, relating to the imminent or</w:t>
      </w:r>
      <w:r>
        <w:t xml:space="preserve"> </w:t>
      </w:r>
      <w:r>
        <w:t xml:space="preserve">inevitable inability of the bank to continue operating under</w:t>
      </w:r>
      <w:r>
        <w:t xml:space="preserve"> </w:t>
      </w:r>
      <w:r>
        <w:t xml:space="preserve">normal conditions. It takes into account the financial situation of</w:t>
      </w:r>
      <w:r>
        <w:t xml:space="preserve"> </w:t>
      </w:r>
      <w:r>
        <w:t xml:space="preserve">the bank as well as compliance with the requirements for</w:t>
      </w:r>
      <w:r>
        <w:t xml:space="preserve"> </w:t>
      </w:r>
      <w:r>
        <w:t xml:space="preserve">authorisation.</w:t>
      </w:r>
      <w:r>
        <w:br/>
      </w:r>
      <w:r>
        <w:t xml:space="preserve">In case there is no public interest in its resolution, a failing bank</w:t>
      </w:r>
      <w:r>
        <w:t xml:space="preserve"> </w:t>
      </w:r>
      <w:r>
        <w:t xml:space="preserve">will normally be expected to be wound up under national</w:t>
      </w:r>
      <w:r>
        <w:t xml:space="preserve"> </w:t>
      </w:r>
      <w:r>
        <w:t xml:space="preserve">insolvency proceedings.</w:t>
      </w:r>
      <w:r>
        <w:t xml:space="preserve"> </w:t>
      </w:r>
      <w:r>
        <w:t xml:space="preserve">Franchise value</w:t>
      </w:r>
      <w:r>
        <w:t xml:space="preserve"> </w:t>
      </w:r>
      <w:r>
        <w:t xml:space="preserve">‘Franchise value’ means the net present value of cash flows that</w:t>
      </w:r>
      <w:r>
        <w:t xml:space="preserve"> </w:t>
      </w:r>
      <w:r>
        <w:t xml:space="preserve">can reasonably be expected to result from the maintenance and</w:t>
      </w:r>
      <w:r>
        <w:t xml:space="preserve"> </w:t>
      </w:r>
      <w:r>
        <w:t xml:space="preserve">renewal of assets and liabilities or businesses and includes the</w:t>
      </w:r>
      <w:r>
        <w:t xml:space="preserve"> </w:t>
      </w:r>
      <w:r>
        <w:t xml:space="preserve">impact of any business opportunities, as relevant, including those</w:t>
      </w:r>
      <w:r>
        <w:t xml:space="preserve"> </w:t>
      </w:r>
      <w:r>
        <w:t xml:space="preserve">stemming from the different resolution actions that are assessed</w:t>
      </w:r>
      <w:r>
        <w:t xml:space="preserve"> </w:t>
      </w:r>
      <w:r>
        <w:t xml:space="preserve">by the valuer. Franchise value may be higher or lower than the</w:t>
      </w:r>
      <w:r>
        <w:t xml:space="preserve"> </w:t>
      </w:r>
      <w:r>
        <w:t xml:space="preserve">value arising from the contractual terms and conditions of assets</w:t>
      </w:r>
      <w:r>
        <w:t xml:space="preserve"> </w:t>
      </w:r>
      <w:r>
        <w:t xml:space="preserve">and liabilities existing at the valuation date.</w:t>
      </w:r>
      <w:r>
        <w:br/>
      </w:r>
      <w:r>
        <w:t xml:space="preserve">FSB</w:t>
      </w:r>
      <w:r>
        <w:t xml:space="preserve"> </w:t>
      </w:r>
      <w:r>
        <w:t xml:space="preserve">Financial Stability Board</w:t>
      </w:r>
      <w:r>
        <w:t xml:space="preserve"> </w:t>
      </w:r>
      <w:r>
        <w:t xml:space="preserve">Fully-fledged EDIS</w:t>
      </w:r>
      <w:r>
        <w:t xml:space="preserve"> </w:t>
      </w:r>
      <w:r>
        <w:t xml:space="preserve">The term “fully-fledged EDIS” is generally used when referring to</w:t>
      </w:r>
      <w:r>
        <w:t xml:space="preserve"> </w:t>
      </w:r>
      <w:r>
        <w:t xml:space="preserve">final shape of EDIS as proposed by the Commission in 2015. In</w:t>
      </w:r>
      <w:r>
        <w:t xml:space="preserve"> </w:t>
      </w:r>
      <w:r>
        <w:t xml:space="preserve">this steady state, EDIS would also progressively cover potential</w:t>
      </w:r>
      <w:r>
        <w:t xml:space="preserve"> </w:t>
      </w:r>
      <w:r>
        <w:t xml:space="preserve">losses. Potential losses could emerge if the DGS intervention is</w:t>
      </w:r>
      <w:r>
        <w:t xml:space="preserve"> </w:t>
      </w:r>
      <w:r>
        <w:t xml:space="preserve">not fully recouped from the insolvency estate. In 2018, the</w:t>
      </w:r>
      <w:r>
        <w:t xml:space="preserve"> </w:t>
      </w:r>
      <w:r>
        <w:t xml:space="preserve">Commission proposed to reach this so-called coinsurance phase</w:t>
      </w:r>
      <w:r>
        <w:t xml:space="preserve"> </w:t>
      </w:r>
      <w:r>
        <w:t xml:space="preserve">of EDIS, after a reinsurance phase, in which EDIS would only</w:t>
      </w:r>
      <w:r>
        <w:t xml:space="preserve"> </w:t>
      </w:r>
      <w:r>
        <w:t xml:space="preserve">provide liquidity coverage to national DGS.</w:t>
      </w:r>
      <w:r>
        <w:br/>
      </w:r>
      <w:r>
        <w:t xml:space="preserve">G20</w:t>
      </w:r>
      <w:r>
        <w:t xml:space="preserve"> </w:t>
      </w:r>
      <w:r>
        <w:t xml:space="preserve">The Group of 20 (i.e. G20) is a group formed in 1999 of finance</w:t>
      </w:r>
      <w:r>
        <w:t xml:space="preserve"> </w:t>
      </w:r>
      <w:r>
        <w:t xml:space="preserve">ministers and central bank governors from 19 of the world’s</w:t>
      </w:r>
      <w:r>
        <w:t xml:space="preserve"> </w:t>
      </w:r>
      <w:r>
        <w:t xml:space="preserve">largest economies, along with the European Union. The G20 has</w:t>
      </w:r>
      <w:r>
        <w:t xml:space="preserve"> </w:t>
      </w:r>
      <w:r>
        <w:t xml:space="preserve">the mandate to promote global economic growth, international</w:t>
      </w:r>
      <w:r>
        <w:t xml:space="preserve"> </w:t>
      </w:r>
      <w:r>
        <w:t xml:space="preserve">trade, and regulation of financial markets.</w:t>
      </w:r>
      <w:r>
        <w:t xml:space="preserve"> </w:t>
      </w:r>
      <w:r>
        <w:t xml:space="preserve">Going concern</w:t>
      </w:r>
      <w:r>
        <w:br/>
      </w:r>
      <w:r>
        <w:t xml:space="preserve">‘Going concern’ is an accounting term for a bank that is assumed</w:t>
      </w:r>
      <w:r>
        <w:t xml:space="preserve"> </w:t>
      </w:r>
      <w:r>
        <w:t xml:space="preserve">it will meet its financial obligations when they fall due.</w:t>
      </w:r>
      <w:r>
        <w:br/>
      </w:r>
      <w:r>
        <w:t xml:space="preserve">Gone concern</w:t>
      </w:r>
      <w:r>
        <w:t xml:space="preserve"> </w:t>
      </w:r>
      <w:r>
        <w:t xml:space="preserve">‘Gone concern’ is an accounting term for a bank that has already</w:t>
      </w:r>
      <w:r>
        <w:t xml:space="preserve"> </w:t>
      </w:r>
      <w:r>
        <w:t xml:space="preserve">failed to meet its financial obligations or is expected to do so in</w:t>
      </w:r>
      <w:r>
        <w:t xml:space="preserve"> </w:t>
      </w:r>
      <w:r>
        <w:t xml:space="preserve">the near future.</w:t>
      </w:r>
    </w:p>
    <w:p>
      <w:pPr>
        <w:pStyle w:val="BodyText"/>
      </w:pPr>
      <w:r>
        <w:t xml:space="preserve">VII</w:t>
      </w:r>
      <w:r>
        <w:t xml:space="preserve"> </w:t>
      </w:r>
      <w:r>
        <w:t xml:space="preserve">G-SIIs</w:t>
      </w:r>
      <w:r>
        <w:t xml:space="preserve"> </w:t>
      </w:r>
      <w:r>
        <w:t xml:space="preserve">Global systemically important institutions</w:t>
      </w:r>
      <w:r>
        <w:t xml:space="preserve"> </w:t>
      </w:r>
      <w:r>
        <w:t xml:space="preserve">Hierarchy of claims (or creditor</w:t>
      </w:r>
      <w:r>
        <w:t xml:space="preserve"> </w:t>
      </w:r>
      <w:r>
        <w:t xml:space="preserve">hierarchy in insolvency)</w:t>
      </w:r>
      <w:r>
        <w:t xml:space="preserve"> </w:t>
      </w:r>
      <w:r>
        <w:t xml:space="preserve">The order according to which creditors must be repaid in the</w:t>
      </w:r>
      <w:r>
        <w:t xml:space="preserve"> </w:t>
      </w:r>
      <w:r>
        <w:t xml:space="preserve">context of the insolvency proceedings (in accordance with</w:t>
      </w:r>
      <w:r>
        <w:t xml:space="preserve"> </w:t>
      </w:r>
      <w:r>
        <w:t xml:space="preserve">national insolvency laws). While some elements of the creditor</w:t>
      </w:r>
      <w:r>
        <w:t xml:space="preserve"> </w:t>
      </w:r>
      <w:r>
        <w:t xml:space="preserve">hierarchy have been harmonised at EU level, this order is largely</w:t>
      </w:r>
      <w:r>
        <w:t xml:space="preserve"> </w:t>
      </w:r>
      <w:r>
        <w:t xml:space="preserve">determined by national law.</w:t>
      </w:r>
      <w:r>
        <w:t xml:space="preserve"> </w:t>
      </w:r>
      <w:r>
        <w:t xml:space="preserve">HLWG</w:t>
      </w:r>
      <w:r>
        <w:t xml:space="preserve"> </w:t>
      </w:r>
      <w:r>
        <w:t xml:space="preserve">High Level Working Group</w:t>
      </w:r>
      <w:r>
        <w:t xml:space="preserve"> </w:t>
      </w:r>
      <w:r>
        <w:t xml:space="preserve">The High Level Working Group (HLWG) on EDIS is an inter-</w:t>
      </w:r>
      <w:r>
        <w:t xml:space="preserve"> </w:t>
      </w:r>
      <w:r>
        <w:t xml:space="preserve">governmental forum mandated by the Eurogroup in 2018 to</w:t>
      </w:r>
      <w:r>
        <w:t xml:space="preserve"> </w:t>
      </w:r>
      <w:r>
        <w:t xml:space="preserve">discuss the progress on EDIS and which later broadened its scope</w:t>
      </w:r>
      <w:r>
        <w:t xml:space="preserve"> </w:t>
      </w:r>
      <w:r>
        <w:t xml:space="preserve">of analysis beyond EDIS (the CMDI review, market integration</w:t>
      </w:r>
      <w:r>
        <w:t xml:space="preserve"> </w:t>
      </w:r>
      <w:r>
        <w:t xml:space="preserve">and the regulatory treatment of sovereign exposures and financial</w:t>
      </w:r>
      <w:r>
        <w:t xml:space="preserve"> </w:t>
      </w:r>
      <w:r>
        <w:t xml:space="preserve">stability). Representation in this group is at the level of Directors</w:t>
      </w:r>
      <w:r>
        <w:t xml:space="preserve"> </w:t>
      </w:r>
      <w:r>
        <w:t xml:space="preserve">in Finance ministries. In 2020, the HLWG was mandated to</w:t>
      </w:r>
      <w:r>
        <w:t xml:space="preserve"> </w:t>
      </w:r>
      <w:r>
        <w:t xml:space="preserve">develop a time-bound and concrete work plan on reaching the</w:t>
      </w:r>
      <w:r>
        <w:t xml:space="preserve"> </w:t>
      </w:r>
      <w:r>
        <w:t xml:space="preserve">steady stated in the Banking Union.</w:t>
      </w:r>
      <w:r>
        <w:t xml:space="preserve"> </w:t>
      </w:r>
      <w:r>
        <w:t xml:space="preserve">Home and host resolution authorities These are the resolution authorities in charge of group level or</w:t>
      </w:r>
      <w:r>
        <w:t xml:space="preserve"> </w:t>
      </w:r>
      <w:r>
        <w:t xml:space="preserve">subsidiary level entities.</w:t>
      </w:r>
      <w:r>
        <w:br/>
      </w:r>
      <w:r>
        <w:t xml:space="preserve">Home Member State</w:t>
      </w:r>
      <w:r>
        <w:t xml:space="preserve"> </w:t>
      </w:r>
      <w:r>
        <w:t xml:space="preserve">Member State hosting the group/parent level of a cross-border</w:t>
      </w:r>
      <w:r>
        <w:t xml:space="preserve"> </w:t>
      </w:r>
      <w:r>
        <w:t xml:space="preserve">banking group.</w:t>
      </w:r>
      <w:r>
        <w:t xml:space="preserve"> </w:t>
      </w:r>
      <w:r>
        <w:t xml:space="preserve">Home-host</w:t>
      </w:r>
      <w:r>
        <w:t xml:space="preserve"> </w:t>
      </w:r>
      <w:r>
        <w:t xml:space="preserve">The term is generally used to describe the relationship between</w:t>
      </w:r>
      <w:r>
        <w:t xml:space="preserve"> </w:t>
      </w:r>
      <w:r>
        <w:t xml:space="preserve">Member States from the point of view of the cross-border</w:t>
      </w:r>
      <w:r>
        <w:t xml:space="preserve"> </w:t>
      </w:r>
      <w:r>
        <w:t xml:space="preserve">coordination and collaboration regarding policies affecting</w:t>
      </w:r>
      <w:r>
        <w:t xml:space="preserve"> </w:t>
      </w:r>
      <w:r>
        <w:t xml:space="preserve">parent level entities and subsidiaries.</w:t>
      </w:r>
      <w:r>
        <w:t xml:space="preserve"> </w:t>
      </w:r>
      <w:r>
        <w:t xml:space="preserve">Host Member State</w:t>
      </w:r>
      <w:r>
        <w:t xml:space="preserve"> </w:t>
      </w:r>
      <w:r>
        <w:t xml:space="preserve">Member State hosting subsidiaries of banking groups established</w:t>
      </w:r>
      <w:r>
        <w:t xml:space="preserve"> </w:t>
      </w:r>
      <w:r>
        <w:t xml:space="preserve">in another Member State.</w:t>
      </w:r>
      <w:r>
        <w:t xml:space="preserve"> </w:t>
      </w:r>
      <w:r>
        <w:t xml:space="preserve">Hybrid EDIS</w:t>
      </w:r>
      <w:r>
        <w:t xml:space="preserve"> </w:t>
      </w:r>
      <w:r>
        <w:t xml:space="preserve">The so-called hybrid EDIS model refers to a concept of EDIS</w:t>
      </w:r>
      <w:r>
        <w:t xml:space="preserve"> </w:t>
      </w:r>
      <w:r>
        <w:t xml:space="preserve">where a new central fund and funds remaining within the national</w:t>
      </w:r>
      <w:r>
        <w:t xml:space="preserve"> </w:t>
      </w:r>
      <w:r>
        <w:t xml:space="preserve">DGSs coexist. A central fund and possible mandatory lending</w:t>
      </w:r>
      <w:r>
        <w:t xml:space="preserve"> </w:t>
      </w:r>
      <w:r>
        <w:t xml:space="preserve">among DGSs would provide liquidity support to DGSs to cover</w:t>
      </w:r>
      <w:r>
        <w:t xml:space="preserve"> </w:t>
      </w:r>
      <w:r>
        <w:t xml:space="preserve">the shortfall on a given intervention. The design of hybrid EDIS is</w:t>
      </w:r>
      <w:r>
        <w:t xml:space="preserve"> </w:t>
      </w:r>
      <w:r>
        <w:t xml:space="preserve">evolutionary and could in a second phase gradually evolve</w:t>
      </w:r>
      <w:r>
        <w:t xml:space="preserve"> </w:t>
      </w:r>
      <w:r>
        <w:t xml:space="preserve">towards a loss-sharing phase.</w:t>
      </w:r>
      <w:r>
        <w:t xml:space="preserve"> </w:t>
      </w:r>
      <w:r>
        <w:t xml:space="preserve">IPS</w:t>
      </w:r>
      <w:r>
        <w:t xml:space="preserve"> </w:t>
      </w:r>
      <w:r>
        <w:t xml:space="preserve">Institutional protection scheme</w:t>
      </w:r>
      <w:r>
        <w:t xml:space="preserve"> </w:t>
      </w:r>
      <w:r>
        <w:t xml:space="preserve">IPSs are defined in the Capital Requirements Regulation</w:t>
      </w:r>
      <w:r>
        <w:t xml:space="preserve"> </w:t>
      </w:r>
      <w:r>
        <w:t xml:space="preserve">(Article 113(7)) as a contractual or statutory liability</w:t>
      </w:r>
      <w:r>
        <w:t xml:space="preserve"> </w:t>
      </w:r>
      <w:r>
        <w:t xml:space="preserve">arrangement, which protects its member institutions and in</w:t>
      </w:r>
      <w:r>
        <w:t xml:space="preserve"> </w:t>
      </w:r>
      <w:r>
        <w:t xml:space="preserve">particular ensures that they have liquidity and solvency needed to</w:t>
      </w:r>
      <w:r>
        <w:t xml:space="preserve"> </w:t>
      </w:r>
      <w:r>
        <w:t xml:space="preserve">avoid bankruptcy where necessary. IPSs referred to in this</w:t>
      </w:r>
      <w:r>
        <w:t xml:space="preserve"> </w:t>
      </w:r>
      <w:r>
        <w:t xml:space="preserve">document are to be understood as IPSs recognised as DGS.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LCT</w:t>
      </w:r>
      <w:r>
        <w:t xml:space="preserve"> </w:t>
      </w:r>
      <w:r>
        <w:t xml:space="preserve">Least cost test</w:t>
      </w:r>
      <w:r>
        <w:t xml:space="preserve"> </w:t>
      </w:r>
      <w:r>
        <w:t xml:space="preserve">The least cost test assesses whether a DGS may intervene through</w:t>
      </w:r>
      <w:r>
        <w:t xml:space="preserve"> </w:t>
      </w:r>
      <w:r>
        <w:t xml:space="preserve">other actions than payout of depositors (e.g. in resolution or</w:t>
      </w:r>
      <w:r>
        <w:t xml:space="preserve"> </w:t>
      </w:r>
      <w:r>
        <w:t xml:space="preserve">through the use of alternative measures). The DGS may only</w:t>
      </w:r>
      <w:r>
        <w:t xml:space="preserve"> </w:t>
      </w:r>
      <w:r>
        <w:t xml:space="preserve">intervene in resolution if the cost of such intervention does not</w:t>
      </w:r>
      <w:r>
        <w:t xml:space="preserve"> </w:t>
      </w:r>
      <w:r>
        <w:t xml:space="preserve">exceed the net amount of compensating covered depositors of the</w:t>
      </w:r>
      <w:r>
        <w:t xml:space="preserve"> </w:t>
      </w:r>
      <w:r>
        <w:t xml:space="preserve">failing member institution. There are no detailed rules on the least</w:t>
      </w:r>
      <w:r>
        <w:t xml:space="preserve"> </w:t>
      </w:r>
      <w:r>
        <w:t xml:space="preserve">cost test and Member States apply it differently.</w:t>
      </w:r>
      <w:r>
        <w:br/>
      </w:r>
      <w:r>
        <w:t xml:space="preserve">Limbo situation</w:t>
      </w:r>
      <w:r>
        <w:t xml:space="preserve"> </w:t>
      </w:r>
      <w:r>
        <w:t xml:space="preserve">A situation where a failing bank for which there is no public</w:t>
      </w:r>
      <w:r>
        <w:t xml:space="preserve"> </w:t>
      </w:r>
      <w:r>
        <w:t xml:space="preserve">interest in using resolution, can also not be placed in insolvency</w:t>
      </w:r>
      <w:r>
        <w:t xml:space="preserve"> </w:t>
      </w:r>
      <w:r>
        <w:t xml:space="preserve">because the requirements for the latter are not met.</w:t>
      </w:r>
    </w:p>
    <w:p>
      <w:pPr>
        <w:pStyle w:val="BodyText"/>
      </w:pPr>
      <w:r>
        <w:t xml:space="preserve">VIII</w:t>
      </w:r>
      <w:r>
        <w:t xml:space="preserve"> </w:t>
      </w:r>
      <w:r>
        <w:t xml:space="preserve">m</w:t>
      </w:r>
      <w:r>
        <w:t xml:space="preserve"> </w:t>
      </w:r>
      <w:r>
        <w:t xml:space="preserve">million</w:t>
      </w:r>
      <w:r>
        <w:t xml:space="preserve"> </w:t>
      </w:r>
      <w:r>
        <w:t xml:space="preserve">Market-conform measures</w:t>
      </w:r>
      <w:r>
        <w:t xml:space="preserve"> </w:t>
      </w:r>
      <w:r>
        <w:t xml:space="preserve">These are measures carried out by a public body at normal</w:t>
      </w:r>
      <w:r>
        <w:t xml:space="preserve"> </w:t>
      </w:r>
      <w:r>
        <w:t xml:space="preserve">market conditions, therefore are not considered to constitute State</w:t>
      </w:r>
      <w:r>
        <w:t xml:space="preserve"> </w:t>
      </w:r>
      <w:r>
        <w:t xml:space="preserve">aid.</w:t>
      </w:r>
      <w:r>
        <w:t xml:space="preserve"> </w:t>
      </w:r>
      <w:r>
        <w:t xml:space="preserve">MiFID II</w:t>
      </w:r>
      <w:r>
        <w:t xml:space="preserve"> </w:t>
      </w:r>
      <w:r>
        <w:t xml:space="preserve">Markets in Financial Instruments Directive</w:t>
      </w:r>
      <w:r>
        <w:t xml:space="preserve"> </w:t>
      </w:r>
      <w:r>
        <w:t xml:space="preserve">MIS</w:t>
      </w:r>
      <w:r>
        <w:t xml:space="preserve"> </w:t>
      </w:r>
      <w:r>
        <w:t xml:space="preserve">Management information systems</w:t>
      </w:r>
      <w:r>
        <w:t xml:space="preserve"> </w:t>
      </w:r>
      <w:r>
        <w:t xml:space="preserve">ML/TF</w:t>
      </w:r>
      <w:r>
        <w:t xml:space="preserve"> </w:t>
      </w:r>
      <w:r>
        <w:t xml:space="preserve">Money laundering or terrorist financing</w:t>
      </w:r>
      <w:r>
        <w:br/>
      </w:r>
      <w:r>
        <w:t xml:space="preserve">MREL</w:t>
      </w:r>
      <w:r>
        <w:t xml:space="preserve"> </w:t>
      </w:r>
      <w:r>
        <w:t xml:space="preserve">Minimum requirement for own funds and eligible liabilities</w:t>
      </w:r>
      <w:r>
        <w:br/>
      </w:r>
      <w:r>
        <w:t xml:space="preserve">MREL is the minimum amount of equity and debt that a bank is</w:t>
      </w:r>
      <w:r>
        <w:t xml:space="preserve"> </w:t>
      </w:r>
      <w:r>
        <w:t xml:space="preserve">required to meet so as to be able to absorb losses and restore its</w:t>
      </w:r>
      <w:r>
        <w:t xml:space="preserve"> </w:t>
      </w:r>
      <w:r>
        <w:t xml:space="preserve">capital position, allowing them to continuously perform their</w:t>
      </w:r>
      <w:r>
        <w:t xml:space="preserve"> </w:t>
      </w:r>
      <w:r>
        <w:t xml:space="preserve">critical functions during and after a crisis. MREL is one of the key</w:t>
      </w:r>
      <w:r>
        <w:t xml:space="preserve"> </w:t>
      </w:r>
      <w:r>
        <w:t xml:space="preserve">tools in enhancing bank’s resolvability.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NCA means a public authority or body officially recognised by</w:t>
      </w:r>
      <w:r>
        <w:t xml:space="preserve"> </w:t>
      </w:r>
      <w:r>
        <w:t xml:space="preserve">national law, which is empowered by national law to supervise</w:t>
      </w:r>
      <w:r>
        <w:t xml:space="preserve"> </w:t>
      </w:r>
      <w:r>
        <w:t xml:space="preserve">institutions as part of the supervisory system in operation in the</w:t>
      </w:r>
      <w:r>
        <w:t xml:space="preserve"> </w:t>
      </w:r>
      <w:r>
        <w:t xml:space="preserve">Member State concerned.</w:t>
      </w:r>
      <w:r>
        <w:t xml:space="preserve"> </w:t>
      </w:r>
      <w:r>
        <w:t xml:space="preserve">NCWO</w:t>
      </w:r>
      <w:r>
        <w:t xml:space="preserve"> </w:t>
      </w:r>
      <w:r>
        <w:t xml:space="preserve">No creditor worse off</w:t>
      </w:r>
      <w:r>
        <w:t xml:space="preserve"> </w:t>
      </w:r>
      <w:r>
        <w:t xml:space="preserve">A general principle governing resolution, it provides that</w:t>
      </w:r>
      <w:r>
        <w:t xml:space="preserve"> </w:t>
      </w:r>
      <w:r>
        <w:t xml:space="preserve">creditors cannot receive a worse treatment in resolution than the</w:t>
      </w:r>
      <w:r>
        <w:t xml:space="preserve"> </w:t>
      </w:r>
      <w:r>
        <w:t xml:space="preserve">treatment they would have received had the bank been wound up</w:t>
      </w:r>
      <w:r>
        <w:t xml:space="preserve"> </w:t>
      </w:r>
      <w:r>
        <w:t xml:space="preserve">under insolvency proceedings instead of being resolved.</w:t>
      </w:r>
      <w:r>
        <w:br/>
      </w:r>
      <w:r>
        <w:t xml:space="preserve">Non-preferred, non-covered deposits Eligible deposits, in the amount exceeding the coverage level</w:t>
      </w:r>
      <w:r>
        <w:t xml:space="preserve"> </w:t>
      </w:r>
      <w:r>
        <w:t xml:space="preserve">provided by the DGS, that are not preferred in the creditor</w:t>
      </w:r>
      <w:r>
        <w:t xml:space="preserve"> </w:t>
      </w:r>
      <w:r>
        <w:t xml:space="preserve">hierarchy in insolvency at EU level pursuant to Article 108(1)</w:t>
      </w:r>
      <w:r>
        <w:t xml:space="preserve"> </w:t>
      </w:r>
      <w:r>
        <w:t xml:space="preserve">BRRD. These generally refer to the part of the deposits of large</w:t>
      </w:r>
      <w:r>
        <w:t xml:space="preserve"> </w:t>
      </w:r>
      <w:r>
        <w:t xml:space="preserve">enterprises whose repayment is not guaranteed by the DGS, and</w:t>
      </w:r>
      <w:r>
        <w:t xml:space="preserve"> </w:t>
      </w:r>
      <w:r>
        <w:t xml:space="preserve">which currently rank below preferred non-covered deposits.</w:t>
      </w:r>
      <w:r>
        <w:br/>
      </w:r>
      <w:r>
        <w:t xml:space="preserve">NRA</w:t>
      </w:r>
      <w:r>
        <w:t xml:space="preserve"> </w:t>
      </w:r>
      <w:r>
        <w:t xml:space="preserve">National resolution authority</w:t>
      </w:r>
      <w:r>
        <w:t xml:space="preserve"> </w:t>
      </w:r>
      <w:r>
        <w:t xml:space="preserve">OJ</w:t>
      </w:r>
      <w:r>
        <w:t xml:space="preserve"> </w:t>
      </w:r>
      <w:r>
        <w:t xml:space="preserve">Official Journal of the EU</w:t>
      </w:r>
      <w:r>
        <w:t xml:space="preserve"> </w:t>
      </w:r>
      <w:r>
        <w:t xml:space="preserve">OND</w:t>
      </w:r>
      <w:r>
        <w:t xml:space="preserve"> </w:t>
      </w:r>
      <w:r>
        <w:t xml:space="preserve">Options and national discretions</w:t>
      </w:r>
      <w:r>
        <w:t xml:space="preserve"> </w:t>
      </w:r>
      <w:r>
        <w:t xml:space="preserve">EU legislation tries to accommodate for national specificities</w:t>
      </w:r>
      <w:r>
        <w:t xml:space="preserve"> </w:t>
      </w:r>
      <w:r>
        <w:t xml:space="preserve">through options and national discretions. These are provisions</w:t>
      </w:r>
      <w:r>
        <w:t xml:space="preserve"> </w:t>
      </w:r>
      <w:r>
        <w:t xml:space="preserve">that Member States may choose to implement/apply if they deem it</w:t>
      </w:r>
      <w:r>
        <w:t xml:space="preserve"> </w:t>
      </w:r>
      <w:r>
        <w:t xml:space="preserve">appropriate to reflect their respective national circumstances.</w:t>
      </w:r>
      <w:r>
        <w:br/>
      </w:r>
      <w:r>
        <w:t xml:space="preserve">Open bank bail-in resolution strategy The application of the bail-in resolution tool, in combination with</w:t>
      </w:r>
      <w:r>
        <w:t xml:space="preserve"> </w:t>
      </w:r>
      <w:r>
        <w:t xml:space="preserve">the restructuring of the failing bank, in a way that allows that</w:t>
      </w:r>
      <w:r>
        <w:t xml:space="preserve"> </w:t>
      </w:r>
      <w:r>
        <w:t xml:space="preserve">bank to meet the conditions for its authorisation and to continue</w:t>
      </w:r>
      <w:r>
        <w:t xml:space="preserve"> </w:t>
      </w:r>
      <w:r>
        <w:t xml:space="preserve">carrying out its activities without requiring its exit from the</w:t>
      </w:r>
      <w:r>
        <w:t xml:space="preserve"> </w:t>
      </w:r>
      <w:r>
        <w:t xml:space="preserve">market.</w:t>
      </w:r>
      <w:r>
        <w:t xml:space="preserve"> </w:t>
      </w:r>
      <w:r>
        <w:t xml:space="preserve">Ordinary unsecured claims</w:t>
      </w:r>
      <w:r>
        <w:t xml:space="preserve"> </w:t>
      </w:r>
      <w:r>
        <w:t xml:space="preserve">Claims that, in the creditor hierarchy in insolvency, are neither</w:t>
      </w:r>
      <w:r>
        <w:t xml:space="preserve"> </w:t>
      </w:r>
      <w:r>
        <w:t xml:space="preserve">secured, preferred nor subordinated. Also referred to as ‘senior</w:t>
      </w:r>
      <w:r>
        <w:t xml:space="preserve"> </w:t>
      </w:r>
      <w:r>
        <w:t xml:space="preserve">claims’.</w:t>
      </w:r>
      <w:r>
        <w:t xml:space="preserve"> </w:t>
      </w:r>
      <w:r>
        <w:t xml:space="preserve">O-SII</w:t>
      </w:r>
      <w:r>
        <w:t xml:space="preserve"> </w:t>
      </w:r>
      <w:r>
        <w:t xml:space="preserve">Other Systemically Important Institutions</w:t>
      </w:r>
      <w:r>
        <w:t xml:space="preserve"> </w:t>
      </w:r>
      <w:r>
        <w:t xml:space="preserve">O-SIIs are institutions that, due to their systemic importance, are</w:t>
      </w:r>
      <w:r>
        <w:t xml:space="preserve"> </w:t>
      </w:r>
      <w:r>
        <w:t xml:space="preserve">more likely to create risks to financial stability.</w:t>
      </w:r>
    </w:p>
    <w:p>
      <w:pPr>
        <w:pStyle w:val="BodyText"/>
      </w:pPr>
      <w:r>
        <w:t xml:space="preserve">IX</w:t>
      </w:r>
      <w:r>
        <w:t xml:space="preserve"> </w:t>
      </w:r>
      <w:r>
        <w:t xml:space="preserve">Pari passu</w:t>
      </w:r>
      <w:r>
        <w:t xml:space="preserve"> </w:t>
      </w:r>
      <w:r>
        <w:t xml:space="preserve">When claims hold the same ranking in the hierarchy of claims</w:t>
      </w:r>
      <w:r>
        <w:t xml:space="preserve"> </w:t>
      </w:r>
      <w:r>
        <w:t xml:space="preserve">according to the applicable insolvency law.</w:t>
      </w:r>
      <w:r>
        <w:br/>
      </w:r>
      <w:r>
        <w:t xml:space="preserve">Payout</w:t>
      </w:r>
      <w:r>
        <w:t xml:space="preserve"> </w:t>
      </w:r>
      <w:r>
        <w:t xml:space="preserve">Repayment by the DGS of the covered deposits with a bank, once</w:t>
      </w:r>
      <w:r>
        <w:t xml:space="preserve"> </w:t>
      </w:r>
      <w:r>
        <w:t xml:space="preserve">they have been determined unavailable.</w:t>
      </w:r>
      <w:r>
        <w:t xml:space="preserve"> </w:t>
      </w:r>
      <w:r>
        <w:t xml:space="preserve">Pay-box function (of the DGS)</w:t>
      </w:r>
      <w:r>
        <w:t xml:space="preserve"> </w:t>
      </w:r>
      <w:r>
        <w:t xml:space="preserve">The key task of the DGS is to protect depositors against the</w:t>
      </w:r>
      <w:r>
        <w:t xml:space="preserve"> </w:t>
      </w:r>
      <w:r>
        <w:t xml:space="preserve">consequences of the insolvency of a credit institution. This</w:t>
      </w:r>
      <w:r>
        <w:t xml:space="preserve"> </w:t>
      </w:r>
      <w:r>
        <w:t xml:space="preserve">protection implies a direct reimbursement of depositors and is</w:t>
      </w:r>
      <w:r>
        <w:t xml:space="preserve"> </w:t>
      </w:r>
      <w:r>
        <w:t xml:space="preserve">called pay-box function.</w:t>
      </w:r>
      <w:r>
        <w:br/>
      </w:r>
      <w:r>
        <w:t xml:space="preserve">PIA</w:t>
      </w:r>
      <w:r>
        <w:t xml:space="preserve"> </w:t>
      </w:r>
      <w:r>
        <w:t xml:space="preserve">Public interest assessment</w:t>
      </w:r>
      <w:r>
        <w:t xml:space="preserve"> </w:t>
      </w:r>
      <w:r>
        <w:t xml:space="preserve">Resolution authorities perform the public interest assessment to</w:t>
      </w:r>
      <w:r>
        <w:t xml:space="preserve"> </w:t>
      </w:r>
      <w:r>
        <w:t xml:space="preserve">examine whether the resolution of a particular bank that is failing</w:t>
      </w:r>
      <w:r>
        <w:t xml:space="preserve"> </w:t>
      </w:r>
      <w:r>
        <w:t xml:space="preserve">or likely to fail would be necessary to maintain financial stability,</w:t>
      </w:r>
      <w:r>
        <w:t xml:space="preserve"> </w:t>
      </w:r>
      <w:r>
        <w:t xml:space="preserve">to protect covered depositors and/or safeguard public funds by</w:t>
      </w:r>
      <w:r>
        <w:t xml:space="preserve"> </w:t>
      </w:r>
      <w:r>
        <w:t xml:space="preserve">minimising reliance on public financial support. If the PIA is</w:t>
      </w:r>
      <w:r>
        <w:t xml:space="preserve"> </w:t>
      </w:r>
      <w:r>
        <w:t xml:space="preserve">negative, no resolution actions would be taken and national</w:t>
      </w:r>
      <w:r>
        <w:t xml:space="preserve"> </w:t>
      </w:r>
      <w:r>
        <w:t xml:space="preserve">insolvency proceedings would apply.</w:t>
      </w:r>
      <w:r>
        <w:br/>
      </w:r>
      <w:r>
        <w:t xml:space="preserve">Precautionary measures</w:t>
      </w:r>
      <w:r>
        <w:t xml:space="preserve"> </w:t>
      </w:r>
      <w:r>
        <w:t xml:space="preserve">Capital or liquidity support provided to solvent banks through the</w:t>
      </w:r>
      <w:r>
        <w:t xml:space="preserve"> </w:t>
      </w:r>
      <w:r>
        <w:t xml:space="preserve">use of public funds that may be exceptionally allowed by the</w:t>
      </w:r>
      <w:r>
        <w:t xml:space="preserve"> </w:t>
      </w:r>
      <w:r>
        <w:t xml:space="preserve">BRRD without triggering the declaration that the bank is failing</w:t>
      </w:r>
      <w:r>
        <w:t xml:space="preserve"> </w:t>
      </w:r>
      <w:r>
        <w:t xml:space="preserve">or likely to fail.</w:t>
      </w:r>
      <w:r>
        <w:t xml:space="preserve"> </w:t>
      </w:r>
      <w:r>
        <w:t xml:space="preserve">Preferred, non-covered deposits</w:t>
      </w:r>
      <w:r>
        <w:t xml:space="preserve"> </w:t>
      </w:r>
      <w:r>
        <w:t xml:space="preserve">Eligible deposits, in the amount exceeding the coverage level</w:t>
      </w:r>
      <w:r>
        <w:t xml:space="preserve"> </w:t>
      </w:r>
      <w:r>
        <w:t xml:space="preserve">provided by the DGS, and that are preferred in the creditor</w:t>
      </w:r>
      <w:r>
        <w:t xml:space="preserve"> </w:t>
      </w:r>
      <w:r>
        <w:t xml:space="preserve">hierarchy in insolvency at EU level pursuant to Article 108(1)</w:t>
      </w:r>
      <w:r>
        <w:t xml:space="preserve"> </w:t>
      </w:r>
      <w:r>
        <w:t xml:space="preserve">BRRD. These generally refer to the part of the deposits of natural</w:t>
      </w:r>
      <w:r>
        <w:t xml:space="preserve"> </w:t>
      </w:r>
      <w:r>
        <w:t xml:space="preserve">persons and micro, small and medium-sized enterprises whose</w:t>
      </w:r>
      <w:r>
        <w:t xml:space="preserve"> </w:t>
      </w:r>
      <w:r>
        <w:t xml:space="preserve">repayment is not guaranteed by the DGS.</w:t>
      </w:r>
      <w:r>
        <w:t xml:space="preserve"> </w:t>
      </w:r>
      <w:r>
        <w:t xml:space="preserve">Pre-positioned resources</w:t>
      </w:r>
      <w:r>
        <w:t xml:space="preserve"> </w:t>
      </w:r>
      <w:r>
        <w:t xml:space="preserve">In integrated banking groups, resources such as liquidity, capital</w:t>
      </w:r>
      <w:r>
        <w:t xml:space="preserve"> </w:t>
      </w:r>
      <w:r>
        <w:t xml:space="preserve">and internal MREL are pre-positioned by the parent entity on the</w:t>
      </w:r>
      <w:r>
        <w:t xml:space="preserve"> </w:t>
      </w:r>
      <w:r>
        <w:t xml:space="preserve">balance sheet of subsidiaries, i.e. provided or subscribed by the</w:t>
      </w:r>
      <w:r>
        <w:t xml:space="preserve"> </w:t>
      </w:r>
      <w:r>
        <w:t xml:space="preserve">parent, to comply with such requirements on an individual level as</w:t>
      </w:r>
      <w:r>
        <w:t xml:space="preserve"> </w:t>
      </w:r>
      <w:r>
        <w:t xml:space="preserve">required by legislation. Pre-positioning is not required where</w:t>
      </w:r>
      <w:r>
        <w:t xml:space="preserve"> </w:t>
      </w:r>
      <w:r>
        <w:t xml:space="preserve">waivers are granted by competent or resolution authorities.</w:t>
      </w:r>
      <w:r>
        <w:br/>
      </w:r>
      <w:r>
        <w:t xml:space="preserve">Preventive measures</w:t>
      </w:r>
      <w:r>
        <w:t xml:space="preserve"> </w:t>
      </w:r>
      <w:r>
        <w:t xml:space="preserve">Option in Article 11(3) DGSD that allows the use of DGS funds to</w:t>
      </w:r>
      <w:r>
        <w:t xml:space="preserve"> </w:t>
      </w:r>
      <w:r>
        <w:t xml:space="preserve">prevent the failure of a bank, subject to certain safeguards.</w:t>
      </w:r>
      <w:r>
        <w:t xml:space="preserve"> </w:t>
      </w:r>
      <w:r>
        <w:t xml:space="preserve">Ranking of liabilities</w:t>
      </w:r>
      <w:r>
        <w:t xml:space="preserve"> </w:t>
      </w:r>
      <w:r>
        <w:t xml:space="preserve">See creditor hierarchy in insolvency</w:t>
      </w:r>
      <w:r>
        <w:t xml:space="preserve"> </w:t>
      </w:r>
      <w:r>
        <w:t xml:space="preserve">Resolution authorities</w:t>
      </w:r>
      <w:r>
        <w:t xml:space="preserve"> </w:t>
      </w:r>
      <w:r>
        <w:t xml:space="preserve">National authorities set up in each Member States, in compliance</w:t>
      </w:r>
      <w:r>
        <w:t xml:space="preserve"> </w:t>
      </w:r>
      <w:r>
        <w:t xml:space="preserve">with the BRRD and the Single Resolution Board created by the</w:t>
      </w:r>
      <w:r>
        <w:t xml:space="preserve"> </w:t>
      </w:r>
      <w:r>
        <w:t xml:space="preserve">SRMR in the Banking Union, with the objective to plan, prepare</w:t>
      </w:r>
      <w:r>
        <w:t xml:space="preserve"> </w:t>
      </w:r>
      <w:r>
        <w:t xml:space="preserve">and execute the orderly resolution of banks in case of failure.</w:t>
      </w:r>
      <w:r>
        <w:br/>
      </w:r>
      <w:r>
        <w:t xml:space="preserve">Resolution framework</w:t>
      </w:r>
      <w:r>
        <w:t xml:space="preserve"> </w:t>
      </w:r>
      <w:r>
        <w:t xml:space="preserve">References to the resolution framework in the impact assessment</w:t>
      </w:r>
      <w:r>
        <w:t xml:space="preserve"> </w:t>
      </w:r>
      <w:r>
        <w:t xml:space="preserve">relate to the harmonised EU rules in the BRRD/SRMR.</w:t>
      </w:r>
      <w:r>
        <w:t xml:space="preserve"> </w:t>
      </w:r>
      <w:r>
        <w:t xml:space="preserve">Resolution of a bank</w:t>
      </w:r>
      <w:r>
        <w:t xml:space="preserve"> </w:t>
      </w:r>
      <w:r>
        <w:t xml:space="preserve">Application of resolution tools and powers to a failing bank with</w:t>
      </w:r>
      <w:r>
        <w:t xml:space="preserve"> </w:t>
      </w:r>
      <w:r>
        <w:t xml:space="preserve">the aim of ensuring the continuity of its critical functions while at</w:t>
      </w:r>
      <w:r>
        <w:t xml:space="preserve"> </w:t>
      </w:r>
      <w:r>
        <w:t xml:space="preserve">the same time minimising the impact of the failure on the financial</w:t>
      </w:r>
      <w:r>
        <w:t xml:space="preserve"> </w:t>
      </w:r>
      <w:r>
        <w:t xml:space="preserve">system and the real economy. It can lead to the restructuring of</w:t>
      </w:r>
      <w:r>
        <w:t xml:space="preserve"> </w:t>
      </w:r>
      <w:r>
        <w:t xml:space="preserve">the failing bank or the transfer of its activity to a third party and</w:t>
      </w:r>
      <w:r>
        <w:t xml:space="preserve"> </w:t>
      </w:r>
      <w:r>
        <w:t xml:space="preserve">subsequent exit from the market.</w:t>
      </w:r>
      <w:r>
        <w:br/>
      </w:r>
      <w:r>
        <w:t xml:space="preserve">RF/SRF</w:t>
      </w:r>
      <w:r>
        <w:t xml:space="preserve"> </w:t>
      </w:r>
      <w:r>
        <w:t xml:space="preserve">Resolution Fund/Single Resolution Fund</w:t>
      </w:r>
      <w:r>
        <w:t xml:space="preserve"> </w:t>
      </w:r>
      <w:r>
        <w:t xml:space="preserve">Arrangements funded by the industry through contributions paid</w:t>
      </w:r>
      <w:r>
        <w:t xml:space="preserve"> </w:t>
      </w:r>
      <w:r>
        <w:t xml:space="preserve">before or following the resolution of a bank (so-called ex ante and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ex post contributions) to provide financial support to the</w:t>
      </w:r>
      <w:r>
        <w:t xml:space="preserve"> </w:t>
      </w:r>
      <w:r>
        <w:t xml:space="preserve">resolution of a bank in case its internal loss absorption capacity is</w:t>
      </w:r>
      <w:r>
        <w:t xml:space="preserve"> </w:t>
      </w:r>
      <w:r>
        <w:t xml:space="preserve">not sufficient. The SRF is the resolution fund for the banks in the</w:t>
      </w:r>
      <w:r>
        <w:t xml:space="preserve"> </w:t>
      </w:r>
      <w:r>
        <w:t xml:space="preserve">Banking Union and is financed by all banks in the Banking Union.</w:t>
      </w:r>
      <w:r>
        <w:t xml:space="preserve"> </w:t>
      </w:r>
      <w:r>
        <w:t xml:space="preserve">For non-Banking Union Members States, the national resolution</w:t>
      </w:r>
      <w:r>
        <w:t xml:space="preserve"> </w:t>
      </w:r>
      <w:r>
        <w:t xml:space="preserve">fund that has been established in each Member State is financed</w:t>
      </w:r>
      <w:r>
        <w:t xml:space="preserve"> </w:t>
      </w:r>
      <w:r>
        <w:t xml:space="preserve">by the domestic industry/banks.</w:t>
      </w:r>
      <w:r>
        <w:br/>
      </w:r>
      <w:r>
        <w:t xml:space="preserve">Risk reduction package</w:t>
      </w:r>
      <w:r>
        <w:t xml:space="preserve"> </w:t>
      </w:r>
      <w:r>
        <w:t xml:space="preserve">See banking package</w:t>
      </w:r>
      <w:r>
        <w:t xml:space="preserve"> </w:t>
      </w:r>
      <w:r>
        <w:t xml:space="preserve">Safety nets</w:t>
      </w:r>
      <w:r>
        <w:t xml:space="preserve"> </w:t>
      </w:r>
      <w:r>
        <w:t xml:space="preserve">Industry funded safety nets, such as the national resolution funds</w:t>
      </w:r>
      <w:r>
        <w:t xml:space="preserve"> </w:t>
      </w:r>
      <w:r>
        <w:t xml:space="preserve">outside the Banking Union, the Single Resolution Fund in the</w:t>
      </w:r>
      <w:r>
        <w:t xml:space="preserve"> </w:t>
      </w:r>
      <w:r>
        <w:t xml:space="preserve">Banking Union and the national DGS funds, created to underpin</w:t>
      </w:r>
      <w:r>
        <w:t xml:space="preserve"> </w:t>
      </w:r>
      <w:r>
        <w:t xml:space="preserve">the crisis management and deposit insurance framework to avoid</w:t>
      </w:r>
      <w:r>
        <w:t xml:space="preserve"> </w:t>
      </w:r>
      <w:r>
        <w:t xml:space="preserve">or minimise the usage of taxpayer money.</w:t>
      </w:r>
      <w:r>
        <w:br/>
      </w:r>
      <w:r>
        <w:t xml:space="preserve">Single-tier depositor preference</w:t>
      </w:r>
      <w:r>
        <w:t xml:space="preserve"> </w:t>
      </w:r>
      <w:r>
        <w:t xml:space="preserve">Possible option to further harmonise the ranking of deposits in the</w:t>
      </w:r>
      <w:r>
        <w:t xml:space="preserve"> </w:t>
      </w:r>
      <w:r>
        <w:t xml:space="preserve">hierarchy of claims entailing removing the super-preference of</w:t>
      </w:r>
      <w:r>
        <w:t xml:space="preserve"> </w:t>
      </w:r>
      <w:r>
        <w:t xml:space="preserve">covered depositors and the DGS, preferring all deposits (general</w:t>
      </w:r>
      <w:r>
        <w:t xml:space="preserve"> </w:t>
      </w:r>
      <w:r>
        <w:t xml:space="preserve">depositor preference) meaning that all deposits as well as the</w:t>
      </w:r>
      <w:r>
        <w:t xml:space="preserve"> </w:t>
      </w:r>
      <w:r>
        <w:t xml:space="preserve">DGS would rank above ordinary senior unsecured claims and all</w:t>
      </w:r>
      <w:r>
        <w:t xml:space="preserve"> </w:t>
      </w:r>
      <w:r>
        <w:t xml:space="preserve">deposits rank at the same level amongst themselves (single-tier</w:t>
      </w:r>
      <w:r>
        <w:t xml:space="preserve"> </w:t>
      </w:r>
      <w:r>
        <w:t xml:space="preserve">approach).</w:t>
      </w:r>
      <w:r>
        <w:t xml:space="preserve"> </w:t>
      </w:r>
      <w:r>
        <w:t xml:space="preserve">Single Rulebook</w:t>
      </w:r>
      <w:r>
        <w:t xml:space="preserve"> </w:t>
      </w:r>
      <w:r>
        <w:t xml:space="preserve">The Single Rulebook is the backbone of the Banking Union and of</w:t>
      </w:r>
      <w:r>
        <w:t xml:space="preserve"> </w:t>
      </w:r>
      <w:r>
        <w:t xml:space="preserve">the financial sector regulation in the EU in general. It consists of</w:t>
      </w:r>
      <w:r>
        <w:t xml:space="preserve"> </w:t>
      </w:r>
      <w:r>
        <w:t xml:space="preserve">legal acts that all financial institutions in the EU must comply</w:t>
      </w:r>
      <w:r>
        <w:t xml:space="preserve"> </w:t>
      </w:r>
      <w:r>
        <w:t xml:space="preserve">with. The Single Rulebook lays down a single set of harmonised</w:t>
      </w:r>
      <w:r>
        <w:t xml:space="preserve"> </w:t>
      </w:r>
      <w:r>
        <w:t xml:space="preserve">prudential rules (among other things) governing the capital</w:t>
      </w:r>
      <w:r>
        <w:t xml:space="preserve"> </w:t>
      </w:r>
      <w:r>
        <w:t xml:space="preserve">requirements for banks, ensuring better protection for depositors</w:t>
      </w:r>
      <w:r>
        <w:t xml:space="preserve"> </w:t>
      </w:r>
      <w:r>
        <w:t xml:space="preserve">and regulating the prevention and management of bank failures.</w:t>
      </w:r>
      <w:r>
        <w:br/>
      </w:r>
      <w:r>
        <w:t xml:space="preserve">SME</w:t>
      </w:r>
      <w:r>
        <w:t xml:space="preserve"> </w:t>
      </w:r>
      <w:r>
        <w:t xml:space="preserve">Micro, small and medium-sized enterprises</w:t>
      </w:r>
      <w:r>
        <w:t xml:space="preserve"> </w:t>
      </w:r>
      <w:r>
        <w:t xml:space="preserve">SNP</w:t>
      </w:r>
      <w:r>
        <w:t xml:space="preserve"> </w:t>
      </w:r>
      <w:r>
        <w:t xml:space="preserve">Senior non-preferred debt</w:t>
      </w:r>
      <w:r>
        <w:t xml:space="preserve"> </w:t>
      </w:r>
      <w:r>
        <w:t xml:space="preserve">Senior non-preferred debt is a type of subordinated instrument</w:t>
      </w:r>
      <w:r>
        <w:t xml:space="preserve"> </w:t>
      </w:r>
      <w:r>
        <w:t xml:space="preserve">issued by banks which ranks junior to ordinary unsecured debt</w:t>
      </w:r>
      <w:r>
        <w:t xml:space="preserve"> </w:t>
      </w:r>
      <w:r>
        <w:t xml:space="preserve">and senior to classical subordinated debt in the hierarchy of</w:t>
      </w:r>
      <w:r>
        <w:t xml:space="preserve"> </w:t>
      </w:r>
      <w:r>
        <w:t xml:space="preserve">claims. Created as part of the 2019 Banking Package to assist</w:t>
      </w:r>
      <w:r>
        <w:t xml:space="preserve"> </w:t>
      </w:r>
      <w:r>
        <w:t xml:space="preserve">banks in raising MREL-subordinated eligible liabilities.</w:t>
      </w:r>
      <w:r>
        <w:br/>
      </w:r>
      <w:r>
        <w:t xml:space="preserve">SPE</w:t>
      </w:r>
      <w:r>
        <w:t xml:space="preserve"> </w:t>
      </w:r>
      <w:r>
        <w:t xml:space="preserve">Single point of entry resolution strategy</w:t>
      </w:r>
      <w:r>
        <w:t xml:space="preserve"> </w:t>
      </w:r>
      <w:r>
        <w:t xml:space="preserve">Resolution strategy whereby resolution tools are applied to one</w:t>
      </w:r>
      <w:r>
        <w:t xml:space="preserve"> </w:t>
      </w:r>
      <w:r>
        <w:t xml:space="preserve">resolution entity in a resolution group, while other non-resolution</w:t>
      </w:r>
      <w:r>
        <w:t xml:space="preserve"> </w:t>
      </w:r>
      <w:r>
        <w:t xml:space="preserve">entities upstream their losses to the parent entity and are not</w:t>
      </w:r>
      <w:r>
        <w:t xml:space="preserve"> </w:t>
      </w:r>
      <w:r>
        <w:t xml:space="preserve">being placed in resolution themselves.</w:t>
      </w:r>
      <w:r>
        <w:br/>
      </w:r>
      <w:r>
        <w:t xml:space="preserve">SRF</w:t>
      </w:r>
      <w:r>
        <w:t xml:space="preserve"> </w:t>
      </w:r>
      <w:r>
        <w:t xml:space="preserve">Single resolution fund</w:t>
      </w:r>
      <w:r>
        <w:t xml:space="preserve"> </w:t>
      </w:r>
      <w:r>
        <w:t xml:space="preserve">See RF/SRF</w:t>
      </w:r>
      <w:r>
        <w:br/>
      </w:r>
      <w:r>
        <w:t xml:space="preserve">SRMR</w:t>
      </w:r>
      <w:r>
        <w:t xml:space="preserve"> </w:t>
      </w:r>
      <w:r>
        <w:t xml:space="preserve">Single resolution mechanism Regulation</w:t>
      </w:r>
      <w:r>
        <w:t xml:space="preserve"> </w:t>
      </w:r>
      <w:r>
        <w:t xml:space="preserve">SSMR</w:t>
      </w:r>
      <w:r>
        <w:t xml:space="preserve"> </w:t>
      </w:r>
      <w:r>
        <w:t xml:space="preserve">Single supervisory mechanism Regulation</w:t>
      </w:r>
      <w:r>
        <w:t xml:space="preserve"> </w:t>
      </w:r>
      <w:r>
        <w:t xml:space="preserve">Super preference of DGS</w:t>
      </w:r>
      <w:r>
        <w:t xml:space="preserve"> </w:t>
      </w:r>
      <w:r>
        <w:t xml:space="preserve">In the creditor hierarchy in insolvency, the higher priority ranking</w:t>
      </w:r>
      <w:r>
        <w:t xml:space="preserve"> </w:t>
      </w:r>
      <w:r>
        <w:t xml:space="preserve">of the claims of covered deposits, and of the DGS subrogating to</w:t>
      </w:r>
      <w:r>
        <w:t xml:space="preserve"> </w:t>
      </w:r>
      <w:r>
        <w:t xml:space="preserve">the claims of covered deposits in insolvency following a payout,</w:t>
      </w:r>
      <w:r>
        <w:t xml:space="preserve"> </w:t>
      </w:r>
      <w:r>
        <w:t xml:space="preserve">than the ranking of preferred, non-covered deposits and non-</w:t>
      </w:r>
      <w:r>
        <w:t xml:space="preserve"> </w:t>
      </w:r>
      <w:r>
        <w:t xml:space="preserve">preferred, non-covered deposits. The claims of covered deposits</w:t>
      </w:r>
      <w:r>
        <w:t xml:space="preserve"> </w:t>
      </w:r>
      <w:r>
        <w:t xml:space="preserve">and of DGS must be repaid before the claims of all other deposits.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</w:p>
    <w:p>
      <w:pPr>
        <w:pStyle w:val="BodyText"/>
      </w:pPr>
      <w:r>
        <w:t xml:space="preserve">XI</w:t>
      </w:r>
    </w:p>
    <w:p>
      <w:pPr>
        <w:pStyle w:val="BodyText"/>
      </w:pPr>
      <w:r>
        <w:t xml:space="preserve">THB</w:t>
      </w:r>
      <w:r>
        <w:t xml:space="preserve"> </w:t>
      </w:r>
      <w:r>
        <w:t xml:space="preserve">Temporary high balances</w:t>
      </w:r>
      <w:r>
        <w:t xml:space="preserve"> </w:t>
      </w:r>
      <w:r>
        <w:t xml:space="preserve">Tier 2</w:t>
      </w:r>
      <w:r>
        <w:t xml:space="preserve"> </w:t>
      </w:r>
      <w:r>
        <w:t xml:space="preserve">Layer of a bank’s capital composed of items such as revaluation</w:t>
      </w:r>
      <w:r>
        <w:t xml:space="preserve"> </w:t>
      </w:r>
      <w:r>
        <w:t xml:space="preserve">reserves, hybrid instruments and subordinated term debt.</w:t>
      </w:r>
      <w:r>
        <w:t xml:space="preserve"> </w:t>
      </w:r>
      <w:r>
        <w:t xml:space="preserve">TLAC</w:t>
      </w:r>
      <w:r>
        <w:t xml:space="preserve"> </w:t>
      </w:r>
      <w:r>
        <w:t xml:space="preserve">Total Loss-Absorbing Capacity</w:t>
      </w:r>
      <w:r>
        <w:t xml:space="preserve"> </w:t>
      </w:r>
      <w:r>
        <w:t xml:space="preserve">International standard published by the FSB to ensure that G-SIIs</w:t>
      </w:r>
      <w:r>
        <w:t xml:space="preserve"> </w:t>
      </w:r>
      <w:r>
        <w:t xml:space="preserve">have sufficient internal capacity to absorb their losses and</w:t>
      </w:r>
      <w:r>
        <w:t xml:space="preserve"> </w:t>
      </w:r>
      <w:r>
        <w:t xml:space="preserve">contribute to their recapitalisation in the event of resolution in a</w:t>
      </w:r>
      <w:r>
        <w:t xml:space="preserve"> </w:t>
      </w:r>
      <w:r>
        <w:t xml:space="preserve">way that ensures they can continue performing their critical</w:t>
      </w:r>
      <w:r>
        <w:t xml:space="preserve"> </w:t>
      </w:r>
      <w:r>
        <w:t xml:space="preserve">functions without endangering public funds or financial stability.</w:t>
      </w:r>
      <w:r>
        <w:t xml:space="preserve"> </w:t>
      </w:r>
      <w:r>
        <w:t xml:space="preserve">It was implemented in the EU for the EU G-SIIs through the</w:t>
      </w:r>
      <w:r>
        <w:t xml:space="preserve"> </w:t>
      </w:r>
      <w:r>
        <w:t xml:space="preserve">Banking package.</w:t>
      </w:r>
      <w:r>
        <w:t xml:space="preserve"> </w:t>
      </w:r>
      <w:r>
        <w:t xml:space="preserve">TLOF</w:t>
      </w:r>
      <w:r>
        <w:t xml:space="preserve"> </w:t>
      </w:r>
      <w:r>
        <w:t xml:space="preserve">Total liabilities, including own funds</w:t>
      </w:r>
      <w:r>
        <w:t xml:space="preserve"> </w:t>
      </w:r>
      <w:r>
        <w:t xml:space="preserve">Too big to fail</w:t>
      </w:r>
      <w:r>
        <w:t xml:space="preserve"> </w:t>
      </w:r>
      <w:r>
        <w:t xml:space="preserve">Financial institutions, which, due to their size, complexity and</w:t>
      </w:r>
      <w:r>
        <w:t xml:space="preserve"> </w:t>
      </w:r>
      <w:r>
        <w:t xml:space="preserve">interconnectedness, would cause serious harm to the financial</w:t>
      </w:r>
      <w:r>
        <w:t xml:space="preserve"> </w:t>
      </w:r>
      <w:r>
        <w:t xml:space="preserve">system and to the real economy in case of failure. During the</w:t>
      </w:r>
      <w:r>
        <w:t xml:space="preserve"> </w:t>
      </w:r>
      <w:r>
        <w:t xml:space="preserve">global financial crisis, the bail-out of several banks was needed to</w:t>
      </w:r>
      <w:r>
        <w:t xml:space="preserve"> </w:t>
      </w:r>
      <w:r>
        <w:t xml:space="preserve">prevent their disorderly insolvency and contagion risks. As a</w:t>
      </w:r>
      <w:r>
        <w:t xml:space="preserve"> </w:t>
      </w:r>
      <w:r>
        <w:t xml:space="preserve">consequence, financial reforms to increase the resilience of the</w:t>
      </w:r>
      <w:r>
        <w:t xml:space="preserve"> </w:t>
      </w:r>
      <w:r>
        <w:t xml:space="preserve">financial system were promoted at the international and EU level,</w:t>
      </w:r>
      <w:r>
        <w:t xml:space="preserve"> </w:t>
      </w:r>
      <w:r>
        <w:t xml:space="preserve">with the creation of the resolution framework being a key</w:t>
      </w:r>
      <w:r>
        <w:t xml:space="preserve"> </w:t>
      </w:r>
      <w:r>
        <w:t xml:space="preserve">outcome.</w:t>
      </w:r>
      <w:r>
        <w:t xml:space="preserve"> </w:t>
      </w:r>
      <w:r>
        <w:t xml:space="preserve">tr</w:t>
      </w:r>
      <w:r>
        <w:t xml:space="preserve"> </w:t>
      </w:r>
      <w:r>
        <w:t xml:space="preserve">trillion</w:t>
      </w:r>
      <w:r>
        <w:t xml:space="preserve"> </w:t>
      </w:r>
      <w:r>
        <w:t xml:space="preserve">Transfer resolution strategies</w:t>
      </w:r>
      <w:r>
        <w:t xml:space="preserve"> </w:t>
      </w:r>
      <w:r>
        <w:t xml:space="preserve">Resolution action entailing the transfer of the activity and the</w:t>
      </w:r>
      <w:r>
        <w:t xml:space="preserve"> </w:t>
      </w:r>
      <w:r>
        <w:t xml:space="preserve">critical functions of the failing bank to a private purchaser or to a</w:t>
      </w:r>
      <w:r>
        <w:t xml:space="preserve"> </w:t>
      </w:r>
      <w:r>
        <w:t xml:space="preserve">bridge institution controlled by the resolution authority, ultimately</w:t>
      </w:r>
      <w:r>
        <w:t xml:space="preserve"> </w:t>
      </w:r>
      <w:r>
        <w:t xml:space="preserve">leading to its exit from the market. The transfer of the shares of</w:t>
      </w:r>
      <w:r>
        <w:t xml:space="preserve"> </w:t>
      </w:r>
      <w:r>
        <w:t xml:space="preserve">the failing bank is also possible.</w:t>
      </w:r>
      <w:r>
        <w:t xml:space="preserve"> </w:t>
      </w:r>
      <w:r>
        <w:t xml:space="preserve">TREA</w:t>
      </w:r>
      <w:r>
        <w:t xml:space="preserve"> </w:t>
      </w:r>
      <w:r>
        <w:t xml:space="preserve">Total risk exposure amount</w:t>
      </w:r>
      <w:r>
        <w:t xml:space="preserve"> </w:t>
      </w:r>
      <w:r>
        <w:t xml:space="preserve">Calculated in accordance with Article 92(3) CRR.</w:t>
      </w:r>
      <w:r>
        <w:t xml:space="preserve"> </w:t>
      </w:r>
      <w:r>
        <w:t xml:space="preserve">Three-tier depositor preference</w:t>
      </w:r>
      <w:r>
        <w:t xml:space="preserve"> </w:t>
      </w:r>
      <w:r>
        <w:t xml:space="preserve">Current situation in the hierarchy of claims, where covered</w:t>
      </w:r>
      <w:r>
        <w:t xml:space="preserve"> </w:t>
      </w:r>
      <w:r>
        <w:t xml:space="preserve">deposits are super-preferred and rank above preferred deposits</w:t>
      </w:r>
      <w:r>
        <w:t xml:space="preserve"> </w:t>
      </w:r>
      <w:r>
        <w:t xml:space="preserve">(natural persons and SMEs above EUR 100 000) which in turn</w:t>
      </w:r>
      <w:r>
        <w:t xml:space="preserve"> </w:t>
      </w:r>
      <w:r>
        <w:t xml:space="preserve">rank above other (non-preferred) deposits. According to</w:t>
      </w:r>
      <w:r>
        <w:t xml:space="preserve"> </w:t>
      </w:r>
      <w:r>
        <w:t xml:space="preserve">applicable national laws in some Member States, these non-</w:t>
      </w:r>
      <w:r>
        <w:t xml:space="preserve"> </w:t>
      </w:r>
      <w:r>
        <w:t xml:space="preserve">preferred deposits rank pari passu (i.e. at the same level) with</w:t>
      </w:r>
      <w:r>
        <w:t xml:space="preserve"> </w:t>
      </w:r>
      <w:r>
        <w:t xml:space="preserve">ordinary unsecured claims. In other Member States, these non-</w:t>
      </w:r>
      <w:r>
        <w:t xml:space="preserve"> </w:t>
      </w:r>
      <w:r>
        <w:t xml:space="preserve">preferred deposits rank above ordinary unsecured claims. See</w:t>
      </w:r>
      <w:r>
        <w:t xml:space="preserve"> </w:t>
      </w:r>
      <w:r>
        <w:t xml:space="preserve">Annex 8, section 2.</w:t>
      </w:r>
      <w:r>
        <w:br/>
      </w:r>
      <w:r>
        <w:t xml:space="preserve">Two-tier depositor preference</w:t>
      </w:r>
      <w:r>
        <w:t xml:space="preserve"> </w:t>
      </w:r>
      <w:r>
        <w:t xml:space="preserve">Possible option to further harmonise the ranking of deposits in the</w:t>
      </w:r>
      <w:r>
        <w:t xml:space="preserve"> </w:t>
      </w:r>
      <w:r>
        <w:t xml:space="preserve">hierarchy of claims, where all deposits rank above ordinary</w:t>
      </w:r>
      <w:r>
        <w:t xml:space="preserve"> </w:t>
      </w:r>
      <w:r>
        <w:t xml:space="preserve">senior unsecured claims (general depositor preference) and in</w:t>
      </w:r>
      <w:r>
        <w:t xml:space="preserve"> </w:t>
      </w:r>
      <w:r>
        <w:t xml:space="preserve">terms of deposits ranking relative to each other, some deposits</w:t>
      </w:r>
      <w:r>
        <w:t xml:space="preserve"> </w:t>
      </w:r>
      <w:r>
        <w:t xml:space="preserve">would rank above others (e.g. covered deposits/DGS could rank</w:t>
      </w:r>
      <w:r>
        <w:t xml:space="preserve"> </w:t>
      </w:r>
      <w:r>
        <w:t xml:space="preserve">above non-covered deposits or covered deposits/DGS and</w:t>
      </w:r>
      <w:r>
        <w:t xml:space="preserve"> </w:t>
      </w:r>
      <w:r>
        <w:t xml:space="preserve">preferred deposits could rank above non-covered non-preferred</w:t>
      </w:r>
      <w:r>
        <w:t xml:space="preserve"> </w:t>
      </w:r>
      <w:r>
        <w:t xml:space="preserve">deposits)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In the aftermath of the global financial and sovereign crises, the EU took multiple</w:t>
      </w:r>
      <w:r>
        <w:t xml:space="preserve"> </w:t>
      </w:r>
      <w:r>
        <w:t xml:space="preserve">decisive actions, in line with international calls for reform1, to create a safer financial</w:t>
      </w:r>
      <w:r>
        <w:t xml:space="preserve"> </w:t>
      </w:r>
      <w:r>
        <w:t xml:space="preserve">sector for the EU single market and provide the tools and powers to handle the failure of</w:t>
      </w:r>
      <w:r>
        <w:t xml:space="preserve"> </w:t>
      </w:r>
      <w:r>
        <w:t xml:space="preserve">any bank in an orderly manner, while preserving financial stability, public finances and</w:t>
      </w:r>
      <w:r>
        <w:t xml:space="preserve"> </w:t>
      </w:r>
      <w:r>
        <w:t xml:space="preserve">depositor protection. The Banking Union was created in 2014 based on a blueprint laid</w:t>
      </w:r>
      <w:r>
        <w:t xml:space="preserve"> </w:t>
      </w:r>
      <w:r>
        <w:t xml:space="preserve">out in 20122, relying on a Single rulebook3 for the EU: a Single Supervisory Mechanism</w:t>
      </w:r>
      <w:r>
        <w:t xml:space="preserve"> </w:t>
      </w:r>
      <w:r>
        <w:t xml:space="preserve">(SSM) and a Single Resolution Mechanism (SRM) equipped with a Single Resolution</w:t>
      </w:r>
      <w:r>
        <w:t xml:space="preserve"> </w:t>
      </w:r>
      <w:r>
        <w:t xml:space="preserve">Fund (SRF) (Error! Reference source not found.). In November 2020, the Eurogroup</w:t>
      </w:r>
      <w:r>
        <w:t xml:space="preserve"> </w:t>
      </w:r>
      <w:r>
        <w:t xml:space="preserve">agreed on the creation and early introduction of a common backstop to the SRF by the</w:t>
      </w:r>
      <w:r>
        <w:t xml:space="preserve"> </w:t>
      </w:r>
      <w:r>
        <w:t xml:space="preserve">European Stability Mechanism (ESM)4. However, the Banking Union is still incomplete5</w:t>
      </w:r>
      <w:r>
        <w:t xml:space="preserve"> </w:t>
      </w:r>
      <w:r>
        <w:t xml:space="preserve">and misses its third pillar: a European Deposit Insurance Scheme (EDIS). The</w:t>
      </w:r>
      <w:r>
        <w:t xml:space="preserve"> </w:t>
      </w:r>
      <w:r>
        <w:t xml:space="preserve">Commission proposal adopted on 24 November 2015 to establish EDIS is still pending.</w:t>
      </w:r>
      <w:r>
        <w:t xml:space="preserve"> </w:t>
      </w:r>
      <w:r>
        <w:t xml:space="preserve">Figure 1: State of play of the implementation of the Banking Union</w:t>
      </w:r>
    </w:p>
    <w:p>
      <w:pPr>
        <w:pStyle w:val="BodyText"/>
      </w:pPr>
      <w:r>
        <w:t xml:space="preserve">Notes: Green = implemented, blue = pending. Implementation of the common backstop 2022-24.</w:t>
      </w:r>
      <w:r>
        <w:t xml:space="preserve"> </w:t>
      </w:r>
      <w:r>
        <w:t xml:space="preserve">Source: European Commission, Banking Union infographic.</w:t>
      </w:r>
      <w:r>
        <w:t xml:space="preserve"> </w:t>
      </w:r>
      <w:r>
        <w:t xml:space="preserve">The EU bank crisis management and deposit insurance (CMDI) framework consists of</w:t>
      </w:r>
      <w:r>
        <w:t xml:space="preserve"> </w:t>
      </w:r>
      <w:r>
        <w:t xml:space="preserve">three EU legislative texts adopted in 2014 acting together with relevant national</w:t>
      </w:r>
      <w:r>
        <w:t xml:space="preserve"> </w:t>
      </w:r>
      <w:r>
        <w:t xml:space="preserve">legislation: the Bank Recovery and Resolution Directive (BRRD), the Single Resolution</w:t>
      </w:r>
    </w:p>
    <w:p>
      <w:pPr>
        <w:pStyle w:val="BodyText"/>
      </w:pPr>
      <w:r>
        <w:t xml:space="preserve">1 G20 (September 2009), Leaders’ Statement.</w:t>
      </w:r>
      <w:r>
        <w:t xml:space="preserve"> </w:t>
      </w:r>
      <w:r>
        <w:t xml:space="preserve">2 European Commission (12 September 2012), Communication from the Commission to the European</w:t>
      </w:r>
      <w:r>
        <w:t xml:space="preserve"> </w:t>
      </w:r>
      <w:r>
        <w:t xml:space="preserve">Parliament and Council: A Roadmap towards a Banking Union. All non-euro area Member States can opt</w:t>
      </w:r>
      <w:r>
        <w:t xml:space="preserve"> </w:t>
      </w:r>
      <w:r>
        <w:t xml:space="preserve">to participate the Banking Union before joining the euro area.</w:t>
      </w:r>
      <w:r>
        <w:t xml:space="preserve"> </w:t>
      </w:r>
      <w:r>
        <w:t xml:space="preserve">3 The most relevant legal acts of the Single rulebook are: the Capital Requirements Regulation (CRR –</w:t>
      </w:r>
      <w:r>
        <w:t xml:space="preserve"> </w:t>
      </w:r>
      <w:r>
        <w:t xml:space="preserve">Regulation (EU) 575/2013), the Capital Requirements Directive (CRD – Directive 2013/36/EU), the Bank</w:t>
      </w:r>
      <w:r>
        <w:t xml:space="preserve"> </w:t>
      </w:r>
      <w:r>
        <w:t xml:space="preserve">Recovery and Resolution Directive (BRRD – Directive 2014/59/EU), the Single Resolution Mechanism</w:t>
      </w:r>
      <w:r>
        <w:t xml:space="preserve"> </w:t>
      </w:r>
      <w:r>
        <w:t xml:space="preserve">Regulation (SRMRM – Regulation (EU) 806/2014) and the Deposit Guarantee Schemes Directive (DGSD</w:t>
      </w:r>
      <w:r>
        <w:t xml:space="preserve"> </w:t>
      </w:r>
      <w:r>
        <w:t xml:space="preserve">– Directive 2014/49/EU). The winding up Directive (Directive 2001/24/EC) is also relevant to the</w:t>
      </w:r>
      <w:r>
        <w:t xml:space="preserve"> </w:t>
      </w:r>
      <w:r>
        <w:t xml:space="preserve">framework.</w:t>
      </w:r>
      <w:r>
        <w:t xml:space="preserve"> </w:t>
      </w:r>
      <w:r>
        <w:t xml:space="preserve">4 Eurogroup (30 November 2020), Eurogroup conclusions and statement. The implementation will take</w:t>
      </w:r>
      <w:r>
        <w:t xml:space="preserve"> </w:t>
      </w:r>
      <w:r>
        <w:t xml:space="preserve">place over 2022-2024.</w:t>
      </w:r>
      <w:r>
        <w:br/>
      </w:r>
      <w:r>
        <w:t xml:space="preserve">5 Furthermore, there is still no agreement on a credible and robust mechanism for providing liquidity in</w:t>
      </w:r>
      <w:r>
        <w:t xml:space="preserve"> </w:t>
      </w:r>
      <w:r>
        <w:t xml:space="preserve">resolution in the Banking Union, in line with the standard set by international peers.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Mechanism Regulation (SRMR) and the Deposit Guarantee Schemes Directive (DGSD)).</w:t>
      </w:r>
      <w:r>
        <w:t xml:space="preserve"> </w:t>
      </w:r>
      <w:r>
        <w:t xml:space="preserve">The 2019 Banking package (so-called “risk reduction package”) included measures</w:t>
      </w:r>
      <w:r>
        <w:t xml:space="preserve"> </w:t>
      </w:r>
      <w:r>
        <w:t xml:space="preserve">delivering on Europe’s commitments made in international fora6 to take further steps</w:t>
      </w:r>
      <w:r>
        <w:t xml:space="preserve"> </w:t>
      </w:r>
      <w:r>
        <w:t xml:space="preserve">towards completing the Banking Union by providing credible risk reduction measures to</w:t>
      </w:r>
      <w:r>
        <w:t xml:space="preserve"> </w:t>
      </w:r>
      <w:r>
        <w:t xml:space="preserve">mitigate threats to financial stability, as published in the European Commission’s 2015</w:t>
      </w:r>
      <w:r>
        <w:t xml:space="preserve"> </w:t>
      </w:r>
      <w:r>
        <w:t xml:space="preserve">Communication7.</w:t>
      </w:r>
      <w:r>
        <w:t xml:space="preserve"> </w:t>
      </w:r>
      <w:r>
        <w:t xml:space="preserve">The objectives of the CMDI framework</w:t>
      </w:r>
      <w:r>
        <w:t xml:space="preserve"> </w:t>
      </w:r>
      <w:r>
        <w:t xml:space="preserve">The CMDI framework was designed to avert and manage the failure of credit institutions</w:t>
      </w:r>
      <w:r>
        <w:t xml:space="preserve"> </w:t>
      </w:r>
      <w:r>
        <w:t xml:space="preserve">of any size, while protecting financial stability, depositors (households and businesses)</w:t>
      </w:r>
      <w:r>
        <w:t xml:space="preserve"> </w:t>
      </w:r>
      <w:r>
        <w:t xml:space="preserve">and aiming to avoid the risk of excessive use of taxpayer money (see Annex 4 for a</w:t>
      </w:r>
      <w:r>
        <w:t xml:space="preserve"> </w:t>
      </w:r>
      <w:r>
        <w:t xml:space="preserve">description of the fundamental elements of the CMDI framework).</w:t>
      </w:r>
      <w:r>
        <w:br/>
      </w:r>
      <w:r>
        <w:t xml:space="preserve">The CMDI framework provides for a set of instruments that can be applied in the</w:t>
      </w:r>
      <w:r>
        <w:t xml:space="preserve"> </w:t>
      </w:r>
      <w:r>
        <w:t xml:space="preserve">different stages of the lifecycle of banks in distress: early intervention measures,</w:t>
      </w:r>
      <w:r>
        <w:t xml:space="preserve"> </w:t>
      </w:r>
      <w:r>
        <w:t xml:space="preserve">measures to prevent the failure of a bank, a resolution toolbox when the bank is declared</w:t>
      </w:r>
      <w:r>
        <w:t xml:space="preserve"> </w:t>
      </w:r>
      <w:r>
        <w:t xml:space="preserve">failing or likely to fail (FOLF) and it is deemed that the resolution of the bank (rather</w:t>
      </w:r>
      <w:r>
        <w:t xml:space="preserve"> </w:t>
      </w:r>
      <w:r>
        <w:t xml:space="preserve">than its liquidation) is in the public interest in order to avoid financial instability.</w:t>
      </w:r>
      <w:r>
        <w:t xml:space="preserve"> </w:t>
      </w:r>
      <w:r>
        <w:t xml:space="preserve">Conversely, national insolvency proceedings, which are outside of the CMDI8</w:t>
      </w:r>
      <w:r>
        <w:t xml:space="preserve"> </w:t>
      </w:r>
      <w:r>
        <w:t xml:space="preserve">framework, continue to apply for those failing banks, where insolvency proceedings are</w:t>
      </w:r>
      <w:r>
        <w:t xml:space="preserve"> </w:t>
      </w:r>
      <w:r>
        <w:t xml:space="preserve">deemed more suitable than resolution without harming public interest or endangering</w:t>
      </w:r>
      <w:r>
        <w:t xml:space="preserve"> </w:t>
      </w:r>
      <w:r>
        <w:t xml:space="preserve">financial stability.</w:t>
      </w:r>
      <w:r>
        <w:br/>
      </w:r>
      <w:r>
        <w:t xml:space="preserve">The CMDI framework is intended to provide a combination of funding sources to</w:t>
      </w:r>
      <w:r>
        <w:t xml:space="preserve"> </w:t>
      </w:r>
      <w:r>
        <w:t xml:space="preserve">manage failures in an economically efficient manner, protecting financial stability and</w:t>
      </w:r>
      <w:r>
        <w:t xml:space="preserve"> </w:t>
      </w:r>
      <w:r>
        <w:t xml:space="preserve">depositors, maintaining market discipline, while reducing recourse to the public budget</w:t>
      </w:r>
      <w:r>
        <w:t xml:space="preserve"> </w:t>
      </w:r>
      <w:r>
        <w:t xml:space="preserve">and ultimately the cost to the taxpayers. The cost of resolving the bank is first covered</w:t>
      </w:r>
      <w:r>
        <w:t xml:space="preserve"> </w:t>
      </w:r>
      <w:r>
        <w:t xml:space="preserve">through the bank’s own resources, i.e. losses are allocated to the shareholders and</w:t>
      </w:r>
      <w:r>
        <w:t xml:space="preserve"> </w:t>
      </w:r>
      <w:r>
        <w:t xml:space="preserve">creditors of the bank (constituting the bank’s internal loss absorbing capacity), which</w:t>
      </w:r>
      <w:r>
        <w:t xml:space="preserve"> </w:t>
      </w:r>
      <w:r>
        <w:t xml:space="preserve">also reduces moral hazard and enhances market discipline. If needed, these resources can</w:t>
      </w:r>
      <w:r>
        <w:t xml:space="preserve"> </w:t>
      </w:r>
      <w:r>
        <w:t xml:space="preserve">be complemented by funds from deposit guarantee schemes (DGS) and resolution</w:t>
      </w:r>
      <w:r>
        <w:t xml:space="preserve"> </w:t>
      </w:r>
      <w:r>
        <w:t xml:space="preserve">financing arrangements funded by the industry (national resolution funds (RF) or a</w:t>
      </w:r>
      <w:r>
        <w:t xml:space="preserve"> </w:t>
      </w:r>
      <w:r>
        <w:t xml:space="preserve">Single Resolution Fund (SRF) in the Banking Union). These funds are built through</w:t>
      </w:r>
      <w:r>
        <w:t xml:space="preserve"> </w:t>
      </w:r>
      <w:r>
        <w:t xml:space="preserve">contributions by all banks irrespective of their size and business model. In the Banking</w:t>
      </w:r>
      <w:r>
        <w:t xml:space="preserve"> </w:t>
      </w:r>
      <w:r>
        <w:t xml:space="preserve">Union, these rules were further integrated by entrusting the Single Resolution Board</w:t>
      </w:r>
      <w:r>
        <w:t xml:space="preserve"> </w:t>
      </w:r>
      <w:r>
        <w:t xml:space="preserve">(SRB) with the management and oversight of the SRF, which is funded by contributions</w:t>
      </w:r>
      <w:r>
        <w:t xml:space="preserve"> </w:t>
      </w:r>
      <w:r>
        <w:t xml:space="preserve">from the industry in the participating Member States of the Banking Union. Depending</w:t>
      </w:r>
      <w:r>
        <w:t xml:space="preserve"> </w:t>
      </w:r>
      <w:r>
        <w:t xml:space="preserve">on the tool applied to a bank in distress (e.g. preventive, precautionary, resolution or</w:t>
      </w:r>
    </w:p>
    <w:p>
      <w:pPr>
        <w:pStyle w:val="BodyText"/>
      </w:pPr>
      <w:r>
        <w:t xml:space="preserve">6 The Basel Committee on Banking Supervision and the Financial Stability Board (FSB). Financial</w:t>
      </w:r>
      <w:r>
        <w:t xml:space="preserve"> </w:t>
      </w:r>
      <w:r>
        <w:t xml:space="preserve">Stability Board (2014 updated version), Key Attributes of effective resolution regimes for financial</w:t>
      </w:r>
      <w:r>
        <w:t xml:space="preserve"> </w:t>
      </w:r>
      <w:r>
        <w:t xml:space="preserve">institutions.</w:t>
      </w:r>
      <w:r>
        <w:t xml:space="preserve"> </w:t>
      </w:r>
      <w:r>
        <w:t xml:space="preserve">7 European Commission communication (November 2015), Towards the completion of the Banking Union.</w:t>
      </w:r>
      <w:r>
        <w:t xml:space="preserve"> </w:t>
      </w:r>
      <w:r>
        <w:t xml:space="preserve">8 National insolvency proceedings are unharmonized and are outside of the CMDI framework. However,</w:t>
      </w:r>
      <w:r>
        <w:t xml:space="preserve"> </w:t>
      </w:r>
      <w:r>
        <w:t xml:space="preserve">the decision by the resolution authority whether to place a failing bank in resolution or in national</w:t>
      </w:r>
      <w:r>
        <w:t xml:space="preserve"> </w:t>
      </w:r>
      <w:r>
        <w:t xml:space="preserve">insolvency proceedings is part of the CMDI framework (discretionary assessment by the resolution</w:t>
      </w:r>
      <w:r>
        <w:t xml:space="preserve"> </w:t>
      </w:r>
      <w:r>
        <w:t xml:space="preserve">authority of the public interest assessment). If the resolution authority decides to place a failing bank in</w:t>
      </w:r>
      <w:r>
        <w:t xml:space="preserve"> </w:t>
      </w:r>
      <w:r>
        <w:t xml:space="preserve">insolvency, the latter will be treated at national level, where the assessment of initiation of insolvency</w:t>
      </w:r>
      <w:r>
        <w:t xml:space="preserve"> </w:t>
      </w:r>
      <w:r>
        <w:t xml:space="preserve">proceedings takes place, according to specificities of national insolvency regimes.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alternative measures under national insolvency proceedings) and the specificities of the</w:t>
      </w:r>
      <w:r>
        <w:t xml:space="preserve"> </w:t>
      </w:r>
      <w:r>
        <w:t xml:space="preserve">case, State aid9 control may be necessary for interventions by a RF, a DGS or public</w:t>
      </w:r>
      <w:r>
        <w:t xml:space="preserve"> </w:t>
      </w:r>
      <w:r>
        <w:t xml:space="preserve">funding from the State budget.</w:t>
      </w:r>
      <w:r>
        <w:t xml:space="preserve"> </w:t>
      </w:r>
      <w:r>
        <w:t xml:space="preserve">The CMDI framework also fosters depositor confidence by requiring that deposits are</w:t>
      </w:r>
      <w:r>
        <w:t xml:space="preserve"> </w:t>
      </w:r>
      <w:r>
        <w:t xml:space="preserve">protected up to EUR 100 000 per depositor and per bank, regardless of whether the bank</w:t>
      </w:r>
      <w:r>
        <w:t xml:space="preserve"> </w:t>
      </w:r>
      <w:r>
        <w:t xml:space="preserve">is put into resolution or liquidation under national insolvency proceedings. In insolvency</w:t>
      </w:r>
      <w:r>
        <w:t xml:space="preserve"> </w:t>
      </w:r>
      <w:r>
        <w:t xml:space="preserve">under national proceedings10, the primary function of a DGS is to payout covered</w:t>
      </w:r>
      <w:r>
        <w:t xml:space="preserve"> </w:t>
      </w:r>
      <w:r>
        <w:t xml:space="preserve">depositors within seven days of a determination of unavailability of their deposits. Under</w:t>
      </w:r>
      <w:r>
        <w:t xml:space="preserve"> </w:t>
      </w:r>
      <w:r>
        <w:t xml:space="preserve">the DGSD, DGSs may also have other functions. The latter are aimed at preserving</w:t>
      </w:r>
      <w:r>
        <w:t xml:space="preserve"> </w:t>
      </w:r>
      <w:r>
        <w:t xml:space="preserve">depositor confidence, provided they are less costly than a payout of covered deposits in</w:t>
      </w:r>
      <w:r>
        <w:t xml:space="preserve"> </w:t>
      </w:r>
      <w:r>
        <w:t xml:space="preserve">insolvency, such as: financing preventive measures, contributing financially to the</w:t>
      </w:r>
      <w:r>
        <w:t xml:space="preserve"> </w:t>
      </w:r>
      <w:r>
        <w:t xml:space="preserve">resolution of a bank or, in insolvency, financing measures other than payout, i.e. a</w:t>
      </w:r>
      <w:r>
        <w:t xml:space="preserve"> </w:t>
      </w:r>
      <w:r>
        <w:t xml:space="preserve">transfer of assets and liabilities to a buyer, to preserve the access to covered deposits.</w:t>
      </w:r>
      <w:r>
        <w:t xml:space="preserve"> </w:t>
      </w:r>
      <w:r>
        <w:t xml:space="preserve">A resolution framework to overcome the shortcomings of insolvency proceedings</w:t>
      </w:r>
      <w:r>
        <w:t xml:space="preserve"> </w:t>
      </w:r>
      <w:r>
        <w:t xml:space="preserve">National insolvency proceedings are not always suited to handle bank failures because</w:t>
      </w:r>
      <w:r>
        <w:t xml:space="preserve"> </w:t>
      </w:r>
      <w:r>
        <w:t xml:space="preserve">banks cannot be liquidated like any other corporate business due to their unique</w:t>
      </w:r>
      <w:r>
        <w:t xml:space="preserve"> </w:t>
      </w:r>
      <w:r>
        <w:t xml:space="preserve">vulnerability to deposit/bank runs, their impact on financial stability and their role in the</w:t>
      </w:r>
      <w:r>
        <w:t xml:space="preserve"> </w:t>
      </w:r>
      <w:r>
        <w:t xml:space="preserve">functioning of the economy through financial intermediation (deposit-taking, provision</w:t>
      </w:r>
      <w:r>
        <w:t xml:space="preserve"> </w:t>
      </w:r>
      <w:r>
        <w:t xml:space="preserve">of credit), monetary policy transmission and their role in the payment system. In view of</w:t>
      </w:r>
      <w:r>
        <w:t xml:space="preserve"> </w:t>
      </w:r>
      <w:r>
        <w:t xml:space="preserve">these elements, any bank failure as opposed to ordinary corporate failures (see references</w:t>
      </w:r>
      <w:r>
        <w:t xml:space="preserve"> </w:t>
      </w:r>
      <w:r>
        <w:t xml:space="preserve">in Box 6 in Annex 4) is more likely to give rise to public policy concerns, which would</w:t>
      </w:r>
      <w:r>
        <w:t xml:space="preserve"> </w:t>
      </w:r>
      <w:r>
        <w:t xml:space="preserve">often lead to bail-out actions to limit the fallout of piecemeal liquidation. Resolution</w:t>
      </w:r>
      <w:r>
        <w:t xml:space="preserve"> </w:t>
      </w:r>
      <w:r>
        <w:t xml:space="preserve">offers an alternative to disorderly insolvency, where there is a public interest in resolving</w:t>
      </w:r>
      <w:r>
        <w:t xml:space="preserve"> </w:t>
      </w:r>
      <w:r>
        <w:t xml:space="preserve">a bank, instead of using existing insolvency proceedings. The introduction of the</w:t>
      </w:r>
      <w:r>
        <w:t xml:space="preserve"> </w:t>
      </w:r>
      <w:r>
        <w:t xml:space="preserve">resolution framework, in line with the international key attributes for effective resolution</w:t>
      </w:r>
      <w:r>
        <w:t xml:space="preserve"> </w:t>
      </w:r>
      <w:r>
        <w:t xml:space="preserve">regimes published by the Financial Stability Board in the aftermath of the global</w:t>
      </w:r>
      <w:r>
        <w:t xml:space="preserve"> </w:t>
      </w:r>
      <w:r>
        <w:t xml:space="preserve">financial crisis11, aimed to fill an important gap in the management of banking crises,</w:t>
      </w:r>
      <w:r>
        <w:t xml:space="preserve"> </w:t>
      </w:r>
      <w:r>
        <w:t xml:space="preserve">reducing risks for financial stability, depositors and taxpayers.</w:t>
      </w:r>
      <w:r>
        <w:br/>
      </w:r>
      <w:r>
        <w:t xml:space="preserve">The resolution framework brings a number of very important benefits. Contrary to</w:t>
      </w:r>
      <w:r>
        <w:t xml:space="preserve"> </w:t>
      </w:r>
      <w:r>
        <w:t xml:space="preserve">liquidation under normal insolvency proceedings, resolution increases the efficiency in</w:t>
      </w:r>
      <w:r>
        <w:t xml:space="preserve"> </w:t>
      </w:r>
      <w:r>
        <w:t xml:space="preserve">handling bank failures in terms of costs, by preserving the franchise value of bank’s</w:t>
      </w:r>
      <w:r>
        <w:t xml:space="preserve"> </w:t>
      </w:r>
      <w:r>
        <w:t xml:space="preserve">assets and the client relationship through restructuring/ sale of business to a buyer and</w:t>
      </w:r>
      <w:r>
        <w:t xml:space="preserve"> </w:t>
      </w:r>
      <w:r>
        <w:t xml:space="preserve">avoiding cutting access of the bank’s customers to their client accounts and loans (i.e. </w:t>
      </w:r>
      <w:r>
        <w:t xml:space="preserve"> </w:t>
      </w:r>
      <w:r>
        <w:t xml:space="preserve">individuals/households, small and medium enterprises (SMEs), corporates, public</w:t>
      </w:r>
      <w:r>
        <w:t xml:space="preserve"> </w:t>
      </w:r>
      <w:r>
        <w:t xml:space="preserve">institutions, other financial institutions which may include other banks, insurance</w:t>
      </w:r>
      <w:r>
        <w:t xml:space="preserve"> </w:t>
      </w:r>
      <w:r>
        <w:t xml:space="preserve">companies, other industry players). This way, it avoids any public perception of</w:t>
      </w:r>
    </w:p>
    <w:p>
      <w:pPr>
        <w:pStyle w:val="BodyText"/>
      </w:pPr>
      <w:r>
        <w:t xml:space="preserve">9 State aid rules are intrinsically interconnected with and complementary to the CMDI framework. These</w:t>
      </w:r>
      <w:r>
        <w:t xml:space="preserve"> </w:t>
      </w:r>
      <w:r>
        <w:t xml:space="preserve">rules are not subject to this review and this impact assessment. In order to ensure consistency between the</w:t>
      </w:r>
      <w:r>
        <w:t xml:space="preserve"> </w:t>
      </w:r>
      <w:r>
        <w:t xml:space="preserve">two frameworks, the Eurogroup invited the Commission in November 2020 to conduct a review of the State</w:t>
      </w:r>
      <w:r>
        <w:t xml:space="preserve"> </w:t>
      </w:r>
      <w:r>
        <w:t xml:space="preserve">aid framework for banks, and to complete it in parallel with the CMDI framework review, ensuring its</w:t>
      </w:r>
      <w:r>
        <w:t xml:space="preserve"> </w:t>
      </w:r>
      <w:r>
        <w:t xml:space="preserve">entry into force at the same time with the updated CMDI framework.</w:t>
      </w:r>
      <w:r>
        <w:t xml:space="preserve"> </w:t>
      </w:r>
      <w:r>
        <w:t xml:space="preserve">10 Insolvency proceedings across the EU are unharmonised; some allow for certain transfer tools similar to</w:t>
      </w:r>
      <w:r>
        <w:t xml:space="preserve"> </w:t>
      </w:r>
      <w:r>
        <w:t xml:space="preserve">resolution financed by DGSs, others only allow for piecemeal liquidation proceedings.</w:t>
      </w:r>
      <w:r>
        <w:br/>
      </w:r>
      <w:r>
        <w:t xml:space="preserve">11 Financial Stability Board (October 2011, updated in 2014), Key attributes for effective resolution</w:t>
      </w:r>
      <w:r>
        <w:t xml:space="preserve"> </w:t>
      </w:r>
      <w:r>
        <w:t xml:space="preserve">regimes for financial institutions. The key attributes represent the foundation on which jurisdictions around</w:t>
      </w:r>
      <w:r>
        <w:t xml:space="preserve"> </w:t>
      </w:r>
      <w:r>
        <w:t xml:space="preserve">the world built their resolution regimes following the global financial crisis.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discontinuity in the operations of the bank, thereby stemming the propagation of adverse</w:t>
      </w:r>
      <w:r>
        <w:t xml:space="preserve"> </w:t>
      </w:r>
      <w:r>
        <w:t xml:space="preserve">effects on broader confidence and financial stability. Resolution also better redistributes</w:t>
      </w:r>
      <w:r>
        <w:t xml:space="preserve"> </w:t>
      </w:r>
      <w:r>
        <w:t xml:space="preserve">costs by shifting away losses from taxpayers to the failing bank’s shareholders and</w:t>
      </w:r>
      <w:r>
        <w:t xml:space="preserve"> </w:t>
      </w:r>
      <w:r>
        <w:t xml:space="preserve">creditors and the industry overall, where industry-funded safety nets are used. It also</w:t>
      </w:r>
      <w:r>
        <w:t xml:space="preserve"> </w:t>
      </w:r>
      <w:r>
        <w:t xml:space="preserve">fosters consumer confidence in the banking sector by significantly reducing the risk of</w:t>
      </w:r>
      <w:r>
        <w:t xml:space="preserve"> </w:t>
      </w:r>
      <w:r>
        <w:t xml:space="preserve">spiralling contagion to other banks and mitigating the risks that bank clients may start</w:t>
      </w:r>
      <w:r>
        <w:t xml:space="preserve"> </w:t>
      </w:r>
      <w:r>
        <w:t xml:space="preserve">questioning the solidity of the system and its safety nets as it could happen under</w:t>
      </w:r>
      <w:r>
        <w:t xml:space="preserve"> </w:t>
      </w:r>
      <w:r>
        <w:t xml:space="preserve">insolvency proceedings.</w:t>
      </w:r>
      <w:r>
        <w:br/>
      </w:r>
      <w:r>
        <w:t xml:space="preserve">Another merit of the resolution framework is providing predictability and level playing</w:t>
      </w:r>
      <w:r>
        <w:t xml:space="preserve"> </w:t>
      </w:r>
      <w:r>
        <w:t xml:space="preserve">field when handling failing banks and enhancing preparedness (recovery and resolution</w:t>
      </w:r>
      <w:r>
        <w:t xml:space="preserve"> </w:t>
      </w:r>
      <w:r>
        <w:t xml:space="preserve">planning) for crisis times, including by imposing requirements on banks to absorb</w:t>
      </w:r>
      <w:r>
        <w:t xml:space="preserve"> </w:t>
      </w:r>
      <w:r>
        <w:t xml:space="preserve">possible losses internally or via the safety nets. Lastly, resolution may lower the impact</w:t>
      </w:r>
      <w:r>
        <w:t xml:space="preserve"> </w:t>
      </w:r>
      <w:r>
        <w:t xml:space="preserve">of a bank’s failure on DGS financial means in a liquidation under normal insolvency</w:t>
      </w:r>
      <w:r>
        <w:t xml:space="preserve"> </w:t>
      </w:r>
      <w:r>
        <w:t xml:space="preserve">proceedings, which requires the DGS to payout all covered deposits (up to EUR 100 000)</w:t>
      </w:r>
      <w:r>
        <w:t xml:space="preserve"> </w:t>
      </w:r>
      <w:r>
        <w:t xml:space="preserve">and bears a high risk of depleting the national DGS funds. Notwithstanding its overall</w:t>
      </w:r>
      <w:r>
        <w:t xml:space="preserve"> </w:t>
      </w:r>
      <w:r>
        <w:t xml:space="preserve">benefit, another downside of the payout of covered deposits is that it can be disruptive to</w:t>
      </w:r>
      <w:r>
        <w:t xml:space="preserve"> </w:t>
      </w:r>
      <w:r>
        <w:t xml:space="preserve">depositor confidence because of its impact on uncovered deposits (leaving uncovered</w:t>
      </w:r>
      <w:r>
        <w:t xml:space="preserve"> </w:t>
      </w:r>
      <w:r>
        <w:t xml:space="preserve">deposits above EUR 100 000 to take losses). All these benefits of resolution strengthen</w:t>
      </w:r>
      <w:r>
        <w:t xml:space="preserve"> </w:t>
      </w:r>
      <w:r>
        <w:t xml:space="preserve">financial stability, preserve value, reduce moral hazard and the risk of inflicting the cost</w:t>
      </w:r>
      <w:r>
        <w:t xml:space="preserve"> </w:t>
      </w:r>
      <w:r>
        <w:t xml:space="preserve">of failure on citizens.</w:t>
      </w:r>
      <w:r>
        <w:t xml:space="preserve"> </w:t>
      </w:r>
      <w:r>
        <w:t xml:space="preserve">A resolution framework applicable to any bank</w:t>
      </w:r>
      <w:r>
        <w:t xml:space="preserve"> </w:t>
      </w:r>
      <w:r>
        <w:t xml:space="preserve">In terms of scope of application, the determination of the resolution or liquidation</w:t>
      </w:r>
      <w:r>
        <w:t xml:space="preserve"> </w:t>
      </w:r>
      <w:r>
        <w:t xml:space="preserve">strategy is not automatically driven by bank size or structure of banking sectors but,</w:t>
      </w:r>
      <w:r>
        <w:t xml:space="preserve"> </w:t>
      </w:r>
      <w:r>
        <w:t xml:space="preserve">instead, is made by the resolution authority on the basis of the public interest assessment</w:t>
      </w:r>
      <w:r>
        <w:t xml:space="preserve"> </w:t>
      </w:r>
      <w:r>
        <w:t xml:space="preserve">on a case-by-case basis. From its inception in 2014 and rooted in the international</w:t>
      </w:r>
      <w:r>
        <w:t xml:space="preserve"> </w:t>
      </w:r>
      <w:r>
        <w:t xml:space="preserve">experience of dealing with bank crises over decades, the resolution framework was</w:t>
      </w:r>
      <w:r>
        <w:t xml:space="preserve"> </w:t>
      </w:r>
      <w:r>
        <w:t xml:space="preserve">created with the intention to cater for the orderly management of any bank failure,</w:t>
      </w:r>
      <w:r>
        <w:t xml:space="preserve"> </w:t>
      </w:r>
      <w:r>
        <w:t xml:space="preserve">irrespective of its geographical footprint (i.e. domestic or operating across borders), its</w:t>
      </w:r>
      <w:r>
        <w:t xml:space="preserve"> </w:t>
      </w:r>
      <w:r>
        <w:t xml:space="preserve">size or business model, when this best serves the objectives. Of course, resolution is</w:t>
      </w:r>
      <w:r>
        <w:t xml:space="preserve"> </w:t>
      </w:r>
      <w:r>
        <w:t xml:space="preserve">widely expected by all stakeholders to be the only credible option to manage the failure</w:t>
      </w:r>
      <w:r>
        <w:t xml:space="preserve"> </w:t>
      </w:r>
      <w:r>
        <w:t xml:space="preserve">of large systemic banks, because it provides a clear set of tools and adequate funding (in</w:t>
      </w:r>
      <w:r>
        <w:t xml:space="preserve"> </w:t>
      </w:r>
      <w:r>
        <w:t xml:space="preserve">the form of high buffers of own funds and eligible liabilities to absorb losses through</w:t>
      </w:r>
      <w:r>
        <w:t xml:space="preserve"> </w:t>
      </w:r>
      <w:r>
        <w:t xml:space="preserve">bail-in, and commensurate access to resolution funds) to avoid further contagion to the</w:t>
      </w:r>
      <w:r>
        <w:t xml:space="preserve"> </w:t>
      </w:r>
      <w:r>
        <w:t xml:space="preserve">real economy or financial markets.</w:t>
      </w:r>
      <w:r>
        <w:br/>
      </w:r>
      <w:r>
        <w:t xml:space="preserve">However, as recital 29 of the existing BRRD points out, it is crucial, in order to maintain</w:t>
      </w:r>
      <w:r>
        <w:t xml:space="preserve"> </w:t>
      </w:r>
      <w:r>
        <w:t xml:space="preserve">financial stability, that resolution authorities have the possibility to resolve any bank due</w:t>
      </w:r>
      <w:r>
        <w:t xml:space="preserve"> </w:t>
      </w:r>
      <w:r>
        <w:t xml:space="preserve">to their critical functions or potential systemic nature. While the idiosyncratic failures of</w:t>
      </w:r>
      <w:r>
        <w:t xml:space="preserve"> </w:t>
      </w:r>
      <w:r>
        <w:t xml:space="preserve">large banks tend to be more disruptive to the financial system than failures of small</w:t>
      </w:r>
      <w:r>
        <w:t xml:space="preserve"> </w:t>
      </w:r>
      <w:r>
        <w:t xml:space="preserve">banks, this is justified by the risks to financial stability (especially in the case of</w:t>
      </w:r>
      <w:r>
        <w:t xml:space="preserve"> </w:t>
      </w:r>
      <w:r>
        <w:t xml:space="preserve">concomitant failures of several small/mid-sized banks during times of crisis), the</w:t>
      </w:r>
      <w:r>
        <w:t xml:space="preserve"> </w:t>
      </w:r>
      <w:r>
        <w:t xml:space="preserve">destruction of economic value locally/regionally or the disruption of depositors</w:t>
      </w:r>
      <w:r>
        <w:t xml:space="preserve"> </w:t>
      </w:r>
      <w:r>
        <w:t xml:space="preserve">confidence in particular for small jurisdictions (see Box 6 in Annex 4 for references</w:t>
      </w:r>
      <w:r>
        <w:t xml:space="preserve"> </w:t>
      </w:r>
      <w:r>
        <w:t xml:space="preserve">regarding the impact of failing small/mid-sized banks on financial stability). For similar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reasons, all banks contributing to the safety nets should be able to benefit from them, if</w:t>
      </w:r>
      <w:r>
        <w:t xml:space="preserve"> </w:t>
      </w:r>
      <w:r>
        <w:t xml:space="preserve">the conditionality to access these safety nets is fulfilled.</w:t>
      </w:r>
      <w:r>
        <w:br/>
      </w:r>
      <w:r>
        <w:t xml:space="preserve">In practice, except for the 120 banks under direct SRB remit12, national authorities</w:t>
      </w:r>
      <w:r>
        <w:t xml:space="preserve"> </w:t>
      </w:r>
      <w:r>
        <w:t xml:space="preserve">remain responsible for the application of the resolution framework and the discretionary</w:t>
      </w:r>
      <w:r>
        <w:t xml:space="preserve"> </w:t>
      </w:r>
      <w:r>
        <w:t xml:space="preserve">choice between using a resolution or a liquidation strategy to manage a failing bank. The</w:t>
      </w:r>
      <w:r>
        <w:t xml:space="preserve"> </w:t>
      </w:r>
      <w:r>
        <w:t xml:space="preserve">public interest assessment takes into account considerations that go beyond the size of</w:t>
      </w:r>
      <w:r>
        <w:t xml:space="preserve"> </w:t>
      </w:r>
      <w:r>
        <w:t xml:space="preserve">the bank, such as its functions that are critical for the broader economy (e.g. deposit</w:t>
      </w:r>
      <w:r>
        <w:t xml:space="preserve"> </w:t>
      </w:r>
      <w:r>
        <w:t xml:space="preserve">taking, lending, payments) and their substitutability, interconnectedness to other actors in</w:t>
      </w:r>
      <w:r>
        <w:t xml:space="preserve"> </w:t>
      </w:r>
      <w:r>
        <w:t xml:space="preserve">the financial system, risk profile, nature of activity, which are important when assessing</w:t>
      </w:r>
      <w:r>
        <w:t xml:space="preserve"> </w:t>
      </w:r>
      <w:r>
        <w:t xml:space="preserve">the impact of a bank failure on financial stability. For these reasons, it is necessary to</w:t>
      </w:r>
      <w:r>
        <w:t xml:space="preserve"> </w:t>
      </w:r>
      <w:r>
        <w:t xml:space="preserve">ensure a coherent application of the framework, which has not been the case until now.</w:t>
      </w:r>
      <w:r>
        <w:t xml:space="preserve"> </w:t>
      </w:r>
      <w:r>
        <w:t xml:space="preserve">Insolvency proceedings remain available for those banks, where no contagion risks or</w:t>
      </w:r>
      <w:r>
        <w:t xml:space="preserve"> </w:t>
      </w:r>
      <w:r>
        <w:t xml:space="preserve">other significant risks to financial stability exist and where there are no critical functions,</w:t>
      </w:r>
      <w:r>
        <w:t xml:space="preserve"> </w:t>
      </w:r>
      <w:r>
        <w:t xml:space="preserve">provided that the authorities assess that these banks are not in the public interest.</w:t>
      </w:r>
      <w:r>
        <w:t xml:space="preserve"> </w:t>
      </w:r>
      <w:r>
        <w:t xml:space="preserve">The test of time and the need for a reform</w:t>
      </w:r>
      <w:r>
        <w:t xml:space="preserve"> </w:t>
      </w:r>
      <w:r>
        <w:t xml:space="preserve">Notwithstanding the progress achieved since 2014, the application of resolution has been</w:t>
      </w:r>
      <w:r>
        <w:t xml:space="preserve"> </w:t>
      </w:r>
      <w:r>
        <w:t xml:space="preserve">scarce, especially in the Banking Union and areas for further strengthening and</w:t>
      </w:r>
      <w:r>
        <w:t xml:space="preserve"> </w:t>
      </w:r>
      <w:r>
        <w:t xml:space="preserve">adjustment were identified with regard to the CMDI framework in terms of design,</w:t>
      </w:r>
      <w:r>
        <w:t xml:space="preserve"> </w:t>
      </w:r>
      <w:r>
        <w:t xml:space="preserve">implementation and most importantly, incentives for its application. These issues concern</w:t>
      </w:r>
      <w:r>
        <w:t xml:space="preserve"> </w:t>
      </w:r>
      <w:r>
        <w:t xml:space="preserve">in particular the category of small and medium-sized banks that are often “too big to</w:t>
      </w:r>
      <w:r>
        <w:t xml:space="preserve"> </w:t>
      </w:r>
      <w:r>
        <w:t xml:space="preserve">liquidate” under normal insolvency regimes.</w:t>
      </w:r>
      <w:r>
        <w:t xml:space="preserve"> </w:t>
      </w:r>
      <w:r>
        <w:t xml:space="preserve">To date, and as shown in Chapter 2, Annex 5 (evaluation) and evidenced in Annex 9,</w:t>
      </w:r>
      <w:r>
        <w:t xml:space="preserve"> </w:t>
      </w:r>
      <w:r>
        <w:t xml:space="preserve">most failing small and mid-sized banks were managed under national regimes often</w:t>
      </w:r>
      <w:r>
        <w:t xml:space="preserve"> </w:t>
      </w:r>
      <w:r>
        <w:t xml:space="preserve">involving the use of taxpayer money (bailouts) instead of the required bank’s internal</w:t>
      </w:r>
      <w:r>
        <w:t xml:space="preserve"> </w:t>
      </w:r>
      <w:r>
        <w:t xml:space="preserve">resources (bail-in)13. This goes against the intention of the framework as set up after the</w:t>
      </w:r>
      <w:r>
        <w:t xml:space="preserve"> </w:t>
      </w:r>
      <w:r>
        <w:t xml:space="preserve">global financial crisis, which involved a major paradigm shift from bail-out to bail-in</w:t>
      </w:r>
      <w:r>
        <w:t xml:space="preserve"> </w:t>
      </w:r>
      <w:r>
        <w:t xml:space="preserve">(required amount of burden sharing) and industry-funded safety nets, such as the SRF in</w:t>
      </w:r>
      <w:r>
        <w:t xml:space="preserve"> </w:t>
      </w:r>
      <w:r>
        <w:t xml:space="preserve">the Banking Union, so far unused in resolution. In this context, the opportunity cost of</w:t>
      </w:r>
      <w:r>
        <w:t xml:space="preserve"> </w:t>
      </w:r>
      <w:r>
        <w:t xml:space="preserve">the resolution funds financed by all banks is considerable.</w:t>
      </w:r>
      <w:r>
        <w:t xml:space="preserve"> </w:t>
      </w:r>
      <w:r>
        <w:t xml:space="preserve">The resolution framework underperformed with respect to key overarching objectives,</w:t>
      </w:r>
      <w:r>
        <w:t xml:space="preserve"> </w:t>
      </w:r>
      <w:r>
        <w:t xml:space="preserve">notably facilitating the functioning of the EU single market in banking by ensuring level</w:t>
      </w:r>
      <w:r>
        <w:t xml:space="preserve"> </w:t>
      </w:r>
      <w:r>
        <w:t xml:space="preserve">playing field, handling cross-border and domestic crises and minimising recourse to</w:t>
      </w:r>
      <w:r>
        <w:t xml:space="preserve"> </w:t>
      </w:r>
      <w:r>
        <w:t xml:space="preserve">taxpayer money.</w:t>
      </w:r>
      <w:r>
        <w:br/>
      </w:r>
      <w:r>
        <w:t xml:space="preserve">The reasons are mainly due to misaligned incentives in choosing the right tool to manage</w:t>
      </w:r>
      <w:r>
        <w:t xml:space="preserve"> </w:t>
      </w:r>
      <w:r>
        <w:t xml:space="preserve">failing banks, leading to the non-application of the harmonised resolution framework, in</w:t>
      </w:r>
      <w:r>
        <w:t xml:space="preserve"> </w:t>
      </w:r>
      <w:r>
        <w:t xml:space="preserve">favour of other avenues. This is overall due to the broad discretion in the public interest</w:t>
      </w:r>
      <w:r>
        <w:t xml:space="preserve"> </w:t>
      </w:r>
      <w:r>
        <w:t xml:space="preserve">assessment, difficulties in accessing funding in resolution without imposing losses on</w:t>
      </w:r>
    </w:p>
    <w:p>
      <w:pPr>
        <w:pStyle w:val="BodyText"/>
      </w:pPr>
      <w:r>
        <w:t xml:space="preserve">12 As of 1 January 2021, the SRB was directly responsible for 120 banks (significant banks and cross</w:t>
      </w:r>
      <w:r>
        <w:t xml:space="preserve"> </w:t>
      </w:r>
      <w:r>
        <w:t xml:space="preserve">border less significant banks) in the Banking Union. National resolution authorities in the Banking Union</w:t>
      </w:r>
      <w:r>
        <w:t xml:space="preserve"> </w:t>
      </w:r>
      <w:r>
        <w:t xml:space="preserve">deal with about 2.200 less significant institutions (SRB, Annual Report 2021). In total, there were</w:t>
      </w:r>
      <w:r>
        <w:t xml:space="preserve"> </w:t>
      </w:r>
      <w:r>
        <w:t xml:space="preserve">approximately 4.600 banks in the European Union in 2020 (European Banking Federation, Facts and</w:t>
      </w:r>
      <w:r>
        <w:t xml:space="preserve"> </w:t>
      </w:r>
      <w:r>
        <w:t xml:space="preserve">Figures 2021).</w:t>
      </w:r>
      <w:r>
        <w:t xml:space="preserve"> </w:t>
      </w:r>
      <w:r>
        <w:t xml:space="preserve">13 Burden sharing by shareholders and subordinate debt holders was implemented under State aid rules, but</w:t>
      </w:r>
      <w:r>
        <w:t xml:space="preserve"> </w:t>
      </w:r>
      <w:r>
        <w:t xml:space="preserve">not corresponding to the 8% total liabilities and own funds required by the BRRD/SRMR.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depositors and easier access to funding outside of resolution, raising risks of</w:t>
      </w:r>
      <w:r>
        <w:t xml:space="preserve"> </w:t>
      </w:r>
      <w:r>
        <w:t xml:space="preserve">fragmentation and suboptimal outcomes in managing banks’ failures, in particular of</w:t>
      </w:r>
      <w:r>
        <w:t xml:space="preserve"> </w:t>
      </w:r>
      <w:r>
        <w:t xml:space="preserve">those smaller and mid-sized banks that are often too big to liquidate under normal</w:t>
      </w:r>
      <w:r>
        <w:t xml:space="preserve"> </w:t>
      </w:r>
      <w:r>
        <w:t xml:space="preserve">insolvency regimes.</w:t>
      </w:r>
      <w:r>
        <w:br/>
      </w:r>
      <w:r>
        <w:t xml:space="preserve">The review of the CMDI framework (BRRD/SRMR/DGSD) and the interaction with</w:t>
      </w:r>
      <w:r>
        <w:t xml:space="preserve"> </w:t>
      </w:r>
      <w:r>
        <w:t xml:space="preserve">national insolvency proceedings should provide solutions to address these issues and</w:t>
      </w:r>
      <w:r>
        <w:t xml:space="preserve"> </w:t>
      </w:r>
      <w:r>
        <w:t xml:space="preserve">enable the framework to fully achieve its objectives14 and be fit for its purpose for all</w:t>
      </w:r>
      <w:r>
        <w:t xml:space="preserve"> </w:t>
      </w:r>
      <w:r>
        <w:t xml:space="preserve">banks in the EU irrespective of their size, business model and liability structure, if</w:t>
      </w:r>
      <w:r>
        <w:t xml:space="preserve"> </w:t>
      </w:r>
      <w:r>
        <w:t xml:space="preserve">required by prevailing circumstances. The revision should aim at ensuring a coherent</w:t>
      </w:r>
      <w:r>
        <w:t xml:space="preserve"> </w:t>
      </w:r>
      <w:r>
        <w:t xml:space="preserve">application of the rules across Member States, delivering level playing field, while</w:t>
      </w:r>
      <w:r>
        <w:t xml:space="preserve"> </w:t>
      </w:r>
      <w:r>
        <w:t xml:space="preserve">protecting financial stability and depositors, containing contagion and reducing recourse</w:t>
      </w:r>
      <w:r>
        <w:t xml:space="preserve"> </w:t>
      </w:r>
      <w:r>
        <w:t xml:space="preserve">to taxpayer money. In particular, the CMDI framework could be improved to facilitate</w:t>
      </w:r>
      <w:r>
        <w:t xml:space="preserve"> </w:t>
      </w:r>
      <w:r>
        <w:t xml:space="preserve">the resolution of small and medium-sized banks as initially expected, by mitigating the</w:t>
      </w:r>
      <w:r>
        <w:t xml:space="preserve"> </w:t>
      </w:r>
      <w:r>
        <w:t xml:space="preserve">impacts on financial stability and the real economy without recourse to public funding,</w:t>
      </w:r>
      <w:r>
        <w:t xml:space="preserve"> </w:t>
      </w:r>
      <w:r>
        <w:t xml:space="preserve">but also fostering confidence of their depositors that consist primarily of households and</w:t>
      </w:r>
      <w:r>
        <w:t xml:space="preserve"> </w:t>
      </w:r>
      <w:r>
        <w:t xml:space="preserve">SMEs15.</w:t>
      </w:r>
      <w:r>
        <w:br/>
      </w:r>
      <w:r>
        <w:t xml:space="preserve">The objectives of the reform would bring the EU framework closer to the frameworks of</w:t>
      </w:r>
      <w:r>
        <w:t xml:space="preserve"> </w:t>
      </w:r>
      <w:r>
        <w:t xml:space="preserve">international peers, especially the United States (US). The extensive experience and</w:t>
      </w:r>
      <w:r>
        <w:t xml:space="preserve"> </w:t>
      </w:r>
      <w:r>
        <w:t xml:space="preserve">excellent track record of the US Federal Deposit Insurance Corporation, spanning over</w:t>
      </w:r>
      <w:r>
        <w:t xml:space="preserve"> </w:t>
      </w:r>
      <w:r>
        <w:t xml:space="preserve">many decades, where failing smaller and mid-sized banks are routinely transferred to a</w:t>
      </w:r>
      <w:r>
        <w:t xml:space="preserve"> </w:t>
      </w:r>
      <w:r>
        <w:t xml:space="preserve">buyer with the support of a common fund financed by the contributions of the industry,</w:t>
      </w:r>
      <w:r>
        <w:t xml:space="preserve"> </w:t>
      </w:r>
      <w:r>
        <w:t xml:space="preserve">can reveal how some features of the CMDI framework could be improved (see Annex 8,</w:t>
      </w:r>
      <w:r>
        <w:t xml:space="preserve"> </w:t>
      </w:r>
      <w:r>
        <w:t xml:space="preserve">section 11)16.</w:t>
      </w:r>
      <w:r>
        <w:t xml:space="preserve"> </w:t>
      </w:r>
      <w:r>
        <w:t xml:space="preserve">The CMDI reform and the broader implications for the Banking Union</w:t>
      </w:r>
      <w:r>
        <w:t xml:space="preserve"> </w:t>
      </w:r>
      <w:r>
        <w:t xml:space="preserve">Together with the CMDI reform, a complete Banking Union, including its third pillar,</w:t>
      </w:r>
      <w:r>
        <w:t xml:space="preserve"> </w:t>
      </w:r>
      <w:r>
        <w:t xml:space="preserve">EDIS, would offer a higher level of financial protection to Europe’s households and</w:t>
      </w:r>
      <w:r>
        <w:t xml:space="preserve"> </w:t>
      </w:r>
      <w:r>
        <w:t xml:space="preserve">businesses, foster trust and strengthen financial stability as necessary conditions for</w:t>
      </w:r>
      <w:r>
        <w:t xml:space="preserve"> </w:t>
      </w:r>
      <w:r>
        <w:t xml:space="preserve">growth, prosperity and resilience in the Economic and Monetary Union and, more</w:t>
      </w:r>
      <w:r>
        <w:t xml:space="preserve"> </w:t>
      </w:r>
      <w:r>
        <w:t xml:space="preserve">generally, in Europe. The Capital Markets Union complements the Banking Union as</w:t>
      </w:r>
      <w:r>
        <w:t xml:space="preserve"> </w:t>
      </w:r>
      <w:r>
        <w:t xml:space="preserve">both initiatives would help finance the twin transition (digital and green), enhance the</w:t>
      </w:r>
      <w:r>
        <w:t xml:space="preserve"> </w:t>
      </w:r>
      <w:r>
        <w:t xml:space="preserve">international role of the euro and strengthen Europe’s open strategic autonomy in a</w:t>
      </w:r>
      <w:r>
        <w:t xml:space="preserve"> </w:t>
      </w:r>
      <w:r>
        <w:t xml:space="preserve">changing world, particularly considering the current challenging economic and</w:t>
      </w:r>
      <w:r>
        <w:t xml:space="preserve"> </w:t>
      </w:r>
      <w:r>
        <w:t xml:space="preserve">geopolitical environment.</w:t>
      </w:r>
    </w:p>
    <w:p>
      <w:pPr>
        <w:pStyle w:val="BodyText"/>
      </w:pPr>
      <w:r>
        <w:t xml:space="preserve">14 See Chapter Error! Reference source not found. on the objectives.</w:t>
      </w:r>
      <w:r>
        <w:t xml:space="preserve"> </w:t>
      </w:r>
      <w:r>
        <w:t xml:space="preserve">15 As such, the reform envisaged does not have a direct impact on households and businesses such as SMEs</w:t>
      </w:r>
      <w:r>
        <w:t xml:space="preserve"> </w:t>
      </w:r>
      <w:r>
        <w:t xml:space="preserve">e.g. on the credit supply and lending behaviour of banks. However, to the extent that the reform would</w:t>
      </w:r>
      <w:r>
        <w:t xml:space="preserve"> </w:t>
      </w:r>
      <w:r>
        <w:t xml:space="preserve">improve the crisis management for smaller and medium-sized banks with a view to strengthen depositor</w:t>
      </w:r>
      <w:r>
        <w:t xml:space="preserve"> </w:t>
      </w:r>
      <w:r>
        <w:t xml:space="preserve">protection, depositors such as households and SMEs could indirectly benefit from a more efficient bank</w:t>
      </w:r>
      <w:r>
        <w:t xml:space="preserve"> </w:t>
      </w:r>
      <w:r>
        <w:t xml:space="preserve">crisis framework that would limit the impact of a bank failure on financial stability and the real economy.</w:t>
      </w:r>
      <w:r>
        <w:t xml:space="preserve"> </w:t>
      </w:r>
      <w:r>
        <w:t xml:space="preserve">See also section 8 of Annex 8.</w:t>
      </w:r>
      <w:r>
        <w:br/>
      </w:r>
      <w:r>
        <w:t xml:space="preserve">16 Between 2000 and 2020, the FDIC intervened through transfer tools, with deposit insurance fund</w:t>
      </w:r>
      <w:r>
        <w:t xml:space="preserve"> </w:t>
      </w:r>
      <w:r>
        <w:t xml:space="preserve">support, to preserve access to deposits in failed banks in 95% of cases and paid out covered deposits in</w:t>
      </w:r>
      <w:r>
        <w:t xml:space="preserve"> </w:t>
      </w:r>
      <w:r>
        <w:t xml:space="preserve">piecemeal liquidation in only 5% of cases. The FDIC estimates that, between 2008 and 2013, the use of</w:t>
      </w:r>
      <w:r>
        <w:t xml:space="preserve"> </w:t>
      </w:r>
      <w:r>
        <w:t xml:space="preserve">transfer tools saved USD 42 bn, or 43%, compared with the estimated cost of using payout of covered</w:t>
      </w:r>
      <w:r>
        <w:t xml:space="preserve"> </w:t>
      </w:r>
      <w:r>
        <w:t xml:space="preserve">deposits in insolvency.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On the one hand, European banks have proven robust so far, including in terms of capital</w:t>
      </w:r>
      <w:r>
        <w:t xml:space="preserve"> </w:t>
      </w:r>
      <w:r>
        <w:t xml:space="preserve">adequacy and liquidity buffers. Moreover, the reforms undertaken to implement the first</w:t>
      </w:r>
      <w:r>
        <w:t xml:space="preserve"> </w:t>
      </w:r>
      <w:r>
        <w:t xml:space="preserve">pillars of the Banking Union in the aftermath of the 2008 global financial crisis have</w:t>
      </w:r>
      <w:r>
        <w:t xml:space="preserve"> </w:t>
      </w:r>
      <w:r>
        <w:t xml:space="preserve">helped in strengthening the position of European banks. Any fallout was managed with</w:t>
      </w:r>
      <w:r>
        <w:t xml:space="preserve"> </w:t>
      </w:r>
      <w:r>
        <w:t xml:space="preserve">the available toolkit (either provided by the CMDI framework such as moratoria,</w:t>
      </w:r>
      <w:r>
        <w:t xml:space="preserve"> </w:t>
      </w:r>
      <w:r>
        <w:t xml:space="preserve">resolution tools, or tools under national insolvency frameworks) even when the</w:t>
      </w:r>
      <w:r>
        <w:t xml:space="preserve"> </w:t>
      </w:r>
      <w:r>
        <w:t xml:space="preserve">circumstances of the failure were particularly unusual17.</w:t>
      </w:r>
      <w:r>
        <w:br/>
      </w:r>
      <w:r>
        <w:t xml:space="preserve">On the other hand, the profitability and cost-efficiency of European banks is arguably</w:t>
      </w:r>
      <w:r>
        <w:t xml:space="preserve"> </w:t>
      </w:r>
      <w:r>
        <w:t xml:space="preserve">structurally weak and asset quality concerns may resurface amid increased credit risk</w:t>
      </w:r>
      <w:r>
        <w:t xml:space="preserve"> </w:t>
      </w:r>
      <w:r>
        <w:t xml:space="preserve">fuelled by the deterioration in the macroeconomic outlook and the energy crisis triggered</w:t>
      </w:r>
      <w:r>
        <w:t xml:space="preserve"> </w:t>
      </w:r>
      <w:r>
        <w:t xml:space="preserve">by geopolitical tensions.</w:t>
      </w:r>
      <w:r>
        <w:br/>
      </w:r>
      <w:r>
        <w:t xml:space="preserve">Therefore, more adverse conditions are possible in the future, making the need to proceed</w:t>
      </w:r>
      <w:r>
        <w:t xml:space="preserve"> </w:t>
      </w:r>
      <w:r>
        <w:t xml:space="preserve">with the current reform of the CMDI framework, improve its use and to step-up the</w:t>
      </w:r>
      <w:r>
        <w:t xml:space="preserve"> </w:t>
      </w:r>
      <w:r>
        <w:t xml:space="preserve">efforts for the completion of the Banking Union more pressing and compelling. Under</w:t>
      </w:r>
      <w:r>
        <w:t xml:space="preserve"> </w:t>
      </w:r>
      <w:r>
        <w:t xml:space="preserve">the status quo, a large proportion of failing banks would continue to be restructured or</w:t>
      </w:r>
      <w:r>
        <w:t xml:space="preserve"> </w:t>
      </w:r>
      <w:r>
        <w:t xml:space="preserve">liquidated outside the harmonised resolution framework, under existing heterogeneous</w:t>
      </w:r>
      <w:r>
        <w:t xml:space="preserve"> </w:t>
      </w:r>
      <w:r>
        <w:t xml:space="preserve">national regimes, where in some cases only disorderly and costly insolvency proceedings</w:t>
      </w:r>
      <w:r>
        <w:t xml:space="preserve"> </w:t>
      </w:r>
      <w:r>
        <w:t xml:space="preserve">or solutions involving taxpayer money exist. This would weaken consumer confidence in</w:t>
      </w:r>
      <w:r>
        <w:t xml:space="preserve"> </w:t>
      </w:r>
      <w:r>
        <w:t xml:space="preserve">the EU banking sector and the predictability and level playing field of our single market</w:t>
      </w:r>
      <w:r>
        <w:t xml:space="preserve"> </w:t>
      </w:r>
      <w:r>
        <w:t xml:space="preserve">for banking, and of the Banking Union in particular.</w:t>
      </w:r>
      <w:r>
        <w:t xml:space="preserve"> </w:t>
      </w:r>
      <w:r>
        <w:t xml:space="preserve">In June 2022, the Eurogroup was not able to reach a political agreement on a</w:t>
      </w:r>
      <w:r>
        <w:t xml:space="preserve"> </w:t>
      </w:r>
      <w:r>
        <w:t xml:space="preserve">comprehensive work plan to complete the Banking Union18. Instead, the Eurogroup</w:t>
      </w:r>
      <w:r>
        <w:t xml:space="preserve"> </w:t>
      </w:r>
      <w:r>
        <w:t xml:space="preserve">invited the Commission to table legislative proposals for reforming the EU framework</w:t>
      </w:r>
      <w:r>
        <w:t xml:space="preserve"> </w:t>
      </w:r>
      <w:r>
        <w:t xml:space="preserve">for bank crisis management and national deposit insurance. This was one of four</w:t>
      </w:r>
      <w:r>
        <w:t xml:space="preserve"> </w:t>
      </w:r>
      <w:r>
        <w:t xml:space="preserve">workstreams discussed in the context of the Banking Union completion workplan (in</w:t>
      </w:r>
      <w:r>
        <w:t xml:space="preserve"> </w:t>
      </w:r>
      <w:r>
        <w:t xml:space="preserve">addition to EDIS, the regulatory treatment of exposures to sovereigns and enhanced</w:t>
      </w:r>
      <w:r>
        <w:t xml:space="preserve"> </w:t>
      </w:r>
      <w:r>
        <w:t xml:space="preserve">cross-border market integration). The other workstreams have been put on hold until the</w:t>
      </w:r>
      <w:r>
        <w:t xml:space="preserve"> </w:t>
      </w:r>
      <w:r>
        <w:t xml:space="preserve">next institutional cycle.</w:t>
      </w:r>
      <w:r>
        <w:br/>
      </w:r>
      <w:r>
        <w:t xml:space="preserve">In parallel, the European Parliament also stressed in its 2021 annual report on the</w:t>
      </w:r>
      <w:r>
        <w:t xml:space="preserve"> </w:t>
      </w:r>
      <w:r>
        <w:t xml:space="preserve">Banking Union, the importance of completing it with the establishment of an EDIS and</w:t>
      </w:r>
      <w:r>
        <w:t xml:space="preserve"> </w:t>
      </w:r>
      <w:r>
        <w:t xml:space="preserve">supported the Commission in putting forward a legislative proposal on the CMDI review.</w:t>
      </w:r>
      <w:r>
        <w:br/>
      </w:r>
      <w:r>
        <w:t xml:space="preserve">This impact assessment covers the analysis of policy measures for the review of the</w:t>
      </w:r>
      <w:r>
        <w:t xml:space="preserve"> </w:t>
      </w:r>
      <w:r>
        <w:t xml:space="preserve">CMDI framework. While EDIS was not explicitly endorsed by the Eurogroup, it would</w:t>
      </w:r>
      <w:r>
        <w:t xml:space="preserve"> </w:t>
      </w:r>
      <w:r>
        <w:t xml:space="preserve">have made the CMDI reform more robust and delivered synergies and efficiency gains</w:t>
      </w:r>
      <w:r>
        <w:t xml:space="preserve"> </w:t>
      </w:r>
      <w:r>
        <w:t xml:space="preserve">for the industry. Some of these elements are included in this impact assessment for</w:t>
      </w:r>
      <w:r>
        <w:t xml:space="preserve"> </w:t>
      </w:r>
      <w:r>
        <w:t xml:space="preserve">technical completeness and illustration of the internal consistency among the elements of</w:t>
      </w:r>
      <w:r>
        <w:t xml:space="preserve"> </w:t>
      </w:r>
      <w:r>
        <w:t xml:space="preserve">a robust framework, also reflecting technical discussions which took place on EDIS in</w:t>
      </w:r>
      <w:r>
        <w:t xml:space="preserve"> </w:t>
      </w:r>
      <w:r>
        <w:t xml:space="preserve">the past years in expert groups, Council working parties and inter-governmental fora.</w:t>
      </w:r>
      <w:r>
        <w:br/>
      </w:r>
      <w:r>
        <w:t xml:space="preserve">Such a legislative package would be part of the agenda for the completion of the Banking</w:t>
      </w:r>
      <w:r>
        <w:t xml:space="preserve"> </w:t>
      </w:r>
      <w:r>
        <w:t xml:space="preserve">Union, as emphasised in President von der Leyen’s Political Guidelines, which also</w:t>
      </w:r>
      <w:r>
        <w:t xml:space="preserve"> </w:t>
      </w:r>
      <w:r>
        <w:t xml:space="preserve">included the implementation of EDIS.</w:t>
      </w:r>
    </w:p>
    <w:p>
      <w:pPr>
        <w:pStyle w:val="BodyText"/>
      </w:pPr>
      <w:r>
        <w:t xml:space="preserve">17 See information on the Sberbank case in Annex 9, section 5.</w:t>
      </w:r>
      <w:r>
        <w:t xml:space="preserve"> </w:t>
      </w:r>
      <w:r>
        <w:t xml:space="preserve">18 Eurogroup (16 June 2022), Eurogroup statement on the future of the Banking Union.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This impact assessment report reflects analyses based on information and data up until 31</w:t>
      </w:r>
      <w:r>
        <w:t xml:space="preserve"> </w:t>
      </w:r>
      <w:r>
        <w:t xml:space="preserve">January 2023 and does not include references to subsequent developments.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This section outlines the problems identified in the evaluation of the current framework.</w:t>
      </w:r>
      <w:r>
        <w:t xml:space="preserve"> </w:t>
      </w:r>
      <w:r>
        <w:t xml:space="preserve">It explains how the problems have been identified, what their drivers are, and why action</w:t>
      </w:r>
      <w:r>
        <w:t xml:space="preserve"> </w:t>
      </w:r>
      <w:r>
        <w:t xml:space="preserve">is necessary. More details are available in the evaluation in Annex 5, including an</w:t>
      </w:r>
      <w:r>
        <w:t xml:space="preserve"> </w:t>
      </w:r>
      <w:r>
        <w:t xml:space="preserve">assessment of the CMDI functioning against various criteria.</w:t>
      </w:r>
      <w:r>
        <w:br/>
      </w:r>
      <w:r>
        <w:t xml:space="preserve">The most relevant evidence underpinning the analysis of problems and their drivers in</w:t>
      </w:r>
      <w:r>
        <w:t xml:space="preserve"> </w:t>
      </w:r>
      <w:r>
        <w:t xml:space="preserve">this chapter includes, among others: analysis of past cases of bank failures, quantitative</w:t>
      </w:r>
      <w:r>
        <w:t xml:space="preserve"> </w:t>
      </w:r>
      <w:r>
        <w:t xml:space="preserve">analysis illustrating banks’ difficulty to access safety net funding, the divergent</w:t>
      </w:r>
      <w:r>
        <w:t xml:space="preserve"> </w:t>
      </w:r>
      <w:r>
        <w:t xml:space="preserve">approaches to the public interest assessment, the issues with the creditor hierarchy,</w:t>
      </w:r>
      <w:r>
        <w:t xml:space="preserve"> </w:t>
      </w:r>
      <w:r>
        <w:t xml:space="preserve">divergences between failing or likely to fail and insolvency triggers or the shortcomings</w:t>
      </w:r>
      <w:r>
        <w:t xml:space="preserve"> </w:t>
      </w:r>
      <w:r>
        <w:t xml:space="preserve">regarding early intervention measures. These are complemented by references to external</w:t>
      </w:r>
      <w:r>
        <w:t xml:space="preserve"> </w:t>
      </w:r>
      <w:r>
        <w:t xml:space="preserve">analyses pointing to the lack of clarity regarding the least cost test for DGS uses and the</w:t>
      </w:r>
      <w:r>
        <w:t xml:space="preserve"> </w:t>
      </w:r>
      <w:r>
        <w:t xml:space="preserve">inability of DGS funds to intervene in resolution (EBA opinions), other assessments of</w:t>
      </w:r>
      <w:r>
        <w:t xml:space="preserve"> </w:t>
      </w:r>
      <w:r>
        <w:t xml:space="preserve">business model specificity of small and mid-sized banks (ECB) and DGS funds</w:t>
      </w:r>
      <w:r>
        <w:t xml:space="preserve"> </w:t>
      </w:r>
      <w:r>
        <w:t xml:space="preserve">robustness (Joint Research Centre). This evidence is referenced throughout the impact</w:t>
      </w:r>
      <w:r>
        <w:t xml:space="preserve"> </w:t>
      </w:r>
      <w:r>
        <w:t xml:space="preserve">assessment and in the relevant annexes. A complementary, more exhaustive summary of</w:t>
      </w:r>
      <w:r>
        <w:t xml:space="preserve"> </w:t>
      </w:r>
      <w:r>
        <w:t xml:space="preserve">the evidence used in the impact assessment is also provided in Annex 1, sections 3 and 4.</w:t>
      </w:r>
      <w:r>
        <w:t xml:space="preserve"> </w:t>
      </w:r>
      <w:r>
        <w:t xml:space="preserve">Main considerations related to the limited use of resolution and why it is a problem</w:t>
      </w:r>
      <w:r>
        <w:t xml:space="preserve"> </w:t>
      </w:r>
      <w:r>
        <w:t xml:space="preserve">The evaluation of the current rules shows that the introduction of the CMDI framework</w:t>
      </w:r>
      <w:r>
        <w:t xml:space="preserve"> </w:t>
      </w:r>
      <w:r>
        <w:t xml:space="preserve">in 2014 brought important benefits in terms of maintaining financial stability,</w:t>
      </w:r>
      <w:r>
        <w:t xml:space="preserve"> </w:t>
      </w:r>
      <w:r>
        <w:t xml:space="preserve">significantly improving depositor protection and contributing to boosting consumer</w:t>
      </w:r>
      <w:r>
        <w:t xml:space="preserve"> </w:t>
      </w:r>
      <w:r>
        <w:t xml:space="preserve">confidence in the EU banking sector (illustrated by a reduction in bank runs and an</w:t>
      </w:r>
      <w:r>
        <w:t xml:space="preserve"> </w:t>
      </w:r>
      <w:r>
        <w:t xml:space="preserve">overall increase in depositing money in banks). However, its practical application failed</w:t>
      </w:r>
      <w:r>
        <w:t xml:space="preserve"> </w:t>
      </w:r>
      <w:r>
        <w:t xml:space="preserve">to achieve some important objectives or achieved them only partially, namely,</w:t>
      </w:r>
      <w:r>
        <w:t xml:space="preserve"> </w:t>
      </w:r>
      <w:r>
        <w:t xml:space="preserve">simultaneously, protecting taxpayer money and depositors, while ensuring level playing</w:t>
      </w:r>
      <w:r>
        <w:t xml:space="preserve"> </w:t>
      </w:r>
      <w:r>
        <w:t xml:space="preserve">field and a fair treatment of creditors across the EU single market (see Annex 5).</w:t>
      </w:r>
      <w:r>
        <w:t xml:space="preserve"> </w:t>
      </w:r>
      <w:r>
        <w:t xml:space="preserve">In particular, recent experiences show that the resolution framework is not entirely fit to</w:t>
      </w:r>
      <w:r>
        <w:t xml:space="preserve"> </w:t>
      </w:r>
      <w:r>
        <w:t xml:space="preserve">handle the failure of small and medium-sized banks, whose business model,</w:t>
      </w:r>
      <w:r>
        <w:t xml:space="preserve"> </w:t>
      </w:r>
      <w:r>
        <w:t xml:space="preserve">predominantly funded with deposits, may affect authorities’ incentives to use the</w:t>
      </w:r>
      <w:r>
        <w:t xml:space="preserve"> </w:t>
      </w:r>
      <w:r>
        <w:t xml:space="preserve">resolution framework as initially intended. This problem is particularly relevant when</w:t>
      </w:r>
      <w:r>
        <w:t xml:space="preserve"> </w:t>
      </w:r>
      <w:r>
        <w:t xml:space="preserve">external funding (e.g. RF/SRF) is necessary to support the failure of the bank, for</w:t>
      </w:r>
      <w:r>
        <w:t xml:space="preserve"> </w:t>
      </w:r>
      <w:r>
        <w:t xml:space="preserve">instance to facilitate a sale to a buyer, and when this access to funding is not possible</w:t>
      </w:r>
      <w:r>
        <w:t xml:space="preserve"> </w:t>
      </w:r>
      <w:r>
        <w:t xml:space="preserve">within the resolution framework without imposing losses on deposits. Managing these</w:t>
      </w:r>
      <w:r>
        <w:t xml:space="preserve"> </w:t>
      </w:r>
      <w:r>
        <w:t xml:space="preserve">bank failures outside resolution is not a problem per se. However, the concern is that</w:t>
      </w:r>
      <w:r>
        <w:t xml:space="preserve"> </w:t>
      </w:r>
      <w:r>
        <w:t xml:space="preserve">these choices were driven by the difficulty to access appropriate funding in resolution</w:t>
      </w:r>
      <w:r>
        <w:t xml:space="preserve"> </w:t>
      </w:r>
      <w:r>
        <w:t xml:space="preserve">(despite its availability), while on the contrary, other avenues entailed a recourse to</w:t>
      </w:r>
      <w:r>
        <w:t xml:space="preserve"> </w:t>
      </w:r>
      <w:r>
        <w:t xml:space="preserve">public funding to avoid disorderly failure.</w:t>
      </w:r>
      <w:r>
        <w:br/>
      </w:r>
      <w:r>
        <w:t xml:space="preserve">The evidence in this chapter as well as in Annex 5 (evaluation) and Annex 9 (list of past</w:t>
      </w:r>
      <w:r>
        <w:t xml:space="preserve"> </w:t>
      </w:r>
      <w:r>
        <w:t xml:space="preserve">cases) shows that, most failing small and mid-sized banks were managed under national</w:t>
      </w:r>
      <w:r>
        <w:t xml:space="preserve"> </w:t>
      </w:r>
      <w:r>
        <w:t xml:space="preserve">regimes (preventive and alternative measures in insolvency) often involving the use of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taxpayer money (bailouts, sometimes by local public authorities), instead of the industry-</w:t>
      </w:r>
      <w:r>
        <w:t xml:space="preserve"> </w:t>
      </w:r>
      <w:r>
        <w:t xml:space="preserve">funded safety nets, such as the SRF in the Banking Union, which will amount to</w:t>
      </w:r>
      <w:r>
        <w:t xml:space="preserve"> </w:t>
      </w:r>
      <w:r>
        <w:t xml:space="preserve">approximately EUR 80 billion by 2024. In total, more than EUR 58 bn were provided by</w:t>
      </w:r>
      <w:r>
        <w:t xml:space="preserve"> </w:t>
      </w:r>
      <w:r>
        <w:t xml:space="preserve">national or regional governments to bail-out banks (as shown in Chapter 2, section 2.2)</w:t>
      </w:r>
      <w:r>
        <w:t xml:space="preserve"> </w:t>
      </w:r>
      <w:r>
        <w:t xml:space="preserve">since 2015, when the resolution framework started to apply. More than 60% of banks in</w:t>
      </w:r>
      <w:r>
        <w:t xml:space="preserve"> </w:t>
      </w:r>
      <w:r>
        <w:t xml:space="preserve">distress in the EU were managed outside of the resolution framework. For banks within</w:t>
      </w:r>
      <w:r>
        <w:t xml:space="preserve"> </w:t>
      </w:r>
      <w:r>
        <w:t xml:space="preserve">the Banking Union, this number exceeds 70%. When considering only cases from 2016</w:t>
      </w:r>
      <w:r>
        <w:t xml:space="preserve"> </w:t>
      </w:r>
      <w:r>
        <w:t xml:space="preserve">onwards, when the bail-in tool started to apply, the proportion of measures other than</w:t>
      </w:r>
      <w:r>
        <w:t xml:space="preserve"> </w:t>
      </w:r>
      <w:r>
        <w:t xml:space="preserve">resolution rises to 75% of the cases for the EU and to 84% for the Banking Union</w:t>
      </w:r>
      <w:r>
        <w:t xml:space="preserve"> </w:t>
      </w:r>
      <w:r>
        <w:t xml:space="preserve">(Chapter 2, section 2.1).</w:t>
      </w:r>
      <w:r>
        <w:br/>
      </w:r>
      <w:r>
        <w:t xml:space="preserve">The scarce application of resolution, and the preference by resolution authorities to look</w:t>
      </w:r>
      <w:r>
        <w:t xml:space="preserve"> </w:t>
      </w:r>
      <w:r>
        <w:t xml:space="preserve">for alternative avenues often with the support of public money, are mainly due to the</w:t>
      </w:r>
      <w:r>
        <w:t xml:space="preserve"> </w:t>
      </w:r>
      <w:r>
        <w:t xml:space="preserve">misalignment of incentives to choose the appropriate tool to address a bank failure.</w:t>
      </w:r>
      <w:r>
        <w:t xml:space="preserve"> </w:t>
      </w:r>
      <w:r>
        <w:t xml:space="preserve">Major concerns have been raised about imposing losses on depositors, such as</w:t>
      </w:r>
      <w:r>
        <w:t xml:space="preserve"> </w:t>
      </w:r>
      <w:r>
        <w:t xml:space="preserve">households and owners of small businesses in a region and the impact this would have on</w:t>
      </w:r>
      <w:r>
        <w:t xml:space="preserve"> </w:t>
      </w:r>
      <w:r>
        <w:t xml:space="preserve">financial stability, depositor protection, thereby creating incentives to find alternative</w:t>
      </w:r>
      <w:r>
        <w:t xml:space="preserve"> </w:t>
      </w:r>
      <w:r>
        <w:t xml:space="preserve">solutions (see Box 1 below, Annex 8, section 1 and Annex 4, Box 6). The prevalence of</w:t>
      </w:r>
      <w:r>
        <w:t xml:space="preserve"> </w:t>
      </w:r>
      <w:r>
        <w:t xml:space="preserve">deposits in the liability structure of these banks increases the likelihood of imposing</w:t>
      </w:r>
      <w:r>
        <w:t xml:space="preserve"> </w:t>
      </w:r>
      <w:r>
        <w:t xml:space="preserve">losses on depositors to comply with the conditions to access RF/SRF when the resolution</w:t>
      </w:r>
      <w:r>
        <w:t xml:space="preserve"> </w:t>
      </w:r>
      <w:r>
        <w:t xml:space="preserve">avenue is chosen. Many stakeholders (Member States, citizens/depositors) consider that</w:t>
      </w:r>
      <w:r>
        <w:t xml:space="preserve"> </w:t>
      </w:r>
      <w:r>
        <w:t xml:space="preserve">imposing losses on depositors, beyond the protection of EUR 100 000 granted by the</w:t>
      </w:r>
      <w:r>
        <w:t xml:space="preserve"> </w:t>
      </w:r>
      <w:r>
        <w:t xml:space="preserve">DGS, would have financial stability implications which may fuel concerns on the</w:t>
      </w:r>
      <w:r>
        <w:t xml:space="preserve"> </w:t>
      </w:r>
      <w:r>
        <w:t xml:space="preserve">protection of deposits in the system as a whole. It may lead to bank runs and increase the</w:t>
      </w:r>
      <w:r>
        <w:t xml:space="preserve"> </w:t>
      </w:r>
      <w:r>
        <w:t xml:space="preserve">risk of contagion to other institutions. Resolution authorities have therefore been</w:t>
      </w:r>
      <w:r>
        <w:t xml:space="preserve"> </w:t>
      </w:r>
      <w:r>
        <w:t xml:space="preserve">reluctant to use measures, such as the bail-in tool in resolution that aims to absorb losses</w:t>
      </w:r>
      <w:r>
        <w:t xml:space="preserve"> </w:t>
      </w:r>
      <w:r>
        <w:t xml:space="preserve">through the bank’s shareholders and creditors, when it would lead to imposing losses on</w:t>
      </w:r>
      <w:r>
        <w:t xml:space="preserve"> </w:t>
      </w:r>
      <w:r>
        <w:t xml:space="preserve">depositors (such as households and SMEs). This may particularly be the case for small</w:t>
      </w:r>
      <w:r>
        <w:t xml:space="preserve"> </w:t>
      </w:r>
      <w:r>
        <w:t xml:space="preserve">and mid-sized banks that are anchored in the local/regional economy and where the bail-</w:t>
      </w:r>
      <w:r>
        <w:t xml:space="preserve"> </w:t>
      </w:r>
      <w:r>
        <w:t xml:space="preserve">in of depositors could inflict substantial damage to the (local) real economy. Faced with a</w:t>
      </w:r>
      <w:r>
        <w:t xml:space="preserve"> </w:t>
      </w:r>
      <w:r>
        <w:t xml:space="preserve">trade-off between preserving financial stability and limiting the impact on the real</w:t>
      </w:r>
      <w:r>
        <w:t xml:space="preserve"> </w:t>
      </w:r>
      <w:r>
        <w:t xml:space="preserve">economy on one hand, and using taxpayer money on the other hand, authorities</w:t>
      </w:r>
      <w:r>
        <w:t xml:space="preserve"> </w:t>
      </w:r>
      <w:r>
        <w:t xml:space="preserve">(European, national or regional) may therefore have delayed the start of the crisis</w:t>
      </w:r>
      <w:r>
        <w:t xml:space="preserve"> </w:t>
      </w:r>
      <w:r>
        <w:t xml:space="preserve">management procedures in search of alternatives causing the financial situation of the</w:t>
      </w:r>
      <w:r>
        <w:t xml:space="preserve"> </w:t>
      </w:r>
      <w:r>
        <w:t xml:space="preserve">bank in distress to further deteriorate. The choice of such alternatives often resulted in</w:t>
      </w:r>
      <w:r>
        <w:t xml:space="preserve"> </w:t>
      </w:r>
      <w:r>
        <w:t xml:space="preserve">preferring certain objectives (protecting financial stability and depositor protection) over</w:t>
      </w:r>
      <w:r>
        <w:t xml:space="preserve"> </w:t>
      </w:r>
      <w:r>
        <w:t xml:space="preserve">others (avoiding the use of public funds and level playing field and fair treatment of</w:t>
      </w:r>
      <w:r>
        <w:t xml:space="preserve"> </w:t>
      </w:r>
      <w:r>
        <w:t xml:space="preserve">depositors and taxpayers in the single market). This shows that, for certain small and</w:t>
      </w:r>
      <w:r>
        <w:t xml:space="preserve"> </w:t>
      </w:r>
      <w:r>
        <w:t xml:space="preserve">mid-sized banks, the CMDI framework cannot simultaneously fulfil all the four</w:t>
      </w:r>
      <w:r>
        <w:t xml:space="preserve"> </w:t>
      </w:r>
      <w:r>
        <w:t xml:space="preserve">objectives agreed by co-legislators in the framework at its inception in 2014, and which</w:t>
      </w:r>
      <w:r>
        <w:t xml:space="preserve"> </w:t>
      </w:r>
      <w:r>
        <w:t xml:space="preserve">are in line with the international consensus on the attributes of effective resolution</w:t>
      </w:r>
      <w:r>
        <w:t xml:space="preserve"> </w:t>
      </w:r>
      <w:r>
        <w:t xml:space="preserve">regimes. Resolution authorities were faced with choosing which objectives to protect –</w:t>
      </w:r>
      <w:r>
        <w:t xml:space="preserve"> </w:t>
      </w:r>
      <w:r>
        <w:t xml:space="preserve">financial stability and depositors over public budgets and level playing field, leading to a</w:t>
      </w:r>
      <w:r>
        <w:t xml:space="preserve"> </w:t>
      </w:r>
      <w:r>
        <w:t xml:space="preserve">sub-optimal performance of the framework and risks to its credibility. Therefore, the</w:t>
      </w:r>
      <w:r>
        <w:t xml:space="preserve"> </w:t>
      </w:r>
      <w:r>
        <w:t xml:space="preserve">CMDI framework needs to be amended to avoid such trade-offs in the future and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facilitate the simultaneous achievement of the objectives of protecting financial stability,</w:t>
      </w:r>
      <w:r>
        <w:t xml:space="preserve"> </w:t>
      </w:r>
      <w:r>
        <w:t xml:space="preserve">depositors as well as taxpayer money and level playing field for all banks.</w:t>
      </w:r>
      <w:r>
        <w:t xml:space="preserve"> </w:t>
      </w:r>
      <w:r>
        <w:t xml:space="preserve">Box 1: Why resolution has not been applied in some cases</w:t>
      </w:r>
      <w:r>
        <w:br/>
      </w:r>
      <w:r>
        <w:t xml:space="preserve">This stylised example shows how the business model of a bank can impact its ability to</w:t>
      </w:r>
      <w:r>
        <w:t xml:space="preserve"> </w:t>
      </w:r>
      <w:r>
        <w:t xml:space="preserve">meet the minimum conditions to access the resolution fund, in cases where external</w:t>
      </w:r>
      <w:r>
        <w:t xml:space="preserve"> </w:t>
      </w:r>
      <w:r>
        <w:t xml:space="preserve">funding is needed to support the execution of the resolution strategy.</w:t>
      </w:r>
      <w:r>
        <w:t xml:space="preserve"> </w:t>
      </w:r>
      <w:r>
        <w:t xml:space="preserve">The higher prevalence of deposits in the balance sheet of small/medium-sized banks</w:t>
      </w:r>
      <w:r>
        <w:t xml:space="preserve"> </w:t>
      </w:r>
      <w:r>
        <w:t xml:space="preserve">amplifies the risk that the depositors would have to be bailed-in to fulfil the minimum</w:t>
      </w:r>
      <w:r>
        <w:t xml:space="preserve"> </w:t>
      </w:r>
      <w:r>
        <w:t xml:space="preserve">access conditions (in the form of a bail-in of at least 8% of the bank’s total liabilities and</w:t>
      </w:r>
      <w:r>
        <w:t xml:space="preserve"> </w:t>
      </w:r>
      <w:r>
        <w:t xml:space="preserve">own funds).</w:t>
      </w:r>
      <w:r>
        <w:t xml:space="preserve"> </w:t>
      </w:r>
      <w:r>
        <w:t xml:space="preserve">The possible impacts on financial stability and depositor confidence may incentivise the</w:t>
      </w:r>
      <w:r>
        <w:t xml:space="preserve"> </w:t>
      </w:r>
      <w:r>
        <w:t xml:space="preserve">search by the supervisory and resolution authorities for other avenues than resolution.</w:t>
      </w:r>
      <w:r>
        <w:t xml:space="preserve"> </w:t>
      </w:r>
      <w:r>
        <w:t xml:space="preserve">Importantly, the counterfactual of resolution would be the piecemeal liquidation and</w:t>
      </w:r>
      <w:r>
        <w:t xml:space="preserve"> </w:t>
      </w:r>
      <w:r>
        <w:t xml:space="preserve">payout of the covered deposits, which can be very costly for a DGS, while at the same</w:t>
      </w:r>
      <w:r>
        <w:t xml:space="preserve"> </w:t>
      </w:r>
      <w:r>
        <w:t xml:space="preserve">time not fully averting impacts on depositor confidence and the real economy because all</w:t>
      </w:r>
      <w:r>
        <w:t xml:space="preserve"> </w:t>
      </w:r>
      <w:r>
        <w:t xml:space="preserve">other uncovered deposits would be exposed to losses, until a possible (partial) recovery</w:t>
      </w:r>
      <w:r>
        <w:t xml:space="preserve"> </w:t>
      </w:r>
      <w:r>
        <w:t xml:space="preserve">under the prevailing insolvency proceeding.</w:t>
      </w:r>
    </w:p>
    <w:p>
      <w:pPr>
        <w:pStyle w:val="BodyText"/>
      </w:pPr>
      <w:r>
        <w:t xml:space="preserve">Figure 2: Stylised example – bail-in of depositors</w:t>
      </w:r>
    </w:p>
    <w:p>
      <w:pPr>
        <w:pStyle w:val="BodyText"/>
      </w:pPr>
      <w:r>
        <w:t xml:space="preserve">Source: Commission services</w:t>
      </w:r>
    </w:p>
    <w:p>
      <w:pPr>
        <w:pStyle w:val="BodyText"/>
      </w:pPr>
      <w:r>
        <w:t xml:space="preserve">The evaluation shows that the misalignment of incentives when deciding which tools to</w:t>
      </w:r>
      <w:r>
        <w:t xml:space="preserve"> </w:t>
      </w:r>
      <w:r>
        <w:t xml:space="preserve">apply to a failing bank can be explained by several drivers ranging from the flexibility</w:t>
      </w:r>
      <w:r>
        <w:t xml:space="preserve"> </w:t>
      </w:r>
      <w:r>
        <w:t xml:space="preserve">and room for arbitrage that exist when choosing the right tools, the divergences in</w:t>
      </w:r>
      <w:r>
        <w:t xml:space="preserve"> </w:t>
      </w:r>
      <w:r>
        <w:t xml:space="preserve">conditions to access financing by the safety nets (DGS, RF/SRF) or benefit from public</w:t>
      </w:r>
      <w:r>
        <w:t xml:space="preserve"> </w:t>
      </w:r>
      <w:r>
        <w:t xml:space="preserve">support and the resulting vulnerabilities of the depositor protection in the EU.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These drivers directly affect the predictability of the framework, creating inefficiencies in</w:t>
      </w:r>
      <w:r>
        <w:t xml:space="preserve"> </w:t>
      </w:r>
      <w:r>
        <w:t xml:space="preserve">the management of bank failures. On this basis, the framework does not appear adequate</w:t>
      </w:r>
      <w:r>
        <w:t xml:space="preserve"> </w:t>
      </w:r>
      <w:r>
        <w:t xml:space="preserve">to handle the failure of certain institutions in respect of all the objectives, be it on an</w:t>
      </w:r>
      <w:r>
        <w:t xml:space="preserve"> </w:t>
      </w:r>
      <w:r>
        <w:t xml:space="preserve">idiosyncratic basis or under a systemic scenario with multiple bank failures, where these</w:t>
      </w:r>
      <w:r>
        <w:t xml:space="preserve"> </w:t>
      </w:r>
      <w:r>
        <w:t xml:space="preserve">problems would be exacerbated.</w:t>
      </w:r>
      <w:r>
        <w:t xml:space="preserve"> </w:t>
      </w:r>
      <w:r>
        <w:t xml:space="preserve">The problem tree</w:t>
      </w:r>
      <w:r>
        <w:t xml:space="preserve"> </w:t>
      </w:r>
      <w:r>
        <w:t xml:space="preserve">Figure 3 displays the problem tree, covering the three main high-level problems</w:t>
      </w:r>
      <w:r>
        <w:t xml:space="preserve"> </w:t>
      </w:r>
      <w:r>
        <w:t xml:space="preserve">identified as well as the problem drivers and their related consequences.</w:t>
      </w:r>
      <w:r>
        <w:t xml:space="preserve"> </w:t>
      </w:r>
      <w:r>
        <w:t xml:space="preserve">Figure 3: The problem tree19</w:t>
      </w:r>
    </w:p>
    <w:p>
      <w:pPr>
        <w:pStyle w:val="BodyText"/>
      </w:pPr>
      <w:r>
        <w:t xml:space="preserve">Source: Commission services</w:t>
      </w:r>
      <w:r>
        <w:t xml:space="preserve"> </w:t>
      </w:r>
      <w:r>
        <w:t xml:space="preserve">The first problem groups together all issues related to the current lack of legal certainty</w:t>
      </w:r>
      <w:r>
        <w:t xml:space="preserve"> </w:t>
      </w:r>
      <w:r>
        <w:t xml:space="preserve">and predictability in the application of the framework. Most importantly, the decision of</w:t>
      </w:r>
      <w:r>
        <w:t xml:space="preserve"> </w:t>
      </w:r>
      <w:r>
        <w:t xml:space="preserve">public authorities whether to resort to resolution or insolvency tools for failing banks</w:t>
      </w:r>
      <w:r>
        <w:t xml:space="preserve"> </w:t>
      </w:r>
      <w:r>
        <w:t xml:space="preserve">may differ considerably depending on the solutions available for a specific failing bank</w:t>
      </w:r>
      <w:r>
        <w:t xml:space="preserve"> </w:t>
      </w:r>
      <w:r>
        <w:t xml:space="preserve">in the national framework. The second problem focuses on unresolved funding issues</w:t>
      </w:r>
      <w:r>
        <w:t xml:space="preserve"> </w:t>
      </w:r>
      <w:r>
        <w:t xml:space="preserve">(sources, access conditions) and is central to the application of the framework20. The</w:t>
      </w:r>
    </w:p>
    <w:p>
      <w:pPr>
        <w:pStyle w:val="BodyText"/>
      </w:pPr>
      <w:r>
        <w:t xml:space="preserve">19 The focus here is on the main problem drivers, but other relevant causes for the scarce application of the</w:t>
      </w:r>
      <w:r>
        <w:t xml:space="preserve"> </w:t>
      </w:r>
      <w:r>
        <w:t xml:space="preserve">CMDI framework are detailed in Annex 8 (e.g. inadequate early intervention framework and timeliness of</w:t>
      </w:r>
      <w:r>
        <w:t xml:space="preserve"> </w:t>
      </w:r>
      <w:r>
        <w:t xml:space="preserve">determining the bank as failing or likely to fail and diverging triggers for national insolvency proceedings).</w:t>
      </w:r>
      <w:r>
        <w:br/>
      </w:r>
      <w:r>
        <w:t xml:space="preserve">20 The problems are presented following the lifecycle of events taking place in a bank in distress but such a</w:t>
      </w:r>
      <w:r>
        <w:t xml:space="preserve"> </w:t>
      </w:r>
      <w:r>
        <w:t xml:space="preserve">sequence is not indicative of the relative importance of each problem in relation to the others.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third problem highlights the need to improve depositor protection, including the potential</w:t>
      </w:r>
      <w:r>
        <w:t xml:space="preserve"> </w:t>
      </w:r>
      <w:r>
        <w:t xml:space="preserve">lack of sufficient resources in case several banks in a Member State were to fail.</w:t>
      </w:r>
      <w:r>
        <w:br/>
      </w:r>
      <w:r>
        <w:t xml:space="preserve">The persistence of these problems suggests that the CMDI framework in its current form</w:t>
      </w:r>
      <w:r>
        <w:t xml:space="preserve"> </w:t>
      </w:r>
      <w:r>
        <w:t xml:space="preserve">is unable to ensure adequate and proportionate solutions for all bank failure regardless of</w:t>
      </w:r>
      <w:r>
        <w:t xml:space="preserve"> </w:t>
      </w:r>
      <w:r>
        <w:t xml:space="preserve">the size and business model, while preserving overall consistency of outcomes and a</w:t>
      </w:r>
      <w:r>
        <w:t xml:space="preserve"> </w:t>
      </w:r>
      <w:r>
        <w:t xml:space="preserve">level playing-field, aligning incentives and limiting risks to financial stability, moral</w:t>
      </w:r>
      <w:r>
        <w:t xml:space="preserve"> </w:t>
      </w:r>
      <w:r>
        <w:t xml:space="preserve">hazard, and exposure of taxpayer funds. Also, the problems related to depositor</w:t>
      </w:r>
      <w:r>
        <w:t xml:space="preserve"> </w:t>
      </w:r>
      <w:r>
        <w:t xml:space="preserve">protection and handling of the failure outside the harmonised framework impair the</w:t>
      </w:r>
      <w:r>
        <w:t xml:space="preserve"> </w:t>
      </w:r>
      <w:r>
        <w:t xml:space="preserve">functioning of the single market and affect depositor confidence, which could lead to</w:t>
      </w:r>
      <w:r>
        <w:t xml:space="preserve"> </w:t>
      </w:r>
      <w:r>
        <w:t xml:space="preserve">bank runs and undermine financial stability.</w:t>
      </w:r>
      <w:r>
        <w:br/>
      </w:r>
      <w:r>
        <w:t xml:space="preserve">2.1. Problem 1: Insufficient legal certainty and predictability in the</w:t>
      </w:r>
      <w:r>
        <w:t xml:space="preserve"> </w:t>
      </w:r>
      <w:r>
        <w:t xml:space="preserve">management of bank failures</w:t>
      </w:r>
      <w:r>
        <w:t xml:space="preserve"> </w:t>
      </w:r>
      <w:r>
        <w:t xml:space="preserve">The resolution framework introduced strategies, powers and tools to restructure failing</w:t>
      </w:r>
      <w:r>
        <w:t xml:space="preserve"> </w:t>
      </w:r>
      <w:r>
        <w:t xml:space="preserve">banks while protecting depositors, financial stability and taxpayers. However, so far</w:t>
      </w:r>
      <w:r>
        <w:t xml:space="preserve"> </w:t>
      </w:r>
      <w:r>
        <w:t xml:space="preserve">resolution has only been scarcely applied, in particular in the Banking Union under the</w:t>
      </w:r>
      <w:r>
        <w:t xml:space="preserve"> </w:t>
      </w:r>
      <w:r>
        <w:t xml:space="preserve">SRMR. Instead, other tools have been more frequently used such as insolvency</w:t>
      </w:r>
      <w:r>
        <w:t xml:space="preserve"> </w:t>
      </w:r>
      <w:r>
        <w:t xml:space="preserve">proceedings involving DGS funds, precautionary recapitalisation or measures to prevent</w:t>
      </w:r>
      <w:r>
        <w:t xml:space="preserve"> </w:t>
      </w:r>
      <w:r>
        <w:t xml:space="preserve">the failure and the exit of the bank from the market altogether. These measures often</w:t>
      </w:r>
      <w:r>
        <w:t xml:space="preserve"> </w:t>
      </w:r>
      <w:r>
        <w:t xml:space="preserve">involved the use of taxpayer money (bail-outs), instead of the bank’s internal resources</w:t>
      </w:r>
      <w:r>
        <w:t xml:space="preserve"> </w:t>
      </w:r>
      <w:r>
        <w:t xml:space="preserve">(bail-in) to the extent required by the resolution framework21 and industry-funded safety</w:t>
      </w:r>
      <w:r>
        <w:t xml:space="preserve"> </w:t>
      </w:r>
      <w:r>
        <w:t xml:space="preserve">nets, such as the Single Resolution Fund (SRF) in the Banking Union (EUR 80 bn by</w:t>
      </w:r>
      <w:r>
        <w:t xml:space="preserve"> </w:t>
      </w:r>
      <w:r>
        <w:t xml:space="preserve">2024), so far unused. Since 2015, more than 60% of banks in distress in the EU were</w:t>
      </w:r>
      <w:r>
        <w:t xml:space="preserve"> </w:t>
      </w:r>
      <w:r>
        <w:t xml:space="preserve">managed outside of the resolution framework. For banks within the Banking Union, this</w:t>
      </w:r>
      <w:r>
        <w:t xml:space="preserve"> </w:t>
      </w:r>
      <w:r>
        <w:t xml:space="preserve">number increases to more than 70%. When considering only cases from 2016 onwards,</w:t>
      </w:r>
      <w:r>
        <w:t xml:space="preserve"> </w:t>
      </w:r>
      <w:r>
        <w:t xml:space="preserve">when the SRMR and the bail-in tool started to apply, the proportion of tools other than</w:t>
      </w:r>
      <w:r>
        <w:t xml:space="preserve"> </w:t>
      </w:r>
      <w:r>
        <w:t xml:space="preserve">resolution rises to 75% of the cases for the EU and to 84% for the Banking Union.</w:t>
      </w:r>
      <w:r>
        <w:t xml:space="preserve"> </w:t>
      </w:r>
      <w:r>
        <w:t xml:space="preserve">Error! Reference source not found. depicts the tools applied in past cases of banks in</w:t>
      </w:r>
      <w:r>
        <w:t xml:space="preserve"> </w:t>
      </w:r>
      <w:r>
        <w:t xml:space="preserve">distress in the EU from 2015 to date. For a complete list of cases, please see Annex 9. It</w:t>
      </w:r>
      <w:r>
        <w:t xml:space="preserve"> </w:t>
      </w:r>
      <w:r>
        <w:t xml:space="preserve">is worth noting that a number of these cases dealt with “legacy issues” which occurred</w:t>
      </w:r>
      <w:r>
        <w:t xml:space="preserve"> </w:t>
      </w:r>
      <w:r>
        <w:t xml:space="preserve">since the start of the financial crisis in 2008 or before22.</w:t>
      </w:r>
    </w:p>
    <w:p>
      <w:pPr>
        <w:pStyle w:val="BodyText"/>
      </w:pPr>
      <w:r>
        <w:t xml:space="preserve">21 Burden sharing by shareholders and subordinate debt holders was implemented under State aid rules, but</w:t>
      </w:r>
      <w:r>
        <w:t xml:space="preserve"> </w:t>
      </w:r>
      <w:r>
        <w:t xml:space="preserve">not corresponding to the 8% TLOF required by the BRRD/SRMR.</w:t>
      </w:r>
      <w:r>
        <w:t xml:space="preserve"> </w:t>
      </w:r>
      <w:r>
        <w:t xml:space="preserve">22 While legacy issues may have played a role in past cases and can be expected to have a lesser impact</w:t>
      </w:r>
      <w:r>
        <w:t xml:space="preserve"> </w:t>
      </w:r>
      <w:r>
        <w:t xml:space="preserve">going forward, this does not impair the validity of the considerations made in this chapter, nor puts into</w:t>
      </w:r>
      <w:r>
        <w:t xml:space="preserve"> </w:t>
      </w:r>
      <w:r>
        <w:t xml:space="preserve">question the need to reform the framework to ensure efficacy in managing potential future crises.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Figure 4: Variety of tools applied in bank crises cases from 2015 to date in the EU (as</w:t>
      </w:r>
      <w:r>
        <w:t xml:space="preserve"> </w:t>
      </w:r>
      <w:r>
        <w:t xml:space="preserve">a percentage of all cases and absolute number)</w:t>
      </w:r>
    </w:p>
    <w:p>
      <w:pPr>
        <w:pStyle w:val="BodyText"/>
      </w:pPr>
      <w:r>
        <w:t xml:space="preserve">Notes: Banks that received different support measures throughout the time are counted for every tool</w:t>
      </w:r>
      <w:r>
        <w:t xml:space="preserve"> </w:t>
      </w:r>
      <w:r>
        <w:t xml:space="preserve">applied. Out of the 13 FOLF banks that went into resolution (positive public interest assessment), seven</w:t>
      </w:r>
      <w:r>
        <w:t xml:space="preserve"> </w:t>
      </w:r>
      <w:r>
        <w:t xml:space="preserve">were Banking Union cases (out of which four occurred before the entry into force of the minimum 8%</w:t>
      </w:r>
      <w:r>
        <w:t xml:space="preserve"> </w:t>
      </w:r>
      <w:r>
        <w:t xml:space="preserve">TLOF bail-in requirement and before the SRB became responsible for the handling of these cases). In ten</w:t>
      </w:r>
      <w:r>
        <w:t xml:space="preserve"> </w:t>
      </w:r>
      <w:r>
        <w:t xml:space="preserve">out of those 13 cases national resolution funds were used. Beyond these 13 cases, most other cases of</w:t>
      </w:r>
      <w:r>
        <w:t xml:space="preserve"> </w:t>
      </w:r>
      <w:r>
        <w:t xml:space="preserve">support measures encountered (18 out of 20 cases) were Banking Union cases.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Although certain aspects of the framework are still in a transitional period23 and despite</w:t>
      </w:r>
      <w:r>
        <w:t xml:space="preserve"> </w:t>
      </w:r>
      <w:r>
        <w:t xml:space="preserve">the variety of tools to manage failing banks or to intervene before failure, its scarce</w:t>
      </w:r>
      <w:r>
        <w:t xml:space="preserve"> </w:t>
      </w:r>
      <w:r>
        <w:t xml:space="preserve">application can be linked to the conditions to activate such measures that vary</w:t>
      </w:r>
      <w:r>
        <w:t xml:space="preserve"> </w:t>
      </w:r>
      <w:r>
        <w:t xml:space="preserve">substantially across Member States, are subject to discretion and sometimes lack clarity</w:t>
      </w:r>
      <w:r>
        <w:t xml:space="preserve"> </w:t>
      </w:r>
      <w:r>
        <w:t xml:space="preserve">or leave room for arbitrage, increasing legal uncertainty, uneven protection of depositors,</w:t>
      </w:r>
      <w:r>
        <w:t xml:space="preserve"> </w:t>
      </w:r>
      <w:r>
        <w:t xml:space="preserve">ineffective and inefficient use of funds available.</w:t>
      </w:r>
      <w:r>
        <w:br/>
      </w:r>
      <w:r>
        <w:t xml:space="preserve">In particular, a number of problem drivers emerge: (i) lack of clarity and adequate</w:t>
      </w:r>
      <w:r>
        <w:t xml:space="preserve"> </w:t>
      </w:r>
      <w:r>
        <w:t xml:space="preserve">framing of the application of DGSD preventive measures and BRRD precautionary</w:t>
      </w:r>
      <w:r>
        <w:t xml:space="preserve"> </w:t>
      </w:r>
      <w:r>
        <w:t xml:space="preserve">measures, (ii) broad legal discretion in the application of the public interest assessment to</w:t>
      </w:r>
      <w:r>
        <w:t xml:space="preserve"> </w:t>
      </w:r>
      <w:r>
        <w:t xml:space="preserve">place a bank in resolution (under the EU framework) versus insolvency (under national</w:t>
      </w:r>
      <w:r>
        <w:t xml:space="preserve"> </w:t>
      </w:r>
      <w:r>
        <w:t xml:space="preserve">rules) and (iii) divergence in the hierarchy of claims in national insolvency laws24.</w:t>
      </w:r>
      <w:r>
        <w:t xml:space="preserve"> </w:t>
      </w:r>
      <w:r>
        <w:t xml:space="preserve">The variety of tools allowed are preserving a margin of manoeuvre to account for legacy</w:t>
      </w:r>
      <w:r>
        <w:t xml:space="preserve"> </w:t>
      </w:r>
      <w:r>
        <w:t xml:space="preserve">situations25. This ensures that the framework remains flexible and proportionate to</w:t>
      </w:r>
      <w:r>
        <w:t xml:space="preserve"> </w:t>
      </w:r>
      <w:r>
        <w:t xml:space="preserve">address various types of bank failures. At the same time, the divergences mentioned</w:t>
      </w:r>
      <w:r>
        <w:t xml:space="preserve"> </w:t>
      </w:r>
      <w:r>
        <w:t xml:space="preserve">above create a risk of inconsistent solutions across Member States and reduce the</w:t>
      </w:r>
      <w:r>
        <w:t xml:space="preserve"> </w:t>
      </w:r>
      <w:r>
        <w:t xml:space="preserve">predictability of the framework. Moreover, the possibility to use public budgets (i.e. </w:t>
      </w:r>
      <w:r>
        <w:t xml:space="preserve"> </w:t>
      </w:r>
      <w:r>
        <w:t xml:space="preserve">taxpayers’ funds) outside resolution, which in principle should be avoided or strictly</w:t>
      </w:r>
      <w:r>
        <w:t xml:space="preserve"> </w:t>
      </w:r>
      <w:r>
        <w:t xml:space="preserve">limited to avoid risks of moral hazard, begs the question whether the framework could</w:t>
      </w:r>
      <w:r>
        <w:t xml:space="preserve"> </w:t>
      </w:r>
      <w:r>
        <w:t xml:space="preserve">better achieve its objectives. This would promote a more consistent approach to the</w:t>
      </w:r>
    </w:p>
    <w:p>
      <w:pPr>
        <w:pStyle w:val="BodyText"/>
      </w:pPr>
      <w:r>
        <w:t xml:space="preserve">23 For example, the build-up of resolution buffers is expected to be completed on 1 January 2024 according</w:t>
      </w:r>
      <w:r>
        <w:t xml:space="preserve"> </w:t>
      </w:r>
      <w:r>
        <w:t xml:space="preserve">to the revised BRRD/SRMR.</w:t>
      </w:r>
      <w:r>
        <w:t xml:space="preserve"> </w:t>
      </w:r>
      <w:r>
        <w:t xml:space="preserve">24 Throughout this document, the terms ‘hierarchy of claims’, ‘creditor hierarchy in insolvency’ and</w:t>
      </w:r>
      <w:r>
        <w:t xml:space="preserve"> </w:t>
      </w:r>
      <w:r>
        <w:t xml:space="preserve">‘ranking of liabilities’ are used as synonyms and describe the same concept (see glossary).</w:t>
      </w:r>
      <w:r>
        <w:br/>
      </w:r>
      <w:r>
        <w:t xml:space="preserve">25 In particular, certain banks had accumulated over the years a significant amount of non-performing</w:t>
      </w:r>
      <w:r>
        <w:t xml:space="preserve"> </w:t>
      </w:r>
      <w:r>
        <w:t xml:space="preserve">loans, largely as a legacy of the financial crisis.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management of bank failures, including in terms of increased level playing field at EU</w:t>
      </w:r>
      <w:r>
        <w:t xml:space="preserve"> </w:t>
      </w:r>
      <w:r>
        <w:t xml:space="preserve">level.</w:t>
      </w:r>
      <w:r>
        <w:t xml:space="preserve"> </w:t>
      </w:r>
      <w:r>
        <w:t xml:space="preserve">2.1.1. Lack of clarity and framing of the BRRD precautionary measures and the</w:t>
      </w:r>
      <w:r>
        <w:t xml:space="preserve"> </w:t>
      </w:r>
      <w:r>
        <w:t xml:space="preserve">DGSD preventive measures</w:t>
      </w:r>
      <w:r>
        <w:t xml:space="preserve"> </w:t>
      </w:r>
      <w:r>
        <w:t xml:space="preserve">The current set of DGSD rules provides for measures to support a bank before it faces</w:t>
      </w:r>
      <w:r>
        <w:t xml:space="preserve"> </w:t>
      </w:r>
      <w:r>
        <w:t xml:space="preserve">serious deterioration in its financial situation and the triggering of resolution or</w:t>
      </w:r>
      <w:r>
        <w:t xml:space="preserve"> </w:t>
      </w:r>
      <w:r>
        <w:t xml:space="preserve">insolvency, the so-called preventive measures.</w:t>
      </w:r>
      <w:r>
        <w:br/>
      </w:r>
      <w:r>
        <w:t xml:space="preserve">Currently, Article 11(3) DGSD enables the use of DGS funds for preventive measures as</w:t>
      </w:r>
      <w:r>
        <w:t xml:space="preserve"> </w:t>
      </w:r>
      <w:r>
        <w:t xml:space="preserve">a national option and discretion (OND). Not all Member States have transposed it into</w:t>
      </w:r>
      <w:r>
        <w:t xml:space="preserve"> </w:t>
      </w:r>
      <w:r>
        <w:t xml:space="preserve">national law26.</w:t>
      </w:r>
      <w:r>
        <w:br/>
      </w:r>
      <w:r>
        <w:t xml:space="preserve">These measures to prevent the failure of a bank are subject to conditions ensuring their</w:t>
      </w:r>
      <w:r>
        <w:t xml:space="preserve"> </w:t>
      </w:r>
      <w:r>
        <w:t xml:space="preserve">sufficient soundness from a financial perspective, and that the DGS resources are not</w:t>
      </w:r>
      <w:r>
        <w:t xml:space="preserve"> </w:t>
      </w:r>
      <w:r>
        <w:t xml:space="preserve">used excessively. The safeguards27 should also ensure the correct interaction with the</w:t>
      </w:r>
      <w:r>
        <w:t xml:space="preserve"> </w:t>
      </w:r>
      <w:r>
        <w:t xml:space="preserve">FOLF determination. However, the current legislative text provides insufficient clarity on</w:t>
      </w:r>
      <w:r>
        <w:t xml:space="preserve"> </w:t>
      </w:r>
      <w:r>
        <w:t xml:space="preserve">such conditions and safeguards28. In past interventions, DGSs granted support to banks</w:t>
      </w:r>
      <w:r>
        <w:t xml:space="preserve"> </w:t>
      </w:r>
      <w:r>
        <w:t xml:space="preserve">which were rather close to a situation of failure implying an inefficient use of DGS funds</w:t>
      </w:r>
      <w:r>
        <w:t xml:space="preserve"> </w:t>
      </w:r>
      <w:r>
        <w:t xml:space="preserve">or a circumvention of resolution/liquidation. While the current rules do not prevent this,</w:t>
      </w:r>
      <w:r>
        <w:t xml:space="preserve"> </w:t>
      </w:r>
      <w:r>
        <w:t xml:space="preserve">there is scope to reflect on possible improvements in the legislative framework to</w:t>
      </w:r>
      <w:r>
        <w:t xml:space="preserve"> </w:t>
      </w:r>
      <w:r>
        <w:t xml:space="preserve">reinforce the role of these measures as preventive actions, which should, in principle,</w:t>
      </w:r>
      <w:r>
        <w:t xml:space="preserve"> </w:t>
      </w:r>
      <w:r>
        <w:t xml:space="preserve">intervene when a bank’s financial conditions deteriorate but still far from a failure.</w:t>
      </w:r>
      <w:r>
        <w:t xml:space="preserve"> </w:t>
      </w:r>
      <w:r>
        <w:t xml:space="preserve">Moreover, the DGS intervention could be qualified as either private or public for the</w:t>
      </w:r>
      <w:r>
        <w:t xml:space="preserve"> </w:t>
      </w:r>
      <w:r>
        <w:t xml:space="preserve">purpose of State aid control by the Commission. Such an assessment is made on a case-</w:t>
      </w:r>
      <w:r>
        <w:t xml:space="preserve"> </w:t>
      </w:r>
      <w:r>
        <w:t xml:space="preserve">by-case basis, taking into consideration elements such as the governance and decision-</w:t>
      </w:r>
      <w:r>
        <w:t xml:space="preserve"> </w:t>
      </w:r>
      <w:r>
        <w:t xml:space="preserve">making procedure of the DGS and circumstances relating to the measure. The</w:t>
      </w:r>
      <w:r>
        <w:t xml:space="preserve"> </w:t>
      </w:r>
      <w:r>
        <w:t xml:space="preserve">determination whether a DGS intervention constitutes State aid or not, has an impact on</w:t>
      </w:r>
      <w:r>
        <w:t xml:space="preserve"> </w:t>
      </w:r>
      <w:r>
        <w:t xml:space="preserve">the legal treatment of the DGS intervention, under the BRRD. In particular, the</w:t>
      </w:r>
      <w:r>
        <w:t xml:space="preserve"> </w:t>
      </w:r>
      <w:r>
        <w:t xml:space="preserve">qualification of the intervention as State aid would de facto impede the intervention of</w:t>
      </w:r>
      <w:r>
        <w:t xml:space="preserve"> </w:t>
      </w:r>
      <w:r>
        <w:t xml:space="preserve">the DGS in a preventive capacity, as this would trigger a determination of FOLF under</w:t>
      </w:r>
      <w:r>
        <w:t xml:space="preserve"> </w:t>
      </w:r>
      <w:r>
        <w:t xml:space="preserve">the BRRD, i.e. the bank would have to be resolved or put into insolvency. Evidence</w:t>
      </w:r>
      <w:r>
        <w:t xml:space="preserve"> </w:t>
      </w:r>
      <w:r>
        <w:t xml:space="preserve">shows that some preventive measures were assessed as being private (i.e. EUR 5.35 bn</w:t>
      </w:r>
      <w:r>
        <w:t xml:space="preserve"> </w:t>
      </w:r>
      <w:r>
        <w:t xml:space="preserve">funded by the private arm of a DGS fund or through market conform measures) and</w:t>
      </w:r>
      <w:r>
        <w:t xml:space="preserve"> </w:t>
      </w:r>
      <w:r>
        <w:t xml:space="preserve">therefore neither qualified as State aid (see section 3.2.13 of Annex 6 and Annex 9) nor</w:t>
      </w:r>
      <w:r>
        <w:t xml:space="preserve"> </w:t>
      </w:r>
      <w:r>
        <w:t xml:space="preserve">triggered FOLF under BRRD.</w:t>
      </w:r>
      <w:r>
        <w:br/>
      </w:r>
      <w:r>
        <w:t xml:space="preserve">The BRRD further provides for a set of precautionary measures29 (in the form of</w:t>
      </w:r>
      <w:r>
        <w:t xml:space="preserve"> </w:t>
      </w:r>
      <w:r>
        <w:t xml:space="preserve">recapitalisation or guarantees/liquidity) which can be granted to solvent banks to address</w:t>
      </w:r>
      <w:r>
        <w:t xml:space="preserve"> </w:t>
      </w:r>
      <w:r>
        <w:t xml:space="preserve">hypothetical financial issues identified in a stress test or equivalent exercise. BRRD</w:t>
      </w:r>
      <w:r>
        <w:t xml:space="preserve"> </w:t>
      </w:r>
      <w:r>
        <w:t xml:space="preserve">provides for strict conditions and safeguards to grant support in this form, to ensure that</w:t>
      </w:r>
    </w:p>
    <w:p>
      <w:pPr>
        <w:pStyle w:val="BodyText"/>
      </w:pPr>
      <w:r>
        <w:t xml:space="preserve">26 See Annex 5 (evaluation), section 7.1.3.3, nine Member States transposed these provisions.</w:t>
      </w:r>
      <w:r>
        <w:br/>
      </w:r>
      <w:r>
        <w:t xml:space="preserve">27 These include the requirement that the cost of the measure does not exceed that of fulfilling the mandate</w:t>
      </w:r>
      <w:r>
        <w:t xml:space="preserve"> </w:t>
      </w:r>
      <w:r>
        <w:t xml:space="preserve">of the DGS as well as a requirement that the DGS has appropriate procedures in place for selecting and</w:t>
      </w:r>
      <w:r>
        <w:t xml:space="preserve"> </w:t>
      </w:r>
      <w:r>
        <w:t xml:space="preserve">implementing the measures and to monitor affiliated risks.</w:t>
      </w:r>
      <w:r>
        <w:br/>
      </w:r>
      <w:r>
        <w:t xml:space="preserve">28 See Annex 5 (evaluation), section 7.1.3.3.</w:t>
      </w:r>
      <w:r>
        <w:t xml:space="preserve"> </w:t>
      </w:r>
      <w:r>
        <w:t xml:space="preserve">29 Which are also mirrored in the SRMR.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the support does not benefit a bank that is too close to failure and to avoid (for</w:t>
      </w:r>
      <w:r>
        <w:t xml:space="preserve"> </w:t>
      </w:r>
      <w:r>
        <w:t xml:space="preserve">precautionary recapitalisation) that the support is used to cover losses that were already</w:t>
      </w:r>
      <w:r>
        <w:t xml:space="preserve"> </w:t>
      </w:r>
      <w:r>
        <w:t xml:space="preserve">incurred by the bank or are likely to be incurred.</w:t>
      </w:r>
      <w:r>
        <w:t xml:space="preserve"> </w:t>
      </w:r>
      <w:r>
        <w:t xml:space="preserve">Past practice in the application of these measures has provided the opportunity for the</w:t>
      </w:r>
      <w:r>
        <w:t xml:space="preserve"> </w:t>
      </w:r>
      <w:r>
        <w:t xml:space="preserve">Commission to identify issues which may require an interpretative effort and hence</w:t>
      </w:r>
      <w:r>
        <w:t xml:space="preserve"> </w:t>
      </w:r>
      <w:r>
        <w:t xml:space="preserve">would require legal clarification, particularly with respect to the concept of solvency, the</w:t>
      </w:r>
      <w:r>
        <w:t xml:space="preserve"> </w:t>
      </w:r>
      <w:r>
        <w:t xml:space="preserve">determination of the amount of support allowed (by virtue of distinguishing between</w:t>
      </w:r>
      <w:r>
        <w:t xml:space="preserve"> </w:t>
      </w:r>
      <w:r>
        <w:t xml:space="preserve">incurred, likely and unlikely losses) as well as to the additional clarity needed as to the</w:t>
      </w:r>
      <w:r>
        <w:t xml:space="preserve"> </w:t>
      </w:r>
      <w:r>
        <w:t xml:space="preserve">use of precautionary recapitalisation to support impaired asset measures (see section</w:t>
      </w:r>
      <w:r>
        <w:t xml:space="preserve"> </w:t>
      </w:r>
      <w:r>
        <w:t xml:space="preserve">7.1.3.3 in Annex 5 (evaluation) and section 9 in Annex 8 for more information on the</w:t>
      </w:r>
      <w:r>
        <w:t xml:space="preserve"> </w:t>
      </w:r>
      <w:r>
        <w:t xml:space="preserve">legal clarity issues identified for precautionary measures).</w:t>
      </w:r>
      <w:r>
        <w:t xml:space="preserve"> </w:t>
      </w:r>
      <w:r>
        <w:t xml:space="preserve">Improving the clarity of the legal provisions would help limit the risk that support for</w:t>
      </w:r>
      <w:r>
        <w:t xml:space="preserve"> </w:t>
      </w:r>
      <w:r>
        <w:t xml:space="preserve">preventive and precautionary measures would allow existing creditors to exit their claims</w:t>
      </w:r>
      <w:r>
        <w:t xml:space="preserve"> </w:t>
      </w:r>
      <w:r>
        <w:t xml:space="preserve">on the bank shortly before FOLF is triggered and resolution/insolvency is applied, which</w:t>
      </w:r>
      <w:r>
        <w:t xml:space="preserve"> </w:t>
      </w:r>
      <w:r>
        <w:t xml:space="preserve">may in turn result in a higher use of financing sources (RF/SRF in resolution or DGS</w:t>
      </w:r>
      <w:r>
        <w:t xml:space="preserve"> </w:t>
      </w:r>
      <w:r>
        <w:t xml:space="preserve">funds under insolvency proceedings).</w:t>
      </w:r>
      <w:r>
        <w:t xml:space="preserve"> </w:t>
      </w:r>
      <w:r>
        <w:t xml:space="preserve">2.1.2. Discretionary application of the public interest assessment</w:t>
      </w:r>
      <w:r>
        <w:t xml:space="preserve"> </w:t>
      </w:r>
      <w:r>
        <w:t xml:space="preserve">As highlighted in the evaluation (see Annex 5, section 7.1.3.4), the BRRD and SRMR</w:t>
      </w:r>
      <w:r>
        <w:t xml:space="preserve"> </w:t>
      </w:r>
      <w:r>
        <w:t xml:space="preserve">leave a margin of discretion to resolution authorities when carrying out the public interest</w:t>
      </w:r>
      <w:r>
        <w:t xml:space="preserve"> </w:t>
      </w:r>
      <w:r>
        <w:t xml:space="preserve">assessment (PIA). While a certain degree of flexibility when assessing the different</w:t>
      </w:r>
      <w:r>
        <w:t xml:space="preserve"> </w:t>
      </w:r>
      <w:r>
        <w:t xml:space="preserve">factors relevant for the PIA is needed, the divergent applications and interpretations may</w:t>
      </w:r>
      <w:r>
        <w:t xml:space="preserve"> </w:t>
      </w:r>
      <w:r>
        <w:t xml:space="preserve">not fully reflect the logic and intention of the legislation. In the Banking Union, the test</w:t>
      </w:r>
      <w:r>
        <w:t xml:space="preserve"> </w:t>
      </w:r>
      <w:r>
        <w:t xml:space="preserve">was so far applied rather restrictively and resolution action was taken only on three</w:t>
      </w:r>
      <w:r>
        <w:t xml:space="preserve"> </w:t>
      </w:r>
      <w:r>
        <w:t xml:space="preserve">occasions30. Resolution was used more frequently outside the Banking Union and in</w:t>
      </w:r>
      <w:r>
        <w:t xml:space="preserve"> </w:t>
      </w:r>
      <w:r>
        <w:t xml:space="preserve">some Banking Union Member States when it took place under the direct governance of</w:t>
      </w:r>
      <w:r>
        <w:t xml:space="preserve"> </w:t>
      </w:r>
      <w:r>
        <w:t xml:space="preserve">national resolution authorities (ten out of 13 cases)31.</w:t>
      </w:r>
      <w:r>
        <w:t xml:space="preserve"> </w:t>
      </w:r>
      <w:r>
        <w:t xml:space="preserve">In essence, the PIA compares resolution and the normal insolvency proceedings available</w:t>
      </w:r>
      <w:r>
        <w:t xml:space="preserve"> </w:t>
      </w:r>
      <w:r>
        <w:t xml:space="preserve">at national level against a set of objectives which include (i) the impact on financial</w:t>
      </w:r>
      <w:r>
        <w:t xml:space="preserve"> </w:t>
      </w:r>
      <w:r>
        <w:t xml:space="preserve">stability (a wide-spread crisis may yield a different PIA than an idiosyncratic failure), (ii)</w:t>
      </w:r>
      <w:r>
        <w:t xml:space="preserve"> </w:t>
      </w:r>
      <w:r>
        <w:t xml:space="preserve">the assessment of the impact on the bank’s critical functions and (iii) limiting the use of</w:t>
      </w:r>
      <w:r>
        <w:t xml:space="preserve"> </w:t>
      </w:r>
      <w:r>
        <w:t xml:space="preserve">extraordinary public financial support32.</w:t>
      </w:r>
      <w:r>
        <w:br/>
      </w:r>
      <w:r>
        <w:t xml:space="preserve">Regarding the notion of critical function, there are divergences in interpretation among</w:t>
      </w:r>
      <w:r>
        <w:t xml:space="preserve"> </w:t>
      </w:r>
      <w:r>
        <w:t xml:space="preserve">resolution authorities on whether the impact of its interruption should be assessed for the</w:t>
      </w:r>
    </w:p>
    <w:p>
      <w:pPr>
        <w:pStyle w:val="BodyText"/>
      </w:pPr>
      <w:r>
        <w:t xml:space="preserve">30 Two of these cases concern the resolution of entities under the Sberbank Europe AG group which was</w:t>
      </w:r>
      <w:r>
        <w:t xml:space="preserve"> </w:t>
      </w:r>
      <w:r>
        <w:t xml:space="preserve">carried out by the SRB. As further explained in Annex 9 due to the very special circumstances the group</w:t>
      </w:r>
      <w:r>
        <w:t xml:space="preserve"> </w:t>
      </w:r>
      <w:r>
        <w:t xml:space="preserve">was faced with (experiencing significant deposit outflows due to the reputational impact of geopolitical</w:t>
      </w:r>
      <w:r>
        <w:t xml:space="preserve"> </w:t>
      </w:r>
      <w:r>
        <w:t xml:space="preserve">tensions) there was a deviation from the resolution plan (which provided for the preservation of the group</w:t>
      </w:r>
      <w:r>
        <w:t xml:space="preserve"> </w:t>
      </w:r>
      <w:r>
        <w:t xml:space="preserve">structure) and different solutions (resolution/liquidation) where applied to different banking entities of the</w:t>
      </w:r>
      <w:r>
        <w:t xml:space="preserve"> </w:t>
      </w:r>
      <w:r>
        <w:t xml:space="preserve">group.</w:t>
      </w:r>
      <w:r>
        <w:t xml:space="preserve"> </w:t>
      </w:r>
      <w:r>
        <w:t xml:space="preserve">31 Out of the ten cases: (i) six cases concern non-Banking Union Member States and (ii) four cases</w:t>
      </w:r>
      <w:r>
        <w:t xml:space="preserve"> </w:t>
      </w:r>
      <w:r>
        <w:t xml:space="preserve">occurred, within Banking Union Member States, before the entry into force of the minimum 8% TLOF</w:t>
      </w:r>
      <w:r>
        <w:t xml:space="preserve"> </w:t>
      </w:r>
      <w:r>
        <w:t xml:space="preserve">bail-in requirement and before the SRB became responsible for the handling of these cases.</w:t>
      </w:r>
      <w:r>
        <w:t xml:space="preserve"> </w:t>
      </w:r>
      <w:r>
        <w:t xml:space="preserve">32 This notion includes any support granted to preserve or restore a bank’s viability, solvency or liquidity</w:t>
      </w:r>
      <w:r>
        <w:t xml:space="preserve"> </w:t>
      </w:r>
      <w:r>
        <w:t xml:space="preserve">and which is qualified as State aid. It also extends to support granted at supranational level which, if it was</w:t>
      </w:r>
      <w:r>
        <w:t xml:space="preserve"> </w:t>
      </w:r>
      <w:r>
        <w:t xml:space="preserve">granted at national level, would be qualified as State aid (for example from the SRF).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economy of an entire Member State or at local/regional level. However, the BRRD and</w:t>
      </w:r>
      <w:r>
        <w:t xml:space="preserve"> </w:t>
      </w:r>
      <w:r>
        <w:t xml:space="preserve">SRMR (particularly if read in conjunction with the relevant delegated act)33 are not</w:t>
      </w:r>
      <w:r>
        <w:t xml:space="preserve"> </w:t>
      </w:r>
      <w:r>
        <w:t xml:space="preserve">meant to exclude the impacts within a Member State (i.e. in a region/locally) or to restrict</w:t>
      </w:r>
      <w:r>
        <w:t xml:space="preserve"> </w:t>
      </w:r>
      <w:r>
        <w:t xml:space="preserve">the assessment of the financial stability to (at least) an entire Member State.</w:t>
      </w:r>
      <w:r>
        <w:br/>
      </w:r>
      <w:r>
        <w:t xml:space="preserve">Moreover, with the objective of an efficient use of external sources of funding in mind,</w:t>
      </w:r>
      <w:r>
        <w:t xml:space="preserve"> </w:t>
      </w:r>
      <w:r>
        <w:t xml:space="preserve">the requirement to compare the use of funding in resolution and in insolvency could be</w:t>
      </w:r>
      <w:r>
        <w:t xml:space="preserve"> </w:t>
      </w:r>
      <w:r>
        <w:t xml:space="preserve">clarified as this would help deliver a broader choice of resolution tools which are often</w:t>
      </w:r>
      <w:r>
        <w:t xml:space="preserve"> </w:t>
      </w:r>
      <w:r>
        <w:t xml:space="preserve">more cost-effective compared to insolvency. In particular, when resolution provides a</w:t>
      </w:r>
      <w:r>
        <w:t xml:space="preserve"> </w:t>
      </w:r>
      <w:r>
        <w:t xml:space="preserve">possibility to use DGS resources more effectively and efficiently than in insolvency (for</w:t>
      </w:r>
      <w:r>
        <w:t xml:space="preserve"> </w:t>
      </w:r>
      <w:r>
        <w:t xml:space="preserve">example because it would be cheaper for the DGS to contribute to resolution than to</w:t>
      </w:r>
      <w:r>
        <w:t xml:space="preserve"> </w:t>
      </w:r>
      <w:r>
        <w:t xml:space="preserve">insolvency, where the only possible use of a DGS would be to pay out covered</w:t>
      </w:r>
      <w:r>
        <w:t xml:space="preserve"> </w:t>
      </w:r>
      <w:r>
        <w:t xml:space="preserve">depositors), this element should provide additional grounds for a positive PIA finding via</w:t>
      </w:r>
      <w:r>
        <w:t xml:space="preserve"> </w:t>
      </w:r>
      <w:r>
        <w:t xml:space="preserve">the application of the framework. Furthermore, the objective to limit the cost for</w:t>
      </w:r>
      <w:r>
        <w:t xml:space="preserve"> </w:t>
      </w:r>
      <w:r>
        <w:t xml:space="preserve">taxpayers could benefit from a further distinction between the use of public funds from</w:t>
      </w:r>
      <w:r>
        <w:t xml:space="preserve"> </w:t>
      </w:r>
      <w:r>
        <w:t xml:space="preserve">the State budget and the use of the RF/SRF or the DGS, which are financed by all banks.</w:t>
      </w:r>
      <w:r>
        <w:t xml:space="preserve"> </w:t>
      </w:r>
      <w:r>
        <w:t xml:space="preserve">2.1.3. Divergence in the hierarchy of claims in national insolvency laws</w:t>
      </w:r>
      <w:r>
        <w:t xml:space="preserve"> </w:t>
      </w:r>
      <w:r>
        <w:t xml:space="preserve">The BRRD harmonised at EU level certain rules concerning the order according to which</w:t>
      </w:r>
      <w:r>
        <w:t xml:space="preserve"> </w:t>
      </w:r>
      <w:r>
        <w:t xml:space="preserve">creditors must be repaid (hierarchy of claims) in national laws governing bank insolvency</w:t>
      </w:r>
      <w:r>
        <w:t xml:space="preserve"> </w:t>
      </w:r>
      <w:r>
        <w:t xml:space="preserve">proceedings, especially regarding covered deposits, preferred non-covered deposits34 and</w:t>
      </w:r>
      <w:r>
        <w:t xml:space="preserve"> </w:t>
      </w:r>
      <w:r>
        <w:t xml:space="preserve">subordinated classes of instruments. However, certain divergences in the hierarchy of</w:t>
      </w:r>
      <w:r>
        <w:t xml:space="preserve"> </w:t>
      </w:r>
      <w:r>
        <w:t xml:space="preserve">claims remain, in particular, when it comes to the ranking of ordinary unsecured claims,</w:t>
      </w:r>
      <w:r>
        <w:t xml:space="preserve"> </w:t>
      </w:r>
      <w:r>
        <w:t xml:space="preserve">other deposits and exclusions from bail-in. This creates the potential for uneven treatment</w:t>
      </w:r>
      <w:r>
        <w:t xml:space="preserve"> </w:t>
      </w:r>
      <w:r>
        <w:t xml:space="preserve">of creditors, including depositors, in resolution and in insolvency, across Member States.</w:t>
      </w:r>
      <w:r>
        <w:t xml:space="preserve"> </w:t>
      </w:r>
      <w:r>
        <w:t xml:space="preserve">Such divergences have the potential to create an uneven playing field in the single market</w:t>
      </w:r>
      <w:r>
        <w:t xml:space="preserve"> </w:t>
      </w:r>
      <w:r>
        <w:t xml:space="preserve">and complicate the no creditor worse off (NCWO) assessment, which ensures that</w:t>
      </w:r>
      <w:r>
        <w:t xml:space="preserve"> </w:t>
      </w:r>
      <w:r>
        <w:t xml:space="preserve">creditors are not worse off in resolution than under insolvency proceedings, especially for</w:t>
      </w:r>
      <w:r>
        <w:t xml:space="preserve"> </w:t>
      </w:r>
      <w:r>
        <w:t xml:space="preserve">cross-border groups including across Member States participating in the Banking</w:t>
      </w:r>
      <w:r>
        <w:t xml:space="preserve"> </w:t>
      </w:r>
      <w:r>
        <w:t xml:space="preserve">Union35.</w:t>
      </w:r>
      <w:r>
        <w:br/>
      </w:r>
      <w:r>
        <w:t xml:space="preserve">More precisely, the NCWO principle imposes that the allocation of losses to shareholders</w:t>
      </w:r>
      <w:r>
        <w:t xml:space="preserve"> </w:t>
      </w:r>
      <w:r>
        <w:t xml:space="preserve">and creditors under the resolution scenario should not exceed the losses that those</w:t>
      </w:r>
      <w:r>
        <w:t xml:space="preserve"> </w:t>
      </w:r>
      <w:r>
        <w:t xml:space="preserve">shareholders and creditors would otherwise have incurred under a normal insolvency</w:t>
      </w:r>
      <w:r>
        <w:t xml:space="preserve"> </w:t>
      </w:r>
      <w:r>
        <w:t xml:space="preserve">proceeding, which would be counterfactual. If it does, those shareholders/creditors</w:t>
      </w:r>
      <w:r>
        <w:t xml:space="preserve"> </w:t>
      </w:r>
      <w:r>
        <w:t xml:space="preserve">should be compensated. Hence, when applying resolution tools, the outcome of the</w:t>
      </w:r>
      <w:r>
        <w:t xml:space="preserve"> </w:t>
      </w:r>
      <w:r>
        <w:t xml:space="preserve">NCWO assessment together with the identification of the relevant counterfactual,</w:t>
      </w:r>
    </w:p>
    <w:p>
      <w:pPr>
        <w:pStyle w:val="BodyText"/>
      </w:pPr>
      <w:r>
        <w:t xml:space="preserve">33 Commission Delegated Regulation (EU) 2016/778 of 2 February 2016 supplementing Directive</w:t>
      </w:r>
      <w:r>
        <w:t xml:space="preserve"> </w:t>
      </w:r>
      <w:r>
        <w:t xml:space="preserve">2014/59/EU of the European Parliament and of the Council with regard to the circumstances and</w:t>
      </w:r>
      <w:r>
        <w:t xml:space="preserve"> </w:t>
      </w:r>
      <w:r>
        <w:t xml:space="preserve">conditions under which the payment of extraordinary ex post contributions may be partially or entirely</w:t>
      </w:r>
      <w:r>
        <w:t xml:space="preserve"> </w:t>
      </w:r>
      <w:r>
        <w:t xml:space="preserve">deferred, and on the criteria for the determination of the activities, services and operations with regard to</w:t>
      </w:r>
      <w:r>
        <w:t xml:space="preserve"> </w:t>
      </w:r>
      <w:r>
        <w:t xml:space="preserve">critical functions, and for the determination of the business lines and associated services with regard to core</w:t>
      </w:r>
      <w:r>
        <w:t xml:space="preserve"> </w:t>
      </w:r>
      <w:r>
        <w:t xml:space="preserve">business lines, OJ L 131, 20.5.2016, p. 41.</w:t>
      </w:r>
      <w:r>
        <w:t xml:space="preserve"> </w:t>
      </w:r>
      <w:r>
        <w:t xml:space="preserve">34 The part of deposits from natural persons and micro, small and medium-sized enterprises (SMEs) that is</w:t>
      </w:r>
      <w:r>
        <w:t xml:space="preserve"> </w:t>
      </w:r>
      <w:r>
        <w:t xml:space="preserve">eligible for DGS protection but that exceeds the DGSD coverage level (Article 108(1)(a)), as well as</w:t>
      </w:r>
      <w:r>
        <w:t xml:space="preserve"> </w:t>
      </w:r>
      <w:r>
        <w:t xml:space="preserve">deposits that would be eligible deposits from natural persons and SMEs were they not made through</w:t>
      </w:r>
      <w:r>
        <w:t xml:space="preserve"> </w:t>
      </w:r>
      <w:r>
        <w:t xml:space="preserve">branches located outside the Union of banks established within the Union.</w:t>
      </w:r>
      <w:r>
        <w:br/>
      </w:r>
      <w:r>
        <w:t xml:space="preserve">35 See Annex 8, section 2 for more details on the issue pertaining to the divergences in depositor ranking.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depending on the specific national insolvency regime, can lead to varying conclusions in</w:t>
      </w:r>
      <w:r>
        <w:t xml:space="preserve"> </w:t>
      </w:r>
      <w:r>
        <w:t xml:space="preserve">terms of treatment of creditors across Member States, which is especially relevant as it</w:t>
      </w:r>
      <w:r>
        <w:t xml:space="preserve"> </w:t>
      </w:r>
      <w:r>
        <w:t xml:space="preserve">could create difficulties and creditors’ unequal treatment in cases of cross-border group</w:t>
      </w:r>
      <w:r>
        <w:t xml:space="preserve"> </w:t>
      </w:r>
      <w:r>
        <w:t xml:space="preserve">resolution.</w:t>
      </w:r>
      <w:r>
        <w:t xml:space="preserve"> </w:t>
      </w:r>
      <w:r>
        <w:t xml:space="preserve">2.2. Problem 2: Ineffective funding options and divergent access to funding</w:t>
      </w:r>
      <w:r>
        <w:t xml:space="preserve"> </w:t>
      </w:r>
      <w:r>
        <w:t xml:space="preserve">conditions in resolution and outside resolution</w:t>
      </w:r>
      <w:r>
        <w:t xml:space="preserve"> </w:t>
      </w:r>
      <w:r>
        <w:t xml:space="preserve">The evaluation of the framework identified a second problem, i.e. the divergent</w:t>
      </w:r>
      <w:r>
        <w:t xml:space="preserve"> </w:t>
      </w:r>
      <w:r>
        <w:t xml:space="preserve">conditions for accessing funding in resolution and outside resolution. When funding from</w:t>
      </w:r>
      <w:r>
        <w:t xml:space="preserve"> </w:t>
      </w:r>
      <w:r>
        <w:t xml:space="preserve">the safety nets (RF/SRF and DGS) is used to complement the bank’s internal loss</w:t>
      </w:r>
      <w:r>
        <w:t xml:space="preserve"> </w:t>
      </w:r>
      <w:r>
        <w:t xml:space="preserve">absorbing capacity, the requirements to access such funding are very different (i.e. the</w:t>
      </w:r>
      <w:r>
        <w:t xml:space="preserve"> </w:t>
      </w:r>
      <w:r>
        <w:t xml:space="preserve">least cost test to access the DGS fund in and outside resolution as well as the minimum</w:t>
      </w:r>
      <w:r>
        <w:t xml:space="preserve"> </w:t>
      </w:r>
      <w:r>
        <w:t xml:space="preserve">8% bail-in rule to access the RF/SRF are very divergent and impact creditors, including</w:t>
      </w:r>
      <w:r>
        <w:t xml:space="preserve"> </w:t>
      </w:r>
      <w:r>
        <w:t xml:space="preserve">deposits differently). More specifically, funding outside resolution is generally more</w:t>
      </w:r>
      <w:r>
        <w:t xml:space="preserve"> </w:t>
      </w:r>
      <w:r>
        <w:t xml:space="preserve">easily accessible than in resolution, in particular for certain banks, as explained more in</w:t>
      </w:r>
      <w:r>
        <w:t xml:space="preserve"> </w:t>
      </w:r>
      <w:r>
        <w:t xml:space="preserve">detail in section 2.Error! Reference source not found.36. Funding issues are driven by</w:t>
      </w:r>
      <w:r>
        <w:t xml:space="preserve"> </w:t>
      </w:r>
      <w:r>
        <w:t xml:space="preserve">(i) structural difficulties in fulfilling the minimum conditions to access the RF/SRF by</w:t>
      </w:r>
      <w:r>
        <w:t xml:space="preserve"> </w:t>
      </w:r>
      <w:r>
        <w:t xml:space="preserve">certain banks37, (ii) divergent requirements to access funding from the resolution fund as</w:t>
      </w:r>
      <w:r>
        <w:t xml:space="preserve"> </w:t>
      </w:r>
      <w:r>
        <w:t xml:space="preserve">compared to other sources of funding outside resolution, and (iii) the lack of clear,</w:t>
      </w:r>
      <w:r>
        <w:t xml:space="preserve"> </w:t>
      </w:r>
      <w:r>
        <w:t xml:space="preserve">adequate and consistent rules in accessing DGS funding in resolution and insolvency.</w:t>
      </w:r>
      <w:r>
        <w:t xml:space="preserve"> </w:t>
      </w:r>
      <w:r>
        <w:t xml:space="preserve">Based on available information, there are indications that this second problem led to the</w:t>
      </w:r>
      <w:r>
        <w:t xml:space="preserve"> </w:t>
      </w:r>
      <w:r>
        <w:t xml:space="preserve">use of public money in crisis management38.</w:t>
      </w:r>
      <w:r>
        <w:t xml:space="preserve"> </w:t>
      </w:r>
      <w:r>
        <w:t xml:space="preserve">2.2.1. Difficulty in fulfilling the conditions to access resolution funds for certain</w:t>
      </w:r>
      <w:r>
        <w:t xml:space="preserve"> </w:t>
      </w:r>
      <w:r>
        <w:t xml:space="preserve">banks</w:t>
      </w:r>
      <w:r>
        <w:t xml:space="preserve"> </w:t>
      </w:r>
      <w:r>
        <w:t xml:space="preserve">To facilitate the execution of resolution strategies and the application of resolution</w:t>
      </w:r>
      <w:r>
        <w:t xml:space="preserve"> </w:t>
      </w:r>
      <w:r>
        <w:t xml:space="preserve">tools39, banks are required to hold sufficient loss-absorbing capacity composed of own</w:t>
      </w:r>
      <w:r>
        <w:t xml:space="preserve"> </w:t>
      </w:r>
      <w:r>
        <w:t xml:space="preserve">funds and eligible liabilities (MREL). More specifically, they are required to hold a</w:t>
      </w:r>
      <w:r>
        <w:t xml:space="preserve"> </w:t>
      </w:r>
      <w:r>
        <w:t xml:space="preserve">sufficient and proportionate amount of liabilities, which are easily bail-inable. The</w:t>
      </w:r>
      <w:r>
        <w:t xml:space="preserve"> </w:t>
      </w:r>
      <w:r>
        <w:t xml:space="preserve">resolution authority determines the MREL requirement on a bank-by-bank basis</w:t>
      </w:r>
      <w:r>
        <w:t xml:space="preserve"> </w:t>
      </w:r>
      <w:r>
        <w:t xml:space="preserve">depending on the chosen resolution strategy and envisaged resolution tools. For instance,</w:t>
      </w:r>
      <w:r>
        <w:t xml:space="preserve"> </w:t>
      </w:r>
      <w:r>
        <w:t xml:space="preserve">in the case of open bank bail-in, the MREL requirement is calibrated to ensure that bank</w:t>
      </w:r>
      <w:r>
        <w:t xml:space="preserve"> </w:t>
      </w:r>
      <w:r>
        <w:t xml:space="preserve">is able to bear the losses and, to get recapitalised and restructured so it can continue its</w:t>
      </w:r>
    </w:p>
    <w:p>
      <w:pPr>
        <w:pStyle w:val="BodyText"/>
      </w:pPr>
      <w:r>
        <w:t xml:space="preserve">36 See also the evaluation in Annex 5, in particular section 7.1.2.3.</w:t>
      </w:r>
      <w:r>
        <w:t xml:space="preserve"> </w:t>
      </w:r>
      <w:r>
        <w:t xml:space="preserve">37 See Annex 7 on the data underlying the difficulties to reach the minimum target of bailing in 8% of the</w:t>
      </w:r>
      <w:r>
        <w:t xml:space="preserve"> </w:t>
      </w:r>
      <w:r>
        <w:t xml:space="preserve">bank’s total liabilities including own funds.</w:t>
      </w:r>
      <w:r>
        <w:t xml:space="preserve"> </w:t>
      </w:r>
      <w:r>
        <w:t xml:space="preserve">38 See Annex 5 (evaluation), section 7.1.</w:t>
      </w:r>
      <w:r>
        <w:t xml:space="preserve"> </w:t>
      </w:r>
      <w:r>
        <w:t xml:space="preserve">39 The CMDI framework created several resolution tools that define the resolution strategy, which</w:t>
      </w:r>
      <w:r>
        <w:t xml:space="preserve"> </w:t>
      </w:r>
      <w:r>
        <w:t xml:space="preserve">resolution authorities may use as stand-alone or in combination when dealing with failing banks with a</w:t>
      </w:r>
      <w:r>
        <w:t xml:space="preserve"> </w:t>
      </w:r>
      <w:r>
        <w:t xml:space="preserve">positive PIA: (i) open bank bail-in (activities are restructured and the bank is recapitalised via the bail-in of</w:t>
      </w:r>
      <w:r>
        <w:t xml:space="preserve"> </w:t>
      </w:r>
      <w:r>
        <w:t xml:space="preserve">shareholders and creditors to continue its activity on the market) and transfer strategies including (ii) sale</w:t>
      </w:r>
      <w:r>
        <w:t xml:space="preserve"> </w:t>
      </w:r>
      <w:r>
        <w:t xml:space="preserve">of business strategy (part or the entire business is sold to a/several buyer(s) and any remaining part could</w:t>
      </w:r>
      <w:r>
        <w:t xml:space="preserve"> </w:t>
      </w:r>
      <w:r>
        <w:t xml:space="preserve">be liquidated or transferred to an asset management vehicle), (iii) bridge bank strategy (part of the activities</w:t>
      </w:r>
      <w:r>
        <w:t xml:space="preserve"> </w:t>
      </w:r>
      <w:r>
        <w:t xml:space="preserve">are temporarily transferred into a different bridge entity until a buyer is found) and (iv) asset separation</w:t>
      </w:r>
      <w:r>
        <w:t xml:space="preserve"> </w:t>
      </w:r>
      <w:r>
        <w:t xml:space="preserve">vehicle used in combination with another tool (problematic assets/liabilities are transferred into a vehicle</w:t>
      </w:r>
      <w:r>
        <w:t xml:space="preserve"> </w:t>
      </w:r>
      <w:r>
        <w:t xml:space="preserve">that manages their work-out to generate proceeds). The MREL requirement needs to be proportionate to</w:t>
      </w:r>
      <w:r>
        <w:t xml:space="preserve"> </w:t>
      </w:r>
      <w:r>
        <w:t xml:space="preserve">the chosen resolution strategy and tools, e.g. MREL requirements for open bank bail-in strategies may be</w:t>
      </w:r>
      <w:r>
        <w:t xml:space="preserve"> </w:t>
      </w:r>
      <w:r>
        <w:t xml:space="preserve">higher than requirements for transfer strategies.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activity. Resolution authorities may provide complementary financing support, if needed,</w:t>
      </w:r>
      <w:r>
        <w:t xml:space="preserve"> </w:t>
      </w:r>
      <w:r>
        <w:t xml:space="preserve">through the use of the RF/SRF, provided that certain conditions are met. Among these,</w:t>
      </w:r>
      <w:r>
        <w:t xml:space="preserve"> </w:t>
      </w:r>
      <w:r>
        <w:t xml:space="preserve">key conditions to access the RF/SRF for solvency support are: imposing losses on</w:t>
      </w:r>
      <w:r>
        <w:t xml:space="preserve"> </w:t>
      </w:r>
      <w:r>
        <w:t xml:space="preserve">shareholders and creditors for not less than 8% of total liabilities including own funds</w:t>
      </w:r>
      <w:r>
        <w:t xml:space="preserve"> </w:t>
      </w:r>
      <w:r>
        <w:t xml:space="preserve">(TLOF) and a limitation on the contribution from the fund, which cannot exceed 5%</w:t>
      </w:r>
      <w:r>
        <w:t xml:space="preserve"> </w:t>
      </w:r>
      <w:r>
        <w:t xml:space="preserve">TLOF40 per bank. While not clearly mentioned in the legal text and remaining subject to</w:t>
      </w:r>
      <w:r>
        <w:t xml:space="preserve"> </w:t>
      </w:r>
      <w:r>
        <w:t xml:space="preserve">legal interpretation, it is considered that accessing the RF/SRF for liquidity support does</w:t>
      </w:r>
      <w:r>
        <w:t xml:space="preserve"> </w:t>
      </w:r>
      <w:r>
        <w:t xml:space="preserve">not require a minimum bail-in of 8% TLOF.</w:t>
      </w:r>
      <w:r>
        <w:t xml:space="preserve"> </w:t>
      </w:r>
      <w:r>
        <w:t xml:space="preserve">As developed in the evaluation in Annex 5, the need to access resolution funding may</w:t>
      </w:r>
      <w:r>
        <w:t xml:space="preserve"> </w:t>
      </w:r>
      <w:r>
        <w:t xml:space="preserve">arise for any bank (whether executing an open bank bail-in or a transfer as resolution</w:t>
      </w:r>
      <w:r>
        <w:t xml:space="preserve"> </w:t>
      </w:r>
      <w:r>
        <w:t xml:space="preserve">strategy) and the conditions to access the RF/SRF under the current framework do not</w:t>
      </w:r>
      <w:r>
        <w:t xml:space="preserve"> </w:t>
      </w:r>
      <w:r>
        <w:t xml:space="preserve">sufficiently account for distinctions on grounds of proportionality based on the resolution</w:t>
      </w:r>
      <w:r>
        <w:t xml:space="preserve"> </w:t>
      </w:r>
      <w:r>
        <w:t xml:space="preserve">strategy, size and/or business model. The ability of banks to fulfil the access conditions</w:t>
      </w:r>
      <w:r>
        <w:t xml:space="preserve"> </w:t>
      </w:r>
      <w:r>
        <w:t xml:space="preserve">to the RF/SRF depends therefore only on the stock and the type of bail-inable</w:t>
      </w:r>
      <w:r>
        <w:t xml:space="preserve"> </w:t>
      </w:r>
      <w:r>
        <w:t xml:space="preserve">instruments available in their balance sheets at the time of the intervention, while it</w:t>
      </w:r>
      <w:r>
        <w:t xml:space="preserve"> </w:t>
      </w:r>
      <w:r>
        <w:t xml:space="preserve">should be based on a case-by-case assessment of the bank and the resolution strategy.</w:t>
      </w:r>
      <w:r>
        <w:br/>
      </w:r>
      <w:r>
        <w:t xml:space="preserve">Overall, banks have considerably increased their MREL capacity and, by 2024, they will</w:t>
      </w:r>
      <w:r>
        <w:t xml:space="preserve"> </w:t>
      </w:r>
      <w:r>
        <w:t xml:space="preserve">be expected to comply with the requirements set in BRRD II. The build-up of MREL is</w:t>
      </w:r>
      <w:r>
        <w:t xml:space="preserve"> </w:t>
      </w:r>
      <w:r>
        <w:t xml:space="preserve">gradual and a necessary transition to address the legacy risks. However, evidence (see</w:t>
      </w:r>
      <w:r>
        <w:t xml:space="preserve"> </w:t>
      </w:r>
      <w:r>
        <w:t xml:space="preserve">analyses in Annexes 7 and 13) suggests that, for some (smaller) banks in certain markets,</w:t>
      </w:r>
      <w:r>
        <w:t xml:space="preserve"> </w:t>
      </w:r>
      <w:r>
        <w:t xml:space="preserve">the difficulty to build up MREL is of a structural rather than of a transitional nature41.</w:t>
      </w:r>
      <w:r>
        <w:t xml:space="preserve"> </w:t>
      </w:r>
      <w:r>
        <w:t xml:space="preserve">Analyses underpinning this conclusion focused on: (i) the structure of banks’ liabilities,</w:t>
      </w:r>
      <w:r>
        <w:t xml:space="preserve"> </w:t>
      </w:r>
      <w:r>
        <w:t xml:space="preserve">in particular assessing the amount of liabilities that are bail-inable and whether deposits</w:t>
      </w:r>
      <w:r>
        <w:t xml:space="preserve"> </w:t>
      </w:r>
      <w:r>
        <w:t xml:space="preserve">would need to be subject to bail-in in order for the bank to be able to reach the 8% TLOF</w:t>
      </w:r>
      <w:r>
        <w:t xml:space="preserve"> </w:t>
      </w:r>
      <w:r>
        <w:t xml:space="preserve">and access the RF/SRF 42 (ii) the level of MREL shortfalls and (iii) market information</w:t>
      </w:r>
      <w:r>
        <w:t xml:space="preserve"> </w:t>
      </w:r>
      <w:r>
        <w:t xml:space="preserve">on issuances by certain smaller/medium-sized banks43. For some banks, considering their</w:t>
      </w:r>
      <w:r>
        <w:t xml:space="preserve"> </w:t>
      </w:r>
      <w:r>
        <w:t xml:space="preserve">specific liability structure, certain deposits44 would need to be bailed-in in order to access</w:t>
      </w:r>
      <w:r>
        <w:t xml:space="preserve"> </w:t>
      </w:r>
      <w:r>
        <w:t xml:space="preserve">the RF/SRF, which may raise concerns of financial stability and operational feasibility</w:t>
      </w:r>
      <w:r>
        <w:t xml:space="preserve"> </w:t>
      </w:r>
      <w:r>
        <w:t xml:space="preserve">considering the economic and social impact in a number of Member States. This is</w:t>
      </w:r>
      <w:r>
        <w:t xml:space="preserve"> </w:t>
      </w:r>
      <w:r>
        <w:t xml:space="preserve">particularly the case, for example, where banks are relying significantly on deposit</w:t>
      </w:r>
      <w:r>
        <w:t xml:space="preserve"> </w:t>
      </w:r>
      <w:r>
        <w:t xml:space="preserve">funding and where bail-in may have a profound impact on certain portions of the real</w:t>
      </w:r>
      <w:r>
        <w:t xml:space="preserve"> </w:t>
      </w:r>
      <w:r>
        <w:t xml:space="preserve">economy.</w:t>
      </w:r>
    </w:p>
    <w:p>
      <w:pPr>
        <w:pStyle w:val="BodyText"/>
      </w:pPr>
      <w:r>
        <w:t xml:space="preserve">40 Article 44(5) BRRD requires a minimum bail-in of 8% TLOF and provides for a maximum RF</w:t>
      </w:r>
      <w:r>
        <w:t xml:space="preserve"> </w:t>
      </w:r>
      <w:r>
        <w:t xml:space="preserve">contribution of 5% TLOF (unless all unsecured, non-preferred liabilities, other than eligible deposits, have</w:t>
      </w:r>
      <w:r>
        <w:t xml:space="preserve"> </w:t>
      </w:r>
      <w:r>
        <w:t xml:space="preserve">been written down or converted in full) when a resolution authority decides to exclude or partially exclude</w:t>
      </w:r>
      <w:r>
        <w:t xml:space="preserve"> </w:t>
      </w:r>
      <w:r>
        <w:t xml:space="preserve">an eligible liability or class of eligible liabilities, and the losses that would have been borne by those</w:t>
      </w:r>
      <w:r>
        <w:t xml:space="preserve"> </w:t>
      </w:r>
      <w:r>
        <w:t xml:space="preserve">liabilities have not been passed on fully to other creditors, or when the use of the RF indirectly results in</w:t>
      </w:r>
      <w:r>
        <w:t xml:space="preserve"> </w:t>
      </w:r>
      <w:r>
        <w:t xml:space="preserve">part of the losses being passed on to the RF (Article 101(2) BRRD).</w:t>
      </w:r>
      <w:r>
        <w:t xml:space="preserve"> </w:t>
      </w:r>
      <w:r>
        <w:t xml:space="preserve">41 Nevertheless, it needs to be kept in mind that the non-issuance of MREL instruments by such banks,</w:t>
      </w:r>
      <w:r>
        <w:t xml:space="preserve"> </w:t>
      </w:r>
      <w:r>
        <w:t xml:space="preserve">which are presently earmarked to be placed in insolvency rather than resolution, may be an</w:t>
      </w:r>
      <w:r>
        <w:t xml:space="preserve"> </w:t>
      </w:r>
      <w:r>
        <w:t xml:space="preserve">active/deliberate choice of the institution.</w:t>
      </w:r>
      <w:r>
        <w:t xml:space="preserve"> </w:t>
      </w:r>
      <w:r>
        <w:t xml:space="preserve">42 This point (i) is developed in Annex 7.</w:t>
      </w:r>
      <w:r>
        <w:t xml:space="preserve"> </w:t>
      </w:r>
      <w:r>
        <w:t xml:space="preserve">43 These points (ii) and (iii) are developed in Annex 13.</w:t>
      </w:r>
      <w:r>
        <w:t xml:space="preserve"> </w:t>
      </w:r>
      <w:r>
        <w:t xml:space="preserve">44 Such as deposits not covered and not preferred, i.e. deposits of large corporates, governments, other</w:t>
      </w:r>
      <w:r>
        <w:t xml:space="preserve"> </w:t>
      </w:r>
      <w:r>
        <w:t xml:space="preserve">financial institutions, other institutions.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According to the empirical evidence presented in Annex 7 (section 3.2.1), out of a</w:t>
      </w:r>
      <w:r>
        <w:t xml:space="preserve"> </w:t>
      </w:r>
      <w:r>
        <w:t xml:space="preserve">sample of 187 banks that would go into resolution if they failed as of Q4 2019, deposits</w:t>
      </w:r>
      <w:r>
        <w:t xml:space="preserve"> </w:t>
      </w:r>
      <w:r>
        <w:t xml:space="preserve">in 44 banks in 18 Member States would have to bear losses for an aggregate amount of</w:t>
      </w:r>
      <w:r>
        <w:t xml:space="preserve"> </w:t>
      </w:r>
      <w:r>
        <w:t xml:space="preserve">EUR 14.16 bn under the baseline scenario (status quo) in order to reach 8% TLOF and be</w:t>
      </w:r>
      <w:r>
        <w:t xml:space="preserve"> </w:t>
      </w:r>
      <w:r>
        <w:t xml:space="preserve">able to access the RF/SRF. As explained in section 8 of Annex 8, retail and SME</w:t>
      </w:r>
      <w:r>
        <w:t xml:space="preserve"> </w:t>
      </w:r>
      <w:r>
        <w:t xml:space="preserve">deposits are predominant in smaller and medium-sized banks across the EU. Such</w:t>
      </w:r>
      <w:r>
        <w:t xml:space="preserve"> </w:t>
      </w:r>
      <w:r>
        <w:t xml:space="preserve">considerations may explain the reluctance of some resolution authorities to impose losses</w:t>
      </w:r>
      <w:r>
        <w:t xml:space="preserve"> </w:t>
      </w:r>
      <w:r>
        <w:t xml:space="preserve">on depositors, leading to sub-optimal crisis management choices outside resolution</w:t>
      </w:r>
      <w:r>
        <w:t xml:space="preserve"> </w:t>
      </w:r>
      <w:r>
        <w:t xml:space="preserve">financed by public budgets.</w:t>
      </w:r>
      <w:r>
        <w:t xml:space="preserve"> </w:t>
      </w:r>
      <w:r>
        <w:t xml:space="preserve">2.2.2. Divergent access requirements for the resolution fund and for funding</w:t>
      </w:r>
      <w:r>
        <w:t xml:space="preserve"> </w:t>
      </w:r>
      <w:r>
        <w:t xml:space="preserve">outside resolution</w:t>
      </w:r>
      <w:r>
        <w:t xml:space="preserve"> </w:t>
      </w:r>
      <w:r>
        <w:t xml:space="preserve">Precautionary measures, preventive measures and liquidation aid under national</w:t>
      </w:r>
      <w:r>
        <w:t xml:space="preserve"> </w:t>
      </w:r>
      <w:r>
        <w:t xml:space="preserve">insolvency proceedings are different forms of public support available outside resolution.</w:t>
      </w:r>
      <w:r>
        <w:t xml:space="preserve"> </w:t>
      </w:r>
      <w:r>
        <w:t xml:space="preserve">In past cases, these measures have been used quite extensively (see Annex 9).</w:t>
      </w:r>
      <w:r>
        <w:br/>
      </w:r>
      <w:r>
        <w:t xml:space="preserve">Following the entry into force of the resolution framework in 2015, available evidence</w:t>
      </w:r>
      <w:r>
        <w:t xml:space="preserve"> </w:t>
      </w:r>
      <w:r>
        <w:t xml:space="preserve">shows that European banks benefitted from public support amounting to over</w:t>
      </w:r>
      <w:r>
        <w:t xml:space="preserve"> </w:t>
      </w:r>
      <w:r>
        <w:t xml:space="preserve">EUR 58.2 bn mainly under insolvency proceedings and in the form of precautionary aid</w:t>
      </w:r>
      <w:r>
        <w:t xml:space="preserve"> </w:t>
      </w:r>
      <w:r>
        <w:t xml:space="preserve">measures45, in addition to the burden sharing required by the State aid rules (Figure 5).</w:t>
      </w:r>
      <w:r>
        <w:br/>
      </w:r>
      <w:r>
        <w:t xml:space="preserve">All these measures are subject to burden sharing requirements46 pursuant to State aid</w:t>
      </w:r>
      <w:r>
        <w:t xml:space="preserve"> </w:t>
      </w:r>
      <w:r>
        <w:t xml:space="preserve">rules, requiring that, after losses are first absorbed by equity, contributions by hybrid</w:t>
      </w:r>
      <w:r>
        <w:t xml:space="preserve"> </w:t>
      </w:r>
      <w:r>
        <w:t xml:space="preserve">capital holders and subordinated debt holders may be necessary. This requirement is</w:t>
      </w:r>
      <w:r>
        <w:t xml:space="preserve"> </w:t>
      </w:r>
      <w:r>
        <w:t xml:space="preserve">generally less demanding for bank debt holders than the corresponding requirements</w:t>
      </w:r>
      <w:r>
        <w:t xml:space="preserve"> </w:t>
      </w:r>
      <w:r>
        <w:t xml:space="preserve">under BRRD, which entails that losses are absorbed by shareholders and creditors,</w:t>
      </w:r>
      <w:r>
        <w:t xml:space="preserve"> </w:t>
      </w:r>
      <w:r>
        <w:t xml:space="preserve">potentially including depositors (e.g. through bail-in) for a minimum of 8% TLOF before</w:t>
      </w:r>
      <w:r>
        <w:t xml:space="preserve"> </w:t>
      </w:r>
      <w:r>
        <w:t xml:space="preserve">the resolution fund can be accessed.</w:t>
      </w:r>
    </w:p>
    <w:p>
      <w:pPr>
        <w:pStyle w:val="BodyText"/>
      </w:pPr>
      <w:r>
        <w:t xml:space="preserve">45 EUR 28.1 bn were provided as precautionary liquidity measures in the form of guarantees under the</w:t>
      </w:r>
      <w:r>
        <w:t xml:space="preserve"> </w:t>
      </w:r>
      <w:r>
        <w:t xml:space="preserve">BRRD, and EUR 30.1 bn as capital/guarantee measures, of which EUR 10.8 bn as precautionary</w:t>
      </w:r>
      <w:r>
        <w:t xml:space="preserve"> </w:t>
      </w:r>
      <w:r>
        <w:t xml:space="preserve">recapitalisation under the BRRD, EUR 17.5 bn as liquidation aid under national law in the form of cash</w:t>
      </w:r>
      <w:r>
        <w:t xml:space="preserve"> </w:t>
      </w:r>
      <w:r>
        <w:t xml:space="preserve">injection and guarantees, and EUR 1.8 bn as public aid in resolution under the BRRD (the latter public aid</w:t>
      </w:r>
      <w:r>
        <w:t xml:space="preserve"> </w:t>
      </w:r>
      <w:r>
        <w:t xml:space="preserve">measure concerns a case, which occurred before the entry into force of the minimum 8% TLOF bail-in</w:t>
      </w:r>
      <w:r>
        <w:t xml:space="preserve"> </w:t>
      </w:r>
      <w:r>
        <w:t xml:space="preserve">requirement).</w:t>
      </w:r>
      <w:r>
        <w:t xml:space="preserve"> </w:t>
      </w:r>
      <w:r>
        <w:t xml:space="preserve">46 With the exception of liquidity support measures, which are meant to be of temporary nature and have a</w:t>
      </w:r>
      <w:r>
        <w:t xml:space="preserve"> </w:t>
      </w:r>
      <w:r>
        <w:t xml:space="preserve">less distortive effect, and as a result are subject to more lenient State aid requirements (including as regards</w:t>
      </w:r>
      <w:r>
        <w:t xml:space="preserve"> </w:t>
      </w:r>
      <w:r>
        <w:t xml:space="preserve">the requirements for adequate burden sharing) compared to more permanent measures such as</w:t>
      </w:r>
      <w:r>
        <w:t xml:space="preserve"> </w:t>
      </w:r>
      <w:r>
        <w:t xml:space="preserve">recapitalisation or impaired asset measures.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Figure 5: Sources of complementary external funding in crisis, cases between 2015</w:t>
      </w:r>
      <w:r>
        <w:t xml:space="preserve"> </w:t>
      </w:r>
      <w:r>
        <w:t xml:space="preserve">and 2022 (in EUR bn)</w:t>
      </w:r>
    </w:p>
    <w:p>
      <w:pPr>
        <w:pStyle w:val="BodyText"/>
      </w:pPr>
      <w:r>
        <w:t xml:space="preserve">Notes: The contribution from the RFs amounting to EUR 6.9 bn, includes the amount of EUR 1.4 bn</w:t>
      </w:r>
      <w:r>
        <w:t xml:space="preserve"> </w:t>
      </w:r>
      <w:r>
        <w:t xml:space="preserve">contributed jointly by the Polish RF and DGS in the case of resolution of Getin Noble bank SA (see Annex</w:t>
      </w:r>
      <w:r>
        <w:t xml:space="preserve"> </w:t>
      </w:r>
      <w:r>
        <w:t xml:space="preserve">9 for more details on this case). Information on the amounts contributed by RFs and DGSs in some of the</w:t>
      </w:r>
      <w:r>
        <w:t xml:space="preserve"> </w:t>
      </w:r>
      <w:r>
        <w:t xml:space="preserve">bank cases are not publicly available.</w:t>
      </w:r>
      <w:r>
        <w:t xml:space="preserve"> </w:t>
      </w:r>
      <w:r>
        <w:t xml:space="preserve">Source: European Commission calculations</w:t>
      </w:r>
      <w:r>
        <w:br/>
      </w:r>
      <w:r>
        <w:t xml:space="preserve">In the case of preventive and precautionary aid (such as precautionary recapitalisation or</w:t>
      </w:r>
      <w:r>
        <w:t xml:space="preserve"> </w:t>
      </w:r>
      <w:r>
        <w:t xml:space="preserve">preventive measures), the framework provides for specific conditions to be met to ensure</w:t>
      </w:r>
      <w:r>
        <w:t xml:space="preserve"> </w:t>
      </w:r>
      <w:r>
        <w:t xml:space="preserve">that these are granted to banks which are in financial difficulties but are still solvent and</w:t>
      </w:r>
      <w:r>
        <w:t xml:space="preserve"> </w:t>
      </w:r>
      <w:r>
        <w:t xml:space="preserve">not failing. These conditions are well intended to ensure consistency with the overall</w:t>
      </w:r>
      <w:r>
        <w:t xml:space="preserve"> </w:t>
      </w:r>
      <w:r>
        <w:t xml:space="preserve">logic of the resolution framework and to avoid that the burden sharing rules under State</w:t>
      </w:r>
      <w:r>
        <w:t xml:space="preserve"> </w:t>
      </w:r>
      <w:r>
        <w:t xml:space="preserve">aid, in cases where they lead to a lower requirement create an opportunity to resort to</w:t>
      </w:r>
      <w:r>
        <w:t xml:space="preserve"> </w:t>
      </w:r>
      <w:r>
        <w:t xml:space="preserve">these measures to “escape” the more demanding bail-in requirement under BRRD.</w:t>
      </w:r>
      <w:r>
        <w:br/>
      </w:r>
      <w:r>
        <w:t xml:space="preserve">However, as mentioned in section 2.1.1, some banks were declared FOLF shortly after</w:t>
      </w:r>
      <w:r>
        <w:t xml:space="preserve"> </w:t>
      </w:r>
      <w:r>
        <w:t xml:space="preserve">receiving precautionary support on grounds, inter alia, of being solvent as confirmed by</w:t>
      </w:r>
      <w:r>
        <w:t xml:space="preserve"> </w:t>
      </w:r>
      <w:r>
        <w:t xml:space="preserve">the competent supervisor.</w:t>
      </w:r>
      <w:r>
        <w:br/>
      </w:r>
      <w:r>
        <w:t xml:space="preserve">Liquidation aid in national insolvency proceedings can also be useful to provide financial</w:t>
      </w:r>
      <w:r>
        <w:t xml:space="preserve"> </w:t>
      </w:r>
      <w:r>
        <w:t xml:space="preserve">support to banks to the extent necessary to ensure their orderly exit from the market.</w:t>
      </w:r>
      <w:r>
        <w:t xml:space="preserve"> </w:t>
      </w:r>
      <w:r>
        <w:t xml:space="preserve">However, the issue observed is that the availability of such support under different and</w:t>
      </w:r>
      <w:r>
        <w:t xml:space="preserve"> </w:t>
      </w:r>
      <w:r>
        <w:t xml:space="preserve">generally more advantageous conditions from the point of view of the bank’s creditors47</w:t>
      </w:r>
      <w:r>
        <w:t xml:space="preserve"> </w:t>
      </w:r>
      <w:r>
        <w:t xml:space="preserve">may create room for arbitrage and incentivise resolution authorities to look for solutions</w:t>
      </w:r>
      <w:r>
        <w:t xml:space="preserve"> </w:t>
      </w:r>
      <w:r>
        <w:t xml:space="preserve">outside the resolution framework, particularly in light of the discretionary nature of the</w:t>
      </w:r>
      <w:r>
        <w:t xml:space="preserve"> </w:t>
      </w:r>
      <w:r>
        <w:t xml:space="preserve">PIA48. This effect is exacerbated by the fact that, resolution authorities, when applying</w:t>
      </w:r>
      <w:r>
        <w:t xml:space="preserve"> </w:t>
      </w:r>
      <w:r>
        <w:t xml:space="preserve">the PIA, rarely compare the need for external funding in resolution (through the</w:t>
      </w:r>
      <w:r>
        <w:t xml:space="preserve"> </w:t>
      </w:r>
      <w:r>
        <w:t xml:space="preserve">resolution fund or DGS) and in insolvency (liquidation aid), leading to the choice of</w:t>
      </w:r>
      <w:r>
        <w:t xml:space="preserve"> </w:t>
      </w:r>
      <w:r>
        <w:t xml:space="preserve">inefficient tools to manage the bank’s failure.</w:t>
      </w:r>
    </w:p>
    <w:p>
      <w:pPr>
        <w:pStyle w:val="BodyText"/>
      </w:pPr>
      <w:r>
        <w:t xml:space="preserve">47 Paragraphs 40-42 of the 2013 Banking Communication set out the minimum burden-sharing requirement</w:t>
      </w:r>
      <w:r>
        <w:t xml:space="preserve"> </w:t>
      </w:r>
      <w:r>
        <w:t xml:space="preserve">for equity, hybrid capital holders and subordinated debt holders in those cases.</w:t>
      </w:r>
      <w:r>
        <w:t xml:space="preserve"> </w:t>
      </w:r>
      <w:r>
        <w:t xml:space="preserve">48 See also the Box 9 in Annex 5 (evaluation), section 7.1.2.3 point b, explaining the differences between</w:t>
      </w:r>
      <w:r>
        <w:t xml:space="preserve"> </w:t>
      </w:r>
      <w:r>
        <w:t xml:space="preserve">the CMDI framework and the Banking Communication.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2.2.3. Limited scope to grant DGS funding in resolution and insolvency</w:t>
      </w:r>
      <w:r>
        <w:t xml:space="preserve"> </w:t>
      </w:r>
      <w:r>
        <w:t xml:space="preserve">Under the current framework, DGS funds can be used to finance some interventions both</w:t>
      </w:r>
      <w:r>
        <w:t xml:space="preserve"> </w:t>
      </w:r>
      <w:r>
        <w:t xml:space="preserve">in resolution and in insolvency. Article 109 BRRD provides for the use of DGS funding</w:t>
      </w:r>
      <w:r>
        <w:t xml:space="preserve"> </w:t>
      </w:r>
      <w:r>
        <w:t xml:space="preserve">in resolution, in addition to the resolution fund. The provision sets out several conditions</w:t>
      </w:r>
      <w:r>
        <w:t xml:space="preserve"> </w:t>
      </w:r>
      <w:r>
        <w:t xml:space="preserve">for the DGS intervention. The DGS support in resolution is limited to an amount equal to</w:t>
      </w:r>
      <w:r>
        <w:t xml:space="preserve"> </w:t>
      </w:r>
      <w:r>
        <w:t xml:space="preserve">the losses borne by covered deposits if they were exposed to bail-in or if they could bear</w:t>
      </w:r>
      <w:r>
        <w:t xml:space="preserve"> </w:t>
      </w:r>
      <w:r>
        <w:t xml:space="preserve">losses under another resolution strategy. In addition, the DGS’s liability is limited to the</w:t>
      </w:r>
      <w:r>
        <w:t xml:space="preserve"> </w:t>
      </w:r>
      <w:r>
        <w:t xml:space="preserve">amount of losses that the DGS would have borne when paying out covered deposits</w:t>
      </w:r>
      <w:r>
        <w:t xml:space="preserve"> </w:t>
      </w:r>
      <w:r>
        <w:t xml:space="preserve">under an insolvency counterfactual (least cost test). The combination of these rules,</w:t>
      </w:r>
      <w:r>
        <w:t xml:space="preserve"> </w:t>
      </w:r>
      <w:r>
        <w:t xml:space="preserve">coupled with the limitations posed by the super-preference for the DGS in the ranking of</w:t>
      </w:r>
      <w:r>
        <w:t xml:space="preserve"> </w:t>
      </w:r>
      <w:r>
        <w:t xml:space="preserve">liabilities in insolvency (which entail that in most cases DGS would not be exposed to</w:t>
      </w:r>
      <w:r>
        <w:t xml:space="preserve"> </w:t>
      </w:r>
      <w:r>
        <w:t xml:space="preserve">losses in the counterfactual insolvency49) makes the use of DGS in resolution more</w:t>
      </w:r>
      <w:r>
        <w:t xml:space="preserve"> </w:t>
      </w:r>
      <w:r>
        <w:t xml:space="preserve">costly, creating several issues in applying the framework concerning the use of DGS in</w:t>
      </w:r>
      <w:r>
        <w:t xml:space="preserve"> </w:t>
      </w:r>
      <w:r>
        <w:t xml:space="preserve">resolution. The DGS can only provide an amount up to the losses it would bear in case of</w:t>
      </w:r>
      <w:r>
        <w:t xml:space="preserve"> </w:t>
      </w:r>
      <w:r>
        <w:t xml:space="preserve">a hypothetical payout in insolvency. These losses are given by the difference between the</w:t>
      </w:r>
      <w:r>
        <w:t xml:space="preserve"> </w:t>
      </w:r>
      <w:r>
        <w:t xml:space="preserve">amount disbursed by the DGS in case of a payout and the amount the DGS would</w:t>
      </w:r>
      <w:r>
        <w:t xml:space="preserve"> </w:t>
      </w:r>
      <w:r>
        <w:t xml:space="preserve">recover from the sale of the bank’s assets in insolvency. Given the very high ranking of</w:t>
      </w:r>
      <w:r>
        <w:t xml:space="preserve"> </w:t>
      </w:r>
      <w:r>
        <w:t xml:space="preserve">the DGS in the hierarchy of claim (super-preference of DGS claims), the DGS has the</w:t>
      </w:r>
      <w:r>
        <w:t xml:space="preserve"> </w:t>
      </w:r>
      <w:r>
        <w:t xml:space="preserve">possibility to recover part or all of its expenditure in the hypothetical insolvency,</w:t>
      </w:r>
      <w:r>
        <w:t xml:space="preserve"> </w:t>
      </w:r>
      <w:r>
        <w:t xml:space="preserve">depending on circumstances (i.e. nature and features of insolvency regimes, quality of</w:t>
      </w:r>
      <w:r>
        <w:t xml:space="preserve"> </w:t>
      </w:r>
      <w:r>
        <w:t xml:space="preserve">assets being liquidated). As a result, and as explained in the evaluation, this provision has</w:t>
      </w:r>
      <w:r>
        <w:t xml:space="preserve"> </w:t>
      </w:r>
      <w:r>
        <w:t xml:space="preserve">never been used in practice50.</w:t>
      </w:r>
      <w:r>
        <w:t xml:space="preserve"> </w:t>
      </w:r>
      <w:r>
        <w:t xml:space="preserve">The DGS may also finance a transfer of business in insolvency proceedings (Article</w:t>
      </w:r>
      <w:r>
        <w:t xml:space="preserve"> </w:t>
      </w:r>
      <w:r>
        <w:t xml:space="preserve">11(6) DGSD), to the extent that this is necessary to preserve access to covered deposits</w:t>
      </w:r>
      <w:r>
        <w:t xml:space="preserve"> </w:t>
      </w:r>
      <w:r>
        <w:t xml:space="preserve">and if it complies with the least cost test and State aid rules. The conditions to grant DGS</w:t>
      </w:r>
      <w:r>
        <w:t xml:space="preserve"> </w:t>
      </w:r>
      <w:r>
        <w:t xml:space="preserve">funding in resolution and insolvency are not entirely aligned, which makes the use of</w:t>
      </w:r>
      <w:r>
        <w:t xml:space="preserve"> </w:t>
      </w:r>
      <w:r>
        <w:t xml:space="preserve">DGS funds subject to uncertainty. Also in this case, the DGS’ super preference</w:t>
      </w:r>
      <w:r>
        <w:t xml:space="preserve"> </w:t>
      </w:r>
      <w:r>
        <w:t xml:space="preserve">substantially limits the possibility for the DGS to provide funding.</w:t>
      </w:r>
      <w:r>
        <w:t xml:space="preserve"> </w:t>
      </w:r>
      <w:r>
        <w:t xml:space="preserve">Finally, the opportunity to use DGS funding in resolution or insolvency produces</w:t>
      </w:r>
      <w:r>
        <w:t xml:space="preserve"> </w:t>
      </w:r>
      <w:r>
        <w:t xml:space="preserve">different consequences depending on whether the potential intervention is in a Banking</w:t>
      </w:r>
      <w:r>
        <w:t xml:space="preserve"> </w:t>
      </w:r>
      <w:r>
        <w:t xml:space="preserve">Union or non-Banking Union context. For non-Banking Union Members States, both</w:t>
      </w:r>
      <w:r>
        <w:t xml:space="preserve"> </w:t>
      </w:r>
      <w:r>
        <w:t xml:space="preserve">resolution and DGS funds are financed by the domestic industry, possibly facilitating a</w:t>
      </w:r>
      <w:r>
        <w:t xml:space="preserve"> </w:t>
      </w:r>
      <w:r>
        <w:t xml:space="preserve">combined use of these funds. However, in the case of Banking Union Member States, the</w:t>
      </w:r>
      <w:r>
        <w:t xml:space="preserve"> </w:t>
      </w:r>
      <w:r>
        <w:t xml:space="preserve">SRF is financed by all banks in the Banking Union while the financing of DGS fund is</w:t>
      </w:r>
      <w:r>
        <w:t xml:space="preserve"> </w:t>
      </w:r>
      <w:r>
        <w:t xml:space="preserve">national, hence only by domestic banks, creating an “asymmetry” in the burden of the</w:t>
      </w:r>
      <w:r>
        <w:t xml:space="preserve"> </w:t>
      </w:r>
      <w:r>
        <w:t xml:space="preserve">costs in case DGS would “substitute” the SRF. Moreover, a risk of shortfall in DGS</w:t>
      </w:r>
      <w:r>
        <w:t xml:space="preserve"> </w:t>
      </w:r>
      <w:r>
        <w:t xml:space="preserve">funds (see problem 3 below) may occur and illustrates the potential benefits possible</w:t>
      </w:r>
      <w:r>
        <w:t xml:space="preserve"> </w:t>
      </w:r>
      <w:r>
        <w:t xml:space="preserve">through pooling DGS funds at central level.</w:t>
      </w:r>
    </w:p>
    <w:p>
      <w:pPr>
        <w:pStyle w:val="BodyText"/>
      </w:pPr>
      <w:r>
        <w:t xml:space="preserve">49 See section 6.1.1.4 in Chapter 6 and sections 4.1.1 in Annex 7.</w:t>
      </w:r>
      <w:r>
        <w:t xml:space="preserve"> </w:t>
      </w:r>
      <w:r>
        <w:t xml:space="preserve">50 It should however be mentioned that, in an effort to tackle some these limitations under the current text,</w:t>
      </w:r>
      <w:r>
        <w:t xml:space="preserve"> </w:t>
      </w:r>
      <w:r>
        <w:t xml:space="preserve">the Commission services have supported a more extensive reading of the provision in Article 109 BRRD.</w:t>
      </w:r>
      <w:r>
        <w:t xml:space="preserve"> </w:t>
      </w:r>
      <w:r>
        <w:t xml:space="preserve">See more details in the Annex 5, Section 7.1.2.3.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2.3. Problem 3: Uneven and inconsistent depositor protection and lack of</w:t>
      </w:r>
      <w:r>
        <w:t xml:space="preserve"> </w:t>
      </w:r>
      <w:r>
        <w:t xml:space="preserve">robustness in DGS funding</w:t>
      </w:r>
      <w:r>
        <w:t xml:space="preserve"> </w:t>
      </w:r>
      <w:r>
        <w:t xml:space="preserve">The third problem identified in the evaluation relates to discrepancies in depositor</w:t>
      </w:r>
      <w:r>
        <w:t xml:space="preserve"> </w:t>
      </w:r>
      <w:r>
        <w:t xml:space="preserve">protection across Member States both in terms of scope of protection and payout</w:t>
      </w:r>
      <w:r>
        <w:t xml:space="preserve"> </w:t>
      </w:r>
      <w:r>
        <w:t xml:space="preserve">processes and in terms of vulnerability to shortfalls due to a lack of a robust and</w:t>
      </w:r>
      <w:r>
        <w:t xml:space="preserve"> </w:t>
      </w:r>
      <w:r>
        <w:t xml:space="preserve">central/common safety net in the absence of EDIS51. The DGSD, recast in 2014, includes</w:t>
      </w:r>
      <w:r>
        <w:t xml:space="preserve"> </w:t>
      </w:r>
      <w:r>
        <w:t xml:space="preserve">a high number of national options and discretions, which entitles depositors in certain</w:t>
      </w:r>
      <w:r>
        <w:t xml:space="preserve"> </w:t>
      </w:r>
      <w:r>
        <w:t xml:space="preserve">Member States to different levels of protection. Beyond this inconsistent application52 of</w:t>
      </w:r>
      <w:r>
        <w:t xml:space="preserve"> </w:t>
      </w:r>
      <w:r>
        <w:t xml:space="preserve">the rules, depositor protection and confidence in the Banking Union could be undermined</w:t>
      </w:r>
      <w:r>
        <w:t xml:space="preserve"> </w:t>
      </w:r>
      <w:r>
        <w:t xml:space="preserve">by the lack of an appropriate common safety net to national DGSs and equal treatment of</w:t>
      </w:r>
      <w:r>
        <w:t xml:space="preserve"> </w:t>
      </w:r>
      <w:r>
        <w:t xml:space="preserve">all depositors. National DGSs still remain vulnerable to asymmetric shocks, which may</w:t>
      </w:r>
      <w:r>
        <w:t xml:space="preserve"> </w:t>
      </w:r>
      <w:r>
        <w:t xml:space="preserve">put DGS funds at risk and create pro-cyclical effects for the banking sector as additional</w:t>
      </w:r>
      <w:r>
        <w:t xml:space="preserve"> </w:t>
      </w:r>
      <w:r>
        <w:t xml:space="preserve">contributions may need to be raised in some Member States depending on the shock. By</w:t>
      </w:r>
      <w:r>
        <w:t xml:space="preserve"> </w:t>
      </w:r>
      <w:r>
        <w:t xml:space="preserve">contrast, pooling national resources at a central level would deliver diversification effects</w:t>
      </w:r>
      <w:r>
        <w:t xml:space="preserve"> </w:t>
      </w:r>
      <w:r>
        <w:t xml:space="preserve">and increase the robustness of depositor protection, possibly even lowering the burden on</w:t>
      </w:r>
      <w:r>
        <w:t xml:space="preserve"> </w:t>
      </w:r>
      <w:r>
        <w:t xml:space="preserve">the industry in terms of replenishment needs.</w:t>
      </w:r>
      <w:r>
        <w:t xml:space="preserve"> </w:t>
      </w:r>
      <w:r>
        <w:t xml:space="preserve">The drivers behind this problem can be summarised as follows: (i) discrepancies in</w:t>
      </w:r>
      <w:r>
        <w:t xml:space="preserve"> </w:t>
      </w:r>
      <w:r>
        <w:t xml:space="preserve">national depositor protection across Member States and (ii) insufficient means of national</w:t>
      </w:r>
      <w:r>
        <w:t xml:space="preserve"> </w:t>
      </w:r>
      <w:r>
        <w:t xml:space="preserve">DGS to weather the impact of a large financial shock.</w:t>
      </w:r>
      <w:r>
        <w:t xml:space="preserve"> </w:t>
      </w:r>
      <w:r>
        <w:t xml:space="preserve">2.3.1. Discrepancies in national depositor protection across Member States</w:t>
      </w:r>
      <w:r>
        <w:t xml:space="preserve"> </w:t>
      </w:r>
      <w:r>
        <w:t xml:space="preserve">Gaps and fragmentation in the deposit protection and in the functioning of national</w:t>
      </w:r>
      <w:r>
        <w:t xml:space="preserve"> </w:t>
      </w:r>
      <w:r>
        <w:t xml:space="preserve">deposit guarantee schemes persist due to the inconsistent application of the DGSD across</w:t>
      </w:r>
      <w:r>
        <w:t xml:space="preserve"> </w:t>
      </w:r>
      <w:r>
        <w:t xml:space="preserve">Member States and various ONDs. This creates divergences in the robustness of DGS</w:t>
      </w:r>
      <w:r>
        <w:t xml:space="preserve"> </w:t>
      </w:r>
      <w:r>
        <w:t xml:space="preserve">funds and uneven playing field in the protection that depositors enjoy in different</w:t>
      </w:r>
      <w:r>
        <w:t xml:space="preserve"> </w:t>
      </w:r>
      <w:r>
        <w:t xml:space="preserve">Member States. The EBA published four opinions53 highlighting the need for</w:t>
      </w:r>
      <w:r>
        <w:t xml:space="preserve"> </w:t>
      </w:r>
      <w:r>
        <w:t xml:space="preserve">clarification in the DGSD54 and reducing discrepancies in national depositor protection.</w:t>
      </w:r>
      <w:r>
        <w:t xml:space="preserve"> </w:t>
      </w:r>
      <w:r>
        <w:t xml:space="preserve">The main discrepancies – also assessed in the evaluation and Annex 6 – are explained</w:t>
      </w:r>
      <w:r>
        <w:t xml:space="preserve"> </w:t>
      </w:r>
      <w:r>
        <w:t xml:space="preserve">below.</w:t>
      </w:r>
      <w:r>
        <w:t xml:space="preserve"> </w:t>
      </w:r>
      <w:r>
        <w:t xml:space="preserve">In terms of scope of protection, the main problem relates to the divergence in coverage of</w:t>
      </w:r>
      <w:r>
        <w:t xml:space="preserve"> </w:t>
      </w:r>
      <w:r>
        <w:t xml:space="preserve">temporary high balances (deposits above EUR 100 000) which are also protected under</w:t>
      </w:r>
      <w:r>
        <w:t xml:space="preserve"> </w:t>
      </w:r>
      <w:r>
        <w:t xml:space="preserve">the DGSD. The coverage level varies among Member States and ranges from</w:t>
      </w:r>
      <w:r>
        <w:t xml:space="preserve"> </w:t>
      </w:r>
      <w:r>
        <w:t xml:space="preserve">EUR 200 000 to an unlimited amount, creating uneven playing field. Other ONDs</w:t>
      </w:r>
      <w:r>
        <w:t xml:space="preserve"> </w:t>
      </w:r>
      <w:r>
        <w:t xml:space="preserve">leading to discrepancies refer to the types of depositors, such as client funds of other</w:t>
      </w:r>
    </w:p>
    <w:p>
      <w:pPr>
        <w:pStyle w:val="BodyText"/>
      </w:pPr>
      <w:r>
        <w:t xml:space="preserve">51 This was for example indicated by some speakers at the High-level conference on the CMDI review in</w:t>
      </w:r>
      <w:r>
        <w:t xml:space="preserve"> </w:t>
      </w:r>
      <w:r>
        <w:t xml:space="preserve">March 2021 as well as by some respondents of the consultations. See also Annex 5, Section 7.1.4 and</w:t>
      </w:r>
      <w:r>
        <w:t xml:space="preserve"> </w:t>
      </w:r>
      <w:r>
        <w:t xml:space="preserve">Annex 6.</w:t>
      </w:r>
      <w:r>
        <w:t xml:space="preserve"> </w:t>
      </w:r>
      <w:r>
        <w:t xml:space="preserve">52 See Annex 6 for further details on the inconsistent application of the DGSD and the recommendations</w:t>
      </w:r>
      <w:r>
        <w:t xml:space="preserve"> </w:t>
      </w:r>
      <w:r>
        <w:t xml:space="preserve">developed by EBA in this regard.</w:t>
      </w:r>
      <w:r>
        <w:t xml:space="preserve"> </w:t>
      </w:r>
      <w:r>
        <w:t xml:space="preserve">53 EBA opinions on DGS payout (30 October 2019), on the eligibility of deposits, coverage level and</w:t>
      </w:r>
      <w:r>
        <w:t xml:space="preserve"> </w:t>
      </w:r>
      <w:r>
        <w:t xml:space="preserve">cooperation between DGS (8 August 2019), on funding and uses of DGS funds (23 January 2020) and the</w:t>
      </w:r>
      <w:r>
        <w:t xml:space="preserve"> </w:t>
      </w:r>
      <w:r>
        <w:t xml:space="preserve">interplay between the AMLD and DGSD (11 December 2021).</w:t>
      </w:r>
      <w:r>
        <w:t xml:space="preserve"> </w:t>
      </w:r>
      <w:r>
        <w:t xml:space="preserve">54 The EBA opinions were discussed with Member States in the EGBPI and many suggestions were</w:t>
      </w:r>
      <w:r>
        <w:t xml:space="preserve"> </w:t>
      </w:r>
      <w:r>
        <w:t xml:space="preserve">supported (see Annex 6).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financial institutions or public authorities which are protected differently across Member</w:t>
      </w:r>
      <w:r>
        <w:t xml:space="preserve"> </w:t>
      </w:r>
      <w:r>
        <w:t xml:space="preserve">States55.</w:t>
      </w:r>
      <w:r>
        <w:br/>
      </w:r>
      <w:r>
        <w:t xml:space="preserve">In addition, the robustness of the DGS funding varies across Member States due to</w:t>
      </w:r>
      <w:r>
        <w:t xml:space="preserve"> </w:t>
      </w:r>
      <w:r>
        <w:t xml:space="preserve">differences in the national implementation of alternative funding arrangements, which</w:t>
      </w:r>
      <w:r>
        <w:t xml:space="preserve"> </w:t>
      </w:r>
      <w:r>
        <w:t xml:space="preserve">could be relied on in case the DGS funds were depleted. The lack of additional resources</w:t>
      </w:r>
      <w:r>
        <w:t xml:space="preserve"> </w:t>
      </w:r>
      <w:r>
        <w:t xml:space="preserve">in some Member States could impact the ability to pay out depositors (or conduct</w:t>
      </w:r>
      <w:r>
        <w:t xml:space="preserve"> </w:t>
      </w:r>
      <w:r>
        <w:t xml:space="preserve">alternative interventions to support a bank) and endangers consumer confidence and</w:t>
      </w:r>
      <w:r>
        <w:t xml:space="preserve"> </w:t>
      </w:r>
      <w:r>
        <w:t xml:space="preserve">financial stability.</w:t>
      </w:r>
      <w:r>
        <w:t xml:space="preserve"> </w:t>
      </w:r>
      <w:r>
        <w:t xml:space="preserve">Furthermore, when it comes to the use of preventive and alternative measures foreseen</w:t>
      </w:r>
      <w:r>
        <w:t xml:space="preserve"> </w:t>
      </w:r>
      <w:r>
        <w:t xml:space="preserve">under Articles 11(3) and 11(6) DGSD, divergences in the least cost tests applied across</w:t>
      </w:r>
      <w:r>
        <w:t xml:space="preserve"> </w:t>
      </w:r>
      <w:r>
        <w:t xml:space="preserve">types of intervention and Member States, hamper the predictability of the framework.</w:t>
      </w:r>
      <w:r>
        <w:t xml:space="preserve"> </w:t>
      </w:r>
      <w:r>
        <w:t xml:space="preserve">They create inconsistencies around the requirements for the various possible uses of DGS</w:t>
      </w:r>
      <w:r>
        <w:t xml:space="preserve"> </w:t>
      </w:r>
      <w:r>
        <w:t xml:space="preserve">funds (including in resolution), which are unclear and differently interpreted among</w:t>
      </w:r>
      <w:r>
        <w:t xml:space="preserve"> </w:t>
      </w:r>
      <w:r>
        <w:t xml:space="preserve">Member States. As regards preventive measures, Article 11(3)(c) DGSD provides that</w:t>
      </w:r>
      <w:r>
        <w:t xml:space="preserve"> </w:t>
      </w:r>
      <w:r>
        <w:t xml:space="preserve">costs of fulfilling the statutory or contractual mandate of the DGS should not be</w:t>
      </w:r>
      <w:r>
        <w:t xml:space="preserve"> </w:t>
      </w:r>
      <w:r>
        <w:t xml:space="preserve">exceeded. Some Member States use the same least cost test for both preventive and</w:t>
      </w:r>
      <w:r>
        <w:t xml:space="preserve"> </w:t>
      </w:r>
      <w:r>
        <w:t xml:space="preserve">alternative measures, while others did not develop a least cost test methodology for</w:t>
      </w:r>
      <w:r>
        <w:t xml:space="preserve"> </w:t>
      </w:r>
      <w:r>
        <w:t xml:space="preserve">preventive measures (see Annex 6, section Error! Reference source not found.). This</w:t>
      </w:r>
      <w:r>
        <w:t xml:space="preserve"> </w:t>
      </w:r>
      <w:r>
        <w:t xml:space="preserve">has the potential of creating an uneven playing field in depositor protection across the</w:t>
      </w:r>
      <w:r>
        <w:t xml:space="preserve"> </w:t>
      </w:r>
      <w:r>
        <w:t xml:space="preserve">EU.</w:t>
      </w:r>
      <w:r>
        <w:br/>
      </w:r>
      <w:r>
        <w:t xml:space="preserve">As also identified in the evaluation (see Annex 5, section 7.4), the interplay between the</w:t>
      </w:r>
      <w:r>
        <w:t xml:space="preserve"> </w:t>
      </w:r>
      <w:r>
        <w:t xml:space="preserve">DGSD and other pieces of EU legislation raised coherence issues. As regards the</w:t>
      </w:r>
      <w:r>
        <w:t xml:space="preserve"> </w:t>
      </w:r>
      <w:r>
        <w:t xml:space="preserve">interplay with the Anti-Money Laundering (AML) Directive, the EBA highlighted the</w:t>
      </w:r>
      <w:r>
        <w:t xml:space="preserve"> </w:t>
      </w:r>
      <w:r>
        <w:t xml:space="preserve">need to clarify the roles and responsibilities of the DGS and other stakeholders during a</w:t>
      </w:r>
      <w:r>
        <w:t xml:space="preserve"> </w:t>
      </w:r>
      <w:r>
        <w:t xml:space="preserve">payout and strengthen their cooperation and exchange of information to minimise the risk</w:t>
      </w:r>
      <w:r>
        <w:t xml:space="preserve"> </w:t>
      </w:r>
      <w:r>
        <w:t xml:space="preserve">of payout to depositors suspected of money laundering. As regards the Payment services</w:t>
      </w:r>
      <w:r>
        <w:t xml:space="preserve"> </w:t>
      </w:r>
      <w:r>
        <w:t xml:space="preserve">and E-money Directives, the DGS protection of client funds of non-bank financial</w:t>
      </w:r>
      <w:r>
        <w:t xml:space="preserve"> </w:t>
      </w:r>
      <w:r>
        <w:t xml:space="preserve">institutions such as payment and e-money institutions or investment firms, varies across</w:t>
      </w:r>
      <w:r>
        <w:t xml:space="preserve"> </w:t>
      </w:r>
      <w:r>
        <w:t xml:space="preserve">Member States and requires further clarification and harmonisation.</w:t>
      </w:r>
      <w:r>
        <w:t xml:space="preserve"> </w:t>
      </w:r>
      <w:r>
        <w:t xml:space="preserve">2.3.2. Insufficient means of national DGSs</w:t>
      </w:r>
      <w:r>
        <w:t xml:space="preserve"> </w:t>
      </w:r>
      <w:r>
        <w:t xml:space="preserve">Member States are steadily building up their DGS means to reach 0.8% of total covered</w:t>
      </w:r>
      <w:r>
        <w:t xml:space="preserve"> </w:t>
      </w:r>
      <w:r>
        <w:t xml:space="preserve">deposits by 2024, as required under the DGSD. Despite this continuous build-up, DGSs</w:t>
      </w:r>
      <w:r>
        <w:t xml:space="preserve"> </w:t>
      </w:r>
      <w:r>
        <w:t xml:space="preserve">remain vulnerable to asymmetric shocks. Such shocks may put a national scheme under</w:t>
      </w:r>
      <w:r>
        <w:t xml:space="preserve"> </w:t>
      </w:r>
      <w:r>
        <w:t xml:space="preserve">stress, making it difficult to settle individual depositor claims within the statutory time or</w:t>
      </w:r>
      <w:r>
        <w:t xml:space="preserve"> </w:t>
      </w:r>
      <w:r>
        <w:t xml:space="preserve">to intervene through other possible use of DGS funds. In such situations, a DGS may find</w:t>
      </w:r>
      <w:r>
        <w:t xml:space="preserve"> </w:t>
      </w:r>
      <w:r>
        <w:t xml:space="preserve">it difficult to call upon pro-cyclical extraordinary ex post contributions from its members</w:t>
      </w:r>
      <w:r>
        <w:t xml:space="preserve"> </w:t>
      </w:r>
      <w:r>
        <w:t xml:space="preserve">to make up for the shortfall. Alternative funding arrangements could include private or</w:t>
      </w:r>
      <w:r>
        <w:t xml:space="preserve"> </w:t>
      </w:r>
      <w:r>
        <w:t xml:space="preserve">public sources, making eventually the sovereign the ultimate guarantor to national DGSs.</w:t>
      </w:r>
      <w:r>
        <w:t xml:space="preserve"> </w:t>
      </w:r>
      <w:r>
        <w:t xml:space="preserve">Some national DGSs faced in the past considerable funding needs, representing a</w:t>
      </w:r>
      <w:r>
        <w:t xml:space="preserve"> </w:t>
      </w:r>
      <w:r>
        <w:t xml:space="preserve">significant share of their available financial needs, resulting in continued reliance by</w:t>
      </w:r>
    </w:p>
    <w:p>
      <w:pPr>
        <w:pStyle w:val="BodyText"/>
      </w:pPr>
      <w:r>
        <w:t xml:space="preserve">55 For example, Member States may ensure that the deposits of small local authorities (Article 5(2) DGSD)</w:t>
      </w:r>
      <w:r>
        <w:t xml:space="preserve"> </w:t>
      </w:r>
      <w:r>
        <w:t xml:space="preserve">or deposits held by personal pension schemes and occupational pension schemes of small or medium sized</w:t>
      </w:r>
      <w:r>
        <w:t xml:space="preserve"> </w:t>
      </w:r>
      <w:r>
        <w:t xml:space="preserve">enterprises (Article 6(1) DGSD) are protected up to EUR 100 000.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national DGSs on the state as a backstop for depositor protection, which strengthens the</w:t>
      </w:r>
      <w:r>
        <w:t xml:space="preserve"> </w:t>
      </w:r>
      <w:r>
        <w:t xml:space="preserve">bank-sovereign nexus (see Annex 5, section Error! Reference source not found.).</w:t>
      </w:r>
      <w:r>
        <w:br/>
      </w:r>
      <w:r>
        <w:t xml:space="preserve">There is a high risk that DGS interventions could be impaired under a severe crisis56. The</w:t>
      </w:r>
      <w:r>
        <w:t xml:space="preserve"> </w:t>
      </w:r>
      <w:r>
        <w:t xml:space="preserve">lack of consumer confidence in this context may also trigger deposits outflows,</w:t>
      </w:r>
      <w:r>
        <w:t xml:space="preserve"> </w:t>
      </w:r>
      <w:r>
        <w:t xml:space="preserve">conducive to bank runs. Under a severe crisis in one bank or Member State, depositors</w:t>
      </w:r>
      <w:r>
        <w:t xml:space="preserve"> </w:t>
      </w:r>
      <w:r>
        <w:t xml:space="preserve">could be incentivised to transfer their funds in another bank or even another country,</w:t>
      </w:r>
      <w:r>
        <w:t xml:space="preserve"> </w:t>
      </w:r>
      <w:r>
        <w:t xml:space="preserve">potentially exacerbating financial difficulties of the initial bank or national banking</w:t>
      </w:r>
      <w:r>
        <w:t xml:space="preserve"> </w:t>
      </w:r>
      <w:r>
        <w:t xml:space="preserve">sector57.</w:t>
      </w:r>
      <w:r>
        <w:br/>
      </w:r>
      <w:r>
        <w:t xml:space="preserve">The absence of a common deposit guarantee scheme (i.e. EDIS) at Banking Union level</w:t>
      </w:r>
      <w:r>
        <w:t xml:space="preserve"> </w:t>
      </w:r>
      <w:r>
        <w:t xml:space="preserve">which would optimise the allocation of financial means, represents a significant</w:t>
      </w:r>
      <w:r>
        <w:t xml:space="preserve"> </w:t>
      </w:r>
      <w:r>
        <w:t xml:space="preserve">drawback for DGS resilience and an all-encompassing depositor protection. Failing to</w:t>
      </w:r>
      <w:r>
        <w:t xml:space="preserve"> </w:t>
      </w:r>
      <w:r>
        <w:t xml:space="preserve">unlock the unused benefits inherent in the pooling of funds at a central level and larger</w:t>
      </w:r>
      <w:r>
        <w:t xml:space="preserve"> </w:t>
      </w:r>
      <w:r>
        <w:t xml:space="preserve">firepower for industry-funded safety nets represents a lost opportunity to significantly</w:t>
      </w:r>
      <w:r>
        <w:t xml:space="preserve"> </w:t>
      </w:r>
      <w:r>
        <w:t xml:space="preserve">increase the efficiency of national DGS protection and lower the burden on the industry</w:t>
      </w:r>
      <w:r>
        <w:t xml:space="preserve"> </w:t>
      </w:r>
      <w:r>
        <w:t xml:space="preserve">in terms of ex ante contributions or ex post replenishment requirements. The absence of</w:t>
      </w:r>
      <w:r>
        <w:t xml:space="preserve"> </w:t>
      </w:r>
      <w:r>
        <w:t xml:space="preserve">EDIS also deprives depositors from a seamless guarantee of protection regardless of the</w:t>
      </w:r>
      <w:r>
        <w:t xml:space="preserve"> </w:t>
      </w:r>
      <w:r>
        <w:t xml:space="preserve">bank and country where they are located, potentially weakening consumer confidence.</w:t>
      </w:r>
      <w:r>
        <w:t xml:space="preserve"> </w:t>
      </w:r>
      <w:r>
        <w:t xml:space="preserve">As experienced in the 2008 financial crisis, a strong bank-sovereign nexus may create</w:t>
      </w:r>
      <w:r>
        <w:t xml:space="preserve"> </w:t>
      </w:r>
      <w:r>
        <w:t xml:space="preserve">risks to financial stability through contagion and negative consequences for the single</w:t>
      </w:r>
      <w:r>
        <w:t xml:space="preserve"> </w:t>
      </w:r>
      <w:r>
        <w:t xml:space="preserve">market. The costs of an incomplete Banking Union lacking EDIS are high, while the</w:t>
      </w:r>
      <w:r>
        <w:t xml:space="preserve"> </w:t>
      </w:r>
      <w:r>
        <w:t xml:space="preserve">benefits for taxpayers and the industry are not materialising to their full potential.</w:t>
      </w:r>
      <w:r>
        <w:t xml:space="preserve"> </w:t>
      </w:r>
      <w:r>
        <w:t xml:space="preserve">2.4. How will the problems evolve?</w:t>
      </w:r>
      <w:r>
        <w:t xml:space="preserve"> </w:t>
      </w:r>
      <w:r>
        <w:t xml:space="preserve">As the problem analysis shows, there is a need to improve several aspects of the current</w:t>
      </w:r>
      <w:r>
        <w:t xml:space="preserve"> </w:t>
      </w:r>
      <w:r>
        <w:t xml:space="preserve">framework to address the inconsistencies, improve clarity and predictability of outcomes,</w:t>
      </w:r>
      <w:r>
        <w:t xml:space="preserve"> </w:t>
      </w:r>
      <w:r>
        <w:t xml:space="preserve">foster the use of industry-funded sources (RF/SRF and DGS), avoid using public funds</w:t>
      </w:r>
      <w:r>
        <w:t xml:space="preserve"> </w:t>
      </w:r>
      <w:r>
        <w:t xml:space="preserve">for the orderly handling of bank failures, to ensure that the original objectives of the</w:t>
      </w:r>
      <w:r>
        <w:t xml:space="preserve"> </w:t>
      </w:r>
      <w:r>
        <w:t xml:space="preserve">CMDI framework of preserving financial stability, minimising the use of public funds</w:t>
      </w:r>
      <w:r>
        <w:t xml:space="preserve"> </w:t>
      </w:r>
      <w:r>
        <w:t xml:space="preserve">and strengthening depositor confidence are reached. The improvement of the framework</w:t>
      </w:r>
      <w:r>
        <w:t xml:space="preserve"> </w:t>
      </w:r>
      <w:r>
        <w:t xml:space="preserve">is particularly relevant, at this juncture, for better preparing the European banks for the</w:t>
      </w:r>
      <w:r>
        <w:t xml:space="preserve"> </w:t>
      </w:r>
      <w:r>
        <w:t xml:space="preserve">adverse conditions that may potentially arise in the medium term, such as the ones</w:t>
      </w:r>
      <w:r>
        <w:t xml:space="preserve"> </w:t>
      </w:r>
      <w:r>
        <w:t xml:space="preserve">stemming from asset quality deterioration as a result of a weaker macroeconomic</w:t>
      </w:r>
      <w:r>
        <w:t xml:space="preserve"> </w:t>
      </w:r>
      <w:r>
        <w:t xml:space="preserve">outlook.</w:t>
      </w:r>
      <w:r>
        <w:br/>
      </w:r>
      <w:r>
        <w:t xml:space="preserve">Failing to address the above shortcomings, as also analysed in the evaluation, exposes the</w:t>
      </w:r>
      <w:r>
        <w:t xml:space="preserve"> </w:t>
      </w:r>
      <w:r>
        <w:t xml:space="preserve">framework to the risk of unbalanced outcomes, without exploiting its full potential and</w:t>
      </w:r>
      <w:r>
        <w:t xml:space="preserve"> </w:t>
      </w:r>
      <w:r>
        <w:t xml:space="preserve">the possibility to resolve any credit institution, when this would yield a better outcome</w:t>
      </w:r>
      <w:r>
        <w:t xml:space="preserve"> </w:t>
      </w:r>
      <w:r>
        <w:t xml:space="preserve">than insolvency. If solutions based on the use of industry-funded safety nets are not made</w:t>
      </w:r>
    </w:p>
    <w:p>
      <w:pPr>
        <w:pStyle w:val="BodyText"/>
      </w:pPr>
      <w:r>
        <w:t xml:space="preserve">56 See Annex 10, section Error! Reference source not found., presenting the findings from the Joint</w:t>
      </w:r>
      <w:r>
        <w:t xml:space="preserve"> </w:t>
      </w:r>
      <w:r>
        <w:t xml:space="preserve">Research Center (JRC) analysis. There is a probability of 87% at aggregate level in the Banking Union that</w:t>
      </w:r>
      <w:r>
        <w:t xml:space="preserve"> </w:t>
      </w:r>
      <w:r>
        <w:t xml:space="preserve">DGSs would not have available funds to fully reimburse all covered depositors in at least one bank in case</w:t>
      </w:r>
      <w:r>
        <w:t xml:space="preserve"> </w:t>
      </w:r>
      <w:r>
        <w:t xml:space="preserve">of a crisis comparable to the one of 2008 (see also JRC’s report (Annex 12, Tables 16 and 18)).</w:t>
      </w:r>
      <w:r>
        <w:br/>
      </w:r>
      <w:r>
        <w:t xml:space="preserve">57 Depositor outflows were experienced in the 2008 global financial crisis due to uncoordinated increases</w:t>
      </w:r>
      <w:r>
        <w:t xml:space="preserve"> </w:t>
      </w:r>
      <w:r>
        <w:t xml:space="preserve">in coverage levels across the Union, leading the co-legislators to introduce a harmonised coverage level in</w:t>
      </w:r>
      <w:r>
        <w:t xml:space="preserve"> </w:t>
      </w:r>
      <w:r>
        <w:t xml:space="preserve">the DGSD adopted in 2009 (see recital 19 DGSD). Outflows continued to be observed e.g. in the case of</w:t>
      </w:r>
      <w:r>
        <w:t xml:space="preserve"> </w:t>
      </w:r>
      <w:r>
        <w:t xml:space="preserve">Cyprus following the financial crisis, see Annex 8.1.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more proportionate and accessible, these resources will remain idle, even though banks</w:t>
      </w:r>
      <w:r>
        <w:t xml:space="preserve"> </w:t>
      </w:r>
      <w:r>
        <w:t xml:space="preserve">will continue to raise contributions and issue MREL eligible liabilities. At the same time,</w:t>
      </w:r>
      <w:r>
        <w:t xml:space="preserve"> </w:t>
      </w:r>
      <w:r>
        <w:t xml:space="preserve">this may lead to prolonged recourse to public finances (which at this juncture face</w:t>
      </w:r>
      <w:r>
        <w:t xml:space="preserve"> </w:t>
      </w:r>
      <w:r>
        <w:t xml:space="preserve">competing priorities), persisting bank-sovereign links and risks of moral hazard.</w:t>
      </w:r>
      <w:r>
        <w:br/>
      </w:r>
      <w:r>
        <w:t xml:space="preserve">Ensuring the coherent and cost-effective application of the framework is even more</w:t>
      </w:r>
      <w:r>
        <w:t xml:space="preserve"> </w:t>
      </w:r>
      <w:r>
        <w:t xml:space="preserve">important, given the continued absence of EDIS means risks to the robustness and</w:t>
      </w:r>
      <w:r>
        <w:t xml:space="preserve"> </w:t>
      </w:r>
      <w:r>
        <w:t xml:space="preserve">resilience of depositor protection (including under large economic shocks) as well as to</w:t>
      </w:r>
      <w:r>
        <w:t xml:space="preserve"> </w:t>
      </w:r>
      <w:r>
        <w:t xml:space="preserve">the funding toolkit of the framework. It deprives the European consumer of a mutualised</w:t>
      </w:r>
      <w:r>
        <w:t xml:space="preserve"> </w:t>
      </w:r>
      <w:r>
        <w:t xml:space="preserve">safety net financed by industry contributions, which would also reduce the continued</w:t>
      </w:r>
      <w:r>
        <w:t xml:space="preserve"> </w:t>
      </w:r>
      <w:r>
        <w:t xml:space="preserve">tension on public finances.</w:t>
      </w:r>
      <w:r>
        <w:t xml:space="preserve"> </w:t>
      </w:r>
      <w:r>
        <w:t xml:space="preserve">Ultimately, the Banking Union is not complete without reforming the crisis management</w:t>
      </w:r>
      <w:r>
        <w:t xml:space="preserve"> </w:t>
      </w:r>
      <w:r>
        <w:t xml:space="preserve">and deposit insurance, its second pillar, and implementing EDIS, its third pillar. An</w:t>
      </w:r>
      <w:r>
        <w:t xml:space="preserve"> </w:t>
      </w:r>
      <w:r>
        <w:t xml:space="preserve">incomplete Banking Union bears costs and risks, including risks in terms of financial</w:t>
      </w:r>
      <w:r>
        <w:t xml:space="preserve"> </w:t>
      </w:r>
      <w:r>
        <w:t xml:space="preserve">stability, market fragmentation, under-performing banking sector, where failing banks</w:t>
      </w:r>
      <w:r>
        <w:t xml:space="preserve"> </w:t>
      </w:r>
      <w:r>
        <w:t xml:space="preserve">are not always exiting the market, leading instead to regular calls for public support. The</w:t>
      </w:r>
      <w:r>
        <w:t xml:space="preserve"> </w:t>
      </w:r>
      <w:r>
        <w:t xml:space="preserve">completion of the Banking Union together with the deepening of the Capital Markets</w:t>
      </w:r>
      <w:r>
        <w:t xml:space="preserve"> </w:t>
      </w:r>
      <w:r>
        <w:t xml:space="preserve">Union are pivotal to ensure financial stability, foster market integration and support a</w:t>
      </w:r>
      <w:r>
        <w:t xml:space="preserve"> </w:t>
      </w:r>
      <w:r>
        <w:t xml:space="preserve">genuine Economic and Monetary Union. The latter two are fundamental steps towards</w:t>
      </w:r>
      <w:r>
        <w:t xml:space="preserve"> </w:t>
      </w:r>
      <w:r>
        <w:t xml:space="preserve">enhancing the EU’s open strategic autonomy and the international role of the euro.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regulatory requirements for crisis management and deposit insurance are already set</w:t>
      </w:r>
      <w:r>
        <w:t xml:space="preserve"> </w:t>
      </w:r>
      <w:r>
        <w:t xml:space="preserve">at EU level (both via Regulation and Directive). Consequently, the legal basis for the</w:t>
      </w:r>
      <w:r>
        <w:t xml:space="preserve"> </w:t>
      </w:r>
      <w:r>
        <w:t xml:space="preserve">CMDI review is the same as the legal basis of the original legislative acts, namely</w:t>
      </w:r>
      <w:r>
        <w:t xml:space="preserve"> </w:t>
      </w:r>
      <w:r>
        <w:t xml:space="preserve">Article 114 TFEU for the BRRD and SRMR, and Article 53(1) TFEU for the DGSD.</w:t>
      </w:r>
      <w:r>
        <w:br/>
      </w:r>
      <w:r>
        <w:t xml:space="preserve">3.2. Subsidiarity: Necessity and added-value of EU action</w:t>
      </w:r>
      <w:r>
        <w:t xml:space="preserve"> </w:t>
      </w:r>
      <w:r>
        <w:t xml:space="preserve">The rationale for a specific and harmonised EU resolution regime for all banks in the EU</w:t>
      </w:r>
      <w:r>
        <w:t xml:space="preserve"> </w:t>
      </w:r>
      <w:r>
        <w:t xml:space="preserve">was laid out at the inception of the framework in 201458 and its main features reflect</w:t>
      </w:r>
      <w:r>
        <w:t xml:space="preserve"> </w:t>
      </w:r>
      <w:r>
        <w:t xml:space="preserve">international guidance and the key attributes for effective resolution regimes developed</w:t>
      </w:r>
      <w:r>
        <w:t xml:space="preserve"> </w:t>
      </w:r>
      <w:r>
        <w:t xml:space="preserve">by the Financial Stability Board in the aftermath of the global financial crisis.</w:t>
      </w:r>
      <w:r>
        <w:br/>
      </w:r>
      <w:r>
        <w:t xml:space="preserve">The principle of subsidiarity is embedded in the existing CMDI framework, as its</w:t>
      </w:r>
      <w:r>
        <w:t xml:space="preserve"> </w:t>
      </w:r>
      <w:r>
        <w:t xml:space="preserve">objectives could only be achieved at Union level through EU action – the harmonised</w:t>
      </w:r>
      <w:r>
        <w:t xml:space="preserve"> </w:t>
      </w:r>
      <w:r>
        <w:t xml:space="preserve">resolution and deposit insurance framework. This is underpinned by recital 131 of BRRD</w:t>
      </w:r>
      <w:r>
        <w:t xml:space="preserve"> </w:t>
      </w:r>
      <w:r>
        <w:t xml:space="preserve">I, which stipulates that the effect of a failure of any institution in the whole Union</w:t>
      </w:r>
      <w:r>
        <w:t xml:space="preserve"> </w:t>
      </w:r>
      <w:r>
        <w:t xml:space="preserve">justifies action at EU level: “Since the objective of this Directive, namely the</w:t>
      </w:r>
      <w:r>
        <w:t xml:space="preserve"> </w:t>
      </w:r>
      <w:r>
        <w:t xml:space="preserve">harmonisation of the rules and processes for the resolution of institutions, cannot be</w:t>
      </w:r>
      <w:r>
        <w:t xml:space="preserve"> </w:t>
      </w:r>
      <w:r>
        <w:t xml:space="preserve">sufficiently achieved by the Member States, but can rather, by reason of the effects of a</w:t>
      </w:r>
      <w:r>
        <w:t xml:space="preserve"> </w:t>
      </w:r>
      <w:r>
        <w:t xml:space="preserve">failure of any institution in the whole Union, be better achieved at Union level, the Union</w:t>
      </w:r>
      <w:r>
        <w:t xml:space="preserve"> </w:t>
      </w:r>
      <w:r>
        <w:t xml:space="preserve">may adopt measures, in accordance with the principle of subsidiarity as set out in Article</w:t>
      </w:r>
    </w:p>
    <w:p>
      <w:pPr>
        <w:pStyle w:val="BodyText"/>
      </w:pPr>
      <w:r>
        <w:t xml:space="preserve">58 See Chapter 1, Annex 4 and Annex 5 (evaluation).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5 of the Treaty on European Union. In accordance with the principle of proportionality,</w:t>
      </w:r>
      <w:r>
        <w:t xml:space="preserve"> </w:t>
      </w:r>
      <w:r>
        <w:t xml:space="preserve">as set out in that Article, this Directive does not go beyond what is necessary in order to</w:t>
      </w:r>
      <w:r>
        <w:t xml:space="preserve"> </w:t>
      </w:r>
      <w:r>
        <w:t xml:space="preserve">achieve that objective.”</w:t>
      </w:r>
      <w:r>
        <w:br/>
      </w:r>
      <w:r>
        <w:t xml:space="preserve">The intention of the existing CMDI framework has always been to provide a common</w:t>
      </w:r>
      <w:r>
        <w:t xml:space="preserve"> </w:t>
      </w:r>
      <w:r>
        <w:t xml:space="preserve">toolbox to deal effectively with any bank failure, irrespective of its size, business model</w:t>
      </w:r>
      <w:r>
        <w:t xml:space="preserve"> </w:t>
      </w:r>
      <w:r>
        <w:t xml:space="preserve">or location, in an orderly way, preserving financial stability of the EU, the Member State</w:t>
      </w:r>
      <w:r>
        <w:t xml:space="preserve"> </w:t>
      </w:r>
      <w:r>
        <w:t xml:space="preserve">or the region in which it operates, and protecting depositors without relying on public</w:t>
      </w:r>
      <w:r>
        <w:t xml:space="preserve"> </w:t>
      </w:r>
      <w:r>
        <w:t xml:space="preserve">funds. In this context, recital 29 of BRRD I outlined that ‘due to the potentially systemic</w:t>
      </w:r>
      <w:r>
        <w:t xml:space="preserve"> </w:t>
      </w:r>
      <w:r>
        <w:t xml:space="preserve">nature of all institutions, it is crucial, in order to maintain financial stability, that</w:t>
      </w:r>
      <w:r>
        <w:t xml:space="preserve"> </w:t>
      </w:r>
      <w:r>
        <w:t xml:space="preserve">authorities have the possibility to resolve any institution’.</w:t>
      </w:r>
      <w:r>
        <w:t xml:space="preserve"> </w:t>
      </w:r>
      <w:r>
        <w:t xml:space="preserve">The review aims to amend certain provisions of the BRRD, SRMR and DGSD and for</w:t>
      </w:r>
      <w:r>
        <w:t xml:space="preserve"> </w:t>
      </w:r>
      <w:r>
        <w:t xml:space="preserve">technical completeness, also considers one policy option including EDIS (see Chapters 5</w:t>
      </w:r>
      <w:r>
        <w:t xml:space="preserve"> </w:t>
      </w:r>
      <w:r>
        <w:t xml:space="preserve">and 6). The problems identified in Chapter 2, unveiled that the European CMDI</w:t>
      </w:r>
      <w:r>
        <w:t xml:space="preserve"> </w:t>
      </w:r>
      <w:r>
        <w:t xml:space="preserve">framework should be improved, in particular when it comes to its application to small</w:t>
      </w:r>
      <w:r>
        <w:t xml:space="preserve"> </w:t>
      </w:r>
      <w:r>
        <w:t xml:space="preserve">and medium-sized banks, as otherwise it may not reach its objectives (see Chapter 4).</w:t>
      </w:r>
      <w:r>
        <w:br/>
      </w:r>
      <w:r>
        <w:t xml:space="preserve">The following considerations justify the need for EU action with regard to the CMDI</w:t>
      </w:r>
      <w:r>
        <w:t xml:space="preserve"> </w:t>
      </w:r>
      <w:r>
        <w:t xml:space="preserve">reform and highlight that the review fully complies with the principle of subsidiarity.</w:t>
      </w:r>
      <w:r>
        <w:br/>
      </w:r>
      <w:r>
        <w:t xml:space="preserve">First, the merits of having in place a resolution framework that could potentially be</w:t>
      </w:r>
      <w:r>
        <w:t xml:space="preserve"> </w:t>
      </w:r>
      <w:r>
        <w:t xml:space="preserve">applied to any bank, irrespective of its size, remain unchanged. Placing small and mid-</w:t>
      </w:r>
      <w:r>
        <w:t xml:space="preserve"> </w:t>
      </w:r>
      <w:r>
        <w:t xml:space="preserve">sized banks under national insolvency proceedings (also applicable to non-financial</w:t>
      </w:r>
      <w:r>
        <w:t xml:space="preserve"> </w:t>
      </w:r>
      <w:r>
        <w:t xml:space="preserve">corporates) may not always be appropriate for managing their failure, as explained in</w:t>
      </w:r>
      <w:r>
        <w:t xml:space="preserve"> </w:t>
      </w:r>
      <w:r>
        <w:t xml:space="preserve">Chapter 2. Moreover, a system where the EU harmonised resolution framework would</w:t>
      </w:r>
      <w:r>
        <w:t xml:space="preserve"> </w:t>
      </w:r>
      <w:r>
        <w:t xml:space="preserve">only cover larger banks with cross border activities, while national regimes would cover</w:t>
      </w:r>
      <w:r>
        <w:t xml:space="preserve"> </w:t>
      </w:r>
      <w:r>
        <w:t xml:space="preserve">domestic, small/mid-sized banks would not be conducive to a level playing field in the</w:t>
      </w:r>
      <w:r>
        <w:t xml:space="preserve"> </w:t>
      </w:r>
      <w:r>
        <w:t xml:space="preserve">single market as it would risk creating a two-tier system for banks in the EU, making</w:t>
      </w:r>
      <w:r>
        <w:t xml:space="preserve"> </w:t>
      </w:r>
      <w:r>
        <w:t xml:space="preserve">small and domestic banks that are too big to liquidate more risky/unattractive for</w:t>
      </w:r>
      <w:r>
        <w:t xml:space="preserve"> </w:t>
      </w:r>
      <w:r>
        <w:t xml:space="preserve">consumers and businesses relative to larger ones, because their failure would be managed</w:t>
      </w:r>
      <w:r>
        <w:t xml:space="preserve"> </w:t>
      </w:r>
      <w:r>
        <w:t xml:space="preserve">under national insolvency laws, which do not guarantee the continuation of critical</w:t>
      </w:r>
      <w:r>
        <w:t xml:space="preserve"> </w:t>
      </w:r>
      <w:r>
        <w:t xml:space="preserve">functions, the protection of client relationship and of the bank’s franchise asset value and</w:t>
      </w:r>
      <w:r>
        <w:t xml:space="preserve"> </w:t>
      </w:r>
      <w:r>
        <w:t xml:space="preserve">may inflict losses on uncovered deposits.</w:t>
      </w:r>
      <w:r>
        <w:br/>
      </w:r>
      <w:r>
        <w:t xml:space="preserve">Second, the non-application of the harmonised resolution framework in one Member</w:t>
      </w:r>
      <w:r>
        <w:t xml:space="preserve"> </w:t>
      </w:r>
      <w:r>
        <w:t xml:space="preserve">State may have cross border repercussions. In the EU single market, and in particular in</w:t>
      </w:r>
      <w:r>
        <w:t xml:space="preserve"> </w:t>
      </w:r>
      <w:r>
        <w:t xml:space="preserve">the Banking Union, it is key to enhance preparedness for crisis time and to equip</w:t>
      </w:r>
      <w:r>
        <w:t xml:space="preserve"> </w:t>
      </w:r>
      <w:r>
        <w:t xml:space="preserve">resolution authorities with a common toolbox and harmonised set of powers to preserve</w:t>
      </w:r>
      <w:r>
        <w:t xml:space="preserve"> </w:t>
      </w:r>
      <w:r>
        <w:t xml:space="preserve">the level playing field and competitiveness among industry players, depositors and</w:t>
      </w:r>
      <w:r>
        <w:t xml:space="preserve"> </w:t>
      </w:r>
      <w:r>
        <w:t xml:space="preserve">taxpayers across the single market. The value-added of EU action also consists in</w:t>
      </w:r>
      <w:r>
        <w:t xml:space="preserve"> </w:t>
      </w:r>
      <w:r>
        <w:t xml:space="preserve">enhancing preparedness for crisis – thanks to the requirement for banks to set-up internal</w:t>
      </w:r>
      <w:r>
        <w:t xml:space="preserve"> </w:t>
      </w:r>
      <w:r>
        <w:t xml:space="preserve">loss absorbing buffers, remove impediments to resolution and the set-up of industry-</w:t>
      </w:r>
      <w:r>
        <w:t xml:space="preserve"> </w:t>
      </w:r>
      <w:r>
        <w:t xml:space="preserve">funded safety nets complementing these internal bank buffers – to avoid recourse to</w:t>
      </w:r>
      <w:r>
        <w:t xml:space="preserve"> </w:t>
      </w:r>
      <w:r>
        <w:t xml:space="preserve">public funds for all banks and not only cross-border ones. The possibility to access the</w:t>
      </w:r>
      <w:r>
        <w:t xml:space="preserve"> </w:t>
      </w:r>
      <w:r>
        <w:t xml:space="preserve">EU harmonised CMDI framework acts as a safeguard at the level of each Member State,</w:t>
      </w:r>
      <w:r>
        <w:t xml:space="preserve"> </w:t>
      </w:r>
      <w:r>
        <w:t xml:space="preserve">but also for the EU as whole, to ensure that the management of a bank’s failure does not</w:t>
      </w:r>
      <w:r>
        <w:t xml:space="preserve"> </w:t>
      </w:r>
      <w:r>
        <w:t xml:space="preserve">put at risk financial stability, the integrity of the single market, the resilience of the</w:t>
      </w:r>
      <w:r>
        <w:t xml:space="preserve"> </w:t>
      </w:r>
      <w:r>
        <w:t xml:space="preserve">European Monetary Union. Risks to financial stability, depositor confidence or the use of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public finances in one Member State may have far-reaching impacts on a cross border</w:t>
      </w:r>
      <w:r>
        <w:t xml:space="preserve"> </w:t>
      </w:r>
      <w:r>
        <w:t xml:space="preserve">basis and may ultimately contribute to a fragmentation of the single market and an</w:t>
      </w:r>
      <w:r>
        <w:t xml:space="preserve"> </w:t>
      </w:r>
      <w:r>
        <w:t xml:space="preserve">intensification of the sovereign-bank nexus.</w:t>
      </w:r>
      <w:r>
        <w:t xml:space="preserve"> </w:t>
      </w:r>
      <w:r>
        <w:t xml:space="preserve">Third, acting at EU level to reform the CMDI framework will not prescribe the strategy</w:t>
      </w:r>
      <w:r>
        <w:t xml:space="preserve"> </w:t>
      </w:r>
      <w:r>
        <w:t xml:space="preserve">that should be taken when banks fail. The determination of choosing an EU harmonised</w:t>
      </w:r>
      <w:r>
        <w:t xml:space="preserve"> </w:t>
      </w:r>
      <w:r>
        <w:t xml:space="preserve">resolution strategy/tool or the national liquidation strategy is at the discretion of the</w:t>
      </w:r>
      <w:r>
        <w:t xml:space="preserve"> </w:t>
      </w:r>
      <w:r>
        <w:t xml:space="preserve">resolution authority on the basis of the public interest assessment, which is tailored to</w:t>
      </w:r>
      <w:r>
        <w:t xml:space="preserve"> </w:t>
      </w:r>
      <w:r>
        <w:t xml:space="preserve">each specific failure case and not automatically driven by considerations such as the bank</w:t>
      </w:r>
      <w:r>
        <w:t xml:space="preserve"> </w:t>
      </w:r>
      <w:r>
        <w:t xml:space="preserve">size, the geographical outreach of its activities and structure of the banking sector. This</w:t>
      </w:r>
      <w:r>
        <w:t xml:space="preserve"> </w:t>
      </w:r>
      <w:r>
        <w:t xml:space="preserve">makes, de facto, the public interest assessment the subsidiarity test in the EU. Overall,</w:t>
      </w:r>
      <w:r>
        <w:t xml:space="preserve"> </w:t>
      </w:r>
      <w:r>
        <w:t xml:space="preserve">other considerations beyond size, such as functions that are critical for the broader</w:t>
      </w:r>
      <w:r>
        <w:t xml:space="preserve"> </w:t>
      </w:r>
      <w:r>
        <w:t xml:space="preserve">economy</w:t>
      </w:r>
      <w:r>
        <w:t xml:space="preserve"> </w:t>
      </w:r>
      <w:r>
        <w:t xml:space="preserve">(deposit</w:t>
      </w:r>
      <w:r>
        <w:t xml:space="preserve"> </w:t>
      </w:r>
      <w:r>
        <w:t xml:space="preserve">taking,</w:t>
      </w:r>
      <w:r>
        <w:t xml:space="preserve"> </w:t>
      </w:r>
      <w:r>
        <w:t xml:space="preserve">lending,</w:t>
      </w:r>
      <w:r>
        <w:t xml:space="preserve"> </w:t>
      </w:r>
      <w:r>
        <w:t xml:space="preserve">payments)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substitutability,</w:t>
      </w:r>
      <w:r>
        <w:t xml:space="preserve"> </w:t>
      </w:r>
      <w:r>
        <w:t xml:space="preserve">interconnectedness to other actors in the financial system, risk profile and nature of</w:t>
      </w:r>
      <w:r>
        <w:t xml:space="preserve"> </w:t>
      </w:r>
      <w:r>
        <w:t xml:space="preserve">activity are important for resolution authorities when assessing the impact of a bank’s</w:t>
      </w:r>
      <w:r>
        <w:t xml:space="preserve"> </w:t>
      </w:r>
      <w:r>
        <w:t xml:space="preserve">failure on financial stability and the public interest to resolve the bank.</w:t>
      </w:r>
      <w:r>
        <w:br/>
      </w:r>
      <w:r>
        <w:t xml:space="preserve">Fourth, the decision-making process regarding the choice between EU harmonised</w:t>
      </w:r>
      <w:r>
        <w:t xml:space="preserve"> </w:t>
      </w:r>
      <w:r>
        <w:t xml:space="preserve">measures versus national specific measures to tackle a failing bank remains at the</w:t>
      </w:r>
      <w:r>
        <w:t xml:space="preserve"> </w:t>
      </w:r>
      <w:r>
        <w:t xml:space="preserve">discretion of the authority in charge and aims to address a variety of cases depending on</w:t>
      </w:r>
      <w:r>
        <w:t xml:space="preserve"> </w:t>
      </w:r>
      <w:r>
        <w:t xml:space="preserve">the circumstances. Outside the Banking Union, decisions on whether to apply the</w:t>
      </w:r>
      <w:r>
        <w:t xml:space="preserve"> </w:t>
      </w:r>
      <w:r>
        <w:t xml:space="preserve">resolution framework or national procedures are taken at a national level (by the national</w:t>
      </w:r>
      <w:r>
        <w:t xml:space="preserve"> </w:t>
      </w:r>
      <w:r>
        <w:t xml:space="preserve">resolution authority). Within the Banking Union, decisions are made via the Single</w:t>
      </w:r>
      <w:r>
        <w:t xml:space="preserve"> </w:t>
      </w:r>
      <w:r>
        <w:t xml:space="preserve">Resolution Mechanism – a dual mechanism where the SRB (Banking Union level</w:t>
      </w:r>
      <w:r>
        <w:t xml:space="preserve"> </w:t>
      </w:r>
      <w:r>
        <w:t xml:space="preserve">authority) works closely and cooperates with national resolution authorities in joint</w:t>
      </w:r>
      <w:r>
        <w:t xml:space="preserve"> </w:t>
      </w:r>
      <w:r>
        <w:t xml:space="preserve">resolution teams. Decisions are centralised at Banking Union level for the largest banks</w:t>
      </w:r>
      <w:r>
        <w:t xml:space="preserve"> </w:t>
      </w:r>
      <w:r>
        <w:t xml:space="preserve">(120 banks under the direct SRB remit) and left at national level for the less significant</w:t>
      </w:r>
      <w:r>
        <w:t xml:space="preserve"> </w:t>
      </w:r>
      <w:r>
        <w:t xml:space="preserve">ones (about 2200 less significant institutions (SRB, Annual Report 2021)), therefore fully</w:t>
      </w:r>
      <w:r>
        <w:t xml:space="preserve"> </w:t>
      </w:r>
      <w:r>
        <w:t xml:space="preserve">preserving the capacity of these national authorities to put a bank in liquidation if the</w:t>
      </w:r>
      <w:r>
        <w:t xml:space="preserve"> </w:t>
      </w:r>
      <w:r>
        <w:t xml:space="preserve">objectives would not be best met using resolution. Thus, while a case-by-case basis needs</w:t>
      </w:r>
      <w:r>
        <w:t xml:space="preserve"> </w:t>
      </w:r>
      <w:r>
        <w:t xml:space="preserve">to be used for assessing whether a bank undergoes resolution or not, it is critical that the</w:t>
      </w:r>
      <w:r>
        <w:t xml:space="preserve"> </w:t>
      </w:r>
      <w:r>
        <w:t xml:space="preserve">possibility for all banks to undergo resolution is preserved, due to the, potentially,</w:t>
      </w:r>
      <w:r>
        <w:t xml:space="preserve"> </w:t>
      </w:r>
      <w:r>
        <w:t xml:space="preserve">systemic nature of all institutions, as already foreseen in BRRD I and also evidenced in</w:t>
      </w:r>
      <w:r>
        <w:t xml:space="preserve"> </w:t>
      </w:r>
      <w:r>
        <w:t xml:space="preserve">Annex 4, Box 6.</w:t>
      </w:r>
      <w:r>
        <w:t xml:space="preserve"> </w:t>
      </w:r>
      <w:r>
        <w:t xml:space="preserve">Fifth, Member States may still consider liquidation for the smaller banks under the</w:t>
      </w:r>
      <w:r>
        <w:t xml:space="preserve"> </w:t>
      </w:r>
      <w:r>
        <w:t xml:space="preserve">reformed CMDI framework. In this respect, national insolvency regimes (unharmonised)</w:t>
      </w:r>
      <w:r>
        <w:t xml:space="preserve"> </w:t>
      </w:r>
      <w:r>
        <w:t xml:space="preserve">remain in place when an insolvency procedure is deemed superior to resolution. For</w:t>
      </w:r>
      <w:r>
        <w:t xml:space="preserve"> </w:t>
      </w:r>
      <w:r>
        <w:t xml:space="preserve">some small banks, liquidation is likely to apply. The continuum of tools is preserved in</w:t>
      </w:r>
      <w:r>
        <w:t xml:space="preserve"> </w:t>
      </w:r>
      <w:r>
        <w:t xml:space="preserve">this way, including tools outside resolution: preventive and precautionary measures,</w:t>
      </w:r>
      <w:r>
        <w:t xml:space="preserve"> </w:t>
      </w:r>
      <w:r>
        <w:t xml:space="preserve">resolution tools, alternative measures to payout in insolvency and payout of depositors in</w:t>
      </w:r>
      <w:r>
        <w:t xml:space="preserve"> </w:t>
      </w:r>
      <w:r>
        <w:t xml:space="preserve">case of piecemeal liquidation in insolvency. Among those tools, only the resolution tools</w:t>
      </w:r>
      <w:r>
        <w:t xml:space="preserve"> </w:t>
      </w:r>
      <w:r>
        <w:t xml:space="preserve">and payout of depositors in liquidation are available to all banks in all countries.</w:t>
      </w:r>
      <w:r>
        <w:br/>
      </w:r>
      <w:r>
        <w:t xml:space="preserve">The reforms envisaged with regard to the DGSD, which provide for improvements to</w:t>
      </w:r>
      <w:r>
        <w:t xml:space="preserve"> </w:t>
      </w:r>
      <w:r>
        <w:t xml:space="preserve">depositor protection, also comply with the subsidiarity principle. This is due to the fact</w:t>
      </w:r>
      <w:r>
        <w:t xml:space="preserve"> </w:t>
      </w:r>
      <w:r>
        <w:t xml:space="preserve">that the harmonisation of insurance coverage, scope, eligibility of depositors and payout</w:t>
      </w:r>
      <w:r>
        <w:t xml:space="preserve"> </w:t>
      </w:r>
      <w:r>
        <w:t xml:space="preserve">delays can be better achieved at EU rather than at national level, to ensure a level playing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field and fair and equal treatment of depositors across the EU. This was also underlined</w:t>
      </w:r>
      <w:r>
        <w:t xml:space="preserve"> </w:t>
      </w:r>
      <w:r>
        <w:t xml:space="preserve">by the EBA in its opinions on the DGSD.</w:t>
      </w:r>
      <w:r>
        <w:br/>
      </w:r>
      <w:r>
        <w:t xml:space="preserve">Importantly, Member States59 and the European Parliament agree that the CMDI</w:t>
      </w:r>
      <w:r>
        <w:t xml:space="preserve"> </w:t>
      </w:r>
      <w:r>
        <w:t xml:space="preserve">framework needs to be fixed in a way that EU action via the harmonised resolution</w:t>
      </w:r>
      <w:r>
        <w:t xml:space="preserve"> </w:t>
      </w:r>
      <w:r>
        <w:t xml:space="preserve">framework can be used for any bank where needed. Despite the widely shared intention</w:t>
      </w:r>
      <w:r>
        <w:t xml:space="preserve"> </w:t>
      </w:r>
      <w:r>
        <w:t xml:space="preserve">of protecting taxpayer money embedded in the CMDI framework since 2014, some</w:t>
      </w:r>
      <w:r>
        <w:t xml:space="preserve"> </w:t>
      </w:r>
      <w:r>
        <w:t xml:space="preserve">Member States have continued to make recourse to taxpayer money when handling</w:t>
      </w:r>
      <w:r>
        <w:t xml:space="preserve"> </w:t>
      </w:r>
      <w:r>
        <w:t xml:space="preserve">failing banks, since the establishment of the framework, as evidenced in Chapter 2 and</w:t>
      </w:r>
      <w:r>
        <w:t xml:space="preserve"> </w:t>
      </w:r>
      <w:r>
        <w:t xml:space="preserve">Annex 5. This is not because they find it politically or economically acceptable to do so,</w:t>
      </w:r>
      <w:r>
        <w:t xml:space="preserve"> </w:t>
      </w:r>
      <w:r>
        <w:t xml:space="preserve">but because they had to choose between protecting financial stability and depositors on</w:t>
      </w:r>
      <w:r>
        <w:t xml:space="preserve"> </w:t>
      </w:r>
      <w:r>
        <w:t xml:space="preserve">one hand and protecting taxpayer money on the other hand. Appropriate level of MREL</w:t>
      </w:r>
      <w:r>
        <w:t xml:space="preserve"> </w:t>
      </w:r>
      <w:r>
        <w:t xml:space="preserve">must remain the first line of defence for all banks that are put in resolution. At the same</w:t>
      </w:r>
      <w:r>
        <w:t xml:space="preserve"> </w:t>
      </w:r>
      <w:r>
        <w:t xml:space="preserve">time, certain small and mid-sized banks find it challenging to access resolution funding,</w:t>
      </w:r>
      <w:r>
        <w:t xml:space="preserve"> </w:t>
      </w:r>
      <w:r>
        <w:t xml:space="preserve">which some banks can only attain if deposits bear losses. However, inflicting losses on</w:t>
      </w:r>
      <w:r>
        <w:t xml:space="preserve"> </w:t>
      </w:r>
      <w:r>
        <w:t xml:space="preserve">deposits would pose a significant risk to financial stability, as depositors would lose</w:t>
      </w:r>
      <w:r>
        <w:t xml:space="preserve"> </w:t>
      </w:r>
      <w:r>
        <w:t xml:space="preserve">confidence in the banking sector and likely provoke bank runs and spiralling contagion,</w:t>
      </w:r>
      <w:r>
        <w:t xml:space="preserve"> </w:t>
      </w:r>
      <w:r>
        <w:t xml:space="preserve">which can reverberate also into the real economy, as seen during the global financial</w:t>
      </w:r>
      <w:r>
        <w:t xml:space="preserve"> </w:t>
      </w:r>
      <w:r>
        <w:t xml:space="preserve">crisis. More concretely, the failure of a small/mid-sized banks active in a local region and</w:t>
      </w:r>
      <w:r>
        <w:t xml:space="preserve"> </w:t>
      </w:r>
      <w:r>
        <w:t xml:space="preserve">community may cause losses to its clients regarding their claims exceeding the coverage</w:t>
      </w:r>
      <w:r>
        <w:t xml:space="preserve"> </w:t>
      </w:r>
      <w:r>
        <w:t xml:space="preserve">level of EUR 100 000 when placed under national insolvency proceedings (households,</w:t>
      </w:r>
      <w:r>
        <w:t xml:space="preserve"> </w:t>
      </w:r>
      <w:r>
        <w:t xml:space="preserve">SMEs, corporates, local and regional public institutions such as schools, hospitals, other</w:t>
      </w:r>
      <w:r>
        <w:t xml:space="preserve"> </w:t>
      </w:r>
      <w:r>
        <w:t xml:space="preserve">financial institutions).</w:t>
      </w:r>
      <w:r>
        <w:br/>
      </w:r>
      <w:r>
        <w:t xml:space="preserve">Figure 6 shows the repercussions the identified problems have on the general objectives.</w:t>
      </w:r>
      <w:r>
        <w:t xml:space="preserve"> </w:t>
      </w:r>
      <w:r>
        <w:t xml:space="preserve">Figure 6: Implications of the identified problems on the general objectives</w:t>
      </w:r>
    </w:p>
    <w:p>
      <w:pPr>
        <w:pStyle w:val="BodyText"/>
      </w:pPr>
      <w:r>
        <w:t xml:space="preserve">Source: Commission services</w:t>
      </w:r>
      <w:r>
        <w:t xml:space="preserve"> </w:t>
      </w:r>
      <w:r>
        <w:t xml:space="preserve">The objectives pursued by the existing legislative acts can be better achieved at EU level</w:t>
      </w:r>
      <w:r>
        <w:t xml:space="preserve"> </w:t>
      </w:r>
      <w:r>
        <w:t xml:space="preserve">rather than by different national initiatives:</w:t>
      </w:r>
      <w:r>
        <w:t xml:space="preserve"> </w:t>
      </w:r>
      <w:r>
        <w:t xml:space="preserve"> Foster financial stability, ensure market discipline and the continuity of critical</w:t>
      </w:r>
      <w:r>
        <w:t xml:space="preserve"> </w:t>
      </w:r>
      <w:r>
        <w:t xml:space="preserve">functions for society: Due to the strong interlinkages between national financial</w:t>
      </w:r>
      <w:r>
        <w:t xml:space="preserve"> </w:t>
      </w:r>
      <w:r>
        <w:t xml:space="preserve">sectors and the risk of spill-overs, the objective of financial stability in bank crisis</w:t>
      </w:r>
    </w:p>
    <w:p>
      <w:pPr>
        <w:pStyle w:val="BodyText"/>
      </w:pPr>
      <w:r>
        <w:t xml:space="preserve">59 Eurogroup (June 2022), Eurogroup Statement on the future of the Banking Union.</w:t>
      </w:r>
      <w:r>
        <w:br/>
      </w:r>
      <w:r>
        <w:t xml:space="preserve">Foster financial stability, ensure market</w:t>
      </w:r>
      <w:r>
        <w:t xml:space="preserve"> </w:t>
      </w:r>
      <w:r>
        <w:t xml:space="preserve">discipline and the continuity of critical</w:t>
      </w:r>
      <w:r>
        <w:t xml:space="preserve"> </w:t>
      </w:r>
      <w:r>
        <w:t xml:space="preserve">functions for society</w:t>
      </w:r>
      <w:r>
        <w:t xml:space="preserve"> </w:t>
      </w:r>
      <w:r>
        <w:t xml:space="preserve">Safeguard the functioning of the Single</w:t>
      </w:r>
      <w:r>
        <w:t xml:space="preserve"> </w:t>
      </w:r>
      <w:r>
        <w:t xml:space="preserve">market and ensure a level playing field</w:t>
      </w:r>
      <w:r>
        <w:t xml:space="preserve"> </w:t>
      </w:r>
      <w:r>
        <w:t xml:space="preserve">across the EU</w:t>
      </w:r>
      <w:r>
        <w:t xml:space="preserve"> </w:t>
      </w:r>
      <w:r>
        <w:t xml:space="preserve">Minimise recourse to taxpayer money and</w:t>
      </w:r>
      <w:r>
        <w:t xml:space="preserve"> </w:t>
      </w:r>
      <w:r>
        <w:t xml:space="preserve">weaken the bank-sovereign loop</w:t>
      </w:r>
      <w:r>
        <w:t xml:space="preserve"> </w:t>
      </w:r>
      <w:r>
        <w:t xml:space="preserve">Protect depositors and ensure consumer</w:t>
      </w:r>
      <w:r>
        <w:t xml:space="preserve"> </w:t>
      </w:r>
      <w:r>
        <w:t xml:space="preserve">confidence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PROBLEMS</w:t>
      </w:r>
      <w:r>
        <w:t xml:space="preserve"> </w:t>
      </w:r>
      <w:r>
        <w:t xml:space="preserve">Problem 1</w:t>
      </w:r>
      <w:r>
        <w:t xml:space="preserve"> </w:t>
      </w:r>
      <w:r>
        <w:t xml:space="preserve">Insufficient legal certainty and</w:t>
      </w:r>
      <w:r>
        <w:t xml:space="preserve"> </w:t>
      </w:r>
      <w:r>
        <w:t xml:space="preserve">predictability in the</w:t>
      </w:r>
      <w:r>
        <w:t xml:space="preserve"> </w:t>
      </w:r>
      <w:r>
        <w:t xml:space="preserve">management of bank failures</w:t>
      </w:r>
      <w:r>
        <w:t xml:space="preserve"> </w:t>
      </w:r>
      <w:r>
        <w:t xml:space="preserve">Problem 2</w:t>
      </w:r>
      <w:r>
        <w:t xml:space="preserve"> </w:t>
      </w:r>
      <w:r>
        <w:t xml:space="preserve">Ineffective funding options and</w:t>
      </w:r>
      <w:r>
        <w:t xml:space="preserve"> </w:t>
      </w:r>
      <w:r>
        <w:t xml:space="preserve">divergent access conditions in</w:t>
      </w:r>
      <w:r>
        <w:t xml:space="preserve"> </w:t>
      </w:r>
      <w:r>
        <w:t xml:space="preserve">resolution and insolvency</w:t>
      </w:r>
      <w:r>
        <w:t xml:space="preserve"> </w:t>
      </w:r>
      <w:r>
        <w:t xml:space="preserve">Problem 3</w:t>
      </w:r>
      <w:r>
        <w:t xml:space="preserve"> </w:t>
      </w:r>
      <w:r>
        <w:t xml:space="preserve">Uneven and inconsistent</w:t>
      </w:r>
      <w:r>
        <w:t xml:space="preserve"> </w:t>
      </w:r>
      <w:r>
        <w:t xml:space="preserve">depositor protection and lack of</w:t>
      </w:r>
      <w:r>
        <w:t xml:space="preserve"> </w:t>
      </w:r>
      <w:r>
        <w:t xml:space="preserve">robustness in DGS funding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management and deposit insurance can be better achieved by EU action compared</w:t>
      </w:r>
      <w:r>
        <w:t xml:space="preserve"> </w:t>
      </w:r>
      <w:r>
        <w:t xml:space="preserve">to individual national actions.</w:t>
      </w:r>
      <w:r>
        <w:t xml:space="preserve"> </w:t>
      </w:r>
      <w:r>
        <w:t xml:space="preserve"> Safeguard the functioning of the single market and ensure a level playing field</w:t>
      </w:r>
      <w:r>
        <w:t xml:space="preserve"> </w:t>
      </w:r>
      <w:r>
        <w:t xml:space="preserve">across the EU: Given the freedom of banks to establish and provide services in</w:t>
      </w:r>
      <w:r>
        <w:t xml:space="preserve"> </w:t>
      </w:r>
      <w:r>
        <w:t xml:space="preserve">other Member States, EU action is preferable to prevent distortions to the single</w:t>
      </w:r>
      <w:r>
        <w:t xml:space="preserve"> </w:t>
      </w:r>
      <w:r>
        <w:t xml:space="preserve">market and ensure a level playing field, which is a pre-condition for a symmetric</w:t>
      </w:r>
      <w:r>
        <w:t xml:space="preserve"> </w:t>
      </w:r>
      <w:r>
        <w:t xml:space="preserve">impact of the ECB’s single monetary policy. Action at EU level can for instance</w:t>
      </w:r>
      <w:r>
        <w:t xml:space="preserve"> </w:t>
      </w:r>
      <w:r>
        <w:t xml:space="preserve">ensure that credit institutions operating in more than one Member State are</w:t>
      </w:r>
      <w:r>
        <w:t xml:space="preserve"> </w:t>
      </w:r>
      <w:r>
        <w:t xml:space="preserve">subject to the same requirements concerning DGSs, which avoids unwarranted</w:t>
      </w:r>
      <w:r>
        <w:t xml:space="preserve"> </w:t>
      </w:r>
      <w:r>
        <w:t xml:space="preserve">compliance costs for cross-border activities. EU action also fosters convergence</w:t>
      </w:r>
      <w:r>
        <w:t xml:space="preserve"> </w:t>
      </w:r>
      <w:r>
        <w:t xml:space="preserve">of supervisory and resolution practices across the EU. An intervention at EU level</w:t>
      </w:r>
      <w:r>
        <w:t xml:space="preserve"> </w:t>
      </w:r>
      <w:r>
        <w:t xml:space="preserve">also promotes further market integration by ensuring that cross-border bank</w:t>
      </w:r>
      <w:r>
        <w:t xml:space="preserve"> </w:t>
      </w:r>
      <w:r>
        <w:t xml:space="preserve">failures can be resolved in a predictable, effective and equitable manner. At the</w:t>
      </w:r>
      <w:r>
        <w:t xml:space="preserve"> </w:t>
      </w:r>
      <w:r>
        <w:t xml:space="preserve">same time, also smaller banks that primarily operate on domestic markets should</w:t>
      </w:r>
      <w:r>
        <w:t xml:space="preserve"> </w:t>
      </w:r>
      <w:r>
        <w:t xml:space="preserve">– in the spirit of the single market – be treated in a similar manner, regardless</w:t>
      </w:r>
      <w:r>
        <w:t xml:space="preserve"> </w:t>
      </w:r>
      <w:r>
        <w:t xml:space="preserve">their location, while respecting proportionality.</w:t>
      </w:r>
      <w:r>
        <w:t xml:space="preserve"> </w:t>
      </w:r>
      <w:r>
        <w:t xml:space="preserve"> Minimise recourse to taxpayer money and weaken the bank-sovereign loop: For</w:t>
      </w:r>
      <w:r>
        <w:t xml:space="preserve"> </w:t>
      </w:r>
      <w:r>
        <w:t xml:space="preserve">banking groups that are active in a cross-border context, national solutions,</w:t>
      </w:r>
      <w:r>
        <w:t xml:space="preserve"> </w:t>
      </w:r>
      <w:r>
        <w:t xml:space="preserve">without coordination among Member States, would be costlier for citizens and</w:t>
      </w:r>
      <w:r>
        <w:t xml:space="preserve"> </w:t>
      </w:r>
      <w:r>
        <w:t xml:space="preserve">taxpayers than if the failure of banking groups was governed by comprehensive</w:t>
      </w:r>
      <w:r>
        <w:t xml:space="preserve"> </w:t>
      </w:r>
      <w:r>
        <w:t xml:space="preserve">and harmonised rules and arrangements and in the case of Banking Union banks,</w:t>
      </w:r>
      <w:r>
        <w:t xml:space="preserve"> </w:t>
      </w:r>
      <w:r>
        <w:t xml:space="preserve">managed centrally at EU level. On another scale, banks active on a more</w:t>
      </w:r>
      <w:r>
        <w:t xml:space="preserve"> </w:t>
      </w:r>
      <w:r>
        <w:t xml:space="preserve">local/regional level are often interlinked with the local economic fabric and may</w:t>
      </w:r>
      <w:r>
        <w:t xml:space="preserve"> </w:t>
      </w:r>
      <w:r>
        <w:t xml:space="preserve">constitute a risk for the local real economy, including households and SMEs that</w:t>
      </w:r>
      <w:r>
        <w:t xml:space="preserve"> </w:t>
      </w:r>
      <w:r>
        <w:t xml:space="preserve">hold deposits in such banks. In addition to banks’ loss absorbing capacity,</w:t>
      </w:r>
      <w:r>
        <w:t xml:space="preserve"> </w:t>
      </w:r>
      <w:r>
        <w:t xml:space="preserve">national safety nets (resolution funds and DGS) financed by the industry could be</w:t>
      </w:r>
      <w:r>
        <w:t xml:space="preserve"> </w:t>
      </w:r>
      <w:r>
        <w:t xml:space="preserve">used in a complementary way to better achieve the framework’s objectives. If</w:t>
      </w:r>
      <w:r>
        <w:t xml:space="preserve"> </w:t>
      </w:r>
      <w:r>
        <w:t xml:space="preserve">losses were not covered by prudential capital buffers of individual institutions and</w:t>
      </w:r>
      <w:r>
        <w:t xml:space="preserve"> </w:t>
      </w:r>
      <w:r>
        <w:t xml:space="preserve">safety net funding, this may lead to recourse to public funds (sometimes at sub-</w:t>
      </w:r>
      <w:r>
        <w:t xml:space="preserve"> </w:t>
      </w:r>
      <w:r>
        <w:t xml:space="preserve">regional level) aiming to safeguard financial stability and protect depositors.</w:t>
      </w:r>
      <w:r>
        <w:t xml:space="preserve"> </w:t>
      </w:r>
      <w:r>
        <w:t xml:space="preserve">Also, for smaller banks operating primarily on domestic markets, national</w:t>
      </w:r>
      <w:r>
        <w:t xml:space="preserve"> </w:t>
      </w:r>
      <w:r>
        <w:t xml:space="preserve">procedures available and the reliance on the sovereign should not create an</w:t>
      </w:r>
      <w:r>
        <w:t xml:space="preserve"> </w:t>
      </w:r>
      <w:r>
        <w:t xml:space="preserve">unlevel playing field among and also within Member States. The lack of action at</w:t>
      </w:r>
      <w:r>
        <w:t xml:space="preserve"> </w:t>
      </w:r>
      <w:r>
        <w:t xml:space="preserve">EU level for less significant banks and their perceived exclusion from a</w:t>
      </w:r>
      <w:r>
        <w:t xml:space="preserve"> </w:t>
      </w:r>
      <w:r>
        <w:t xml:space="preserve">mutualised safety net would also potentially affect their ability to access markets</w:t>
      </w:r>
      <w:r>
        <w:t xml:space="preserve"> </w:t>
      </w:r>
      <w:r>
        <w:t xml:space="preserve">and attract depositors when compared to significant banks. Consequently,</w:t>
      </w:r>
      <w:r>
        <w:t xml:space="preserve"> </w:t>
      </w:r>
      <w:r>
        <w:t xml:space="preserve">national solutions to tackle bank failures would worsen the sovereign-bank link</w:t>
      </w:r>
      <w:r>
        <w:t xml:space="preserve"> </w:t>
      </w:r>
      <w:r>
        <w:t xml:space="preserve">and undermine the idea behind the Banking Union of introducing a paradigm shift</w:t>
      </w:r>
      <w:r>
        <w:t xml:space="preserve"> </w:t>
      </w:r>
      <w:r>
        <w:t xml:space="preserve">from bail-out to bail-in.</w:t>
      </w:r>
      <w:r>
        <w:br/>
      </w:r>
      <w:r>
        <w:t xml:space="preserve"> Protect depositors and ensure consumer confidence: By harmonising the</w:t>
      </w:r>
      <w:r>
        <w:t xml:space="preserve"> </w:t>
      </w:r>
      <w:r>
        <w:t xml:space="preserve">financing by DGSs, depositor confidence is maintained and cross-border</w:t>
      </w:r>
      <w:r>
        <w:t xml:space="preserve"> </w:t>
      </w:r>
      <w:r>
        <w:t xml:space="preserve">distortions of competition are avoided (the same holds for possible competition</w:t>
      </w:r>
      <w:r>
        <w:t xml:space="preserve"> </w:t>
      </w:r>
      <w:r>
        <w:t xml:space="preserve">distortions within Member States). Otherwise, during a crisis time, bank</w:t>
      </w:r>
      <w:r>
        <w:t xml:space="preserve"> </w:t>
      </w:r>
      <w:r>
        <w:t xml:space="preserve">customers might shift their funds from banks with less depositor protection to</w:t>
      </w:r>
      <w:r>
        <w:t xml:space="preserve"> </w:t>
      </w:r>
      <w:r>
        <w:t xml:space="preserve">other ones with more protection (within the same Member States or in another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one). This may potentially lead to fund outflows with potential adverse financial</w:t>
      </w:r>
      <w:r>
        <w:t xml:space="preserve"> </w:t>
      </w:r>
      <w:r>
        <w:t xml:space="preserve">stability and real economy consequences. Moreover, the harmonisation of</w:t>
      </w:r>
      <w:r>
        <w:t xml:space="preserve"> </w:t>
      </w:r>
      <w:r>
        <w:t xml:space="preserve">coverage, scope, eligibility of depositors and payout delays pursued in the DGSD</w:t>
      </w:r>
      <w:r>
        <w:t xml:space="preserve"> </w:t>
      </w:r>
      <w:r>
        <w:t xml:space="preserve">review cannot be sufficiently achieved if Member States were to act</w:t>
      </w:r>
      <w:r>
        <w:t xml:space="preserve"> </w:t>
      </w:r>
      <w:r>
        <w:t xml:space="preserve">independently from each other and can be consequently better achieved at EU</w:t>
      </w:r>
      <w:r>
        <w:t xml:space="preserve"> </w:t>
      </w:r>
      <w:r>
        <w:t xml:space="preserve">level.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review of the CMDI framework will aim to achieve an adequate balance among the</w:t>
      </w:r>
      <w:r>
        <w:t xml:space="preserve"> </w:t>
      </w:r>
      <w:r>
        <w:t xml:space="preserve">following general objectives:</w:t>
      </w:r>
      <w:r>
        <w:t xml:space="preserve"> </w:t>
      </w:r>
      <w:r>
        <w:t xml:space="preserve">(1) Contribute to financial stability, ensure market discipline and the continuity of</w:t>
      </w:r>
      <w:r>
        <w:t xml:space="preserve"> </w:t>
      </w:r>
      <w:r>
        <w:t xml:space="preserve">critical functions for society;</w:t>
      </w:r>
      <w:r>
        <w:br/>
      </w:r>
      <w:r>
        <w:t xml:space="preserve">(2) Safeguard the functioning of the single market and ensure a level playing field</w:t>
      </w:r>
      <w:r>
        <w:t xml:space="preserve"> </w:t>
      </w:r>
      <w:r>
        <w:t xml:space="preserve">across the EU;</w:t>
      </w:r>
      <w:r>
        <w:t xml:space="preserve"> </w:t>
      </w:r>
      <w:r>
        <w:t xml:space="preserve">(3) Minimise recourse to taxpayer money and weaken the bank-sovereign loop;</w:t>
      </w:r>
      <w:r>
        <w:t xml:space="preserve"> </w:t>
      </w:r>
      <w:r>
        <w:t xml:space="preserve">(4) Protect depositors and ensure consumer confidence (see Error! Reference</w:t>
      </w:r>
      <w:r>
        <w:t xml:space="preserve"> </w:t>
      </w:r>
      <w:r>
        <w:t xml:space="preserve">source not found.2, Annex 5).</w:t>
      </w:r>
      <w:r>
        <w:br/>
      </w:r>
      <w:r>
        <w:t xml:space="preserve">4.2. Specific objectives</w:t>
      </w:r>
      <w:r>
        <w:t xml:space="preserve"> </w:t>
      </w:r>
      <w:r>
        <w:t xml:space="preserve">The impact assessment will consider the following specific objectives:</w:t>
      </w:r>
      <w:r>
        <w:t xml:space="preserve"> </w:t>
      </w:r>
      <w:r>
        <w:t xml:space="preserve">(1) Further enhance legal certainty and predictability and strengthen a level playing</w:t>
      </w:r>
      <w:r>
        <w:t xml:space="preserve"> </w:t>
      </w:r>
      <w:r>
        <w:t xml:space="preserve">field as regards the coherent application of the tools available in bank resolution</w:t>
      </w:r>
      <w:r>
        <w:t xml:space="preserve"> </w:t>
      </w:r>
      <w:r>
        <w:t xml:space="preserve">and insolvency;</w:t>
      </w:r>
      <w:r>
        <w:t xml:space="preserve"> </w:t>
      </w:r>
      <w:r>
        <w:t xml:space="preserve">(2) Facilitate access to safety nets in case of bank failure and improve the clarity and</w:t>
      </w:r>
      <w:r>
        <w:t xml:space="preserve"> </w:t>
      </w:r>
      <w:r>
        <w:t xml:space="preserve">consistency of funding rules;</w:t>
      </w:r>
      <w:r>
        <w:t xml:space="preserve"> </w:t>
      </w:r>
      <w:r>
        <w:t xml:space="preserve">(3) Further align the national approaches to depositor protection, including in terms</w:t>
      </w:r>
      <w:r>
        <w:t xml:space="preserve"> </w:t>
      </w:r>
      <w:r>
        <w:t xml:space="preserve">of coverage, and upgrade the capacity of national DGSs’ to withstand local</w:t>
      </w:r>
      <w:r>
        <w:t xml:space="preserve"> </w:t>
      </w:r>
      <w:r>
        <w:t xml:space="preserve">shocks.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 Approach to design of policy options</w:t>
      </w:r>
      <w:r>
        <w:t xml:space="preserve"> </w:t>
      </w:r>
      <w:r>
        <w:t xml:space="preserve">The CMDI and the State aid frameworks for banks are strongly inter-related. Jointly</w:t>
      </w:r>
      <w:r>
        <w:t xml:space="preserve"> </w:t>
      </w:r>
      <w:r>
        <w:t xml:space="preserve">reformed, they would create a system of European rules and incentives, where the</w:t>
      </w:r>
      <w:r>
        <w:t xml:space="preserve"> </w:t>
      </w:r>
      <w:r>
        <w:t xml:space="preserve">availability of tools and funding sources (subject to conditions for access), combined</w:t>
      </w:r>
      <w:r>
        <w:t xml:space="preserve"> </w:t>
      </w:r>
      <w:r>
        <w:t xml:space="preserve">with discretionary assessments by resolution authorities, determine the choice of crisis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management strategies and procedures to deal with failing banks60. The creation of a</w:t>
      </w:r>
      <w:r>
        <w:t xml:space="preserve"> </w:t>
      </w:r>
      <w:r>
        <w:t xml:space="preserve">common safety net for the protection of deposits, for example via EDIS61 would support</w:t>
      </w:r>
      <w:r>
        <w:t xml:space="preserve"> </w:t>
      </w:r>
      <w:r>
        <w:t xml:space="preserve">national DGS funds in need, enhance the funding sources available to handle failing</w:t>
      </w:r>
      <w:r>
        <w:t xml:space="preserve"> </w:t>
      </w:r>
      <w:r>
        <w:t xml:space="preserve">banks (beyond the internal loss absorption capacity and the RF/SRF) and achieve</w:t>
      </w:r>
      <w:r>
        <w:t xml:space="preserve"> </w:t>
      </w:r>
      <w:r>
        <w:t xml:space="preserve">synergies in the framework. However, EDIS is not part of the preferred option for</w:t>
      </w:r>
      <w:r>
        <w:t xml:space="preserve"> </w:t>
      </w:r>
      <w:r>
        <w:t xml:space="preserve">reforming the CMDI framework due to lack of political feasibility, in the absence of an</w:t>
      </w:r>
      <w:r>
        <w:t xml:space="preserve"> </w:t>
      </w:r>
      <w:r>
        <w:t xml:space="preserve">endorsement by Member States and the European Parliament.</w:t>
      </w:r>
      <w:r>
        <w:t xml:space="preserve"> </w:t>
      </w:r>
      <w:r>
        <w:t xml:space="preserve">Given the critical interplay among key policy aspects (e.g. the availability of funding, the</w:t>
      </w:r>
      <w:r>
        <w:t xml:space="preserve"> </w:t>
      </w:r>
      <w:r>
        <w:t xml:space="preserve">scope of resolution through the PIA, outcome of the least cost test), the approach to</w:t>
      </w:r>
      <w:r>
        <w:t xml:space="preserve"> </w:t>
      </w:r>
      <w:r>
        <w:t xml:space="preserve">formulating policy options needs to be a holistic one. It bundles together relevant design</w:t>
      </w:r>
      <w:r>
        <w:t xml:space="preserve"> </w:t>
      </w:r>
      <w:r>
        <w:t xml:space="preserve">features of the framework to deliver consistency in the resulting packages of options. The</w:t>
      </w:r>
      <w:r>
        <w:t xml:space="preserve"> </w:t>
      </w:r>
      <w:r>
        <w:t xml:space="preserve">aim is to provide a coherent and logical articulation for each encompassing package of</w:t>
      </w:r>
      <w:r>
        <w:t xml:space="preserve"> </w:t>
      </w:r>
      <w:r>
        <w:t xml:space="preserve">policy options. However, each package delivers different degrees of effectiveness and</w:t>
      </w:r>
      <w:r>
        <w:t xml:space="preserve"> </w:t>
      </w:r>
      <w:r>
        <w:t xml:space="preserve">efficiency in achieving the key objectives, as envisaged and assessed in Chapter 6.</w:t>
      </w:r>
      <w:r>
        <w:t xml:space="preserve"> </w:t>
      </w:r>
      <w:r>
        <w:t xml:space="preserve">Interchanging elements across option packages could create inconsistencies and reduce</w:t>
      </w:r>
      <w:r>
        <w:t xml:space="preserve"> </w:t>
      </w:r>
      <w:r>
        <w:t xml:space="preserve">the intended improved effectiveness, efficiency and coherence of the framework.</w:t>
      </w:r>
      <w:r>
        <w:br/>
      </w:r>
      <w:r>
        <w:t xml:space="preserve">Such approach is also indispensable to remedy the inconsistencies (as well as the</w:t>
      </w:r>
      <w:r>
        <w:t xml:space="preserve"> </w:t>
      </w:r>
      <w:r>
        <w:t xml:space="preserve">incentives for using the framework and avoid fragmentation in the single market) which,</w:t>
      </w:r>
      <w:r>
        <w:t xml:space="preserve"> </w:t>
      </w:r>
      <w:r>
        <w:t xml:space="preserve">as described above, have often occurred because the individual legislative texts</w:t>
      </w:r>
      <w:r>
        <w:t xml:space="preserve"> </w:t>
      </w:r>
      <w:r>
        <w:t xml:space="preserve">(comprising the EU bank crisis management and deposit insurance framework) were</w:t>
      </w:r>
      <w:r>
        <w:t xml:space="preserve"> </w:t>
      </w:r>
      <w:r>
        <w:t xml:space="preserve">originally proposed and negotiated on a standalone basis and not assessed jointly62.</w:t>
      </w:r>
      <w:r>
        <w:t xml:space="preserve"> </w:t>
      </w:r>
      <w:r>
        <w:t xml:space="preserve">5.2. Review of the 2013 Banking Communication on State aid rules</w:t>
      </w:r>
      <w:r>
        <w:t xml:space="preserve"> </w:t>
      </w:r>
      <w:r>
        <w:t xml:space="preserve">The Commission has direct enforcement powers in relation to State aid rules which</w:t>
      </w:r>
      <w:r>
        <w:t xml:space="preserve"> </w:t>
      </w:r>
      <w:r>
        <w:t xml:space="preserve">derive from the Treaty (Article 107 TFEU). In the context of the global financial crisis,</w:t>
      </w:r>
      <w:r>
        <w:t xml:space="preserve"> </w:t>
      </w:r>
      <w:r>
        <w:t xml:space="preserve">the Commission clarified its assessment of compatibility of State aid measures, in several</w:t>
      </w:r>
      <w:r>
        <w:t xml:space="preserve"> </w:t>
      </w:r>
      <w:r>
        <w:t xml:space="preserve">Communications, including, among others, the 2013 Banking Communication. The State</w:t>
      </w:r>
      <w:r>
        <w:t xml:space="preserve"> </w:t>
      </w:r>
      <w:r>
        <w:t xml:space="preserve">aid framework for banks is closely interlinked with, and complementary to, the CMDI</w:t>
      </w:r>
      <w:r>
        <w:t xml:space="preserve"> </w:t>
      </w:r>
      <w:r>
        <w:t xml:space="preserve">framework. In particular, it governs the burden sharing requirements, a condition to use</w:t>
      </w:r>
      <w:r>
        <w:t xml:space="preserve"> </w:t>
      </w:r>
      <w:r>
        <w:t xml:space="preserve">public funds qualified as State aid for resolution63, preventive and precautionary</w:t>
      </w:r>
      <w:r>
        <w:t xml:space="preserve"> </w:t>
      </w:r>
      <w:r>
        <w:t xml:space="preserve">measures or alternative measures in insolvency. The two frameworks are applied</w:t>
      </w:r>
      <w:r>
        <w:t xml:space="preserve"> </w:t>
      </w:r>
      <w:r>
        <w:t xml:space="preserve">consistently by the Commission. For example, the Commission checks if a public or</w:t>
      </w:r>
      <w:r>
        <w:t xml:space="preserve"> </w:t>
      </w:r>
      <w:r>
        <w:t xml:space="preserve">private support qualified as a State aid measure violates intrinsically linked provisions of</w:t>
      </w:r>
      <w:r>
        <w:t xml:space="preserve"> </w:t>
      </w:r>
      <w:r>
        <w:t xml:space="preserve">the CMDI framework and cannot authorise it, if it does so. Despite their natural</w:t>
      </w:r>
      <w:r>
        <w:t xml:space="preserve"> </w:t>
      </w:r>
      <w:r>
        <w:t xml:space="preserve">interlinkages, the two frameworks are meant to tackle different issues: State aid rules’</w:t>
      </w:r>
      <w:r>
        <w:t xml:space="preserve"> </w:t>
      </w:r>
      <w:r>
        <w:t xml:space="preserve">main purpose is to limit competition distortions from such support to banks, while the</w:t>
      </w:r>
      <w:r>
        <w:t xml:space="preserve"> </w:t>
      </w:r>
      <w:r>
        <w:t xml:space="preserve">CMDI framework’s primary objective is to limit risks to financial stability from the</w:t>
      </w:r>
    </w:p>
    <w:p>
      <w:pPr>
        <w:pStyle w:val="BodyText"/>
      </w:pPr>
      <w:r>
        <w:t xml:space="preserve">60 See Annex 5 (Evaluation) and Chapter 2 for details on how the triggers, funding availability and funding</w:t>
      </w:r>
      <w:r>
        <w:t xml:space="preserve"> </w:t>
      </w:r>
      <w:r>
        <w:t xml:space="preserve">conditions form a system of rules and incentives defining the possible outcomes when dealing with banks</w:t>
      </w:r>
      <w:r>
        <w:t xml:space="preserve"> </w:t>
      </w:r>
      <w:r>
        <w:t xml:space="preserve">in crisis conditions.</w:t>
      </w:r>
      <w:r>
        <w:t xml:space="preserve"> </w:t>
      </w:r>
      <w:r>
        <w:t xml:space="preserve">61 See glossary and Annex 10.</w:t>
      </w:r>
      <w:r>
        <w:t xml:space="preserve"> </w:t>
      </w:r>
      <w:r>
        <w:t xml:space="preserve">62 Nevertheless, the review of the State aid rules is not covered as part of the CMDI review, see section 5.2.</w:t>
      </w:r>
      <w:r>
        <w:br/>
      </w:r>
      <w:r>
        <w:t xml:space="preserve">63 If the public funds do not qualify as State aid within the meaning of Article 107(1) TFEU then burden</w:t>
      </w:r>
      <w:r>
        <w:t xml:space="preserve"> </w:t>
      </w:r>
      <w:r>
        <w:t xml:space="preserve">sharing is not applicable.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disorderly management of bank failures while avoiding or minimising the use of public</w:t>
      </w:r>
      <w:r>
        <w:t xml:space="preserve"> </w:t>
      </w:r>
      <w:r>
        <w:t xml:space="preserve">funds.</w:t>
      </w:r>
      <w:r>
        <w:br/>
      </w:r>
      <w:r>
        <w:t xml:space="preserve">In November 2020, the Eurogroup invited the Commission to carry out and finalise its</w:t>
      </w:r>
      <w:r>
        <w:t xml:space="preserve"> </w:t>
      </w:r>
      <w:r>
        <w:t xml:space="preserve">review of the State aid rules for banks, in parallel to the review of the CMDI framework,</w:t>
      </w:r>
      <w:r>
        <w:t xml:space="preserve"> </w:t>
      </w:r>
      <w:r>
        <w:t xml:space="preserve">ensuring their entry into force at the same time as the revised CMDI framework. Such</w:t>
      </w:r>
      <w:r>
        <w:t xml:space="preserve"> </w:t>
      </w:r>
      <w:r>
        <w:t xml:space="preserve">timeline aims at ensuring consistency between the two frameworks, adequate burden</w:t>
      </w:r>
      <w:r>
        <w:t xml:space="preserve"> </w:t>
      </w:r>
      <w:r>
        <w:t xml:space="preserve">sharing of shareholders and creditors to protect taxpayers and depositors and preserve</w:t>
      </w:r>
      <w:r>
        <w:t xml:space="preserve"> </w:t>
      </w:r>
      <w:r>
        <w:t xml:space="preserve">financial stability64. In June 2022, the Eurogroup took note of the intention of the</w:t>
      </w:r>
      <w:r>
        <w:t xml:space="preserve"> </w:t>
      </w:r>
      <w:r>
        <w:t xml:space="preserve">European Commission to finalise the review of the State aid framework for banks, to</w:t>
      </w:r>
      <w:r>
        <w:t xml:space="preserve"> </w:t>
      </w:r>
      <w:r>
        <w:t xml:space="preserve">ensure consistency between the State aid framework and the renewed CMDI framework.</w:t>
      </w:r>
      <w:r>
        <w:br/>
      </w:r>
      <w:r>
        <w:t xml:space="preserve">Having the objective of coherence in mind, it is important to underline that the CMDI</w:t>
      </w:r>
      <w:r>
        <w:t xml:space="preserve"> </w:t>
      </w:r>
      <w:r>
        <w:t xml:space="preserve">framework is subject to co-legislation, which will require time before implementation,</w:t>
      </w:r>
      <w:r>
        <w:t xml:space="preserve"> </w:t>
      </w:r>
      <w:r>
        <w:t xml:space="preserve">and its outcome as compared to the Commission proposal is uncertain, while an update</w:t>
      </w:r>
      <w:r>
        <w:t xml:space="preserve"> </w:t>
      </w:r>
      <w:r>
        <w:t xml:space="preserve">of the State aid rules requires a Commission Communication, which, when decided by</w:t>
      </w:r>
      <w:r>
        <w:t xml:space="preserve"> </w:t>
      </w:r>
      <w:r>
        <w:t xml:space="preserve">the Commission, could take effect immediately.</w:t>
      </w:r>
      <w:r>
        <w:br/>
      </w:r>
      <w:r>
        <w:t xml:space="preserve">Notwithstanding the interactions between the various components of the current</w:t>
      </w:r>
      <w:r>
        <w:t xml:space="preserve"> </w:t>
      </w:r>
      <w:r>
        <w:t xml:space="preserve">legislative framework, the reform of the State aid rules is not part of the present impact</w:t>
      </w:r>
      <w:r>
        <w:t xml:space="preserve"> </w:t>
      </w:r>
      <w:r>
        <w:t xml:space="preserve">assessment nor of the subsequent legislative proposal. A separate process to assess the</w:t>
      </w:r>
      <w:r>
        <w:t xml:space="preserve"> </w:t>
      </w:r>
      <w:r>
        <w:t xml:space="preserve">need for a review of the State aid rules is ongoing, in parallel to the review of the CMDI</w:t>
      </w:r>
      <w:r>
        <w:t xml:space="preserve"> </w:t>
      </w:r>
      <w:r>
        <w:t xml:space="preserve">framework, also in light of different procedures to amend the relevant acts65.</w:t>
      </w:r>
      <w:r>
        <w:br/>
      </w:r>
      <w:r>
        <w:t xml:space="preserve">Provided coherence is maintained within the packages of policy options, all the options</w:t>
      </w:r>
      <w:r>
        <w:t xml:space="preserve"> </w:t>
      </w:r>
      <w:r>
        <w:t xml:space="preserve">envisaged for CMDI would bring an improvement compared to the baseline (status quo),</w:t>
      </w:r>
      <w:r>
        <w:t xml:space="preserve"> </w:t>
      </w:r>
      <w:r>
        <w:t xml:space="preserve">irrespective of the changes to the State aid rules (or status quo) which may take place. An</w:t>
      </w:r>
      <w:r>
        <w:t xml:space="preserve"> </w:t>
      </w:r>
      <w:r>
        <w:t xml:space="preserve">enhanced alignment between the frameworks would usefully complement the changes</w:t>
      </w:r>
      <w:r>
        <w:t xml:space="preserve"> </w:t>
      </w:r>
      <w:r>
        <w:t xml:space="preserve">proposed to the CMDI rules.</w:t>
      </w:r>
      <w:r>
        <w:t xml:space="preserve"> </w:t>
      </w:r>
      <w:r>
        <w:t xml:space="preserve">5.3. What is the baseline from which options are assessed?</w:t>
      </w:r>
      <w:r>
        <w:t xml:space="preserve"> </w:t>
      </w:r>
      <w:r>
        <w:t xml:space="preserve">Under the baseline option, the existing CMDI framework as well as national regimes for</w:t>
      </w:r>
      <w:r>
        <w:t xml:space="preserve"> </w:t>
      </w:r>
      <w:r>
        <w:t xml:space="preserve">handling failing banks would continue to apply without any legislative changes and</w:t>
      </w:r>
      <w:r>
        <w:t xml:space="preserve"> </w:t>
      </w:r>
      <w:r>
        <w:t xml:space="preserve">would function without a common deposit guarantee scheme in the Banking Union in the</w:t>
      </w:r>
      <w:r>
        <w:t xml:space="preserve"> </w:t>
      </w:r>
      <w:r>
        <w:t xml:space="preserve">absence of an agreement on a Banking Union work plan including EDIS by the</w:t>
      </w:r>
      <w:r>
        <w:t xml:space="preserve"> </w:t>
      </w:r>
      <w:r>
        <w:t xml:space="preserve">Eurogroup in June 2022 and of progress on the EDIS file in the European Parliament 66.</w:t>
      </w:r>
      <w:r>
        <w:br/>
      </w:r>
      <w:r>
        <w:t xml:space="preserve">Despite ongoing developments in the interpretation and methodological approach to the</w:t>
      </w:r>
      <w:r>
        <w:t xml:space="preserve"> </w:t>
      </w:r>
      <w:r>
        <w:t xml:space="preserve">PIA67, broad discretion in its application would continue to be exercised by resolution</w:t>
      </w:r>
    </w:p>
    <w:p>
      <w:pPr>
        <w:pStyle w:val="BodyText"/>
      </w:pPr>
      <w:r>
        <w:t xml:space="preserve">64 Eurogroup (November 2020), Statement of the Eurogroup in inclusive format on the ESM reform and the</w:t>
      </w:r>
      <w:r>
        <w:t xml:space="preserve"> </w:t>
      </w:r>
      <w:r>
        <w:t xml:space="preserve">early introduction of the backstop to the Single Resolution Fund. The intention of the Eurogroup is to</w:t>
      </w:r>
      <w:r>
        <w:t xml:space="preserve"> </w:t>
      </w:r>
      <w:r>
        <w:t xml:space="preserve">ensure that the outcome of the State aid rules review is aligned with the outcome of the negotiations of the</w:t>
      </w:r>
      <w:r>
        <w:t xml:space="preserve"> </w:t>
      </w:r>
      <w:r>
        <w:t xml:space="preserve">CMDI review by co-legislators.</w:t>
      </w:r>
      <w:r>
        <w:t xml:space="preserve"> </w:t>
      </w:r>
      <w:r>
        <w:t xml:space="preserve">65 In March 2022, the Commission has launched a Call for Evidence together with a public and targeted</w:t>
      </w:r>
      <w:r>
        <w:t xml:space="preserve"> </w:t>
      </w:r>
      <w:r>
        <w:t xml:space="preserve">consultation to seek stakeholder feedback on the evaluation of State aid rules for banks in difficulty. The</w:t>
      </w:r>
      <w:r>
        <w:t xml:space="preserve"> </w:t>
      </w:r>
      <w:r>
        <w:t xml:space="preserve">input collected and a study will feed into the evaluation that the Commission aims to publish. .</w:t>
      </w:r>
      <w:r>
        <w:t xml:space="preserve"> </w:t>
      </w:r>
      <w:r>
        <w:t xml:space="preserve">66 The 2015 Commission proposal on fully-fledged EDIS is still on the table, but in practice, not discussed</w:t>
      </w:r>
      <w:r>
        <w:t xml:space="preserve"> </w:t>
      </w:r>
      <w:r>
        <w:t xml:space="preserve">by the co-legislators.</w:t>
      </w:r>
      <w:r>
        <w:t xml:space="preserve"> </w:t>
      </w:r>
      <w:r>
        <w:t xml:space="preserve">67 SRB (May 2021), the SRB revised its approach to PIA, System-wide events in the public interest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authorities, with the risk of maintaining the divergence across the EU on the scope of</w:t>
      </w:r>
      <w:r>
        <w:t xml:space="preserve"> </w:t>
      </w:r>
      <w:r>
        <w:t xml:space="preserve">banks placed in resolution or insolvency. This means that similar bank failures would</w:t>
      </w:r>
      <w:r>
        <w:t xml:space="preserve"> </w:t>
      </w:r>
      <w:r>
        <w:t xml:space="preserve">continue to be managed under divergent frameworks. Some may continue to be handled</w:t>
      </w:r>
      <w:r>
        <w:t xml:space="preserve"> </w:t>
      </w:r>
      <w:r>
        <w:t xml:space="preserve">under the harmonised resolution framework, while others would be bailed-out with</w:t>
      </w:r>
      <w:r>
        <w:t xml:space="preserve"> </w:t>
      </w:r>
      <w:r>
        <w:t xml:space="preserve">taxpayer money, thus continuing to create issues for the EU’s single market in banking</w:t>
      </w:r>
      <w:r>
        <w:t xml:space="preserve"> </w:t>
      </w:r>
      <w:r>
        <w:t xml:space="preserve">and the equal treatment of banks’ shareholders, creditors and customers.</w:t>
      </w:r>
      <w:r>
        <w:br/>
      </w:r>
      <w:r>
        <w:t xml:space="preserve">In terms of funding, the framework would continue to rely on two existing safety nets</w:t>
      </w:r>
      <w:r>
        <w:t xml:space="preserve"> </w:t>
      </w:r>
      <w:r>
        <w:t xml:space="preserve">under divergent access conditions: the RF/SRF in resolution and the national DGS funds</w:t>
      </w:r>
      <w:r>
        <w:t xml:space="preserve"> </w:t>
      </w:r>
      <w:r>
        <w:t xml:space="preserve">covering different types of interventions (preventive measures, resolution, payout of</w:t>
      </w:r>
      <w:r>
        <w:t xml:space="preserve"> </w:t>
      </w:r>
      <w:r>
        <w:t xml:space="preserve">covered deposits and alternative measures in insolvency). The condition to access the</w:t>
      </w:r>
      <w:r>
        <w:t xml:space="preserve"> </w:t>
      </w:r>
      <w:r>
        <w:t xml:space="preserve">RF/SRF68 for liquidity support would remain subject to interpretation. Access to the</w:t>
      </w:r>
      <w:r>
        <w:t xml:space="preserve"> </w:t>
      </w:r>
      <w:r>
        <w:t xml:space="preserve">RF/SRF for certain smaller and medium-sized banks for solvency support would remain</w:t>
      </w:r>
      <w:r>
        <w:t xml:space="preserve"> </w:t>
      </w:r>
      <w:r>
        <w:t xml:space="preserve">challenging in view of the minimum bail-in access condition of 8% TLOF (despite their</w:t>
      </w:r>
      <w:r>
        <w:t xml:space="preserve"> </w:t>
      </w:r>
      <w:r>
        <w:t xml:space="preserve">contribution to the RF/SRF). Tapping the DGS for contribution to various interventions</w:t>
      </w:r>
      <w:r>
        <w:t xml:space="preserve"> </w:t>
      </w:r>
      <w:r>
        <w:t xml:space="preserve">would continue to be difficult and unclear from a legal point of view, due to divergent</w:t>
      </w:r>
      <w:r>
        <w:t xml:space="preserve"> </w:t>
      </w:r>
      <w:r>
        <w:t xml:space="preserve">access conditions across Member States, in particular the least cost test (as shown in</w:t>
      </w:r>
      <w:r>
        <w:t xml:space="preserve"> </w:t>
      </w:r>
      <w:r>
        <w:t xml:space="preserve">Chapter 2 and the evaluation). Persisting differences in the hierarchy of claims would</w:t>
      </w:r>
      <w:r>
        <w:t xml:space="preserve"> </w:t>
      </w:r>
      <w:r>
        <w:t xml:space="preserve">continue to make the level of depositor protection vary per Member State, creating</w:t>
      </w:r>
      <w:r>
        <w:t xml:space="preserve"> </w:t>
      </w:r>
      <w:r>
        <w:t xml:space="preserve">difficulties for resolution authorities when assessing the risks for creditors being worse</w:t>
      </w:r>
      <w:r>
        <w:t xml:space="preserve"> </w:t>
      </w:r>
      <w:r>
        <w:t xml:space="preserve">off in resolution than in insolvency69, while the super-preference of the DGS would make</w:t>
      </w:r>
      <w:r>
        <w:t xml:space="preserve"> </w:t>
      </w:r>
      <w:r>
        <w:t xml:space="preserve">it almost impossible for DGS funds to be used in resolution or insolvency under the least</w:t>
      </w:r>
      <w:r>
        <w:t xml:space="preserve"> </w:t>
      </w:r>
      <w:r>
        <w:t xml:space="preserve">cost test (see in Annex 7).</w:t>
      </w:r>
      <w:r>
        <w:br/>
      </w:r>
      <w:r>
        <w:t xml:space="preserve">In addition, the current room for regulatory arbitrage would remain unchanged, leaving</w:t>
      </w:r>
      <w:r>
        <w:t xml:space="preserve"> </w:t>
      </w:r>
      <w:r>
        <w:t xml:space="preserve">the possibility to apply restructuring measures under national insolvency laws financed</w:t>
      </w:r>
      <w:r>
        <w:t xml:space="preserve"> </w:t>
      </w:r>
      <w:r>
        <w:t xml:space="preserve">through DGS alternative measures or through taxpayer money because of the more</w:t>
      </w:r>
      <w:r>
        <w:t xml:space="preserve"> </w:t>
      </w:r>
      <w:r>
        <w:t xml:space="preserve">favourable conditions for banks’ creditors than under resolution, rather than merits in</w:t>
      </w:r>
      <w:r>
        <w:t xml:space="preserve"> </w:t>
      </w:r>
      <w:r>
        <w:t xml:space="preserve">terms of effectiveness and efficiency.</w:t>
      </w:r>
      <w:r>
        <w:br/>
      </w:r>
      <w:r>
        <w:t xml:space="preserve">At the current juncture, in the context of the challenging macroeconomic outlook fuelled</w:t>
      </w:r>
      <w:r>
        <w:t xml:space="preserve"> </w:t>
      </w:r>
      <w:r>
        <w:t xml:space="preserve">by the energy crisis and the geopolitical situation, the need to improve the CMDI</w:t>
      </w:r>
      <w:r>
        <w:t xml:space="preserve"> </w:t>
      </w:r>
      <w:r>
        <w:t xml:space="preserve">framework is pressing if the likelihood of failures were to increase in case distress in our</w:t>
      </w:r>
      <w:r>
        <w:t xml:space="preserve"> </w:t>
      </w:r>
      <w:r>
        <w:t xml:space="preserve">banking sector started to materialise. Under the status quo, even those failing banks for</w:t>
      </w:r>
      <w:r>
        <w:t xml:space="preserve"> </w:t>
      </w:r>
      <w:r>
        <w:t xml:space="preserve">which resolution would be in the public interest, would continue to be restructured or</w:t>
      </w:r>
      <w:r>
        <w:t xml:space="preserve"> </w:t>
      </w:r>
      <w:r>
        <w:t xml:space="preserve">liquidated outside the harmonised resolution framework, under existing heterogeneous</w:t>
      </w:r>
      <w:r>
        <w:t xml:space="preserve"> </w:t>
      </w:r>
      <w:r>
        <w:t xml:space="preserve">national regimes, where in some cases only disorderly and costly insolvency proceedings</w:t>
      </w:r>
      <w:r>
        <w:t xml:space="preserve"> </w:t>
      </w:r>
      <w:r>
        <w:t xml:space="preserve">or solutions involving taxpayer money exist. This would weaken consumer confidence in</w:t>
      </w:r>
      <w:r>
        <w:t xml:space="preserve"> </w:t>
      </w:r>
      <w:r>
        <w:t xml:space="preserve">the EU banking sector and the predictability and level playing field of our single market</w:t>
      </w:r>
      <w:r>
        <w:t xml:space="preserve"> </w:t>
      </w:r>
      <w:r>
        <w:t xml:space="preserve">for banking, and of the Banking Union in particular.</w:t>
      </w:r>
      <w:r>
        <w:br/>
      </w:r>
      <w:r>
        <w:t xml:space="preserve">More concretely, first, the handling of banks’ failure would remain inefficient from a</w:t>
      </w:r>
      <w:r>
        <w:t xml:space="preserve"> </w:t>
      </w:r>
      <w:r>
        <w:t xml:space="preserve">cost perspective, as taxpayer money would continue to be used despite the build-up of</w:t>
      </w:r>
      <w:r>
        <w:t xml:space="preserve"> </w:t>
      </w:r>
      <w:r>
        <w:t xml:space="preserve">considerable MREL buffers and very significant safety nets (e.g. the SRF is forecasted to</w:t>
      </w:r>
      <w:r>
        <w:t xml:space="preserve"> </w:t>
      </w:r>
      <w:r>
        <w:t xml:space="preserve">exceed EUR 80 bn by the end of 2023 in the Banking Union and the aggregate amount of</w:t>
      </w:r>
    </w:p>
    <w:p>
      <w:pPr>
        <w:pStyle w:val="BodyText"/>
      </w:pPr>
      <w:r>
        <w:t xml:space="preserve">68 Minimum bail-in rule of 8% TLOF for solvency support, while no minimum bail-in rule for liquidity</w:t>
      </w:r>
      <w:r>
        <w:t xml:space="preserve"> </w:t>
      </w:r>
      <w:r>
        <w:t xml:space="preserve">provision.</w:t>
      </w:r>
      <w:r>
        <w:t xml:space="preserve"> </w:t>
      </w:r>
      <w:r>
        <w:t xml:space="preserve">69 See Annex 8, section 2.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national DGSs to exceed EUR 56 bn across the EU). Also, the franchise value of the</w:t>
      </w:r>
      <w:r>
        <w:t xml:space="preserve"> </w:t>
      </w:r>
      <w:r>
        <w:t xml:space="preserve">failing bank’s assets and its client relationship would deteriorate, leading to overall loss</w:t>
      </w:r>
      <w:r>
        <w:t xml:space="preserve"> </w:t>
      </w:r>
      <w:r>
        <w:t xml:space="preserve">of value. Second, costs would not be sufficiently redistributed from taxpayers to</w:t>
      </w:r>
      <w:r>
        <w:t xml:space="preserve"> </w:t>
      </w:r>
      <w:r>
        <w:t xml:space="preserve">shareholders and creditors, despite this being one of the main objectives of the</w:t>
      </w:r>
      <w:r>
        <w:t xml:space="preserve"> </w:t>
      </w:r>
      <w:r>
        <w:t xml:space="preserve">BRRD/SRMR and the Banking Union created in the aftermath of the global financial</w:t>
      </w:r>
      <w:r>
        <w:t xml:space="preserve"> </w:t>
      </w:r>
      <w:r>
        <w:t xml:space="preserve">crisis. Third, the baseline option would not foster consumer confidence in the banking</w:t>
      </w:r>
      <w:r>
        <w:t xml:space="preserve"> </w:t>
      </w:r>
      <w:r>
        <w:t xml:space="preserve">sector, in particular when the certainty of outcomes cannot be guaranteed, which may</w:t>
      </w:r>
      <w:r>
        <w:t xml:space="preserve"> </w:t>
      </w:r>
      <w:r>
        <w:t xml:space="preserve">create spiralling contagion to other banks and the risk that bank clients may start</w:t>
      </w:r>
      <w:r>
        <w:t xml:space="preserve"> </w:t>
      </w:r>
      <w:r>
        <w:t xml:space="preserve">questioning the solidity of the system and its safety nets, with no improvement over what</w:t>
      </w:r>
      <w:r>
        <w:t xml:space="preserve"> </w:t>
      </w:r>
      <w:r>
        <w:t xml:space="preserve">could happen under insolvency proceedings.</w:t>
      </w:r>
      <w:r>
        <w:t xml:space="preserve"> </w:t>
      </w:r>
      <w:r>
        <w:t xml:space="preserve">The European Parliament and the Council have also acknowledged this risk and</w:t>
      </w:r>
      <w:r>
        <w:t xml:space="preserve"> </w:t>
      </w:r>
      <w:r>
        <w:t xml:space="preserve">repeatedly called on the Commission to deliver the CMDI legislative package with high</w:t>
      </w:r>
      <w:r>
        <w:t xml:space="preserve"> </w:t>
      </w:r>
      <w:r>
        <w:t xml:space="preserve">urgency.</w:t>
      </w:r>
      <w:r>
        <w:t xml:space="preserve"> </w:t>
      </w:r>
      <w:r>
        <w:t xml:space="preserve">5.4. Overview of the policy options</w:t>
      </w:r>
      <w:r>
        <w:t xml:space="preserve"> </w:t>
      </w:r>
      <w:r>
        <w:t xml:space="preserve">Figure 7: Overview of policy option packages and the interaction of their key elements</w:t>
      </w:r>
    </w:p>
    <w:p>
      <w:pPr>
        <w:pStyle w:val="BodyText"/>
      </w:pPr>
      <w:r>
        <w:t xml:space="preserve">Source: Commission Services</w:t>
      </w:r>
      <w:r>
        <w:t xml:space="preserve"> </w:t>
      </w:r>
      <w:r>
        <w:t xml:space="preserve">* Eurogroup statement of 16 June 2022.</w:t>
      </w:r>
      <w:r>
        <w:t xml:space="preserve"> </w:t>
      </w:r>
      <w:r>
        <w:t xml:space="preserve">5.5. Common elements across the packages of options</w:t>
      </w:r>
      <w:r>
        <w:t xml:space="preserve"> </w:t>
      </w:r>
      <w:r>
        <w:t xml:space="preserve">Some changes proposed are common across all option packages (except the baseline).</w:t>
      </w:r>
      <w:r>
        <w:t xml:space="preserve"> </w:t>
      </w:r>
      <w:r>
        <w:t xml:space="preserve">These include elements related to: depositor protection, early intervention measures,</w:t>
      </w:r>
      <w:r>
        <w:t xml:space="preserve"> </w:t>
      </w:r>
      <w:r>
        <w:t xml:space="preserve">triggering of failing or likely to fail status of a bank (FOLF) and winding-up under</w:t>
      </w:r>
      <w:r>
        <w:t xml:space="preserve"> </w:t>
      </w:r>
      <w:r>
        <w:t xml:space="preserve">insolvency.</w:t>
      </w:r>
      <w:r>
        <w:br/>
      </w:r>
      <w:r>
        <w:t xml:space="preserve">The packages of options closely follow the advice provided by the EBA for the CMDI</w:t>
      </w:r>
      <w:r>
        <w:t xml:space="preserve"> </w:t>
      </w:r>
      <w:r>
        <w:t xml:space="preserve">review through the set of four opinions dedicated to the review of the DGSD functioning</w:t>
      </w:r>
      <w:r>
        <w:t xml:space="preserve"> </w:t>
      </w:r>
      <w:r>
        <w:t xml:space="preserve">and the response to the call for advice on funding in resolution.</w:t>
      </w:r>
      <w:r>
        <w:t xml:space="preserve"> </w:t>
      </w:r>
      <w:r>
        <w:t xml:space="preserve">As shown in the evaluation in Annex 5 and the problem definition, these aspects would</w:t>
      </w:r>
      <w:r>
        <w:t xml:space="preserve"> </w:t>
      </w:r>
      <w:r>
        <w:t xml:space="preserve">require amendments to improve the framework, however they are not driving the</w:t>
      </w:r>
      <w:r>
        <w:t xml:space="preserve"> </w:t>
      </w:r>
      <w:r>
        <w:t xml:space="preserve">distinctions among the option packages. Alternatives to the proposed policy changes on</w:t>
      </w:r>
      <w:r>
        <w:t xml:space="preserve"> </w:t>
      </w:r>
      <w:r>
        <w:t xml:space="preserve">the common elements have been analysed and evaluated in Annexes 6, 7 and 8 and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subsequently, the preferred option for the common elements was integrated in this impact</w:t>
      </w:r>
      <w:r>
        <w:t xml:space="preserve"> </w:t>
      </w:r>
      <w:r>
        <w:t xml:space="preserve">assessment (section 6.3). As shown in these annexes, the analysed alternatives to the</w:t>
      </w:r>
      <w:r>
        <w:t xml:space="preserve"> </w:t>
      </w:r>
      <w:r>
        <w:t xml:space="preserve">preferred policy options would not have addressed the problems of clarity and</w:t>
      </w:r>
      <w:r>
        <w:t xml:space="preserve"> </w:t>
      </w:r>
      <w:r>
        <w:t xml:space="preserve">predictability of the framework to the same extent as the preferred options. Including all</w:t>
      </w:r>
      <w:r>
        <w:t xml:space="preserve"> </w:t>
      </w:r>
      <w:r>
        <w:t xml:space="preserve">possible variations for these elements in the packages of options as alternative options</w:t>
      </w:r>
      <w:r>
        <w:t xml:space="preserve"> </w:t>
      </w:r>
      <w:r>
        <w:t xml:space="preserve">would have resulted in a very large number of possible combinations. Some of these</w:t>
      </w:r>
      <w:r>
        <w:t xml:space="preserve"> </w:t>
      </w:r>
      <w:r>
        <w:t xml:space="preserve">would have been rather arbitrary and would have complicated the reading of the options</w:t>
      </w:r>
      <w:r>
        <w:t xml:space="preserve"> </w:t>
      </w:r>
      <w:r>
        <w:t xml:space="preserve">without adding value in terms of coherence and consistency.</w:t>
      </w:r>
      <w:r>
        <w:br/>
      </w:r>
      <w:r>
        <w:t xml:space="preserve">In view of these considerations, the main report will focus on the core elements driving</w:t>
      </w:r>
      <w:r>
        <w:t xml:space="preserve"> </w:t>
      </w:r>
      <w:r>
        <w:t xml:space="preserve">the main differences across the coherent packages and which are described in Chapter 6:</w:t>
      </w:r>
      <w:r>
        <w:t xml:space="preserve"> </w:t>
      </w:r>
      <w:r>
        <w:t xml:space="preserve">the scope of resolution (PIA), the funding solution and access conditions to the industry-</w:t>
      </w:r>
      <w:r>
        <w:t xml:space="preserve"> </w:t>
      </w:r>
      <w:r>
        <w:t xml:space="preserve">funded safety nets, DGS interventions and related conditions and possible cost synergies</w:t>
      </w:r>
      <w:r>
        <w:t xml:space="preserve"> </w:t>
      </w:r>
      <w:r>
        <w:t xml:space="preserve">for banks. In the absence of EDIS, the governance and decision making process on the</w:t>
      </w:r>
      <w:r>
        <w:t xml:space="preserve"> </w:t>
      </w:r>
      <w:r>
        <w:t xml:space="preserve">use of funds between national and European authorities (SRB) would not change in</w:t>
      </w:r>
      <w:r>
        <w:t xml:space="preserve"> </w:t>
      </w:r>
      <w:r>
        <w:t xml:space="preserve">principle under this initiative.</w:t>
      </w:r>
      <w:r>
        <w:t xml:space="preserve"> </w:t>
      </w:r>
      <w:r>
        <w:t xml:space="preserve">Figure 8: Elements common across all option packages (see also section 6.3 and</w:t>
      </w:r>
      <w:r>
        <w:t xml:space="preserve"> </w:t>
      </w:r>
      <w:r>
        <w:t xml:space="preserve">Annex 8)</w:t>
      </w:r>
    </w:p>
    <w:p>
      <w:pPr>
        <w:pStyle w:val="BodyText"/>
      </w:pPr>
      <w:r>
        <w:t xml:space="preserve">Source: Commission Services</w:t>
      </w:r>
      <w:r>
        <w:t xml:space="preserve"> </w:t>
      </w:r>
      <w:r>
        <w:t xml:space="preserve">5.6. Options discarded at an early stage</w:t>
      </w:r>
      <w:r>
        <w:t xml:space="preserve"> </w:t>
      </w:r>
      <w:r>
        <w:t xml:space="preserve">Additional policy options were analysed and discarded at an early stage: (i) resolution as</w:t>
      </w:r>
      <w:r>
        <w:t xml:space="preserve"> </w:t>
      </w:r>
      <w:r>
        <w:t xml:space="preserve">the sole procedure for banks needing restructuring, (ii) set-up of a parallel harmonised</w:t>
      </w:r>
      <w:r>
        <w:t xml:space="preserve"> </w:t>
      </w:r>
      <w:r>
        <w:t xml:space="preserve">national regime in insolvency – an orderly liquidation tool, (iii) withdrawal of the 2015</w:t>
      </w:r>
      <w:r>
        <w:t xml:space="preserve"> </w:t>
      </w:r>
      <w:r>
        <w:t xml:space="preserve">Commission EDIS proposal without a replacement and (iv) incompatible permutations</w:t>
      </w:r>
      <w:r>
        <w:t xml:space="preserve"> </w:t>
      </w:r>
      <w:r>
        <w:t xml:space="preserve">between elements in the option packages presented in Chapter 6. The assessment of these</w:t>
      </w:r>
      <w:r>
        <w:t xml:space="preserve"> </w:t>
      </w:r>
      <w:r>
        <w:t xml:space="preserve">additional options together with a rationale for their discarding is presented in Annex 14.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 AND HOW DO THEY COMPARE?</w:t>
      </w:r>
      <w:r>
        <w:t xml:space="preserve"> </w:t>
      </w:r>
      <w:r>
        <w:t xml:space="preserve">In this section, each package of policy options considered is assessed against how it</w:t>
      </w:r>
      <w:r>
        <w:t xml:space="preserve"> </w:t>
      </w:r>
      <w:r>
        <w:t xml:space="preserve">addresses the identified problems and problem drivers (see Chapter 2) along the criteria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of effectiveness (general objectives), efficiency (benefits-costs), political considerations,</w:t>
      </w:r>
      <w:r>
        <w:t xml:space="preserve"> </w:t>
      </w:r>
      <w:r>
        <w:t xml:space="preserve">feasibility70 and coherence with EU rules.</w:t>
      </w:r>
      <w:r>
        <w:br/>
      </w:r>
      <w:r>
        <w:t xml:space="preserve">Each of the three packages of policy options (other than the baseline) strives to create an</w:t>
      </w:r>
      <w:r>
        <w:t xml:space="preserve"> </w:t>
      </w:r>
      <w:r>
        <w:t xml:space="preserve">incentive-compatible framework where the application of resolution tools and of</w:t>
      </w:r>
      <w:r>
        <w:t xml:space="preserve"> </w:t>
      </w:r>
      <w:r>
        <w:t xml:space="preserve">alternatives outside resolution is achieved in a more consistent manner, increasing legal</w:t>
      </w:r>
      <w:r>
        <w:t xml:space="preserve"> </w:t>
      </w:r>
      <w:r>
        <w:t xml:space="preserve">certainty and predictability, levelling the playing field to safeguard the functioning of the</w:t>
      </w:r>
      <w:r>
        <w:t xml:space="preserve"> </w:t>
      </w:r>
      <w:r>
        <w:t xml:space="preserve">single market, facilitating access to common safety nets, protecting depositors and</w:t>
      </w:r>
      <w:r>
        <w:t xml:space="preserve"> </w:t>
      </w:r>
      <w:r>
        <w:t xml:space="preserve">ensuring consumer confidence, while reducing the contingency for taxpayer funds.</w:t>
      </w:r>
      <w:r>
        <w:t xml:space="preserve"> </w:t>
      </w:r>
      <w:r>
        <w:t xml:space="preserve">Depending on the degree of ambition embedded in their design, the packages of options</w:t>
      </w:r>
      <w:r>
        <w:t xml:space="preserve"> </w:t>
      </w:r>
      <w:r>
        <w:t xml:space="preserve">achieve these objectives to a different extent, also with a varying degree of political</w:t>
      </w:r>
      <w:r>
        <w:t xml:space="preserve"> </w:t>
      </w:r>
      <w:r>
        <w:t xml:space="preserve">feasibility.</w:t>
      </w:r>
      <w:r>
        <w:t xml:space="preserve"> </w:t>
      </w:r>
      <w:r>
        <w:t xml:space="preserve">The key features analysed under each option in relation to the mentioned criteria and</w:t>
      </w:r>
      <w:r>
        <w:t xml:space="preserve"> </w:t>
      </w:r>
      <w:r>
        <w:t xml:space="preserve">which drive the differences across the option packages, are: the clarification of the</w:t>
      </w:r>
      <w:r>
        <w:t xml:space="preserve"> </w:t>
      </w:r>
      <w:r>
        <w:t xml:space="preserve">resolution scope through the PIA, the conditions to access industry-funded safety nets,</w:t>
      </w:r>
      <w:r>
        <w:t xml:space="preserve"> </w:t>
      </w:r>
      <w:r>
        <w:t xml:space="preserve">the use of DGS funds and the harmonisation of its access conditions across various types</w:t>
      </w:r>
      <w:r>
        <w:t xml:space="preserve"> </w:t>
      </w:r>
      <w:r>
        <w:t xml:space="preserve">of interventions, implementing a depositor preference in the hierarchy of claims and</w:t>
      </w:r>
      <w:r>
        <w:t xml:space="preserve"> </w:t>
      </w:r>
      <w:r>
        <w:t xml:space="preserve">synergies through cost reductions for the industry. These dimensions are the most</w:t>
      </w:r>
      <w:r>
        <w:t xml:space="preserve"> </w:t>
      </w:r>
      <w:r>
        <w:t xml:space="preserve">important in the overall comparison of option packages because they touch on the core</w:t>
      </w:r>
      <w:r>
        <w:t xml:space="preserve"> </w:t>
      </w:r>
      <w:r>
        <w:t xml:space="preserve">issues identified in Chapter 2 and they determine the coherence and interdependence</w:t>
      </w:r>
      <w:r>
        <w:t xml:space="preserve"> </w:t>
      </w:r>
      <w:r>
        <w:t xml:space="preserve">between the sub-elements of the consistent packages of options.</w:t>
      </w:r>
      <w:r>
        <w:br/>
      </w:r>
      <w:r>
        <w:t xml:space="preserve">The policy option packages 2 and 3 are assessed against the background of the 2015</w:t>
      </w:r>
      <w:r>
        <w:t xml:space="preserve"> </w:t>
      </w:r>
      <w:r>
        <w:t xml:space="preserve">EDIS proposal under the assumption that political negotiations remain on hold71, while</w:t>
      </w:r>
      <w:r>
        <w:t xml:space="preserve"> </w:t>
      </w:r>
      <w:r>
        <w:t xml:space="preserve">the policy package 4 is a technical option included for completeness, assuming the</w:t>
      </w:r>
      <w:r>
        <w:t xml:space="preserve"> </w:t>
      </w:r>
      <w:r>
        <w:t xml:space="preserve">implementation of EDIS as the third pillar of the Banking Union (although EDIS has not</w:t>
      </w:r>
      <w:r>
        <w:t xml:space="preserve"> </w:t>
      </w:r>
      <w:r>
        <w:t xml:space="preserve">yet been politically endorsed by the Council or European Parliament).</w:t>
      </w:r>
      <w:r>
        <w:t xml:space="preserve"> </w:t>
      </w:r>
      <w:r>
        <w:t xml:space="preserve">The most relevant evidence underpinning the analysis of policy options in this chapter</w:t>
      </w:r>
      <w:r>
        <w:t xml:space="preserve"> </w:t>
      </w:r>
      <w:r>
        <w:t xml:space="preserve">includes, among others, analysis of past cases of bank failures, data provided by the EBA</w:t>
      </w:r>
      <w:r>
        <w:t xml:space="preserve"> </w:t>
      </w:r>
      <w:r>
        <w:t xml:space="preserve">in its opinions on the functioning of the DGSD in the current framework, empirical</w:t>
      </w:r>
      <w:r>
        <w:t xml:space="preserve"> </w:t>
      </w:r>
      <w:r>
        <w:t xml:space="preserve">evidence by the EBA in its reply to the Commission’s call for advice on funding issues in</w:t>
      </w:r>
      <w:r>
        <w:t xml:space="preserve"> </w:t>
      </w:r>
      <w:r>
        <w:t xml:space="preserve">resolution and empirical evidence provided by the Commission’s JRC regarding key</w:t>
      </w:r>
      <w:r>
        <w:t xml:space="preserve"> </w:t>
      </w:r>
      <w:r>
        <w:t xml:space="preserve">policy options pertaining to the DGSD related policy options. A complementary, more</w:t>
      </w:r>
      <w:r>
        <w:t xml:space="preserve"> </w:t>
      </w:r>
      <w:r>
        <w:t xml:space="preserve">detailed summary of the evidence used in this impact assessment is also provided in</w:t>
      </w:r>
      <w:r>
        <w:t xml:space="preserve"> </w:t>
      </w:r>
      <w:r>
        <w:t xml:space="preserve">Annex 1, sections 3 and 4.</w:t>
      </w:r>
      <w:r>
        <w:t xml:space="preserve"> </w:t>
      </w:r>
      <w:r>
        <w:t xml:space="preserve">6.1. Assessment of policy options</w:t>
      </w:r>
      <w:r>
        <w:t xml:space="preserve"> </w:t>
      </w:r>
      <w:r>
        <w:t xml:space="preserve">6.1.1. Option 2 – Slightly improved resolution funding and commensurate</w:t>
      </w:r>
      <w:r>
        <w:t xml:space="preserve"> </w:t>
      </w:r>
      <w:r>
        <w:t xml:space="preserve">resolution scope</w:t>
      </w:r>
    </w:p>
    <w:p>
      <w:pPr>
        <w:pStyle w:val="BodyText"/>
      </w:pPr>
      <w:r>
        <w:t xml:space="preserve">70 Political considerations and feasibility are important aspects in the assessment of the option packages. In</w:t>
      </w:r>
      <w:r>
        <w:t xml:space="preserve"> </w:t>
      </w:r>
      <w:r>
        <w:t xml:space="preserve">particular, certain elements of a potential reform – such as the use of funds, conditions to access funding or</w:t>
      </w:r>
      <w:r>
        <w:t xml:space="preserve"> </w:t>
      </w:r>
      <w:r>
        <w:t xml:space="preserve">the completion of the Banking Union with its third pillar, EDIS implying mutualisation of funds are</w:t>
      </w:r>
      <w:r>
        <w:t xml:space="preserve"> </w:t>
      </w:r>
      <w:r>
        <w:t xml:space="preserve">inherently political, as shown also by the interrupted negotiations of the 2015 proposal.</w:t>
      </w:r>
      <w:r>
        <w:t xml:space="preserve"> </w:t>
      </w:r>
      <w:r>
        <w:t xml:space="preserve">71 I.e. 2015 EDIS proposal not withdrawn and no new hybrid EDIS proposal tabled.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This option entails a revision of several elements of the CMDI framework, where slightly</w:t>
      </w:r>
      <w:r>
        <w:t xml:space="preserve"> </w:t>
      </w:r>
      <w:r>
        <w:t xml:space="preserve">more resolution funding would be made available and, therefore, a commensurate larger</w:t>
      </w:r>
      <w:r>
        <w:t xml:space="preserve"> </w:t>
      </w:r>
      <w:r>
        <w:t xml:space="preserve">scope of banks would be placed in resolution compared to the baseline. However, the</w:t>
      </w:r>
      <w:r>
        <w:t xml:space="preserve"> </w:t>
      </w:r>
      <w:r>
        <w:t xml:space="preserve">outcome in terms of fixing the issues identified and reaching the objectives listed in</w:t>
      </w:r>
      <w:r>
        <w:t xml:space="preserve"> </w:t>
      </w:r>
      <w:r>
        <w:t xml:space="preserve">chapter 4 will be marginal in comparison with options 3 and 4.</w:t>
      </w:r>
      <w:r>
        <w:br/>
      </w:r>
      <w:r>
        <w:t xml:space="preserve">6.1.1.1. Public interest assessment</w:t>
      </w:r>
      <w:r>
        <w:t xml:space="preserve"> </w:t>
      </w:r>
      <w:r>
        <w:t xml:space="preserve">Under this option, a widening of the PIA scope would be achieved through legislative</w:t>
      </w:r>
      <w:r>
        <w:t xml:space="preserve"> </w:t>
      </w:r>
      <w:r>
        <w:t xml:space="preserve">change to ensure that, following this assessment, resolution would be applied to more</w:t>
      </w:r>
      <w:r>
        <w:t xml:space="preserve"> </w:t>
      </w:r>
      <w:r>
        <w:t xml:space="preserve">institutions than under the baseline option, when this best achieves the objectives of</w:t>
      </w:r>
      <w:r>
        <w:t xml:space="preserve"> </w:t>
      </w:r>
      <w:r>
        <w:t xml:space="preserve">preserving financial stability, protecting deposits and taxpayer funds. While retaining the</w:t>
      </w:r>
      <w:r>
        <w:t xml:space="preserve"> </w:t>
      </w:r>
      <w:r>
        <w:t xml:space="preserve">discretionary nature of the PIA decision by the resolution authority, the PIA legal</w:t>
      </w:r>
      <w:r>
        <w:t xml:space="preserve"> </w:t>
      </w:r>
      <w:r>
        <w:t xml:space="preserve">amendments would include additional considerations for the achievement of the</w:t>
      </w:r>
      <w:r>
        <w:t xml:space="preserve"> </w:t>
      </w:r>
      <w:r>
        <w:t xml:space="preserve">resolution objectives such as: (i) a regional dimension in the assessment of critical</w:t>
      </w:r>
      <w:r>
        <w:t xml:space="preserve"> </w:t>
      </w:r>
      <w:r>
        <w:t xml:space="preserve">functions of the bank and of risks to financial stability (in addition to national one as in</w:t>
      </w:r>
      <w:r>
        <w:t xml:space="preserve"> </w:t>
      </w:r>
      <w:r>
        <w:t xml:space="preserve">the current framework), (ii) the need to preserve DGS resources and (iii) the possible</w:t>
      </w:r>
      <w:r>
        <w:t xml:space="preserve"> </w:t>
      </w:r>
      <w:r>
        <w:t xml:space="preserve">granting of State aid in insolvency72. However, under this option, the amendments to the</w:t>
      </w:r>
      <w:r>
        <w:t xml:space="preserve"> </w:t>
      </w:r>
      <w:r>
        <w:t xml:space="preserve">PIA would not include a positive presumption of public interest/resolution unlike under</w:t>
      </w:r>
      <w:r>
        <w:t xml:space="preserve"> </w:t>
      </w:r>
      <w:r>
        <w:t xml:space="preserve">option 4. Option 2 would improve, to some extent, the legal certainty in applying the PIA</w:t>
      </w:r>
      <w:r>
        <w:t xml:space="preserve"> </w:t>
      </w:r>
      <w:r>
        <w:t xml:space="preserve">and determining the scope of banks going in resolution and better frame the discretion of</w:t>
      </w:r>
      <w:r>
        <w:t xml:space="preserve"> </w:t>
      </w:r>
      <w:r>
        <w:t xml:space="preserve">resolution authorities. However, higher risks of divergences across the EU are likely to</w:t>
      </w:r>
      <w:r>
        <w:t xml:space="preserve"> </w:t>
      </w:r>
      <w:r>
        <w:t xml:space="preserve">remain in the absence of sufficient access to funding. Such a relative expansion of the</w:t>
      </w:r>
      <w:r>
        <w:t xml:space="preserve"> </w:t>
      </w:r>
      <w:r>
        <w:t xml:space="preserve">resolution scope to more small/medium-sized banks under this option is coherent with a</w:t>
      </w:r>
      <w:r>
        <w:t xml:space="preserve"> </w:t>
      </w:r>
      <w:r>
        <w:t xml:space="preserve">relatively less robust funding solution when compared to options 3 and 4. As described in</w:t>
      </w:r>
      <w:r>
        <w:t xml:space="preserve"> </w:t>
      </w:r>
      <w:r>
        <w:t xml:space="preserve">the next section, the funding solution of option 2 may fail to effectively underpin a</w:t>
      </w:r>
      <w:r>
        <w:t xml:space="preserve"> </w:t>
      </w:r>
      <w:r>
        <w:t xml:space="preserve">broader application of resolution tools to more smaller/medium-sized banks due to the</w:t>
      </w:r>
      <w:r>
        <w:t xml:space="preserve"> </w:t>
      </w:r>
      <w:r>
        <w:t xml:space="preserve">lack of sufficient funding to sustain resolution actions. The number of additional banks</w:t>
      </w:r>
      <w:r>
        <w:t xml:space="preserve"> </w:t>
      </w:r>
      <w:r>
        <w:t xml:space="preserve">that were earmarked for liquidation strategy under the baseline and would go in</w:t>
      </w:r>
      <w:r>
        <w:t xml:space="preserve"> </w:t>
      </w:r>
      <w:r>
        <w:t xml:space="preserve">resolution under this option cannot be estimated upfront, as the PIA remains a case-by-</w:t>
      </w:r>
      <w:r>
        <w:t xml:space="preserve"> </w:t>
      </w:r>
      <w:r>
        <w:t xml:space="preserve">case assessment by resolution authorities, retaining elements of discretion and is highly</w:t>
      </w:r>
      <w:r>
        <w:t xml:space="preserve"> </w:t>
      </w:r>
      <w:r>
        <w:t xml:space="preserve">dependent on the financial condition of the bank at the moment of failure as well as on its</w:t>
      </w:r>
      <w:r>
        <w:t xml:space="preserve"> </w:t>
      </w:r>
      <w:r>
        <w:t xml:space="preserve">access to funding (bank’s loss absorption capacity and safety nets) to conduct a</w:t>
      </w:r>
      <w:r>
        <w:t xml:space="preserve"> </w:t>
      </w:r>
      <w:r>
        <w:t xml:space="preserve">successful resolution. Moreover, the strategy set out for a bank by the resolution</w:t>
      </w:r>
      <w:r>
        <w:t xml:space="preserve"> </w:t>
      </w:r>
      <w:r>
        <w:t xml:space="preserve">authority at the planning stage (resolution versus liquidation) is a presumptive path based</w:t>
      </w:r>
      <w:r>
        <w:t xml:space="preserve"> </w:t>
      </w:r>
      <w:r>
        <w:t xml:space="preserve">on backward looking information which allows deviations to take account of the specific</w:t>
      </w:r>
      <w:r>
        <w:t xml:space="preserve"> </w:t>
      </w:r>
      <w:r>
        <w:t xml:space="preserve">situation at the moment of failure (e.g. idiosyncratic versus systemic crisis, level of</w:t>
      </w:r>
      <w:r>
        <w:t xml:space="preserve"> </w:t>
      </w:r>
      <w:r>
        <w:t xml:space="preserve">losses, available loss absorbing capacity in the bank, existence of a buyer, access to</w:t>
      </w:r>
      <w:r>
        <w:t xml:space="preserve"> </w:t>
      </w:r>
      <w:r>
        <w:t xml:space="preserve">funding from safety nets if needed, impact on deposits and on financial stability).</w:t>
      </w:r>
      <w:r>
        <w:t xml:space="preserve"> </w:t>
      </w:r>
      <w:r>
        <w:t xml:space="preserve">6.1.1.2. Conditions to access industry-funded safety nets</w:t>
      </w:r>
    </w:p>
    <w:p>
      <w:pPr>
        <w:pStyle w:val="BodyText"/>
      </w:pPr>
      <w:r>
        <w:t xml:space="preserve">72 SRB (May 2021), SRB’s updated approach to PIA, System-wide events in the public interest assessment.</w:t>
      </w:r>
      <w:r>
        <w:t xml:space="preserve"> </w:t>
      </w:r>
      <w:r>
        <w:t xml:space="preserve">The SRB already took steps to clarify the PIA in its internal policy. Also, please refer to Chapter 2, section</w:t>
      </w:r>
      <w:r>
        <w:t xml:space="preserve"> </w:t>
      </w:r>
      <w:r>
        <w:t xml:space="preserve">2.1.3 and the evaluation Annex 5, section 7.1.3.4.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Broadening the scope of PIA and placing more banks in resolution without facilitating</w:t>
      </w:r>
      <w:r>
        <w:t xml:space="preserve"> </w:t>
      </w:r>
      <w:r>
        <w:t xml:space="preserve">access to more funding in resolution, in particular for small/medium-sized banks with a</w:t>
      </w:r>
      <w:r>
        <w:t xml:space="preserve"> </w:t>
      </w:r>
      <w:r>
        <w:t xml:space="preserve">large deposit base, would increase the risk to financial stability or recourse to taxpayer</w:t>
      </w:r>
      <w:r>
        <w:t xml:space="preserve"> </w:t>
      </w:r>
      <w:r>
        <w:t xml:space="preserve">money. Therefore, the design of these two features, scope expansion and funding, have to</w:t>
      </w:r>
      <w:r>
        <w:t xml:space="preserve"> </w:t>
      </w:r>
      <w:r>
        <w:t xml:space="preserve">be approached consistently and holistically.</w:t>
      </w:r>
      <w:r>
        <w:br/>
      </w:r>
      <w:r>
        <w:t xml:space="preserve">The core access condition to the RF/SRF (minimum bail-in of 8% TLOF) remains in</w:t>
      </w:r>
      <w:r>
        <w:t xml:space="preserve"> </w:t>
      </w:r>
      <w:r>
        <w:t xml:space="preserve">place to ensure protection of the fund against moral hazard73. Under this option and only</w:t>
      </w:r>
      <w:r>
        <w:t xml:space="preserve"> </w:t>
      </w:r>
      <w:r>
        <w:t xml:space="preserve">in case of transfer strategies74, depositors (including beyond covered ones) could be</w:t>
      </w:r>
      <w:r>
        <w:t xml:space="preserve"> </w:t>
      </w:r>
      <w:r>
        <w:t xml:space="preserve">shielded from taking losses in order to meet this requirement, provided that such</w:t>
      </w:r>
      <w:r>
        <w:t xml:space="preserve"> </w:t>
      </w:r>
      <w:r>
        <w:t xml:space="preserve">discretionary exclusion from bail-in is justified on financial stability grounds, as already</w:t>
      </w:r>
      <w:r>
        <w:t xml:space="preserve"> </w:t>
      </w:r>
      <w:r>
        <w:t xml:space="preserve">foreseen by the framework. To achieve this objective, once the first line of defence</w:t>
      </w:r>
      <w:r>
        <w:t xml:space="preserve"> </w:t>
      </w:r>
      <w:r>
        <w:t xml:space="preserve">against losses – the internal loss absorbing capacity of the bank (except deposits) is used,</w:t>
      </w:r>
      <w:r>
        <w:t xml:space="preserve"> </w:t>
      </w:r>
      <w:r>
        <w:t xml:space="preserve">the DGS would intervene75 to support transfer strategies with market exit and cover</w:t>
      </w:r>
      <w:r>
        <w:t xml:space="preserve"> </w:t>
      </w:r>
      <w:r>
        <w:t xml:space="preserve">losses that would have otherwise been allocated to depositors to meet the 8% TLOF</w:t>
      </w:r>
      <w:r>
        <w:t xml:space="preserve"> </w:t>
      </w:r>
      <w:r>
        <w:t xml:space="preserve">requirement in order to access the RF/SRF. The DGS can intervene to this effect, if</w:t>
      </w:r>
      <w:r>
        <w:t xml:space="preserve"> </w:t>
      </w:r>
      <w:r>
        <w:t xml:space="preserve">allowed, and up to the amount determined by the least cost test to ensure that the</w:t>
      </w:r>
      <w:r>
        <w:t xml:space="preserve"> </w:t>
      </w:r>
      <w:r>
        <w:t xml:space="preserve">intervention is less costly than in a payout of covered deposits. Subject to conditions and</w:t>
      </w:r>
      <w:r>
        <w:t xml:space="preserve"> </w:t>
      </w:r>
      <w:r>
        <w:t xml:space="preserve">safeguards (only transfer strategies with market exit and least cost test - see also Box 2</w:t>
      </w:r>
      <w:r>
        <w:t xml:space="preserve"> </w:t>
      </w:r>
      <w:r>
        <w:t xml:space="preserve">for further details), this adjustment would facilitate the use of RF/SRF (a combination of</w:t>
      </w:r>
      <w:r>
        <w:t xml:space="preserve"> </w:t>
      </w:r>
      <w:r>
        <w:t xml:space="preserve">DGS and RF/SRF) for a larger number of smaller/medium-sized banks with a large</w:t>
      </w:r>
      <w:r>
        <w:t xml:space="preserve"> </w:t>
      </w:r>
      <w:r>
        <w:t xml:space="preserve">deposit base, while maintaining a strict access condition to the fund, avoiding moral</w:t>
      </w:r>
      <w:r>
        <w:t xml:space="preserve"> </w:t>
      </w:r>
      <w:r>
        <w:t xml:space="preserve">hazard and at the same time allowing resolution authorities to shield depositors from</w:t>
      </w:r>
      <w:r>
        <w:t xml:space="preserve"> </w:t>
      </w:r>
      <w:r>
        <w:t xml:space="preserve">taking losses when that is a threat to financial stability76.</w:t>
      </w:r>
      <w:r>
        <w:br/>
      </w:r>
      <w:r>
        <w:t xml:space="preserve">As shown by the statistical analysis in Annex 7 (section 3.2.1), under a baseline</w:t>
      </w:r>
      <w:r>
        <w:t xml:space="preserve"> </w:t>
      </w:r>
      <w:r>
        <w:t xml:space="preserve">scenario77, deposits (non-preferred, preferred and in a few cases also covered) in 96</w:t>
      </w:r>
      <w:r>
        <w:t xml:space="preserve"> </w:t>
      </w:r>
      <w:r>
        <w:t xml:space="preserve">banks (26.1%) located in 20 Member States would suffer losses when reaching the 8%</w:t>
      </w:r>
      <w:r>
        <w:t xml:space="preserve"> </w:t>
      </w:r>
      <w:r>
        <w:t xml:space="preserve">TLOF threshold up to an aggregate amount of EUR 18.3 bn, based on balance sheet data</w:t>
      </w:r>
      <w:r>
        <w:t xml:space="preserve"> </w:t>
      </w:r>
      <w:r>
        <w:t xml:space="preserve">as of Q4 2019. In three Member States, deposits in more than half of the banks in the</w:t>
      </w:r>
      <w:r>
        <w:t xml:space="preserve"> </w:t>
      </w:r>
      <w:r>
        <w:t xml:space="preserve">sample would be affected. When only institutions which already had resolution strategies</w:t>
      </w:r>
      <w:r>
        <w:t xml:space="preserve"> </w:t>
      </w:r>
      <w:r>
        <w:t xml:space="preserve">under the 2019 PIA decision were considered, deposits in 44 banks would be affected up</w:t>
      </w:r>
      <w:r>
        <w:t xml:space="preserve"> </w:t>
      </w:r>
      <w:r>
        <w:t xml:space="preserve">to an aggregate amount of EUR 14.2 bn in 18 Member States. Under more severe</w:t>
      </w:r>
      <w:r>
        <w:t xml:space="preserve"> </w:t>
      </w:r>
      <w:r>
        <w:t xml:space="preserve">scenarios of equity depletion in the run up to a crisis, the share of affected banks would</w:t>
      </w:r>
    </w:p>
    <w:p>
      <w:pPr>
        <w:pStyle w:val="BodyText"/>
      </w:pPr>
      <w:r>
        <w:t xml:space="preserve">73 A minimum bail-in of 8% TLOF must be applied to the bank’s shareholders and creditors (which may</w:t>
      </w:r>
      <w:r>
        <w:t xml:space="preserve"> </w:t>
      </w:r>
      <w:r>
        <w:t xml:space="preserve">include depositors) before accessing the resolution fund for solvency support.</w:t>
      </w:r>
      <w:r>
        <w:t xml:space="preserve"> </w:t>
      </w:r>
      <w:r>
        <w:t xml:space="preserve">74 See Annex 13 section 4 for an overview of resolution strategies by types of banks (size, business model).</w:t>
      </w:r>
      <w:r>
        <w:br/>
      </w:r>
      <w:r>
        <w:t xml:space="preserve">75 The DGS can intervene in resolution under Article 109 BRRD, which could offer alternative funding for</w:t>
      </w:r>
      <w:r>
        <w:t xml:space="preserve"> </w:t>
      </w:r>
      <w:r>
        <w:t xml:space="preserve">smaller/medium-sized banks. See section 6.1.1.3.</w:t>
      </w:r>
      <w:r>
        <w:t xml:space="preserve"> </w:t>
      </w:r>
      <w:r>
        <w:t xml:space="preserve">76 Shielding deposits from taking losses as part of the resolution process may encourage the application of</w:t>
      </w:r>
      <w:r>
        <w:t xml:space="preserve"> </w:t>
      </w:r>
      <w:r>
        <w:t xml:space="preserve">resolution to more banks and facilitate the process of finding potential buyers interested in taking over</w:t>
      </w:r>
      <w:r>
        <w:t xml:space="preserve"> </w:t>
      </w:r>
      <w:r>
        <w:t xml:space="preserve">(parts of) the failed bank. The objective of shielding depositors from losses was in some of the past cases,</w:t>
      </w:r>
      <w:r>
        <w:t xml:space="preserve"> </w:t>
      </w:r>
      <w:r>
        <w:t xml:space="preserve">one of the reasons why tools other than resolution were used to deal with these cases, since the same</w:t>
      </w:r>
      <w:r>
        <w:t xml:space="preserve"> </w:t>
      </w:r>
      <w:r>
        <w:t xml:space="preserve">outcome could not be achieved with sufficient credibility and legal certainty as part of the resolution action</w:t>
      </w:r>
      <w:r>
        <w:t xml:space="preserve"> </w:t>
      </w:r>
      <w:r>
        <w:t xml:space="preserve">under the current framework. The review would address this.</w:t>
      </w:r>
      <w:r>
        <w:t xml:space="preserve"> </w:t>
      </w:r>
      <w:r>
        <w:t xml:space="preserve">77 Baseline scenario in Annex 7 refers to status quo assumptions: no equity depletion in the bank at</w:t>
      </w:r>
      <w:r>
        <w:t xml:space="preserve"> </w:t>
      </w:r>
      <w:r>
        <w:t xml:space="preserve">moment of failure and existing depositor preference (including super-preference of DGS) in the hierarchy</w:t>
      </w:r>
      <w:r>
        <w:t xml:space="preserve"> </w:t>
      </w:r>
      <w:r>
        <w:t xml:space="preserve">of claims. See section 3.2.1 in Annex 7. Other (combined) scenarios are also explored there.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increase significantly78. This would be mitigated to an extent when changing the tiered</w:t>
      </w:r>
      <w:r>
        <w:t xml:space="preserve"> </w:t>
      </w:r>
      <w:r>
        <w:t xml:space="preserve">depositor preference in the hierarchy of claims to a two-tier depositor preference (see</w:t>
      </w:r>
      <w:r>
        <w:t xml:space="preserve"> </w:t>
      </w:r>
      <w:r>
        <w:t xml:space="preserve">section 6.1.1.4) by virtue of prioritising all deposits versus other senior ordinary</w:t>
      </w:r>
      <w:r>
        <w:t xml:space="preserve"> </w:t>
      </w:r>
      <w:r>
        <w:t xml:space="preserve">unsecured claims.</w:t>
      </w:r>
      <w:r>
        <w:br/>
      </w:r>
      <w:r>
        <w:t xml:space="preserve">The revisions under this option would improve the access to funding in resolution and</w:t>
      </w:r>
      <w:r>
        <w:t xml:space="preserve"> </w:t>
      </w:r>
      <w:r>
        <w:t xml:space="preserve">introduce more proportionality for banks that would be resolved under transfer strategies,</w:t>
      </w:r>
      <w:r>
        <w:t xml:space="preserve"> </w:t>
      </w:r>
      <w:r>
        <w:t xml:space="preserve">by protecting deposits from bail-in79, addressing in an effective manner the problem</w:t>
      </w:r>
      <w:r>
        <w:t xml:space="preserve"> </w:t>
      </w:r>
      <w:r>
        <w:t xml:space="preserve">pertaining to funding identified in Chapter 2.</w:t>
      </w:r>
      <w:r>
        <w:t xml:space="preserve"> </w:t>
      </w:r>
      <w:r>
        <w:t xml:space="preserve">Box 2: The DGS bridge mechanism to reach the RF/SRF</w:t>
      </w:r>
      <w:r>
        <w:t xml:space="preserve"> </w:t>
      </w:r>
      <w:r>
        <w:t xml:space="preserve">All packages of policy options other than the baseline propose the possibility to use the</w:t>
      </w:r>
      <w:r>
        <w:t xml:space="preserve"> </w:t>
      </w:r>
      <w:r>
        <w:t xml:space="preserve">national DGS funds as a bridge to reach the RF/SRF in specific cases and under framed</w:t>
      </w:r>
      <w:r>
        <w:t xml:space="preserve"> </w:t>
      </w:r>
      <w:r>
        <w:t xml:space="preserve">conditions in order to address problem 2 (described in Chapter 2). For certain banks with</w:t>
      </w:r>
      <w:r>
        <w:t xml:space="preserve"> </w:t>
      </w:r>
      <w:r>
        <w:t xml:space="preserve">a high prevalence of deposits, reaching 8% TLOF may only be possible when imposing</w:t>
      </w:r>
      <w:r>
        <w:t xml:space="preserve"> </w:t>
      </w:r>
      <w:r>
        <w:t xml:space="preserve">losses on depositors, despite compliance with the minimum requirement for own funds</w:t>
      </w:r>
      <w:r>
        <w:t xml:space="preserve"> </w:t>
      </w:r>
      <w:r>
        <w:t xml:space="preserve">and eligible liabilities (MREL)80. Hence, the DGS funds would contribute to supplement</w:t>
      </w:r>
      <w:r>
        <w:t xml:space="preserve"> </w:t>
      </w:r>
      <w:r>
        <w:t xml:space="preserve">the bail-in of the bank’s internal loss absorbing capacity (i.e. shareholders and creditors</w:t>
      </w:r>
      <w:r>
        <w:t xml:space="preserve"> </w:t>
      </w:r>
      <w:r>
        <w:t xml:space="preserve">other than deposits) to reach 8% TLOF and enable access to the RF/SRF, while shielding</w:t>
      </w:r>
      <w:r>
        <w:t xml:space="preserve"> </w:t>
      </w:r>
      <w:r>
        <w:t xml:space="preserve">deposits from losses, if necessary.</w:t>
      </w:r>
      <w:r>
        <w:br/>
      </w:r>
      <w:r>
        <w:t xml:space="preserve">The DGS’ intervention in resolution to act as a bridge to reach the RF/SRF would be</w:t>
      </w:r>
      <w:r>
        <w:t xml:space="preserve"> </w:t>
      </w:r>
      <w:r>
        <w:t xml:space="preserve">framed by the following important safeguards:</w:t>
      </w:r>
      <w:r>
        <w:br/>
      </w:r>
      <w:r>
        <w:t xml:space="preserve">(i)</w:t>
      </w:r>
      <w:r>
        <w:t xml:space="preserve"> </w:t>
      </w:r>
      <w:r>
        <w:t xml:space="preserve">Only applied when the resolution authority would have considered, on a case-</w:t>
      </w:r>
      <w:r>
        <w:t xml:space="preserve"> </w:t>
      </w:r>
      <w:r>
        <w:t xml:space="preserve">by-case basis, and only at resolution execution stage, that bailing-in deposits</w:t>
      </w:r>
      <w:r>
        <w:t xml:space="preserve"> </w:t>
      </w:r>
      <w:r>
        <w:t xml:space="preserve">would create financial stability issues and would consider the need to exempt</w:t>
      </w:r>
      <w:r>
        <w:t xml:space="preserve"> </w:t>
      </w:r>
      <w:r>
        <w:t xml:space="preserve">those deposits from bearing losses under Article 44(3) BRRD. In these cases,</w:t>
      </w:r>
      <w:r>
        <w:t xml:space="preserve"> </w:t>
      </w:r>
      <w:r>
        <w:t xml:space="preserve">the DGS could intervene only to replace losses that would have otherwise</w:t>
      </w:r>
      <w:r>
        <w:t xml:space="preserve"> </w:t>
      </w:r>
      <w:r>
        <w:t xml:space="preserve">been borne by depositors (covered and non-covered). Conversely, the</w:t>
      </w:r>
      <w:r>
        <w:t xml:space="preserve"> </w:t>
      </w:r>
      <w:r>
        <w:t xml:space="preserve">framework would retain the possibility for resolution authorities to bail-in</w:t>
      </w:r>
      <w:r>
        <w:t xml:space="preserve"> </w:t>
      </w:r>
      <w:r>
        <w:t xml:space="preserve">deposits rather than use the DGS fund, if appropriate;</w:t>
      </w:r>
      <w:r>
        <w:t xml:space="preserve"> </w:t>
      </w:r>
      <w:r>
        <w:t xml:space="preserve">(ii)</w:t>
      </w:r>
      <w:r>
        <w:t xml:space="preserve"> </w:t>
      </w:r>
      <w:r>
        <w:t xml:space="preserve">Only if allowed under the reformed least cost test (see also Box 3) and only</w:t>
      </w:r>
      <w:r>
        <w:t xml:space="preserve"> </w:t>
      </w:r>
      <w:r>
        <w:t xml:space="preserve">up to the maximum between the amount allowed by the least cost test and the</w:t>
      </w:r>
      <w:r>
        <w:t xml:space="preserve"> </w:t>
      </w:r>
      <w:r>
        <w:t xml:space="preserve">gap required to reach 8% TLOF;</w:t>
      </w:r>
    </w:p>
    <w:p>
      <w:pPr>
        <w:pStyle w:val="BodyText"/>
      </w:pPr>
      <w:r>
        <w:t xml:space="preserve">78 From 96 banks with an aggregate EUR 18.30 bn affected deposits (44 banks with resolution strategy and</w:t>
      </w:r>
      <w:r>
        <w:t xml:space="preserve"> </w:t>
      </w:r>
      <w:r>
        <w:t xml:space="preserve">an aggregate EUR 14.16 bn affected deposits) under the baseline scenario, to 246 banks with an aggregate</w:t>
      </w:r>
      <w:r>
        <w:t xml:space="preserve"> </w:t>
      </w:r>
      <w:r>
        <w:t xml:space="preserve">EUR 83.1 bn affected deposits (117 banks with resolution strategy and an aggregate EUR 71.6 bn affected</w:t>
      </w:r>
      <w:r>
        <w:t xml:space="preserve"> </w:t>
      </w:r>
      <w:r>
        <w:t xml:space="preserve">deposits) under the next more severe CET1 depletion scenario assuming 75% depletion of buffers).</w:t>
      </w:r>
      <w:r>
        <w:t xml:space="preserve"> </w:t>
      </w:r>
      <w:r>
        <w:t xml:space="preserve">79 Shielding deposits, including non-covered ones, from bail-in is likely to improve the odds of finding a</w:t>
      </w:r>
      <w:r>
        <w:t xml:space="preserve"> </w:t>
      </w:r>
      <w:r>
        <w:t xml:space="preserve">buyer interested in acquiring the bank or parts of it (deposit book). Imposing losses on the uninsured part of</w:t>
      </w:r>
      <w:r>
        <w:t xml:space="preserve"> </w:t>
      </w:r>
      <w:r>
        <w:t xml:space="preserve">deposits increases the likelihood of runs and contagion, which is very likely to deter potential buyers from</w:t>
      </w:r>
      <w:r>
        <w:t xml:space="preserve"> </w:t>
      </w:r>
      <w:r>
        <w:t xml:space="preserve">purchasing (parts of) the failing bank.</w:t>
      </w:r>
      <w:r>
        <w:br/>
      </w:r>
      <w:r>
        <w:t xml:space="preserve">80 Under the BRRD, deposits may be MREL eligible liabilities if they fulfil all eligibility criteria including</w:t>
      </w:r>
      <w:r>
        <w:t xml:space="preserve"> </w:t>
      </w:r>
      <w:r>
        <w:t xml:space="preserve">the remaining maturity over one year. Many smaller/mid-sized banks comply with their MREL</w:t>
      </w:r>
      <w:r>
        <w:t xml:space="preserve"> </w:t>
      </w:r>
      <w:r>
        <w:t xml:space="preserve">requirement by also relying on deposits (see EBA MREL report as of December 2020, in particular Figures</w:t>
      </w:r>
      <w:r>
        <w:t xml:space="preserve"> </w:t>
      </w:r>
      <w:r>
        <w:t xml:space="preserve">9, 10, 14, 15 and 17 which show that wholesale deposits (uncovered) are part of MREL resources for banks</w:t>
      </w:r>
      <w:r>
        <w:t xml:space="preserve"> </w:t>
      </w:r>
      <w:r>
        <w:t xml:space="preserve">with a total balance sheet size of up to EUR 50 bn). However, in a failing or likely to fail situation, it is</w:t>
      </w:r>
      <w:r>
        <w:t xml:space="preserve"> </w:t>
      </w:r>
      <w:r>
        <w:t xml:space="preserve">likely that deposits would be excluded from bail-in on financial stability grounds (under Art 44(3) BRRD),</w:t>
      </w:r>
      <w:r>
        <w:t xml:space="preserve"> </w:t>
      </w:r>
      <w:r>
        <w:t xml:space="preserve">leaving a gap compared to the MREL requirement.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(iii)</w:t>
      </w:r>
      <w:r>
        <w:t xml:space="preserve"> </w:t>
      </w:r>
      <w:r>
        <w:t xml:space="preserve">Only applicable to banks with transfer strategies leading to market exit, to</w:t>
      </w:r>
      <w:r>
        <w:t xml:space="preserve"> </w:t>
      </w:r>
      <w:r>
        <w:t xml:space="preserve">avoid distorting competition with banks that would be restructured and</w:t>
      </w:r>
      <w:r>
        <w:t xml:space="preserve"> </w:t>
      </w:r>
      <w:r>
        <w:t xml:space="preserve">planned to remain on the market;</w:t>
      </w:r>
      <w:r>
        <w:br/>
      </w:r>
      <w:r>
        <w:t xml:space="preserve">(iv)</w:t>
      </w:r>
      <w:r>
        <w:t xml:space="preserve"> </w:t>
      </w:r>
      <w:r>
        <w:t xml:space="preserve">Only applicable to banks for which the resolution plan foreseen the</w:t>
      </w:r>
      <w:r>
        <w:t xml:space="preserve"> </w:t>
      </w:r>
      <w:r>
        <w:t xml:space="preserve">application of a resolution strategy and not wind-down under national</w:t>
      </w:r>
      <w:r>
        <w:t xml:space="preserve"> </w:t>
      </w:r>
      <w:r>
        <w:t xml:space="preserve">insolvency proceedings, to avoid incentives to resolve banks earmarked as</w:t>
      </w:r>
      <w:r>
        <w:t xml:space="preserve"> </w:t>
      </w:r>
      <w:r>
        <w:t xml:space="preserve">liquidation entities and which would not have built-up their MREL buffers;</w:t>
      </w:r>
      <w:r>
        <w:t xml:space="preserve"> </w:t>
      </w:r>
      <w:r>
        <w:t xml:space="preserve">(v)</w:t>
      </w:r>
      <w:r>
        <w:t xml:space="preserve"> </w:t>
      </w:r>
      <w:r>
        <w:t xml:space="preserve">Only for banks where the bail-in of liabilities consisting of shareholders and</w:t>
      </w:r>
      <w:r>
        <w:t xml:space="preserve"> </w:t>
      </w:r>
      <w:r>
        <w:t xml:space="preserve">creditors other than deposits cannot reach 8% TLOF.</w:t>
      </w:r>
      <w:r>
        <w:t xml:space="preserve"> </w:t>
      </w:r>
      <w:r>
        <w:t xml:space="preserve">In light of the above conditions, in practice, it is likely that this tool could be used for</w:t>
      </w:r>
      <w:r>
        <w:t xml:space="preserve"> </w:t>
      </w:r>
      <w:r>
        <w:t xml:space="preserve">smaller and medium-sized banks because they are more likely candidates for transfer</w:t>
      </w:r>
      <w:r>
        <w:t xml:space="preserve"> </w:t>
      </w:r>
      <w:r>
        <w:t xml:space="preserve">strategies and often rely on deposit funding.</w:t>
      </w:r>
      <w:r>
        <w:t xml:space="preserve"> </w:t>
      </w:r>
      <w:r>
        <w:t xml:space="preserve">Using DGS as a bridge to reach the 8% TLOF threshold to access RF/SRF is expected to</w:t>
      </w:r>
      <w:r>
        <w:t xml:space="preserve"> </w:t>
      </w:r>
      <w:r>
        <w:t xml:space="preserve">have numerous positive impacts. The primary purpose of the DGS bridge, as also shown</w:t>
      </w:r>
      <w:r>
        <w:t xml:space="preserve"> </w:t>
      </w:r>
      <w:r>
        <w:t xml:space="preserve">in the detailed description of policy options in Chapter 6 (sections referring to the</w:t>
      </w:r>
      <w:r>
        <w:t xml:space="preserve"> </w:t>
      </w:r>
      <w:r>
        <w:t xml:space="preserve">resolution financing arrangements and the hierarchy of claims under each option) and in</w:t>
      </w:r>
      <w:r>
        <w:t xml:space="preserve"> </w:t>
      </w:r>
      <w:r>
        <w:t xml:space="preserve">the analyses performed in Annex 7, section 4, is to enable access by more small and mid-</w:t>
      </w:r>
      <w:r>
        <w:t xml:space="preserve"> </w:t>
      </w:r>
      <w:r>
        <w:t xml:space="preserve">sized banks to resolution funding under the harmonised CMDI framework, so that more</w:t>
      </w:r>
      <w:r>
        <w:t xml:space="preserve"> </w:t>
      </w:r>
      <w:r>
        <w:t xml:space="preserve">such banks’ failures can be handled more efficiently under resolution, where there is a</w:t>
      </w:r>
      <w:r>
        <w:t xml:space="preserve"> </w:t>
      </w:r>
      <w:r>
        <w:t xml:space="preserve">public interest. It will reduce the cost of managing a bank failure, by using resolution as</w:t>
      </w:r>
      <w:r>
        <w:t xml:space="preserve"> </w:t>
      </w:r>
      <w:r>
        <w:t xml:space="preserve">the less costly procedure compared to insolvency. It will reduce the risk of imposing</w:t>
      </w:r>
      <w:r>
        <w:t xml:space="preserve"> </w:t>
      </w:r>
      <w:r>
        <w:t xml:space="preserve">losses on deposits, a factor that has been identified as one of the key reasons for avoiding</w:t>
      </w:r>
      <w:r>
        <w:t xml:space="preserve"> </w:t>
      </w:r>
      <w:r>
        <w:t xml:space="preserve">the application of the resolution framework in the past. This mechanism would therefore</w:t>
      </w:r>
      <w:r>
        <w:t xml:space="preserve"> </w:t>
      </w:r>
      <w:r>
        <w:t xml:space="preserve">make resolution a more credible option to handle a bank failure compared to other</w:t>
      </w:r>
      <w:r>
        <w:t xml:space="preserve"> </w:t>
      </w:r>
      <w:r>
        <w:t xml:space="preserve">avenues that often relied on taxpayer money.</w:t>
      </w:r>
      <w:r>
        <w:br/>
      </w:r>
      <w:r>
        <w:t xml:space="preserve">The least cost test acts as a critical safeguard to ensure that the DGS bridge mechanism</w:t>
      </w:r>
      <w:r>
        <w:t xml:space="preserve"> </w:t>
      </w:r>
      <w:r>
        <w:t xml:space="preserve">reaches its goal and enables access to RF/SRF for more banks. However, the least cost</w:t>
      </w:r>
      <w:r>
        <w:t xml:space="preserve"> </w:t>
      </w:r>
      <w:r>
        <w:t xml:space="preserve">test is mainly dependent on the ranking of the DGS in the hierarchy of claims and limited</w:t>
      </w:r>
      <w:r>
        <w:t xml:space="preserve"> </w:t>
      </w:r>
      <w:r>
        <w:t xml:space="preserve">by the super-preference of DGS (see also Box 3). It is therefore very important to bundle</w:t>
      </w:r>
      <w:r>
        <w:t xml:space="preserve"> </w:t>
      </w:r>
      <w:r>
        <w:t xml:space="preserve">together changes that remove the super-preferred ranking of DGS in the hierarchy of</w:t>
      </w:r>
      <w:r>
        <w:t xml:space="preserve"> </w:t>
      </w:r>
      <w:r>
        <w:t xml:space="preserve">claims with the DGS bridge mechanism to ensure that the potential to place more banks</w:t>
      </w:r>
      <w:r>
        <w:t xml:space="preserve"> </w:t>
      </w:r>
      <w:r>
        <w:t xml:space="preserve">in resolution when this best meets the objectives is materialising.</w:t>
      </w:r>
      <w:r>
        <w:br/>
      </w:r>
      <w:r>
        <w:t xml:space="preserve">It must be also clearly acknowledged that the least cost test will not allow the use of DGS</w:t>
      </w:r>
      <w:r>
        <w:t xml:space="preserve"> </w:t>
      </w:r>
      <w:r>
        <w:t xml:space="preserve">in all cases where it may be required to avoid inflicting losses on deposits in a sale of</w:t>
      </w:r>
      <w:r>
        <w:t xml:space="preserve"> </w:t>
      </w:r>
      <w:r>
        <w:t xml:space="preserve">business strategy, and that a tail scenario of cases will remain, where resolution funding</w:t>
      </w:r>
      <w:r>
        <w:t xml:space="preserve"> </w:t>
      </w:r>
      <w:r>
        <w:t xml:space="preserve">remains out of reach, potentially leading to bailing in deposits.</w:t>
      </w:r>
      <w:r>
        <w:br/>
      </w:r>
      <w:r>
        <w:t xml:space="preserve">Importantly, strict access conditions to the resolution fund (RF/SRF), in the form of a</w:t>
      </w:r>
      <w:r>
        <w:t xml:space="preserve"> </w:t>
      </w:r>
      <w:r>
        <w:t xml:space="preserve">mandatory bail-in of at least 8% TLOF, are key to ensure a level playing field and avoid</w:t>
      </w:r>
      <w:r>
        <w:t xml:space="preserve"> </w:t>
      </w:r>
      <w:r>
        <w:t xml:space="preserve">moral hazard. The proposal does not weaken the 8% TLOF threshold and does not</w:t>
      </w:r>
      <w:r>
        <w:t xml:space="preserve"> </w:t>
      </w:r>
      <w:r>
        <w:t xml:space="preserve">disincentivise banks to hold sufficient amount of MREL for the following reasons:</w:t>
      </w:r>
      <w:r>
        <w:t xml:space="preserve"> </w:t>
      </w:r>
      <w:r>
        <w:t xml:space="preserve">(i) Incentives to reach MREL are built into the governance of the framework.</w:t>
      </w:r>
      <w:r>
        <w:t xml:space="preserve"> </w:t>
      </w:r>
      <w:r>
        <w:t xml:space="preserve">Resolution authorities calibrate MREL requirements for all banks with resolution</w:t>
      </w:r>
      <w:r>
        <w:t xml:space="preserve"> </w:t>
      </w:r>
      <w:r>
        <w:t xml:space="preserve">strategies, including smaller/mid-sized banks where appropriate, according to the</w:t>
      </w:r>
      <w:r>
        <w:t xml:space="preserve"> </w:t>
      </w:r>
      <w:r>
        <w:t xml:space="preserve">existing legal provisions. Failure to comply may be addressed through several</w:t>
      </w:r>
      <w:r>
        <w:t xml:space="preserve"> </w:t>
      </w:r>
      <w:r>
        <w:t xml:space="preserve">measures (e.g. restrictions to distribute dividends/ variable remuneration,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supervisory measures, penalties, procedure to remove impediments to</w:t>
      </w:r>
      <w:r>
        <w:t xml:space="preserve"> </w:t>
      </w:r>
      <w:r>
        <w:t xml:space="preserve">resolvability, early intervention measure or failing or likely to fail determination)</w:t>
      </w:r>
      <w:r>
        <w:t xml:space="preserve"> </w:t>
      </w:r>
      <w:r>
        <w:t xml:space="preserve">as well as market stigma when disclosing the MREL requirement and capacity to</w:t>
      </w:r>
      <w:r>
        <w:t xml:space="preserve"> </w:t>
      </w:r>
      <w:r>
        <w:t xml:space="preserve">the markets via market discipline. In other words, there are strong safeguards</w:t>
      </w:r>
      <w:r>
        <w:t xml:space="preserve"> </w:t>
      </w:r>
      <w:r>
        <w:t xml:space="preserve">already in the law to ensure that each bank would receive an appropriate MREL</w:t>
      </w:r>
      <w:r>
        <w:t xml:space="preserve"> </w:t>
      </w:r>
      <w:r>
        <w:t xml:space="preserve">requirement that would be enforced;</w:t>
      </w:r>
      <w:r>
        <w:t xml:space="preserve"> </w:t>
      </w:r>
      <w:r>
        <w:t xml:space="preserve">(ii) MREL requirements do not incorporate the 8% TLOF for smaller and medium-</w:t>
      </w:r>
      <w:r>
        <w:t xml:space="preserve"> </w:t>
      </w:r>
      <w:r>
        <w:t xml:space="preserve">sized banks, therefore a possible bridge to the 8% would not impact MREL as</w:t>
      </w:r>
      <w:r>
        <w:t xml:space="preserve"> </w:t>
      </w:r>
      <w:r>
        <w:t xml:space="preserve">such. The 8% TLOF access condition to the resolution fund is linked to a</w:t>
      </w:r>
      <w:r>
        <w:t xml:space="preserve"> </w:t>
      </w:r>
      <w:r>
        <w:t xml:space="preserve">minimum amount of bail-inable liabilities, not MREL eligible ones (which are a</w:t>
      </w:r>
      <w:r>
        <w:t xml:space="preserve"> </w:t>
      </w:r>
      <w:r>
        <w:t xml:space="preserve">subset of bail-inable liabilities). MREL requirements depend on the resolution</w:t>
      </w:r>
      <w:r>
        <w:t xml:space="preserve"> </w:t>
      </w:r>
      <w:r>
        <w:t xml:space="preserve">strategy chosen by the resolution authority, and the legislation does not introduce</w:t>
      </w:r>
      <w:r>
        <w:t xml:space="preserve"> </w:t>
      </w:r>
      <w:r>
        <w:t xml:space="preserve">a minimum level of MREL that would correspond to 8% TLOF for all banks (it is</w:t>
      </w:r>
      <w:r>
        <w:t xml:space="preserve"> </w:t>
      </w:r>
      <w:r>
        <w:t xml:space="preserve">only the case for the largest ones, with limited exceptions). In fact, most of the</w:t>
      </w:r>
      <w:r>
        <w:t xml:space="preserve"> </w:t>
      </w:r>
      <w:r>
        <w:t xml:space="preserve">small/mid-size banks are subject to transfer strategies, which generally imply a</w:t>
      </w:r>
      <w:r>
        <w:t xml:space="preserve"> </w:t>
      </w:r>
      <w:r>
        <w:t xml:space="preserve">lower level of MREL than for bail-in strategies in order to cover losses and</w:t>
      </w:r>
      <w:r>
        <w:t xml:space="preserve"> </w:t>
      </w:r>
      <w:r>
        <w:t xml:space="preserve">ensure market exit81. Therefore, by construction, there is no link between the 8%</w:t>
      </w:r>
      <w:r>
        <w:t xml:space="preserve"> </w:t>
      </w:r>
      <w:r>
        <w:t xml:space="preserve">TLOF threshold and MREL levels for smaller/mid-sized banks already in the</w:t>
      </w:r>
      <w:r>
        <w:t xml:space="preserve"> </w:t>
      </w:r>
      <w:r>
        <w:t xml:space="preserve">current framework. This does not mean, however, that these banks should never</w:t>
      </w:r>
      <w:r>
        <w:t xml:space="preserve"> </w:t>
      </w:r>
      <w:r>
        <w:t xml:space="preserve">access the resolution fund, and they are in fact contributing to its build-up;</w:t>
      </w:r>
      <w:r>
        <w:t xml:space="preserve"> </w:t>
      </w:r>
      <w:r>
        <w:t xml:space="preserve">(iii) There would be a very big price to pay (market exit) to use the DGS bridge</w:t>
      </w:r>
      <w:r>
        <w:t xml:space="preserve"> </w:t>
      </w:r>
      <w:r>
        <w:t xml:space="preserve">mechanism, therefore the latter cannot be considered as providing incentives not</w:t>
      </w:r>
      <w:r>
        <w:t xml:space="preserve"> </w:t>
      </w:r>
      <w:r>
        <w:t xml:space="preserve">to build sufficient buffers (MREL) for a crisis. The use of DGS as bridge facility</w:t>
      </w:r>
      <w:r>
        <w:t xml:space="preserve"> </w:t>
      </w:r>
      <w:r>
        <w:t xml:space="preserve">would be limited to cases where banks are subject to a transfer strategy that leads</w:t>
      </w:r>
      <w:r>
        <w:t xml:space="preserve"> </w:t>
      </w:r>
      <w:r>
        <w:t xml:space="preserve">to a market exit in case of failure. It would also be at the discretion of the</w:t>
      </w:r>
      <w:r>
        <w:t xml:space="preserve"> </w:t>
      </w:r>
      <w:r>
        <w:t xml:space="preserve">resolution authority (no automaticity). Furthermore, since the failed bank will</w:t>
      </w:r>
      <w:r>
        <w:t xml:space="preserve"> </w:t>
      </w:r>
      <w:r>
        <w:t xml:space="preserve">disappear and not be resurrected after resolution should DGS funds be used, this</w:t>
      </w:r>
      <w:r>
        <w:t xml:space="preserve"> </w:t>
      </w:r>
      <w:r>
        <w:t xml:space="preserve">mechanism de facto prevents any perceived advantage with regard to MREL</w:t>
      </w:r>
      <w:r>
        <w:t xml:space="preserve"> </w:t>
      </w:r>
      <w:r>
        <w:t xml:space="preserve">calibration or the use of DGS funds compared to other banks that would continue</w:t>
      </w:r>
      <w:r>
        <w:t xml:space="preserve"> </w:t>
      </w:r>
      <w:r>
        <w:t xml:space="preserve">operating after being restructured;</w:t>
      </w:r>
      <w:r>
        <w:t xml:space="preserve"> </w:t>
      </w:r>
      <w:r>
        <w:t xml:space="preserve">(iv) Moral hazard is, on the contrary, rather encouraged outside resolution via the</w:t>
      </w:r>
      <w:r>
        <w:t xml:space="preserve"> </w:t>
      </w:r>
      <w:r>
        <w:t xml:space="preserve">implicit subsidy provided by the availability of public funds in insolvency. By</w:t>
      </w:r>
      <w:r>
        <w:t xml:space="preserve"> </w:t>
      </w:r>
      <w:r>
        <w:t xml:space="preserve">allowing a more credible use of resolution via the DGS facility for specific banks,</w:t>
      </w:r>
      <w:r>
        <w:t xml:space="preserve"> </w:t>
      </w:r>
      <w:r>
        <w:t xml:space="preserve">the reform aims to disincentivise the recourse to taxpayer money, which may</w:t>
      </w:r>
      <w:r>
        <w:t xml:space="preserve"> </w:t>
      </w:r>
      <w:r>
        <w:t xml:space="preserve">affect market expectations ex ante, leading to more market discipline and</w:t>
      </w:r>
      <w:r>
        <w:t xml:space="preserve"> </w:t>
      </w:r>
      <w:r>
        <w:t xml:space="preserve">lowering moral hazard;</w:t>
      </w:r>
      <w:r>
        <w:t xml:space="preserve"> </w:t>
      </w:r>
      <w:r>
        <w:t xml:space="preserve">(v) Higher exposures to possible replenishment contributions for the industry as a</w:t>
      </w:r>
      <w:r>
        <w:t xml:space="preserve"> </w:t>
      </w:r>
      <w:r>
        <w:t xml:space="preserve">whole could result in peer pressure and further reduce moral hazard. Making use</w:t>
      </w:r>
    </w:p>
    <w:p>
      <w:pPr>
        <w:pStyle w:val="BodyText"/>
      </w:pPr>
      <w:r>
        <w:t xml:space="preserve">81 8% TLOF is part of the MREL calibration only for global systemically important institutions (G-SIIs)</w:t>
      </w:r>
      <w:r>
        <w:t xml:space="preserve"> </w:t>
      </w:r>
      <w:r>
        <w:t xml:space="preserve">and top-tier banks (total assets above EUR 100 bn) as per BRRD II provisions. This BRRD II calibration of</w:t>
      </w:r>
      <w:r>
        <w:t xml:space="preserve"> </w:t>
      </w:r>
      <w:r>
        <w:t xml:space="preserve">MREL is targeted at open-bank bail in strategies, where the failing banks do not exit the market after</w:t>
      </w:r>
      <w:r>
        <w:t xml:space="preserve"> </w:t>
      </w:r>
      <w:r>
        <w:t xml:space="preserve">resolution, hence they need sufficient loss absorption and recapitalisation buffers. The latter component</w:t>
      </w:r>
      <w:r>
        <w:t xml:space="preserve"> </w:t>
      </w:r>
      <w:r>
        <w:t xml:space="preserve">(recapitalisation amount) is needed to a lesser extent for other resolution strategies leading to exit, which</w:t>
      </w:r>
      <w:r>
        <w:t xml:space="preserve"> </w:t>
      </w:r>
      <w:r>
        <w:t xml:space="preserve">preserves proportionality.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of industry-funded safety nets more frequently may increase the scrutiny by</w:t>
      </w:r>
      <w:r>
        <w:t xml:space="preserve"> </w:t>
      </w:r>
      <w:r>
        <w:t xml:space="preserve">market participants of risks taken by their peers, as banks may become liable to</w:t>
      </w:r>
      <w:r>
        <w:t xml:space="preserve"> </w:t>
      </w:r>
      <w:r>
        <w:t xml:space="preserve">replenish the funds once these are used to handle a bank failure. The DGS facility</w:t>
      </w:r>
      <w:r>
        <w:t xml:space="preserve"> </w:t>
      </w:r>
      <w:r>
        <w:t xml:space="preserve">may therefore increase market discipline in the framework.</w:t>
      </w:r>
      <w:r>
        <w:t xml:space="preserve"> </w:t>
      </w:r>
      <w:r>
        <w:t xml:space="preserve">Moreover, alternative approaches lowering the 8% TLOF threshold (for example by</w:t>
      </w:r>
      <w:r>
        <w:t xml:space="preserve"> </w:t>
      </w:r>
      <w:r>
        <w:t xml:space="preserve">allowing the use of the resolution funds even if 8% TLOF is not met) have been</w:t>
      </w:r>
      <w:r>
        <w:t xml:space="preserve"> </w:t>
      </w:r>
      <w:r>
        <w:t xml:space="preserve">explicitly discarded on the ground of increasing the risk of moral hazard (Chapter 6, or</w:t>
      </w:r>
      <w:r>
        <w:t xml:space="preserve"> </w:t>
      </w:r>
      <w:r>
        <w:t xml:space="preserve">Annex 14).</w:t>
      </w:r>
      <w:r>
        <w:t xml:space="preserve"> </w:t>
      </w:r>
      <w:r>
        <w:t xml:space="preserve">On this basis, allowing DGSs to bridge the gap to access the resolution funds would</w:t>
      </w:r>
      <w:r>
        <w:t xml:space="preserve"> </w:t>
      </w:r>
      <w:r>
        <w:t xml:space="preserve">introduce more proportionality for smaller/medium-sized banks under transfer strategies</w:t>
      </w:r>
      <w:r>
        <w:t xml:space="preserve"> </w:t>
      </w:r>
      <w:r>
        <w:t xml:space="preserve">and make the framework functional for these types of banks as well, without weakening</w:t>
      </w:r>
      <w:r>
        <w:t xml:space="preserve"> </w:t>
      </w:r>
      <w:r>
        <w:t xml:space="preserve">the minimum bail-in condition to access the resolution funds or increasing the risk of</w:t>
      </w:r>
      <w:r>
        <w:t xml:space="preserve"> </w:t>
      </w:r>
      <w:r>
        <w:t xml:space="preserve">moral hazard.</w:t>
      </w:r>
    </w:p>
    <w:p>
      <w:pPr>
        <w:pStyle w:val="BodyText"/>
      </w:pPr>
      <w:r>
        <w:t xml:space="preserve">Figure 9: Stylised example DGS bridge mechanism versus status quo</w:t>
      </w:r>
      <w:r>
        <w:t xml:space="preserve"> </w:t>
      </w:r>
      <w:r>
        <w:t xml:space="preserve">This stylised example (further building on Box 1 in Chapter 2) shows the benefits of</w:t>
      </w:r>
      <w:r>
        <w:t xml:space="preserve"> </w:t>
      </w:r>
      <w:r>
        <w:t xml:space="preserve">using the DGS bridge mechanism compared to possible alternative avenues under the</w:t>
      </w:r>
      <w:r>
        <w:t xml:space="preserve"> </w:t>
      </w:r>
      <w:r>
        <w:t xml:space="preserve">status quo (resolution with bail-in of depositors, use of public funds, insolvency with</w:t>
      </w:r>
      <w:r>
        <w:t xml:space="preserve"> </w:t>
      </w:r>
      <w:r>
        <w:t xml:space="preserve">DGS payout of covered deposits). The example also highlights the potential impacts of</w:t>
      </w:r>
      <w:r>
        <w:t xml:space="preserve"> </w:t>
      </w:r>
      <w:r>
        <w:t xml:space="preserve">each approach on financial stability, depositor confidence and the use of taxpayer money.</w:t>
      </w:r>
      <w:r>
        <w:t xml:space="preserve"> </w:t>
      </w:r>
      <w:r>
        <w:t xml:space="preserve">It also shows that the involvement of DGS via such bridge mechanism would put a</w:t>
      </w:r>
      <w:r>
        <w:t xml:space="preserve"> </w:t>
      </w:r>
      <w:r>
        <w:t xml:space="preserve">significantly lower pressure on DGS financial means than a payout in insolvency.</w:t>
      </w:r>
      <w:r>
        <w:t xml:space="preserve"> </w:t>
      </w:r>
      <w:r>
        <w:t xml:space="preserve">Source: Commission services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6.1.1.3. Use of DGS funds</w:t>
      </w:r>
      <w:r>
        <w:t xml:space="preserve"> </w:t>
      </w:r>
      <w:r>
        <w:t xml:space="preserve">As under all options, the DGS would continue to contribute to the payout of covered</w:t>
      </w:r>
      <w:r>
        <w:t xml:space="preserve"> </w:t>
      </w:r>
      <w:r>
        <w:t xml:space="preserve">deposits, as well as to the use of preventive, resolution and alternative measures in</w:t>
      </w:r>
      <w:r>
        <w:t xml:space="preserve"> </w:t>
      </w:r>
      <w:r>
        <w:t xml:space="preserve">insolvency. In order to facilitate an effective DGS intervention, the following</w:t>
      </w:r>
      <w:r>
        <w:t xml:space="preserve"> </w:t>
      </w:r>
      <w:r>
        <w:t xml:space="preserve">adjustments and clarifications to the access conditions to the DGS funds would be</w:t>
      </w:r>
      <w:r>
        <w:t xml:space="preserve"> </w:t>
      </w:r>
      <w:r>
        <w:t xml:space="preserve">required:</w:t>
      </w:r>
      <w:r>
        <w:br/>
      </w:r>
      <w:r>
        <w:t xml:space="preserve"> DGS contribution and access condition to preventive measures: the conditions for</w:t>
      </w:r>
      <w:r>
        <w:t xml:space="preserve"> </w:t>
      </w:r>
      <w:r>
        <w:t xml:space="preserve">the intervention of a DGS for preventive measures (Article 11(3) DGSD) would</w:t>
      </w:r>
      <w:r>
        <w:t xml:space="preserve"> </w:t>
      </w:r>
      <w:r>
        <w:t xml:space="preserve">be improved by including relevant safeguards, i.e. ensuring that preventive</w:t>
      </w:r>
      <w:r>
        <w:t xml:space="preserve"> </w:t>
      </w:r>
      <w:r>
        <w:t xml:space="preserve">measures would be subject to an adequate least cost test and that a solid rationale</w:t>
      </w:r>
      <w:r>
        <w:t xml:space="preserve"> </w:t>
      </w:r>
      <w:r>
        <w:t xml:space="preserve">exists to justify the DGS intervention82. To ensure consistent, credible and</w:t>
      </w:r>
      <w:r>
        <w:t xml:space="preserve"> </w:t>
      </w:r>
      <w:r>
        <w:t xml:space="preserve">predictable outcomes when applying crisis management tools, the least cost test</w:t>
      </w:r>
      <w:r>
        <w:t xml:space="preserve"> </w:t>
      </w:r>
      <w:r>
        <w:t xml:space="preserve">would be harmonised to govern the use of DGS funds outside payout of covered</w:t>
      </w:r>
      <w:r>
        <w:t xml:space="preserve"> </w:t>
      </w:r>
      <w:r>
        <w:t xml:space="preserve">deposits in insolvency83 but would take into account the specificities and timing</w:t>
      </w:r>
      <w:r>
        <w:t xml:space="preserve"> </w:t>
      </w:r>
      <w:r>
        <w:t xml:space="preserve">of preventive measures.</w:t>
      </w:r>
      <w:r>
        <w:t xml:space="preserve"> </w:t>
      </w:r>
      <w:r>
        <w:t xml:space="preserve"> DGS contribution and access condition in resolution and insolvency: the</w:t>
      </w:r>
      <w:r>
        <w:t xml:space="preserve"> </w:t>
      </w:r>
      <w:r>
        <w:t xml:space="preserve">provision on the DGS use in resolution (Article 109 BRRD) would clarify84 that</w:t>
      </w:r>
      <w:r>
        <w:t xml:space="preserve"> </w:t>
      </w:r>
      <w:r>
        <w:t xml:space="preserve">the DGS could also finance the transfer of deposits beyond the covered ones, if</w:t>
      </w:r>
      <w:r>
        <w:t xml:space="preserve"> </w:t>
      </w:r>
      <w:r>
        <w:t xml:space="preserve">needed to execute a sale of business transaction in resolution. The least cost test</w:t>
      </w:r>
      <w:r>
        <w:t xml:space="preserve"> </w:t>
      </w:r>
      <w:r>
        <w:t xml:space="preserve">conditioning the DGS intervention in resolution would be fully aligned with the</w:t>
      </w:r>
      <w:r>
        <w:t xml:space="preserve"> </w:t>
      </w:r>
      <w:r>
        <w:t xml:space="preserve">least cost test for alternative measures in insolvency.</w:t>
      </w:r>
      <w:r>
        <w:t xml:space="preserve"> </w:t>
      </w:r>
      <w:r>
        <w:t xml:space="preserve"> Least cost test: the least cost test conditioning the DGS interventions would</w:t>
      </w:r>
      <w:r>
        <w:t xml:space="preserve"> </w:t>
      </w:r>
      <w:r>
        <w:t xml:space="preserve">provide elements for its quantification and the types of costs (direct and/or</w:t>
      </w:r>
      <w:r>
        <w:t xml:space="preserve"> </w:t>
      </w:r>
      <w:r>
        <w:t xml:space="preserve">indirect) that it could include85.</w:t>
      </w:r>
      <w:r>
        <w:br/>
      </w:r>
      <w:r>
        <w:t xml:space="preserve">These adjustments to the conditions for accessing DGS funds would significantly</w:t>
      </w:r>
      <w:r>
        <w:t xml:space="preserve"> </w:t>
      </w:r>
      <w:r>
        <w:t xml:space="preserve">increase the legal clarity and applicability of rules and simplifying the framework by</w:t>
      </w:r>
      <w:r>
        <w:t xml:space="preserve"> </w:t>
      </w:r>
      <w:r>
        <w:t xml:space="preserve">harmonising some of the conditions, addressing problem 2 described in Chapter 2. These</w:t>
      </w:r>
      <w:r>
        <w:t xml:space="preserve"> </w:t>
      </w:r>
      <w:r>
        <w:t xml:space="preserve">amendments which are closely inter-related would contribute to a more coherent and</w:t>
      </w:r>
      <w:r>
        <w:t xml:space="preserve"> </w:t>
      </w:r>
      <w:r>
        <w:t xml:space="preserve">incentive-compatible framework.</w:t>
      </w:r>
      <w:r>
        <w:t xml:space="preserve"> </w:t>
      </w:r>
      <w:r>
        <w:t xml:space="preserve">6.1.1.4. Harmonisation of depositor preference in the hierarchy of claims: two-</w:t>
      </w:r>
      <w:r>
        <w:t xml:space="preserve"> </w:t>
      </w:r>
      <w:r>
        <w:t xml:space="preserve">tier preference</w:t>
      </w:r>
      <w:r>
        <w:t xml:space="preserve"> </w:t>
      </w:r>
      <w:r>
        <w:t xml:space="preserve">As explained in section 2 of Annex 8 and sections 4.1.1 to 4.1.3 of Annex 7, the super-</w:t>
      </w:r>
      <w:r>
        <w:t xml:space="preserve"> </w:t>
      </w:r>
      <w:r>
        <w:t xml:space="preserve">preference of the DGS, in line with the current framework (baseline scenario) and its</w:t>
      </w:r>
      <w:r>
        <w:t xml:space="preserve"> </w:t>
      </w:r>
      <w:r>
        <w:t xml:space="preserve">impact on the least cost test, is the main reason why the DGS cannot be used outside a</w:t>
      </w:r>
      <w:r>
        <w:t xml:space="preserve"> </w:t>
      </w:r>
      <w:r>
        <w:t xml:space="preserve">payout event under the least cost test86 (see also Box 3). Withdrawing this super-</w:t>
      </w:r>
    </w:p>
    <w:p>
      <w:pPr>
        <w:pStyle w:val="BodyText"/>
      </w:pPr>
      <w:r>
        <w:t xml:space="preserve">82 See Annex 6.</w:t>
      </w:r>
      <w:r>
        <w:br/>
      </w:r>
      <w:r>
        <w:t xml:space="preserve">83 As foreseen by the Eurogroup statement of 16 June 2022.</w:t>
      </w:r>
      <w:r>
        <w:t xml:space="preserve"> </w:t>
      </w:r>
      <w:r>
        <w:t xml:space="preserve">84 The legal interpretation under the current rules is that the DGS can be used to finance the transfer of the</w:t>
      </w:r>
      <w:r>
        <w:t xml:space="preserve"> </w:t>
      </w:r>
      <w:r>
        <w:t xml:space="preserve">whole deposit book in resolution. However, the legal text would benefit from clarification on this point.</w:t>
      </w:r>
      <w:r>
        <w:br/>
      </w:r>
      <w:r>
        <w:t xml:space="preserve">85 See Annex 6.</w:t>
      </w:r>
      <w:r>
        <w:t xml:space="preserve"> </w:t>
      </w:r>
      <w:r>
        <w:t xml:space="preserve">86 The DGS can only provide an amount up to the losses it would bear in case of a hypothetical payout of</w:t>
      </w:r>
      <w:r>
        <w:t xml:space="preserve"> </w:t>
      </w:r>
      <w:r>
        <w:t xml:space="preserve">covered deposits in insolvency. These losses are given by the difference between the amount disbursed by</w:t>
      </w:r>
      <w:r>
        <w:t xml:space="preserve"> </w:t>
      </w:r>
      <w:r>
        <w:t xml:space="preserve">the DGS in case of a payout and the amount the DGS would recover from the sale of the bank’s assets in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preference and envisaging a more harmonised depositor preference, when compared to</w:t>
      </w:r>
      <w:r>
        <w:t xml:space="preserve"> </w:t>
      </w:r>
      <w:r>
        <w:t xml:space="preserve">the current situation with a three-tier depositor preference, is instrumental in accessing</w:t>
      </w:r>
      <w:r>
        <w:t xml:space="preserve"> </w:t>
      </w:r>
      <w:r>
        <w:t xml:space="preserve">funding in resolution and making resolution effective for smaller and medium-sized</w:t>
      </w:r>
      <w:r>
        <w:t xml:space="preserve"> </w:t>
      </w:r>
      <w:r>
        <w:t xml:space="preserve">banks. Option 2 explores the impacts of achieving a two-tier depositor preference</w:t>
      </w:r>
      <w:r>
        <w:t xml:space="preserve"> </w:t>
      </w:r>
      <w:r>
        <w:t xml:space="preserve">without the super-priority of covered deposits and DGS in the hierarchy of claims.</w:t>
      </w:r>
    </w:p>
    <w:p>
      <w:pPr>
        <w:pStyle w:val="BodyText"/>
      </w:pPr>
      <w:r>
        <w:t xml:space="preserve">Box 3: The impact of DGS ranking in the hierarchy of claims</w:t>
      </w:r>
      <w:r>
        <w:br/>
      </w:r>
      <w:r>
        <w:t xml:space="preserve">The objective of the least cost test safeguard is to ensure that any DGS intervention other</w:t>
      </w:r>
      <w:r>
        <w:t xml:space="preserve"> </w:t>
      </w:r>
      <w:r>
        <w:t xml:space="preserve">than paying out covered deposits would not expose the DGS to losses greater than the</w:t>
      </w:r>
      <w:r>
        <w:t xml:space="preserve"> </w:t>
      </w:r>
      <w:r>
        <w:t xml:space="preserve">ones it would incur in a payout of covered depositors in an insolvency counterfactual.</w:t>
      </w:r>
      <w:r>
        <w:t xml:space="preserve"> </w:t>
      </w:r>
      <w:r>
        <w:t xml:space="preserve">The amount of losses in the insolvency counterfactual depends, to an extent, on the</w:t>
      </w:r>
      <w:r>
        <w:t xml:space="preserve"> </w:t>
      </w:r>
      <w:r>
        <w:t xml:space="preserve">ranking of the DGS in the hierarchy of claims. Abstracting from other factors</w:t>
      </w:r>
      <w:r>
        <w:t xml:space="preserve"> </w:t>
      </w:r>
      <w:r>
        <w:t xml:space="preserve">influencing the recovery rates in insolvency (i.e. quality of assets, effectiveness of</w:t>
      </w:r>
      <w:r>
        <w:t xml:space="preserve"> </w:t>
      </w:r>
      <w:r>
        <w:t xml:space="preserve">insolvency regimes, overall duration of insolvency processes), the higher the ranking, the</w:t>
      </w:r>
      <w:r>
        <w:t xml:space="preserve"> </w:t>
      </w:r>
      <w:r>
        <w:t xml:space="preserve">higher the recovery for the DGS and therefore the less likely for the DGS to incur losses</w:t>
      </w:r>
      <w:r>
        <w:t xml:space="preserve"> </w:t>
      </w:r>
      <w:r>
        <w:t xml:space="preserve">in insolvency, which, in turn, makes it less likely for the least cost test to allow a DGS</w:t>
      </w:r>
      <w:r>
        <w:t xml:space="preserve"> </w:t>
      </w:r>
      <w:r>
        <w:t xml:space="preserve">contribution to support measures other than payout.</w:t>
      </w:r>
      <w:r>
        <w:br/>
      </w:r>
      <w:r>
        <w:t xml:space="preserve">A quantitative analysis carried out by the EBA in the response to the Commission’s call</w:t>
      </w:r>
      <w:r>
        <w:t xml:space="preserve"> </w:t>
      </w:r>
      <w:r>
        <w:t xml:space="preserve">for advice (CfA) on funding in resolution87 looked at the losses that depositors would</w:t>
      </w:r>
      <w:r>
        <w:t xml:space="preserve"> </w:t>
      </w:r>
      <w:r>
        <w:t xml:space="preserve">bear in order to meet the 8% total liabilities and own funds (TLOF) threshold and access</w:t>
      </w:r>
      <w:r>
        <w:t xml:space="preserve"> </w:t>
      </w:r>
      <w:r>
        <w:t xml:space="preserve">the resolution fund. This analysis, also reflected in Annex 7 (section 3.2.1), showed that,</w:t>
      </w:r>
      <w:r>
        <w:t xml:space="preserve"> </w:t>
      </w:r>
      <w:r>
        <w:t xml:space="preserve">under a baseline scenario88, deposits (non-preferred, preferred and in a few cases also</w:t>
      </w:r>
      <w:r>
        <w:t xml:space="preserve"> </w:t>
      </w:r>
      <w:r>
        <w:t xml:space="preserve">covered) in 91 banks (out of 368 banks in the sample) located in 20 Member States</w:t>
      </w:r>
      <w:r>
        <w:t xml:space="preserve"> </w:t>
      </w:r>
      <w:r>
        <w:t xml:space="preserve">would suffer losses up to an aggregate amount of EUR 18.3 bn (based on balance sheet</w:t>
      </w:r>
      <w:r>
        <w:t xml:space="preserve"> </w:t>
      </w:r>
      <w:r>
        <w:t xml:space="preserve">data as of Q4 2019) in order to reach the 8% TLOF threshold and access the resolution</w:t>
      </w:r>
      <w:r>
        <w:t xml:space="preserve"> </w:t>
      </w:r>
      <w:r>
        <w:t xml:space="preserve">fund.</w:t>
      </w:r>
      <w:r>
        <w:t xml:space="preserve"> </w:t>
      </w:r>
      <w:r>
        <w:t xml:space="preserve">When only institutions which already had resolution strategies under the 2019 PIA</w:t>
      </w:r>
      <w:r>
        <w:t xml:space="preserve"> </w:t>
      </w:r>
      <w:r>
        <w:t xml:space="preserve">decision were considered, deposits in 44 banks would be affected up to an aggregate</w:t>
      </w:r>
      <w:r>
        <w:t xml:space="preserve"> </w:t>
      </w:r>
      <w:r>
        <w:t xml:space="preserve">amount of EUR 14.2 bn in 18 Member States. Under more severe scenarios of equity</w:t>
      </w:r>
      <w:r>
        <w:t xml:space="preserve"> </w:t>
      </w:r>
      <w:r>
        <w:t xml:space="preserve">depletion in the run up to a crisis, the share of affected banks would increase</w:t>
      </w:r>
      <w:r>
        <w:t xml:space="preserve"> </w:t>
      </w:r>
      <w:r>
        <w:t xml:space="preserve">significantly89. This would be mitigated to an extent when changing the tiered depositor</w:t>
      </w:r>
      <w:r>
        <w:t xml:space="preserve"> </w:t>
      </w:r>
      <w:r>
        <w:t xml:space="preserve">preference in the hierarchy of claims to preferring all deposits versus other senior</w:t>
      </w:r>
      <w:r>
        <w:t xml:space="preserve"> </w:t>
      </w:r>
      <w:r>
        <w:t xml:space="preserve">ordinary unsecured claims and removing the super-preference of the DGS.</w:t>
      </w:r>
    </w:p>
    <w:p>
      <w:pPr>
        <w:pStyle w:val="BodyText"/>
      </w:pPr>
      <w:r>
        <w:t xml:space="preserve">insolvency. Given the super-preferred ranking of the DGS in the hierarchy of claim, the DGS has, in some</w:t>
      </w:r>
      <w:r>
        <w:t xml:space="preserve"> </w:t>
      </w:r>
      <w:r>
        <w:t xml:space="preserve">Member States, the possibility to recover most or all its expenditure in the hypothetical insolvency.</w:t>
      </w:r>
      <w:r>
        <w:t xml:space="preserve"> </w:t>
      </w:r>
      <w:r>
        <w:t xml:space="preserve">However, this recovery rate is heterogeneous among Member States, depending on the efficiency of</w:t>
      </w:r>
      <w:r>
        <w:t xml:space="preserve"> </w:t>
      </w:r>
      <w:r>
        <w:t xml:space="preserve">judicial systems, quality of assets to be liquidated, time required to conduct the insolvency proceedings and</w:t>
      </w:r>
      <w:r>
        <w:t xml:space="preserve"> </w:t>
      </w:r>
      <w:r>
        <w:t xml:space="preserve">other factors. As a result, the DGS has very limited scope to intervene in resolution because the least cost</w:t>
      </w:r>
      <w:r>
        <w:t xml:space="preserve"> </w:t>
      </w:r>
      <w:r>
        <w:t xml:space="preserve">test on the basis of which the use of resolution tools would have to be assessed, would not allow for it.</w:t>
      </w:r>
      <w:r>
        <w:t xml:space="preserve"> </w:t>
      </w:r>
      <w:r>
        <w:t xml:space="preserve">87 EBA (October 2021), Call for advice regarding funding in resolution and insolvency.</w:t>
      </w:r>
      <w:r>
        <w:t xml:space="preserve"> </w:t>
      </w:r>
      <w:r>
        <w:t xml:space="preserve">88 Baseline scenario refers to status quo assumptions: no equity depletion in the bank at moment of failure</w:t>
      </w:r>
      <w:r>
        <w:t xml:space="preserve"> </w:t>
      </w:r>
      <w:r>
        <w:t xml:space="preserve">and existing depositor preference (including super-preference of DGS) in the hierarchy of claims.</w:t>
      </w:r>
      <w:r>
        <w:br/>
      </w:r>
      <w:r>
        <w:t xml:space="preserve">89 From 96 banks with an aggregate EUR 18.30 bn affected deposits (44 banks with resolution strategy and</w:t>
      </w:r>
      <w:r>
        <w:t xml:space="preserve"> </w:t>
      </w:r>
      <w:r>
        <w:t xml:space="preserve">an aggregate EUR 14.16 bn affected deposits) under the baseline scenario, to 246 banks with an aggregate</w:t>
      </w:r>
      <w:r>
        <w:t xml:space="preserve"> </w:t>
      </w:r>
      <w:r>
        <w:t xml:space="preserve">EUR 83.1 bn affected deposits (117 banks with resolution strategy and an aggregate EUR 71.6 bn affected</w:t>
      </w:r>
      <w:r>
        <w:t xml:space="preserve"> </w:t>
      </w:r>
      <w:r>
        <w:t xml:space="preserve">deposits) under the next more severe CET1 depletion scenario assuming 75% depletion of capital buffers).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Summary of impacts of various depositor preference scenarios on bailing-in deposits</w:t>
      </w:r>
      <w:r>
        <w:t xml:space="preserve"> </w:t>
      </w:r>
      <w:r>
        <w:t xml:space="preserve">when reaching 8% TLOF</w:t>
      </w:r>
    </w:p>
    <w:p>
      <w:pPr>
        <w:pStyle w:val="BodyText"/>
      </w:pPr>
      <w:r>
        <w:t xml:space="preserve">Institutions that would</w:t>
      </w:r>
      <w:r>
        <w:t xml:space="preserve"> </w:t>
      </w:r>
      <w:r>
        <w:t xml:space="preserve">require DGS</w:t>
      </w:r>
      <w:r>
        <w:t xml:space="preserve"> </w:t>
      </w:r>
      <w:r>
        <w:t xml:space="preserve">intervention to reach</w:t>
      </w:r>
      <w:r>
        <w:t xml:space="preserve"> </w:t>
      </w:r>
      <w:r>
        <w:t xml:space="preserve">8% TLOF to avoid</w:t>
      </w:r>
      <w:r>
        <w:t xml:space="preserve"> </w:t>
      </w:r>
      <w:r>
        <w:t xml:space="preserve">losses on depositors</w:t>
      </w:r>
      <w:r>
        <w:t xml:space="preserve"> </w:t>
      </w:r>
      <w:r>
        <w:t xml:space="preserve">Of which: Institutions</w:t>
      </w:r>
      <w:r>
        <w:t xml:space="preserve"> </w:t>
      </w:r>
      <w:r>
        <w:t xml:space="preserve">for which DGS can</w:t>
      </w:r>
      <w:r>
        <w:t xml:space="preserve"> </w:t>
      </w:r>
      <w:r>
        <w:t xml:space="preserve">intervene 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 Institutions</w:t>
      </w:r>
      <w:r>
        <w:t xml:space="preserve"> </w:t>
      </w:r>
      <w:r>
        <w:t xml:space="preserve">for which DGS</w:t>
      </w:r>
      <w:r>
        <w:t xml:space="preserve"> </w:t>
      </w:r>
      <w:r>
        <w:t xml:space="preserve">interventions under the</w:t>
      </w:r>
      <w:r>
        <w:t xml:space="preserve"> </w:t>
      </w:r>
      <w:r>
        <w:t xml:space="preserve">LCT 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Baseline</w:t>
      </w:r>
      <w:r>
        <w:t xml:space="preserve"> </w:t>
      </w:r>
      <w:r>
        <w:t xml:space="preserve">91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Single-tier preference</w:t>
      </w:r>
      <w:r>
        <w:t xml:space="preserve"> </w:t>
      </w:r>
      <w:r>
        <w:t xml:space="preserve">48</w:t>
      </w:r>
      <w:r>
        <w:t xml:space="preserve"> </w:t>
      </w:r>
      <w:r>
        <w:t xml:space="preserve">41</w:t>
      </w:r>
      <w:r>
        <w:t xml:space="preserve"> </w:t>
      </w:r>
      <w:r>
        <w:t xml:space="preserve">31</w:t>
      </w:r>
      <w:r>
        <w:t xml:space="preserve"> </w:t>
      </w:r>
      <w:r>
        <w:t xml:space="preserve">Two-tier preference (no</w:t>
      </w:r>
      <w:r>
        <w:t xml:space="preserve"> </w:t>
      </w:r>
      <w:r>
        <w:t xml:space="preserve">super-preference)</w:t>
      </w:r>
      <w:r>
        <w:t xml:space="preserve"> </w:t>
      </w:r>
      <w:r>
        <w:t xml:space="preserve">48</w:t>
      </w:r>
      <w:r>
        <w:t xml:space="preserve"> </w:t>
      </w:r>
      <w:r>
        <w:t xml:space="preserve">18</w:t>
      </w:r>
      <w:r>
        <w:t xml:space="preserve"> </w:t>
      </w:r>
      <w:r>
        <w:t xml:space="preserve">13</w:t>
      </w:r>
      <w:r>
        <w:t xml:space="preserve"> </w:t>
      </w:r>
      <w:r>
        <w:t xml:space="preserve">Two-tier preference</w:t>
      </w:r>
      <w:r>
        <w:t xml:space="preserve"> </w:t>
      </w:r>
      <w:r>
        <w:t xml:space="preserve">(with super-preference)</w:t>
      </w:r>
      <w:r>
        <w:t xml:space="preserve"> </w:t>
      </w:r>
      <w:r>
        <w:t xml:space="preserve">48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Three-tier preference</w:t>
      </w:r>
      <w:r>
        <w:t xml:space="preserve"> </w:t>
      </w:r>
      <w:r>
        <w:t xml:space="preserve">(with super-preference)</w:t>
      </w:r>
      <w:r>
        <w:t xml:space="preserve"> </w:t>
      </w:r>
      <w:r>
        <w:t xml:space="preserve">48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Source: EBA Call for advice, summary of evidence from Annex 7, section 4.1.1.</w:t>
      </w:r>
      <w:r>
        <w:t xml:space="preserve"> </w:t>
      </w:r>
      <w:r>
        <w:t xml:space="preserve">Note: analysis based on a total sample of 368 banks at consolidated level. The figure above assumes no</w:t>
      </w:r>
      <w:r>
        <w:t xml:space="preserve"> </w:t>
      </w:r>
      <w:r>
        <w:t xml:space="preserve">CET1 depletion in the event of failure. If CET1 depletion were factored in, the impact on deposits would</w:t>
      </w:r>
      <w:r>
        <w:t xml:space="preserve"> </w:t>
      </w:r>
      <w:r>
        <w:t xml:space="preserve">increase very significantly.</w:t>
      </w:r>
      <w:r>
        <w:t xml:space="preserve"> </w:t>
      </w:r>
      <w:r>
        <w:t xml:space="preserve">The EBA analysis also considered the possibility to use the DGS fund as a bridge to</w:t>
      </w:r>
      <w:r>
        <w:t xml:space="preserve"> </w:t>
      </w:r>
      <w:r>
        <w:t xml:space="preserve">reach the 8% TLOF and avoid such losses on depositors. The analysis has shown that,</w:t>
      </w:r>
      <w:r>
        <w:t xml:space="preserve"> </w:t>
      </w:r>
      <w:r>
        <w:t xml:space="preserve">under the current framework, the least cost test would yield a positive result and allow</w:t>
      </w:r>
      <w:r>
        <w:t xml:space="preserve"> </w:t>
      </w:r>
      <w:r>
        <w:t xml:space="preserve">for DGS use in resolution, for only three out of 91 banks (out of a total sample of 368</w:t>
      </w:r>
      <w:r>
        <w:t xml:space="preserve"> </w:t>
      </w:r>
      <w:r>
        <w:t xml:space="preserve">banks) where deposits would bear losses to access resolution funding (8% TLOF),</w:t>
      </w:r>
      <w:r>
        <w:t xml:space="preserve"> </w:t>
      </w:r>
      <w:r>
        <w:t xml:space="preserve">considering an 85% recovery rate in insolvency90. The least cost test would allow a</w:t>
      </w:r>
      <w:r>
        <w:t xml:space="preserve"> </w:t>
      </w:r>
      <w:r>
        <w:t xml:space="preserve">sufficient DGS support to reach 8% TLOF for two out of these three banks.</w:t>
      </w:r>
      <w:r>
        <w:t xml:space="preserve"> </w:t>
      </w:r>
      <w:r>
        <w:t xml:space="preserve">Preferring all deposits versus ordinary unsecured claims would reduce the number of</w:t>
      </w:r>
      <w:r>
        <w:t xml:space="preserve"> </w:t>
      </w:r>
      <w:r>
        <w:t xml:space="preserve">banks where deposits would be impacted when reaching 8% TLOF, from 91 banks in the</w:t>
      </w:r>
      <w:r>
        <w:t xml:space="preserve"> </w:t>
      </w:r>
      <w:r>
        <w:t xml:space="preserve">baseline scenario to 48 (out of 368 banks in total).</w:t>
      </w:r>
      <w:r>
        <w:t xml:space="preserve"> </w:t>
      </w:r>
      <w:r>
        <w:t xml:space="preserve">It can be concluded based on this evidence that, under the baseline (status quo), the DGS</w:t>
      </w:r>
      <w:r>
        <w:t xml:space="preserve"> </w:t>
      </w:r>
      <w:r>
        <w:t xml:space="preserve">can almost never be used for measures other than the payout of covered deposits in</w:t>
      </w:r>
      <w:r>
        <w:t xml:space="preserve"> </w:t>
      </w:r>
      <w:r>
        <w:t xml:space="preserve">insolvency (see table above and section 4.1.1 of Annex 7) because its ranking and</w:t>
      </w:r>
      <w:r>
        <w:t xml:space="preserve"> </w:t>
      </w:r>
      <w:r>
        <w:t xml:space="preserve">consequently high likelihood to get its claims paid before other creditors make the</w:t>
      </w:r>
      <w:r>
        <w:t xml:space="preserve"> </w:t>
      </w:r>
      <w:r>
        <w:t xml:space="preserve">counterfactual of a payout in insolvency artificially less costly, despite the fact that a</w:t>
      </w:r>
      <w:r>
        <w:t xml:space="preserve"> </w:t>
      </w:r>
      <w:r>
        <w:t xml:space="preserve">DGS contribution to resolution or an alternative measure could be more cost efficient</w:t>
      </w:r>
      <w:r>
        <w:t xml:space="preserve"> </w:t>
      </w:r>
      <w:r>
        <w:t xml:space="preserve">(involve a lower need for cash disbursement from the DGS to support a sale of business</w:t>
      </w:r>
      <w:r>
        <w:t xml:space="preserve"> </w:t>
      </w:r>
      <w:r>
        <w:t xml:space="preserve">strategy, compared to a full payout of all covered deposits), better preserve depositors’</w:t>
      </w:r>
      <w:r>
        <w:t xml:space="preserve"> </w:t>
      </w:r>
      <w:r>
        <w:t xml:space="preserve">confidence and facilitate a more efficient crisis management. On one hand, paying out</w:t>
      </w:r>
      <w:r>
        <w:t xml:space="preserve"> </w:t>
      </w:r>
      <w:r>
        <w:t xml:space="preserve">covered deposits in insolvency is likely to require a very significant upfront cash</w:t>
      </w:r>
      <w:r>
        <w:t xml:space="preserve"> </w:t>
      </w:r>
      <w:r>
        <w:t xml:space="preserve">disbursement by the DGS (especially in cases of predominantly deposit-funded mid-</w:t>
      </w:r>
      <w:r>
        <w:t xml:space="preserve"> </w:t>
      </w:r>
      <w:r>
        <w:t xml:space="preserve">sized banks with significant amounts of covered deposits)91. On the other hand, an</w:t>
      </w:r>
    </w:p>
    <w:p>
      <w:pPr>
        <w:pStyle w:val="BodyText"/>
      </w:pPr>
      <w:r>
        <w:t xml:space="preserve">90 An 85% recovery rate is a conservative assumption and for several Member States, recovery rates are</w:t>
      </w:r>
      <w:r>
        <w:t xml:space="preserve"> </w:t>
      </w:r>
      <w:r>
        <w:t xml:space="preserve">actually lower. Therefore, in those cases their DGS funds would recover less after a payout of covered</w:t>
      </w:r>
      <w:r>
        <w:t xml:space="preserve"> </w:t>
      </w:r>
      <w:r>
        <w:t xml:space="preserve">deposits in insolvency (i.e. the burden of the counterfactual of the payout is underestimated) and in reality,</w:t>
      </w:r>
      <w:r>
        <w:t xml:space="preserve"> </w:t>
      </w:r>
      <w:r>
        <w:t xml:space="preserve">the LCT could be even more favourable to other alternatives to payout of covered deposits in insolvency,</w:t>
      </w:r>
      <w:r>
        <w:t xml:space="preserve"> </w:t>
      </w:r>
      <w:r>
        <w:t xml:space="preserve">such as DGS intervention in resolution.</w:t>
      </w:r>
      <w:r>
        <w:t xml:space="preserve"> </w:t>
      </w:r>
      <w:r>
        <w:t xml:space="preserve">91 See a more detailed analysis in Annex 5 (evaluation), sections 7.1.4.4 and 7.2.2.6 and ECB (October</w:t>
      </w:r>
      <w:r>
        <w:t xml:space="preserve"> </w:t>
      </w:r>
      <w:r>
        <w:t xml:space="preserve">2022), Protecting depositors and saving money - why DGS in the EU should be able to support transfers of</w:t>
      </w:r>
      <w:r>
        <w:t xml:space="preserve"> </w:t>
      </w:r>
      <w:r>
        <w:t xml:space="preserve">assets and liabilities when a bank fails.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intervention in resolution to support the transfer of a failing bank to a buyer may require</w:t>
      </w:r>
      <w:r>
        <w:t xml:space="preserve"> </w:t>
      </w:r>
      <w:r>
        <w:t xml:space="preserve">only a portion of those DGS financial means. Transfer transactions can unfold in many</w:t>
      </w:r>
      <w:r>
        <w:t xml:space="preserve"> </w:t>
      </w:r>
      <w:r>
        <w:t xml:space="preserve">ways, depending on the quality of assets and the funding/liabilities to match these, as</w:t>
      </w:r>
      <w:r>
        <w:t xml:space="preserve"> </w:t>
      </w:r>
      <w:r>
        <w:t xml:space="preserve">well as the appetite of the buyer and the offered price. Considering the likely need to</w:t>
      </w:r>
      <w:r>
        <w:t xml:space="preserve"> </w:t>
      </w:r>
      <w:r>
        <w:t xml:space="preserve">plug a gap between the value of assets and deposits to be transferred to a buyer, the</w:t>
      </w:r>
      <w:r>
        <w:t xml:space="preserve"> </w:t>
      </w:r>
      <w:r>
        <w:t xml:space="preserve">DGS/resolution fund contribution to support such transfer may be much lower than the</w:t>
      </w:r>
      <w:r>
        <w:t xml:space="preserve"> </w:t>
      </w:r>
      <w:r>
        <w:t xml:space="preserve">total value of covered deposits that would need to be paid out in insolvency. Under the</w:t>
      </w:r>
      <w:r>
        <w:t xml:space="preserve"> </w:t>
      </w:r>
      <w:r>
        <w:t xml:space="preserve">current set-up, the DGS super-priority ends up protecting the financial means of the DGS</w:t>
      </w:r>
      <w:r>
        <w:t xml:space="preserve"> </w:t>
      </w:r>
      <w:r>
        <w:t xml:space="preserve">and of the banking industry from possible replenishment burden by hindering any DGS</w:t>
      </w:r>
      <w:r>
        <w:t xml:space="preserve"> </w:t>
      </w:r>
      <w:r>
        <w:t xml:space="preserve">intervention, without bringing a better protection for covered deposits. The protection of</w:t>
      </w:r>
      <w:r>
        <w:t xml:space="preserve"> </w:t>
      </w:r>
      <w:r>
        <w:t xml:space="preserve">covered deposits does not depend on their ranking in the hierarchy of claims; rather, it is</w:t>
      </w:r>
      <w:r>
        <w:t xml:space="preserve"> </w:t>
      </w:r>
      <w:r>
        <w:t xml:space="preserve">insured through the obligation to be paid out under the DGSD when accounts become</w:t>
      </w:r>
      <w:r>
        <w:t xml:space="preserve"> </w:t>
      </w:r>
      <w:r>
        <w:t xml:space="preserve">unavailable and the mandatory exclusion from bearing any losses in resolution.</w:t>
      </w:r>
      <w:r>
        <w:br/>
      </w:r>
      <w:r>
        <w:t xml:space="preserve">The implementation of a two-tier depositor preference without the super-preference of</w:t>
      </w:r>
      <w:r>
        <w:t xml:space="preserve"> </w:t>
      </w:r>
      <w:r>
        <w:t xml:space="preserve">DGS and covered deposits would require two changes in the BRRD rules on the ranking</w:t>
      </w:r>
      <w:r>
        <w:t xml:space="preserve"> </w:t>
      </w:r>
      <w:r>
        <w:t xml:space="preserve">of deposits (Article 108 BRRD). First, the legal preference in the hierarchy of claims</w:t>
      </w:r>
      <w:r>
        <w:t xml:space="preserve"> </w:t>
      </w:r>
      <w:r>
        <w:t xml:space="preserve">would be harmonised at EU level to include all deposits, meaning deposits would rank</w:t>
      </w:r>
      <w:r>
        <w:t xml:space="preserve"> </w:t>
      </w:r>
      <w:r>
        <w:t xml:space="preserve">above ordinary senior unsecured claims in all Member States. Second, the current three-</w:t>
      </w:r>
      <w:r>
        <w:t xml:space="preserve"> </w:t>
      </w:r>
      <w:r>
        <w:t xml:space="preserve">tier approach would be replaced with a two-tier ranking, whereby covered and preferred</w:t>
      </w:r>
      <w:r>
        <w:t xml:space="preserve"> </w:t>
      </w:r>
      <w:r>
        <w:t xml:space="preserve">deposits would rank pari passu and above non-preferred non-covered deposits92. Annex</w:t>
      </w:r>
      <w:r>
        <w:t xml:space="preserve"> </w:t>
      </w:r>
      <w:r>
        <w:t xml:space="preserve">7 and 8 further describe the detailed impact of different depositor preference scenarios</w:t>
      </w:r>
      <w:r>
        <w:t xml:space="preserve"> </w:t>
      </w:r>
      <w:r>
        <w:t xml:space="preserve">assessed, varying in scope and relative ranking among deposits.</w:t>
      </w:r>
      <w:r>
        <w:t xml:space="preserve"> </w:t>
      </w:r>
      <w:r>
        <w:t xml:space="preserve">Introducing a depositor preference in the hierarchy of claims (be it a two-tier or single-</w:t>
      </w:r>
      <w:r>
        <w:t xml:space="preserve"> </w:t>
      </w:r>
      <w:r>
        <w:t xml:space="preserve">tier, as proposed in option 3) would facilitate the bail-in of ordinary unsecured claims</w:t>
      </w:r>
      <w:r>
        <w:t xml:space="preserve"> </w:t>
      </w:r>
      <w:r>
        <w:t xml:space="preserve">and potentially decrease the likelihood of inflicting losses on deposits. It would also</w:t>
      </w:r>
      <w:r>
        <w:t xml:space="preserve"> </w:t>
      </w:r>
      <w:r>
        <w:t xml:space="preserve">mitigate risks related to potential breaches of the NCWO safeguard currently existing in</w:t>
      </w:r>
      <w:r>
        <w:t xml:space="preserve"> </w:t>
      </w:r>
      <w:r>
        <w:t xml:space="preserve">the baseline option, which could arise when some of the deposits that rank pari passu</w:t>
      </w:r>
      <w:r>
        <w:t xml:space="preserve"> </w:t>
      </w:r>
      <w:r>
        <w:t xml:space="preserve">with ordinary unsecured creditors are discretionarily excluded from bail-in by the</w:t>
      </w:r>
      <w:r>
        <w:t xml:space="preserve"> </w:t>
      </w:r>
      <w:r>
        <w:t xml:space="preserve">resolution authority, on contagion and financial stability grounds93. This, in turn, may</w:t>
      </w:r>
      <w:r>
        <w:t xml:space="preserve"> </w:t>
      </w:r>
      <w:r>
        <w:t xml:space="preserve">give rise to legal challenges and potential compensation claims by the ordinary unsecured</w:t>
      </w:r>
      <w:r>
        <w:t xml:space="preserve"> </w:t>
      </w:r>
      <w:r>
        <w:t xml:space="preserve">creditors if they can prove that they were treated worse-off in resolution than in</w:t>
      </w:r>
      <w:r>
        <w:t xml:space="preserve"> </w:t>
      </w:r>
      <w:r>
        <w:t xml:space="preserve">insolvency, particularly when they represent a significant share of the ordinary senior</w:t>
      </w:r>
      <w:r>
        <w:t xml:space="preserve"> </w:t>
      </w:r>
      <w:r>
        <w:t xml:space="preserve">unsecured class. At the same time, keeping via the two-tier approach a distinction</w:t>
      </w:r>
      <w:r>
        <w:t xml:space="preserve"> </w:t>
      </w:r>
      <w:r>
        <w:t xml:space="preserve">between covered and preferred deposits (i.e. eligible deposits of natural persons and</w:t>
      </w:r>
      <w:r>
        <w:t xml:space="preserve"> </w:t>
      </w:r>
      <w:r>
        <w:t xml:space="preserve">SMEs) on one hand and the remaining non-covered deposits on the other hand, would</w:t>
      </w:r>
      <w:r>
        <w:t xml:space="preserve"> </w:t>
      </w:r>
      <w:r>
        <w:t xml:space="preserve">facilitate the bail-in of the latter deposits, in situations where that would not affect</w:t>
      </w:r>
      <w:r>
        <w:t xml:space="preserve"> </w:t>
      </w:r>
      <w:r>
        <w:t xml:space="preserve">financial stability, thereby preserving some flexibility by resolution authorities on how to</w:t>
      </w:r>
      <w:r>
        <w:t xml:space="preserve"> </w:t>
      </w:r>
      <w:r>
        <w:t xml:space="preserve">allocate losses. However, as explained in Annex 8, considering that smaller and medium-</w:t>
      </w:r>
      <w:r>
        <w:t xml:space="preserve"> </w:t>
      </w:r>
      <w:r>
        <w:t xml:space="preserve">sized banks primarily serve retail and SME clients and that the volume of “wholesale”</w:t>
      </w:r>
      <w:r>
        <w:t xml:space="preserve"> </w:t>
      </w:r>
      <w:r>
        <w:t xml:space="preserve">deposits may not be material in some banks, this flexibility may not be used in all cases.</w:t>
      </w:r>
    </w:p>
    <w:p>
      <w:pPr>
        <w:pStyle w:val="BodyText"/>
      </w:pPr>
      <w:r>
        <w:t xml:space="preserve">92 See also Figure 29 in Annex 8, section 2, for a stylised view of creditor hierarchy in insolvency with a</w:t>
      </w:r>
      <w:r>
        <w:t xml:space="preserve"> </w:t>
      </w:r>
      <w:r>
        <w:t xml:space="preserve">two-tier depositor preference and without the super-preference of DGS/covered deposits.</w:t>
      </w:r>
      <w:r>
        <w:br/>
      </w:r>
      <w:r>
        <w:t xml:space="preserve">93 Pursuant to Article 44(3) of the BRRD.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The removal of the DGS super-preference would increase to a relative extent, compared</w:t>
      </w:r>
      <w:r>
        <w:t xml:space="preserve"> </w:t>
      </w:r>
      <w:r>
        <w:t xml:space="preserve">to the baseline, the amount of funds the DGS could contribute for measures other than</w:t>
      </w:r>
      <w:r>
        <w:t xml:space="preserve"> </w:t>
      </w:r>
      <w:r>
        <w:t xml:space="preserve">payout under the least cost test. However, because the DGS would still be a preferred</w:t>
      </w:r>
      <w:r>
        <w:t xml:space="preserve"> </w:t>
      </w:r>
      <w:r>
        <w:t xml:space="preserve">creditor in relation to non-covered non-preferred deposits, the increase in DGS funds</w:t>
      </w:r>
      <w:r>
        <w:t xml:space="preserve"> </w:t>
      </w:r>
      <w:r>
        <w:t xml:space="preserve">unlocked under the least cost test for these measures would be significantly lower than</w:t>
      </w:r>
      <w:r>
        <w:t xml:space="preserve"> </w:t>
      </w:r>
      <w:r>
        <w:t xml:space="preserve">under a single-tier depositor preference explored in options 3 and 4, where all deposits</w:t>
      </w:r>
      <w:r>
        <w:t xml:space="preserve"> </w:t>
      </w:r>
      <w:r>
        <w:t xml:space="preserve">would rank pari passu in the hierarchy of claims.</w:t>
      </w:r>
      <w:r>
        <w:br/>
      </w:r>
      <w:r>
        <w:t xml:space="preserve">According to the quantitative analysis in Annex 7 (section 4.1.3), 48 banks would require</w:t>
      </w:r>
      <w:r>
        <w:t xml:space="preserve"> </w:t>
      </w:r>
      <w:r>
        <w:t xml:space="preserve">additional resources to meet 8% TLOF and access the resolution fund without imposing</w:t>
      </w:r>
      <w:r>
        <w:t xml:space="preserve"> </w:t>
      </w:r>
      <w:r>
        <w:t xml:space="preserve">losses on depositors when preferring deposits versus ordinary unsecured claims, as</w:t>
      </w:r>
      <w:r>
        <w:t xml:space="preserve"> </w:t>
      </w:r>
      <w:r>
        <w:t xml:space="preserve">opposed to 91 banks under the current hierarchy of claims, which does not feature a</w:t>
      </w:r>
      <w:r>
        <w:t xml:space="preserve"> </w:t>
      </w:r>
      <w:r>
        <w:t xml:space="preserve">preference of deposits. A two-tier depositor preference without the super-preference for</w:t>
      </w:r>
      <w:r>
        <w:t xml:space="preserve"> </w:t>
      </w:r>
      <w:r>
        <w:t xml:space="preserve">DGS would lead to a least cost test result where the DGS could contribute for 18 banks</w:t>
      </w:r>
      <w:r>
        <w:t xml:space="preserve"> </w:t>
      </w:r>
      <w:r>
        <w:t xml:space="preserve">out of the 48 to bridge financing needs to shield deposits from losses and help meet the</w:t>
      </w:r>
      <w:r>
        <w:t xml:space="preserve"> </w:t>
      </w:r>
      <w:r>
        <w:t xml:space="preserve">8% TLOF condition to access the RF/SRF. The number of banks where the DGS funds</w:t>
      </w:r>
      <w:r>
        <w:t xml:space="preserve"> </w:t>
      </w:r>
      <w:r>
        <w:t xml:space="preserve">could contribute under a two-tier preference without super-priority for DGS would be</w:t>
      </w:r>
      <w:r>
        <w:t xml:space="preserve"> </w:t>
      </w:r>
      <w:r>
        <w:t xml:space="preserve">improved compared to the baseline, where only three banks could benefit from DGS</w:t>
      </w:r>
      <w:r>
        <w:t xml:space="preserve"> </w:t>
      </w:r>
      <w:r>
        <w:t xml:space="preserve">contributions but it would be lower than under a single-tier depositor preference where</w:t>
      </w:r>
      <w:r>
        <w:t xml:space="preserve"> </w:t>
      </w:r>
      <w:r>
        <w:t xml:space="preserve">41 banks could benefit from DGS contributions (considered under options 3 and 4).</w:t>
      </w:r>
      <w:r>
        <w:t xml:space="preserve"> </w:t>
      </w:r>
      <w:r>
        <w:t xml:space="preserve">Under the two-tier depositor preference without the super-priority for DGS claims, the</w:t>
      </w:r>
      <w:r>
        <w:t xml:space="preserve"> </w:t>
      </w:r>
      <w:r>
        <w:t xml:space="preserve">DGS intervention to plug the gap towards accessing the resolution fund would be</w:t>
      </w:r>
      <w:r>
        <w:t xml:space="preserve"> </w:t>
      </w:r>
      <w:r>
        <w:t xml:space="preserve">sufficient to meet 8% TLOF in 13 cases (out of the 48) versus two under the baseline and</w:t>
      </w:r>
      <w:r>
        <w:t xml:space="preserve"> </w:t>
      </w:r>
      <w:r>
        <w:t xml:space="preserve">31 banks under a single-tier depositor preference (options 3 and 4). In terms of euro</w:t>
      </w:r>
      <w:r>
        <w:t xml:space="preserve"> </w:t>
      </w:r>
      <w:r>
        <w:t xml:space="preserve">amount, the DGS could be allowed to contribute under the least cost test for an estimated</w:t>
      </w:r>
      <w:r>
        <w:t xml:space="preserve"> </w:t>
      </w:r>
      <w:r>
        <w:t xml:space="preserve">amount of EUR 0.21 bn under a two-tier depositor preference without the super-priority</w:t>
      </w:r>
      <w:r>
        <w:t xml:space="preserve"> </w:t>
      </w:r>
      <w:r>
        <w:t xml:space="preserve">for DGS, compared to EUR 0.05 bn under the baseline and EUR 0.98 bn under a single-</w:t>
      </w:r>
      <w:r>
        <w:t xml:space="preserve"> </w:t>
      </w:r>
      <w:r>
        <w:t xml:space="preserve">tier depositor preference. Table 25 in Annex 7 also shows that maintaining the super-</w:t>
      </w:r>
      <w:r>
        <w:t xml:space="preserve"> </w:t>
      </w:r>
      <w:r>
        <w:t xml:space="preserve">preference of DGS does not unlock more funds compared to the baseline, even if all</w:t>
      </w:r>
      <w:r>
        <w:t xml:space="preserve"> </w:t>
      </w:r>
      <w:r>
        <w:t xml:space="preserve">depositors were preferred compared to ordinary unsecured claims. Therefore, removing</w:t>
      </w:r>
      <w:r>
        <w:t xml:space="preserve"> </w:t>
      </w:r>
      <w:r>
        <w:t xml:space="preserve">the DGS super-preference is an important element of the preferred policy option to reach</w:t>
      </w:r>
      <w:r>
        <w:t xml:space="preserve"> </w:t>
      </w:r>
      <w:r>
        <w:t xml:space="preserve">the objectives envisaged by this initiative.</w:t>
      </w:r>
      <w:r>
        <w:br/>
      </w:r>
      <w:r>
        <w:t xml:space="preserve">Annex 8 explains in detail why the removal of the super-preference of covered deposits</w:t>
      </w:r>
      <w:r>
        <w:t xml:space="preserve"> </w:t>
      </w:r>
      <w:r>
        <w:t xml:space="preserve">and the DGS in the hierarchy of claims does not impede in any way on the protection</w:t>
      </w:r>
      <w:r>
        <w:t xml:space="preserve"> </w:t>
      </w:r>
      <w:r>
        <w:t xml:space="preserve">enjoyed by covered deposits, but it allows for the use of DGS funds earlier and in a more</w:t>
      </w:r>
      <w:r>
        <w:t xml:space="preserve"> </w:t>
      </w:r>
      <w:r>
        <w:t xml:space="preserve">effective and efficient manner.</w:t>
      </w:r>
      <w:r>
        <w:br/>
      </w:r>
      <w:r>
        <w:t xml:space="preserve">Some stakeholders (including a few Member States and banks) argue that preserving a</w:t>
      </w:r>
      <w:r>
        <w:t xml:space="preserve"> </w:t>
      </w:r>
      <w:r>
        <w:t xml:space="preserve">super-priority for DGS in the hierarchy of claims is instrumental in ensuring the recovery</w:t>
      </w:r>
      <w:r>
        <w:t xml:space="preserve"> </w:t>
      </w:r>
      <w:r>
        <w:t xml:space="preserve">of funds used to payout covered deposits in insolvency, even if the creditor payout in</w:t>
      </w:r>
      <w:r>
        <w:t xml:space="preserve"> </w:t>
      </w:r>
      <w:r>
        <w:t xml:space="preserve">insolvency can take many years (depending on the judicial system in each Member State</w:t>
      </w:r>
      <w:r>
        <w:t xml:space="preserve"> </w:t>
      </w:r>
      <w:r>
        <w:t xml:space="preserve">and the approach to liquidate assets94). Importantly, the amount of cash the DGS must</w:t>
      </w:r>
    </w:p>
    <w:p>
      <w:pPr>
        <w:pStyle w:val="BodyText"/>
      </w:pPr>
      <w:r>
        <w:t xml:space="preserve">94 In some Member States and in specific cases, the approach to liquidate assets in insolvency is to sell</w:t>
      </w:r>
      <w:r>
        <w:t xml:space="preserve"> </w:t>
      </w:r>
      <w:r>
        <w:t xml:space="preserve">those assets to buyers which may take several years to complete. In other cases, depending on the bank’s</w:t>
      </w:r>
      <w:r>
        <w:t xml:space="preserve"> </w:t>
      </w:r>
      <w:r>
        <w:t xml:space="preserve">business, a solvent wind-down of assets may be pursued, meaning that proceeds are recovered by</w:t>
      </w:r>
      <w:r>
        <w:t xml:space="preserve"> </w:t>
      </w:r>
      <w:r>
        <w:t xml:space="preserve">respecting the reimbursement schedule of assets, which for certain loan portfolios such as mortgages can</w:t>
      </w:r>
      <w:r>
        <w:t xml:space="preserve"> </w:t>
      </w:r>
      <w:r>
        <w:t xml:space="preserve">take tens of years.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disburse in a payout in insolvency corresponds to the total amount of covered deposits in</w:t>
      </w:r>
      <w:r>
        <w:t xml:space="preserve"> </w:t>
      </w:r>
      <w:r>
        <w:t xml:space="preserve">bank (plus other direct costs) and, as shown in the evaluation (sections 7.1.4.4. and</w:t>
      </w:r>
      <w:r>
        <w:t xml:space="preserve"> </w:t>
      </w:r>
      <w:r>
        <w:t xml:space="preserve">7.2.2.6), it is likely to be significantly higher than the amount the DGS would need to</w:t>
      </w:r>
      <w:r>
        <w:t xml:space="preserve"> </w:t>
      </w:r>
      <w:r>
        <w:t xml:space="preserve">contribute to fund the gap between assets and liabilities for facilitating a transfer strategy</w:t>
      </w:r>
      <w:r>
        <w:t xml:space="preserve"> </w:t>
      </w:r>
      <w:r>
        <w:t xml:space="preserve">in resolution or as alternative measure. Additionally, by facilitating transfer strategies in</w:t>
      </w:r>
      <w:r>
        <w:t xml:space="preserve"> </w:t>
      </w:r>
      <w:r>
        <w:t xml:space="preserve">resolution, the franchise value of the failing bank’s assets is preserved as opposed to</w:t>
      </w:r>
      <w:r>
        <w:t xml:space="preserve"> </w:t>
      </w:r>
      <w:r>
        <w:t xml:space="preserve">insolvency95 and so is the client relationship, which is transferred to a new bank rather</w:t>
      </w:r>
      <w:r>
        <w:t xml:space="preserve"> </w:t>
      </w:r>
      <w:r>
        <w:t xml:space="preserve">than being interrupted, avoiding thus potential contagion effects and impacts on financial</w:t>
      </w:r>
      <w:r>
        <w:t xml:space="preserve"> </w:t>
      </w:r>
      <w:r>
        <w:t xml:space="preserve">stability. Therefore, the difference in costs for the DGS between pursuing more</w:t>
      </w:r>
      <w:r>
        <w:t xml:space="preserve"> </w:t>
      </w:r>
      <w:r>
        <w:t xml:space="preserve">resolution versus insolvency lies in the more efficient usage of funds, facilitated by</w:t>
      </w:r>
      <w:r>
        <w:t xml:space="preserve"> </w:t>
      </w:r>
      <w:r>
        <w:t xml:space="preserve">removing the super-preference of DGS in the hierarchy of claims.</w:t>
      </w:r>
      <w:r>
        <w:br/>
      </w:r>
      <w:r>
        <w:t xml:space="preserve">6.1.1.5. Use of industry-funded safety nets and cost synergies for banks</w:t>
      </w:r>
      <w:r>
        <w:t xml:space="preserve"> </w:t>
      </w:r>
      <w:r>
        <w:t xml:space="preserve">The assessment of costs and potential synergies for the industry looks at two main</w:t>
      </w:r>
      <w:r>
        <w:t xml:space="preserve"> </w:t>
      </w:r>
      <w:r>
        <w:t xml:space="preserve">aspects: (i) impacts on banks’ contributions to safety nets and (ii) the impact of the policy</w:t>
      </w:r>
      <w:r>
        <w:t xml:space="preserve"> </w:t>
      </w:r>
      <w:r>
        <w:t xml:space="preserve">measures on the banks’ requirements to hold loss absorbing capacity.</w:t>
      </w:r>
      <w:r>
        <w:br/>
      </w:r>
      <w:r>
        <w:t xml:space="preserve">Regarding the contributions to safety nets, under option 2, banks will continue to</w:t>
      </w:r>
      <w:r>
        <w:t xml:space="preserve"> </w:t>
      </w:r>
      <w:r>
        <w:t xml:space="preserve">contribute to the safety nets (RF/SRF and DGS) as under the baseline option (status quo),</w:t>
      </w:r>
      <w:r>
        <w:t xml:space="preserve"> </w:t>
      </w:r>
      <w:r>
        <w:t xml:space="preserve">without any changes to the contribution levels. However, facilitating the use of DGS</w:t>
      </w:r>
      <w:r>
        <w:t xml:space="preserve"> </w:t>
      </w:r>
      <w:r>
        <w:t xml:space="preserve">funds to support the financing of various measures outside payout by modifying the</w:t>
      </w:r>
      <w:r>
        <w:t xml:space="preserve"> </w:t>
      </w:r>
      <w:r>
        <w:t xml:space="preserve">hierarchy of claims may lead to a more frequent usage of these funds and potentially</w:t>
      </w:r>
      <w:r>
        <w:t xml:space="preserve"> </w:t>
      </w:r>
      <w:r>
        <w:t xml:space="preserve">drive up the replenishment burden for the industry, despite the mitigation by the least</w:t>
      </w:r>
      <w:r>
        <w:t xml:space="preserve"> </w:t>
      </w:r>
      <w:r>
        <w:t xml:space="preserve">cost test. It should be noted however, that depending on the features of the sale of</w:t>
      </w:r>
      <w:r>
        <w:t xml:space="preserve"> </w:t>
      </w:r>
      <w:r>
        <w:t xml:space="preserve">business transactions and the form of the support measures required, such replenishment</w:t>
      </w:r>
      <w:r>
        <w:t xml:space="preserve"> </w:t>
      </w:r>
      <w:r>
        <w:t xml:space="preserve">obligations/ex post contributions may not materialise for banks (e.g. DGS may contribute</w:t>
      </w:r>
      <w:r>
        <w:t xml:space="preserve"> </w:t>
      </w:r>
      <w:r>
        <w:t xml:space="preserve">with guarantees to the buyer rather than cash injection). Moreover, ex post industry</w:t>
      </w:r>
      <w:r>
        <w:t xml:space="preserve"> </w:t>
      </w:r>
      <w:r>
        <w:t xml:space="preserve">contributions to replenish a depleted DGS fund may not only be triggered by the uses of</w:t>
      </w:r>
      <w:r>
        <w:t xml:space="preserve"> </w:t>
      </w:r>
      <w:r>
        <w:t xml:space="preserve">DGS in resolution or alternative measures; they may also occur when the recovery of</w:t>
      </w:r>
      <w:r>
        <w:t xml:space="preserve"> </w:t>
      </w:r>
      <w:r>
        <w:t xml:space="preserve">proceeds from the insolvency estate following a payout event takes very long time. The</w:t>
      </w:r>
      <w:r>
        <w:t xml:space="preserve"> </w:t>
      </w:r>
      <w:r>
        <w:t xml:space="preserve">net impact for the industry in terms of DGS replenishment needs cannot be estimated as</w:t>
      </w:r>
      <w:r>
        <w:t xml:space="preserve"> </w:t>
      </w:r>
      <w:r>
        <w:t xml:space="preserve">it would be a case-by-case assessment in function of the nature of the transfer transaction</w:t>
      </w:r>
      <w:r>
        <w:t xml:space="preserve"> </w:t>
      </w:r>
      <w:r>
        <w:t xml:space="preserve">(full or partial), the amount of losses and DGS contribution under the least cost test. In</w:t>
      </w:r>
      <w:r>
        <w:t xml:space="preserve"> </w:t>
      </w:r>
      <w:r>
        <w:t xml:space="preserve">any case, this possible cost increase for the banking industry would not be compensated</w:t>
      </w:r>
      <w:r>
        <w:t xml:space="preserve"> </w:t>
      </w:r>
      <w:r>
        <w:t xml:space="preserve">by any cost reduction in the DGS contributions, contrary to option 4 where the pooling of</w:t>
      </w:r>
      <w:r>
        <w:t xml:space="preserve"> </w:t>
      </w:r>
      <w:r>
        <w:t xml:space="preserve">funds in EDIS opens this possibility.</w:t>
      </w:r>
      <w:r>
        <w:br/>
      </w:r>
      <w:r>
        <w:t xml:space="preserve">Another relevant aspect when assessing costs for the industry is the usage of the SRF</w:t>
      </w:r>
      <w:r>
        <w:t xml:space="preserve"> </w:t>
      </w:r>
      <w:r>
        <w:t xml:space="preserve">versus DGS funds in the Banking Union. Since the SRF is a central fund consisting of</w:t>
      </w:r>
      <w:r>
        <w:t xml:space="preserve"> </w:t>
      </w:r>
      <w:r>
        <w:t xml:space="preserve">pooled contributions by all banks in the Banking Union, its use would trigger</w:t>
      </w:r>
      <w:r>
        <w:t xml:space="preserve"> </w:t>
      </w:r>
      <w:r>
        <w:t xml:space="preserve">replenishment needs spread out over the Banking Union population of banks. DGS funds,</w:t>
      </w:r>
      <w:r>
        <w:t xml:space="preserve"> </w:t>
      </w:r>
      <w:r>
        <w:t xml:space="preserve">in the absence of EDIS, remain national under this policy option meaning that</w:t>
      </w:r>
      <w:r>
        <w:t xml:space="preserve"> </w:t>
      </w:r>
      <w:r>
        <w:t xml:space="preserve">replenishment needs bear on the national banking system in the Member State where the</w:t>
      </w:r>
    </w:p>
    <w:p>
      <w:pPr>
        <w:pStyle w:val="BodyText"/>
      </w:pPr>
      <w:r>
        <w:t xml:space="preserve">95 According to the valuation methodology, the haircut imposed on assets in a transfer transaction is lower</w:t>
      </w:r>
      <w:r>
        <w:t xml:space="preserve"> </w:t>
      </w:r>
      <w:r>
        <w:t xml:space="preserve">than the haircut that could be imposed in some situations in insolvency. This may not be the case in a wind-</w:t>
      </w:r>
      <w:r>
        <w:t xml:space="preserve"> </w:t>
      </w:r>
      <w:r>
        <w:t xml:space="preserve">down liquidation which may take a very long time to complete.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DGS funds were used. From a cost synergy perspective at system level, it is therefore</w:t>
      </w:r>
      <w:r>
        <w:t xml:space="preserve"> </w:t>
      </w:r>
      <w:r>
        <w:t xml:space="preserve">more interesting, in the absence of EDIS, to use SRF funds and, in order to do so more</w:t>
      </w:r>
      <w:r>
        <w:t xml:space="preserve"> </w:t>
      </w:r>
      <w:r>
        <w:t xml:space="preserve">credibly, the DGS could provide a financing bridge to meeting the SRF access condition,</w:t>
      </w:r>
      <w:r>
        <w:t xml:space="preserve"> </w:t>
      </w:r>
      <w:r>
        <w:t xml:space="preserve">as explained in section 6.1.1.2 above.</w:t>
      </w:r>
      <w:r>
        <w:br/>
      </w:r>
      <w:r>
        <w:t xml:space="preserve">Regarding the banks’ loss absorbing capacity, smaller and medium-sized banks</w:t>
      </w:r>
      <w:r>
        <w:t xml:space="preserve"> </w:t>
      </w:r>
      <w:r>
        <w:t xml:space="preserve">previously earmarked for liquidation and which would enter the resolution scope due to</w:t>
      </w:r>
      <w:r>
        <w:t xml:space="preserve"> </w:t>
      </w:r>
      <w:r>
        <w:t xml:space="preserve">the PIA changes under this option, would need to comply with a MREL requirement. The</w:t>
      </w:r>
      <w:r>
        <w:t xml:space="preserve"> </w:t>
      </w:r>
      <w:r>
        <w:t xml:space="preserve">MREL target would be calibrated proportionately and in line with the preferred</w:t>
      </w:r>
      <w:r>
        <w:t xml:space="preserve"> </w:t>
      </w:r>
      <w:r>
        <w:t xml:space="preserve">resolution strategy, which for transfer strategies could be lower than for open bank bail-</w:t>
      </w:r>
      <w:r>
        <w:t xml:space="preserve"> </w:t>
      </w:r>
      <w:r>
        <w:t xml:space="preserve">in strategies. This is because the loss absorbing capacity would support a transfer of (a</w:t>
      </w:r>
      <w:r>
        <w:t xml:space="preserve"> </w:t>
      </w:r>
      <w:r>
        <w:t xml:space="preserve">set of) assets, rights and liabilities of a bank to a buyer with a simultaneous market exit of</w:t>
      </w:r>
      <w:r>
        <w:t xml:space="preserve"> </w:t>
      </w:r>
      <w:r>
        <w:t xml:space="preserve">the former and not a full restructuring and recapitalisation to allow the bank to continue</w:t>
      </w:r>
      <w:r>
        <w:t xml:space="preserve"> </w:t>
      </w:r>
      <w:r>
        <w:t xml:space="preserve">to operate in the market on a standalone basis.</w:t>
      </w:r>
      <w:r>
        <w:br/>
      </w:r>
      <w:r>
        <w:t xml:space="preserve">Looking at the funding equation as a whole and in order to substitute potential public</w:t>
      </w:r>
      <w:r>
        <w:t xml:space="preserve"> </w:t>
      </w:r>
      <w:r>
        <w:t xml:space="preserve">funds injections (frequently observed in the past), the private sources of financing for a</w:t>
      </w:r>
      <w:r>
        <w:t xml:space="preserve"> </w:t>
      </w:r>
      <w:r>
        <w:t xml:space="preserve">bank failure would be a combination of banks’ loss absorption capacity, contributions by</w:t>
      </w:r>
      <w:r>
        <w:t xml:space="preserve"> </w:t>
      </w:r>
      <w:r>
        <w:t xml:space="preserve">RF/SRF and contributions by DGS, where option 2 would have the potential to</w:t>
      </w:r>
      <w:r>
        <w:t xml:space="preserve"> </w:t>
      </w:r>
      <w:r>
        <w:t xml:space="preserve">marginally improve the balance among the elements (resolution scope and funding) and</w:t>
      </w:r>
      <w:r>
        <w:t xml:space="preserve"> </w:t>
      </w:r>
      <w:r>
        <w:t xml:space="preserve">enhance economic efficiency of the funding equation though not at a zero net cost for the</w:t>
      </w:r>
      <w:r>
        <w:t xml:space="preserve"> </w:t>
      </w:r>
      <w:r>
        <w:t xml:space="preserve">industry (compared to the baseline).</w:t>
      </w:r>
      <w:r>
        <w:t xml:space="preserve"> </w:t>
      </w:r>
      <w:r>
        <w:t xml:space="preserve">6.1.1.6. Assessment of Option 2</w:t>
      </w:r>
      <w:r>
        <w:t xml:space="preserve"> </w:t>
      </w:r>
      <w:r>
        <w:t xml:space="preserve">Benefits</w:t>
      </w:r>
      <w:r>
        <w:t xml:space="preserve"> </w:t>
      </w:r>
      <w:r>
        <w:t xml:space="preserve">The main benefit of option 2 would be a relative expansion of the scope of resolution to</w:t>
      </w:r>
      <w:r>
        <w:t xml:space="preserve"> </w:t>
      </w:r>
      <w:r>
        <w:t xml:space="preserve">include smaller/medium-sized banks by slightly increasing the availability of funding</w:t>
      </w:r>
      <w:r>
        <w:t xml:space="preserve"> </w:t>
      </w:r>
      <w:r>
        <w:t xml:space="preserve">solutions for some specific resolution strategies leading to market exit. This option would</w:t>
      </w:r>
      <w:r>
        <w:t xml:space="preserve"> </w:t>
      </w:r>
      <w:r>
        <w:t xml:space="preserve">ensure a more flexible and harmonised use of DGS funds thanks to changes in the</w:t>
      </w:r>
      <w:r>
        <w:t xml:space="preserve"> </w:t>
      </w:r>
      <w:r>
        <w:t xml:space="preserve">hierarchy of claims and harmonisation of the least cost test and increasing the</w:t>
      </w:r>
      <w:r>
        <w:t xml:space="preserve"> </w:t>
      </w:r>
      <w:r>
        <w:t xml:space="preserve">proportionality when accessing the RF/SRF in resolution, under specific conditions and</w:t>
      </w:r>
      <w:r>
        <w:t xml:space="preserve"> </w:t>
      </w:r>
      <w:r>
        <w:t xml:space="preserve">safeguards. These changes to the funding equation would make transfer strategies96</w:t>
      </w:r>
      <w:r>
        <w:t xml:space="preserve"> </w:t>
      </w:r>
      <w:r>
        <w:t xml:space="preserve">easier and more credible to plan and implement than under the baseline, contributing to</w:t>
      </w:r>
      <w:r>
        <w:t xml:space="preserve"> </w:t>
      </w:r>
      <w:r>
        <w:t xml:space="preserve">the orderly handling of failed banks and ensuring their market exit without impacts on</w:t>
      </w:r>
      <w:r>
        <w:t xml:space="preserve"> </w:t>
      </w:r>
      <w:r>
        <w:t xml:space="preserve">financial stability or depositor protection while reducing the recourse to public funds. In</w:t>
      </w:r>
      <w:r>
        <w:t xml:space="preserve"> </w:t>
      </w:r>
      <w:r>
        <w:t xml:space="preserve">terms of access to external funding, this option would indeed lower to some extent the</w:t>
      </w:r>
      <w:r>
        <w:t xml:space="preserve"> </w:t>
      </w:r>
      <w:r>
        <w:t xml:space="preserve">recourse to public funds, as banks’ loss absorbing capacity complemented, where needed,</w:t>
      </w:r>
      <w:r>
        <w:t xml:space="preserve"> </w:t>
      </w:r>
      <w:r>
        <w:t xml:space="preserve">by industry-funded safety nets would be used instead to fund more resolution actions for</w:t>
      </w:r>
      <w:r>
        <w:t xml:space="preserve"> </w:t>
      </w:r>
      <w:r>
        <w:t xml:space="preserve">more banks under the harmonised framework.</w:t>
      </w:r>
      <w:r>
        <w:br/>
      </w:r>
      <w:r>
        <w:t xml:space="preserve">These changes are also likely to increase the convergence in resolution practices, legal</w:t>
      </w:r>
      <w:r>
        <w:t xml:space="preserve"> </w:t>
      </w:r>
      <w:r>
        <w:t xml:space="preserve">certainty, level playing field and simplify and standardise the access conditions to DGS</w:t>
      </w:r>
      <w:r>
        <w:t xml:space="preserve"> </w:t>
      </w:r>
      <w:r>
        <w:t xml:space="preserve">funds (through a harmonised least cost test and clearer conditions for a contribution to</w:t>
      </w:r>
      <w:r>
        <w:t xml:space="preserve"> </w:t>
      </w:r>
      <w:r>
        <w:t xml:space="preserve">preventive measures). The review of certain DGSD aspects (see section 6.3) and the</w:t>
      </w:r>
    </w:p>
    <w:p>
      <w:pPr>
        <w:pStyle w:val="BodyText"/>
      </w:pPr>
      <w:r>
        <w:t xml:space="preserve">96 Whether transfer strategies in resolution or under insolvency proceedings, where available.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legislative changes concerning the PIA leading to an increased application of resolution</w:t>
      </w:r>
      <w:r>
        <w:t xml:space="preserve"> </w:t>
      </w:r>
      <w:r>
        <w:t xml:space="preserve">tools would also improve depositor confidence and preserve a continuous access of</w:t>
      </w:r>
      <w:r>
        <w:t xml:space="preserve"> </w:t>
      </w:r>
      <w:r>
        <w:t xml:space="preserve">depositors to their accounts, which can be particularly important in EU’s increasingly</w:t>
      </w:r>
      <w:r>
        <w:t xml:space="preserve"> </w:t>
      </w:r>
      <w:r>
        <w:t xml:space="preserve">digitalised economies.</w:t>
      </w:r>
      <w:r>
        <w:t xml:space="preserve"> </w:t>
      </w:r>
      <w:r>
        <w:t xml:space="preserve">Moreover, enabling the application of resolution tools such as transfer tools on a broader</w:t>
      </w:r>
      <w:r>
        <w:t xml:space="preserve"> </w:t>
      </w:r>
      <w:r>
        <w:t xml:space="preserve">scale and the related funding could be conducive to further financial stability and cross-</w:t>
      </w:r>
      <w:r>
        <w:t xml:space="preserve"> </w:t>
      </w:r>
      <w:r>
        <w:t xml:space="preserve">border market integration.</w:t>
      </w:r>
      <w:r>
        <w:t xml:space="preserve"> </w:t>
      </w:r>
      <w:r>
        <w:t xml:space="preserve">Costs</w:t>
      </w:r>
      <w:r>
        <w:t xml:space="preserve"> </w:t>
      </w:r>
      <w:r>
        <w:t xml:space="preserve">The main drawback of this option is the untapped potential expansion of the resolution</w:t>
      </w:r>
      <w:r>
        <w:t xml:space="preserve"> </w:t>
      </w:r>
      <w:r>
        <w:t xml:space="preserve">scope because of an insufficiently effective improvement in the funding equation. This</w:t>
      </w:r>
      <w:r>
        <w:t xml:space="preserve"> </w:t>
      </w:r>
      <w:r>
        <w:t xml:space="preserve">may impact the efficiency and effectiveness of the framework and may not provide an</w:t>
      </w:r>
      <w:r>
        <w:t xml:space="preserve"> </w:t>
      </w:r>
      <w:r>
        <w:t xml:space="preserve">optimal solution to address some of the issues identified in Chapter 2. Implementing</w:t>
      </w:r>
      <w:r>
        <w:t xml:space="preserve"> </w:t>
      </w:r>
      <w:r>
        <w:t xml:space="preserve">option 2 requires indeed similar legal amendments as foreseen under option 3, but with</w:t>
      </w:r>
      <w:r>
        <w:t xml:space="preserve"> </w:t>
      </w:r>
      <w:r>
        <w:t xml:space="preserve">more modest effects in terms of outcomes, implying therefore comparatively higher</w:t>
      </w:r>
      <w:r>
        <w:t xml:space="preserve"> </w:t>
      </w:r>
      <w:r>
        <w:t xml:space="preserve">adjustment costs for resolution authorities when assessed against results. Option 2 would</w:t>
      </w:r>
      <w:r>
        <w:t xml:space="preserve"> </w:t>
      </w:r>
      <w:r>
        <w:t xml:space="preserve">yield a lower probability of PIA expansion for the same number of banks and a lower</w:t>
      </w:r>
      <w:r>
        <w:t xml:space="preserve"> </w:t>
      </w:r>
      <w:r>
        <w:t xml:space="preserve">amount of DGS funds unlocked under the least cost test for measures other than the</w:t>
      </w:r>
      <w:r>
        <w:t xml:space="preserve"> </w:t>
      </w:r>
      <w:r>
        <w:t xml:space="preserve">payout of covered deposits in insolvency, than options 3 and 4 (i.e. as shown in Annex 7,</w:t>
      </w:r>
      <w:r>
        <w:t xml:space="preserve"> </w:t>
      </w:r>
      <w:r>
        <w:t xml:space="preserve">a two-tier depositor preference would deliver a lower total amount of DGS funds that</w:t>
      </w:r>
      <w:r>
        <w:t xml:space="preserve"> </w:t>
      </w:r>
      <w:r>
        <w:t xml:space="preserve">could contribute for a smaller number of banks to fund resolution or alternative measures</w:t>
      </w:r>
      <w:r>
        <w:t xml:space="preserve"> </w:t>
      </w:r>
      <w:r>
        <w:t xml:space="preserve">than under a single-tier depositor preference analysed in option 3).</w:t>
      </w:r>
      <w:r>
        <w:t xml:space="preserve"> </w:t>
      </w:r>
      <w:r>
        <w:t xml:space="preserve">A consequence of a broader use of DGS funds for interventions other than payout of</w:t>
      </w:r>
      <w:r>
        <w:t xml:space="preserve"> </w:t>
      </w:r>
      <w:r>
        <w:t xml:space="preserve">covered depositors in insolvency (depending also on the needs to access the RF/SRF and</w:t>
      </w:r>
      <w:r>
        <w:t xml:space="preserve"> </w:t>
      </w:r>
      <w:r>
        <w:t xml:space="preserve">protected by safeguards such as the least cost test and the two-tier depositor preference)</w:t>
      </w:r>
      <w:r>
        <w:t xml:space="preserve"> </w:t>
      </w:r>
      <w:r>
        <w:t xml:space="preserve">is a risk of shortfall in national DGS funds. Without EDIS, the probability of DGS</w:t>
      </w:r>
      <w:r>
        <w:t xml:space="preserve"> </w:t>
      </w:r>
      <w:r>
        <w:t xml:space="preserve">shortfalls ranges from 20.7% to 56% depending on the severity of the simulated crisis97</w:t>
      </w:r>
      <w:r>
        <w:t xml:space="preserve"> </w:t>
      </w:r>
      <w:r>
        <w:t xml:space="preserve">and independently of a possible CMDI impact compounding the risk of shortfalls in</w:t>
      </w:r>
      <w:r>
        <w:t xml:space="preserve"> </w:t>
      </w:r>
      <w:r>
        <w:t xml:space="preserve">national DGSs. These shortfalls could be mitigated through extraordinary contributions</w:t>
      </w:r>
      <w:r>
        <w:t xml:space="preserve"> </w:t>
      </w:r>
      <w:r>
        <w:t xml:space="preserve">by the banking industry or lending from other DGSs. DGS shortfalls could also be</w:t>
      </w:r>
      <w:r>
        <w:t xml:space="preserve"> </w:t>
      </w:r>
      <w:r>
        <w:t xml:space="preserve">mitigated through lending from the market, or recourse to public funds; however the</w:t>
      </w:r>
      <w:r>
        <w:t xml:space="preserve"> </w:t>
      </w:r>
      <w:r>
        <w:t xml:space="preserve">latter would reinforce the bank-sovereign nexus. DGS’ vulnerability to large shocks may</w:t>
      </w:r>
      <w:r>
        <w:t xml:space="preserve"> </w:t>
      </w:r>
      <w:r>
        <w:t xml:space="preserve">also impair depositor confidence in the banking sector. In addition, the limited potential</w:t>
      </w:r>
      <w:r>
        <w:t xml:space="preserve"> </w:t>
      </w:r>
      <w:r>
        <w:t xml:space="preserve">for cost synergies for banks (e.g. diversification and compensation effects leading</w:t>
      </w:r>
      <w:r>
        <w:t xml:space="preserve"> </w:t>
      </w:r>
      <w:r>
        <w:t xml:space="preserve">potentially to a lower target level or contributions) would not materialise in this option.</w:t>
      </w:r>
      <w:r>
        <w:br/>
      </w:r>
      <w:r>
        <w:t xml:space="preserve">Option 2 would also require additional coordination and consultation between resolution</w:t>
      </w:r>
      <w:r>
        <w:t xml:space="preserve"> </w:t>
      </w:r>
      <w:r>
        <w:t xml:space="preserve">and DGS authorities. The DGS intervention to bridge the gap to 8% TLOF to access to</w:t>
      </w:r>
      <w:r>
        <w:t xml:space="preserve"> </w:t>
      </w:r>
      <w:r>
        <w:t xml:space="preserve">the RF/SRF would require additional preparation. However, despite more preparation</w:t>
      </w:r>
      <w:r>
        <w:t xml:space="preserve"> </w:t>
      </w:r>
      <w:r>
        <w:t xml:space="preserve">work, such a mechanism would ensure broader access to resolution funding for</w:t>
      </w:r>
      <w:r>
        <w:t xml:space="preserve"> </w:t>
      </w:r>
      <w:r>
        <w:t xml:space="preserve">smaller/medium-sized banks and address to some extent the funding-related problems</w:t>
      </w:r>
    </w:p>
    <w:p>
      <w:pPr>
        <w:pStyle w:val="BodyText"/>
      </w:pPr>
      <w:r>
        <w:t xml:space="preserve">97 The amounts of these DGS shortfalls would range from EUR 0.3 bn to EUR 0.5 bn. However, these</w:t>
      </w:r>
      <w:r>
        <w:t xml:space="preserve"> </w:t>
      </w:r>
      <w:r>
        <w:t xml:space="preserve">amounts are probably significantly underestimated as they are calculated only on a sample of banks. See</w:t>
      </w:r>
      <w:r>
        <w:t xml:space="preserve"> </w:t>
      </w:r>
      <w:r>
        <w:t xml:space="preserve">Annex 7, section 4.4.2.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identified, slightly reducing costs in other areas (taxpayer money, loss of franchise value</w:t>
      </w:r>
      <w:r>
        <w:t xml:space="preserve"> </w:t>
      </w:r>
      <w:r>
        <w:t xml:space="preserve">and loss of depositor confidence).</w:t>
      </w:r>
      <w:r>
        <w:br/>
      </w:r>
      <w:r>
        <w:t xml:space="preserve">In addition, placing more banks in resolution than under the baseline option entails a</w:t>
      </w:r>
      <w:r>
        <w:t xml:space="preserve"> </w:t>
      </w:r>
      <w:r>
        <w:t xml:space="preserve">requirement for them to ensure adequate levels of internal loss absorbing capacity</w:t>
      </w:r>
      <w:r>
        <w:t xml:space="preserve"> </w:t>
      </w:r>
      <w:r>
        <w:t xml:space="preserve">(MREL) to allow for the execution of resolution strategies (bail-in or transfer strategies).</w:t>
      </w:r>
      <w:r>
        <w:t xml:space="preserve"> </w:t>
      </w:r>
      <w:r>
        <w:t xml:space="preserve">The MREL requirement is bank-specific, proportionate to the chosen resolution strategy</w:t>
      </w:r>
      <w:r>
        <w:t xml:space="preserve"> </w:t>
      </w:r>
      <w:r>
        <w:t xml:space="preserve">and it may be complied with own funds and eligible liabilities. It is impossible to</w:t>
      </w:r>
      <w:r>
        <w:t xml:space="preserve"> </w:t>
      </w:r>
      <w:r>
        <w:t xml:space="preserve">estimate ex ante, whether such a policy change would lead to a need for banks to issue</w:t>
      </w:r>
      <w:r>
        <w:t xml:space="preserve"> </w:t>
      </w:r>
      <w:r>
        <w:t xml:space="preserve">additional MREL capacity, mainly due to two factors: (i) the level of bank-specific</w:t>
      </w:r>
      <w:r>
        <w:t xml:space="preserve"> </w:t>
      </w:r>
      <w:r>
        <w:t xml:space="preserve">MREL targets that resolution authorities would set for banks entering the resolution</w:t>
      </w:r>
      <w:r>
        <w:t xml:space="preserve"> </w:t>
      </w:r>
      <w:r>
        <w:t xml:space="preserve">scope needs case by case calibration and cannot be estimated in advance and (ii) the</w:t>
      </w:r>
      <w:r>
        <w:t xml:space="preserve"> </w:t>
      </w:r>
      <w:r>
        <w:t xml:space="preserve">starting point in terms of outstanding stock of MREL eligible instruments that each bank</w:t>
      </w:r>
      <w:r>
        <w:t xml:space="preserve"> </w:t>
      </w:r>
      <w:r>
        <w:t xml:space="preserve">holds combined with the level of the requirement determines the issuances needs of each</w:t>
      </w:r>
      <w:r>
        <w:t xml:space="preserve"> </w:t>
      </w:r>
      <w:r>
        <w:t xml:space="preserve">bank which cannot be estimated in advance98. Nevertheless, it should be recalled that, in</w:t>
      </w:r>
      <w:r>
        <w:t xml:space="preserve"> </w:t>
      </w:r>
      <w:r>
        <w:t xml:space="preserve">line with the fundamental objectives of the CMDI, the first line of defence in case of</w:t>
      </w:r>
      <w:r>
        <w:t xml:space="preserve"> </w:t>
      </w:r>
      <w:r>
        <w:t xml:space="preserve">bank distress, should always be the banks’ internal loss absorption capacity. A mitigating</w:t>
      </w:r>
      <w:r>
        <w:t xml:space="preserve"> </w:t>
      </w:r>
      <w:r>
        <w:t xml:space="preserve">factor for failing banks would be avoiding the bail-in of depositors and preserving asset</w:t>
      </w:r>
      <w:r>
        <w:t xml:space="preserve"> </w:t>
      </w:r>
      <w:r>
        <w:t xml:space="preserve">value by using the safety nets in case the MREL capacity were not sufficient to support</w:t>
      </w:r>
      <w:r>
        <w:t xml:space="preserve"> </w:t>
      </w:r>
      <w:r>
        <w:t xml:space="preserve">the resolution action, subject to safeguards.</w:t>
      </w:r>
      <w:r>
        <w:br/>
      </w:r>
      <w:r>
        <w:t xml:space="preserve">Moreover, banks entering the scope of resolution for the first time would also be subject</w:t>
      </w:r>
      <w:r>
        <w:t xml:space="preserve"> </w:t>
      </w:r>
      <w:r>
        <w:t xml:space="preserve">to the obligation to enhance recovery plans, provide information to resolution authorities</w:t>
      </w:r>
      <w:r>
        <w:t xml:space="preserve"> </w:t>
      </w:r>
      <w:r>
        <w:t xml:space="preserve">on a more frequent basis for the preparation of more extensive resolution plans and</w:t>
      </w:r>
      <w:r>
        <w:t xml:space="preserve"> </w:t>
      </w:r>
      <w:r>
        <w:t xml:space="preserve">ensure they become resolvable. While this would also involve additional costs for banks,</w:t>
      </w:r>
      <w:r>
        <w:t xml:space="preserve"> </w:t>
      </w:r>
      <w:r>
        <w:t xml:space="preserve">these are estimated to be marginal, because banks earmarked for liquidation already</w:t>
      </w:r>
      <w:r>
        <w:t xml:space="preserve"> </w:t>
      </w:r>
      <w:r>
        <w:t xml:space="preserve">report data to resolution authorities who prepare resolution plans albeit on a less frequent</w:t>
      </w:r>
      <w:r>
        <w:t xml:space="preserve"> </w:t>
      </w:r>
      <w:r>
        <w:t xml:space="preserve">basis (simplified obligations). Banks entering the resolution scope would also need to</w:t>
      </w:r>
      <w:r>
        <w:t xml:space="preserve"> </w:t>
      </w:r>
      <w:r>
        <w:t xml:space="preserve">invest in projects to become more resolvable (i.e. enhancing their management</w:t>
      </w:r>
      <w:r>
        <w:t xml:space="preserve"> </w:t>
      </w:r>
      <w:r>
        <w:t xml:space="preserve">information systems, valuation capabilities, revising contracts to assure resolution stays</w:t>
      </w:r>
      <w:r>
        <w:t xml:space="preserve"> </w:t>
      </w:r>
      <w:r>
        <w:t xml:space="preserve">with counterparts, other projects related to the organisation structure and separability).</w:t>
      </w:r>
      <w:r>
        <w:br/>
      </w:r>
      <w:r>
        <w:t xml:space="preserve">The benefits of improving preparedness and resolvability of banks in case of failure</w:t>
      </w:r>
      <w:r>
        <w:t xml:space="preserve"> </w:t>
      </w:r>
      <w:r>
        <w:t xml:space="preserve">would increase the chances of preserving financial stability and taxpayer funds and</w:t>
      </w:r>
      <w:r>
        <w:t xml:space="preserve"> </w:t>
      </w:r>
      <w:r>
        <w:t xml:space="preserve">exceed such costs.</w:t>
      </w:r>
      <w:r>
        <w:t xml:space="preserve"> </w:t>
      </w:r>
      <w:r>
        <w:t xml:space="preserve">Finally, increasing depositor preference, by rendering all deposits senior to ordinary</w:t>
      </w:r>
      <w:r>
        <w:t xml:space="preserve"> </w:t>
      </w:r>
      <w:r>
        <w:t xml:space="preserve">unsecured debt (be it through a two-tier depositor ranking or a single-tier depositor</w:t>
      </w:r>
      <w:r>
        <w:t xml:space="preserve"> </w:t>
      </w:r>
      <w:r>
        <w:t xml:space="preserve">ranking under options 3 and 4) has the potential to lead to marginally higher issuance</w:t>
      </w:r>
      <w:r>
        <w:t xml:space="preserve"> </w:t>
      </w:r>
      <w:r>
        <w:t xml:space="preserve">costs for ordinary unsecured debt (and by extent to marginally higher funding costs for</w:t>
      </w:r>
      <w:r>
        <w:t xml:space="preserve"> </w:t>
      </w:r>
      <w:r>
        <w:t xml:space="preserve">banks) by reducing their potential recovery prospects in the event of a bank’s insolvency.</w:t>
      </w:r>
      <w:r>
        <w:t xml:space="preserve"> </w:t>
      </w:r>
      <w:r>
        <w:t xml:space="preserve">However, this pricing impact is not supported by empirical evidence99. Moreover, any</w:t>
      </w:r>
      <w:r>
        <w:t xml:space="preserve"> </w:t>
      </w:r>
      <w:r>
        <w:t xml:space="preserve">potential marginal cost impact must be weighed against the added benefits that depositor</w:t>
      </w:r>
      <w:r>
        <w:t xml:space="preserve"> </w:t>
      </w:r>
      <w:r>
        <w:t xml:space="preserve">preference brings in terms of enforcing market discipline on financial investors to</w:t>
      </w:r>
    </w:p>
    <w:p>
      <w:pPr>
        <w:pStyle w:val="BodyText"/>
      </w:pPr>
      <w:r>
        <w:t xml:space="preserve">98 See Annex 13, section 5.</w:t>
      </w:r>
      <w:r>
        <w:t xml:space="preserve"> </w:t>
      </w:r>
      <w:r>
        <w:t xml:space="preserve">99 See for example, the IMF Working Paper 13/172 (July 2013), Bank Resolution Costs, Depositor</w:t>
      </w:r>
      <w:r>
        <w:t xml:space="preserve"> </w:t>
      </w:r>
      <w:r>
        <w:t xml:space="preserve">Preference, and Asset Encumbrance, from a review of previous studies it concludes that introducing a</w:t>
      </w:r>
      <w:r>
        <w:t xml:space="preserve"> </w:t>
      </w:r>
      <w:r>
        <w:t xml:space="preserve">single-tier depositor preference in the US had “little “systemic effect” on overall bank funding costs.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monitor banks’ risks more closely, once their expectation that they will be bailed-in</w:t>
      </w:r>
      <w:r>
        <w:t xml:space="preserve"> </w:t>
      </w:r>
      <w:r>
        <w:t xml:space="preserve">(instead of being bailed-out under a less effective CMDI framework) becomes more</w:t>
      </w:r>
      <w:r>
        <w:t xml:space="preserve"> </w:t>
      </w:r>
      <w:r>
        <w:t xml:space="preserve">credible.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Effectiveness, efficiency and coherence: Under option 2, the slightly broader use of</w:t>
      </w:r>
      <w:r>
        <w:t xml:space="preserve"> </w:t>
      </w:r>
      <w:r>
        <w:t xml:space="preserve">resolution tools thanks to a slightly improved access to funding for more banks</w:t>
      </w:r>
      <w:r>
        <w:t xml:space="preserve"> </w:t>
      </w:r>
      <w:r>
        <w:t xml:space="preserve">(compared to the baseline option) would enhance financial stability and decrease to some</w:t>
      </w:r>
      <w:r>
        <w:t xml:space="preserve"> </w:t>
      </w:r>
      <w:r>
        <w:t xml:space="preserve">extent the recourse to taxpayer money, however not to the full potential that a more</w:t>
      </w:r>
      <w:r>
        <w:t xml:space="preserve"> </w:t>
      </w:r>
      <w:r>
        <w:t xml:space="preserve">comprehensive CMDI reform could achieve (as described under option 3 or 4). Critical</w:t>
      </w:r>
      <w:r>
        <w:t xml:space="preserve"> </w:t>
      </w:r>
      <w:r>
        <w:t xml:space="preserve">functions for the society (e.g. deposit taking, lending, payments) and the franchise asset</w:t>
      </w:r>
      <w:r>
        <w:t xml:space="preserve"> </w:t>
      </w:r>
      <w:r>
        <w:t xml:space="preserve">value of failing institutions would be better maintained by applying resolution tools more</w:t>
      </w:r>
      <w:r>
        <w:t xml:space="preserve"> </w:t>
      </w:r>
      <w:r>
        <w:t xml:space="preserve">broadly than today and enabling the more extensive use of industry-funded safety nets</w:t>
      </w:r>
      <w:r>
        <w:t xml:space="preserve"> </w:t>
      </w:r>
      <w:r>
        <w:t xml:space="preserve">such as the RF/SRF and DGS funds, subject to the minimum 8% TLOF bail-in access</w:t>
      </w:r>
      <w:r>
        <w:t xml:space="preserve"> </w:t>
      </w:r>
      <w:r>
        <w:t xml:space="preserve">condition and the least cost test safeguard respectively. However, the relatively moderate</w:t>
      </w:r>
      <w:r>
        <w:t xml:space="preserve"> </w:t>
      </w:r>
      <w:r>
        <w:t xml:space="preserve">increase in the scope of resolution (see PIA section 6.1.1.1) correlated with a slight</w:t>
      </w:r>
      <w:r>
        <w:t xml:space="preserve"> </w:t>
      </w:r>
      <w:r>
        <w:t xml:space="preserve">improvement in accessing DGS funds through the implementation of a two-tier depositor</w:t>
      </w:r>
      <w:r>
        <w:t xml:space="preserve"> </w:t>
      </w:r>
      <w:r>
        <w:t xml:space="preserve">preference in the hierarchy of claims and the use of DGS funds to fill the gap in</w:t>
      </w:r>
      <w:r>
        <w:t xml:space="preserve"> </w:t>
      </w:r>
      <w:r>
        <w:t xml:space="preserve">accessing the RF/SRF, would still maintain a higher degree of uncertainty and potential</w:t>
      </w:r>
      <w:r>
        <w:t xml:space="preserve"> </w:t>
      </w:r>
      <w:r>
        <w:t xml:space="preserve">divergences in the application of the PIA than under other options. The absence of EDIS</w:t>
      </w:r>
      <w:r>
        <w:t xml:space="preserve"> </w:t>
      </w:r>
      <w:r>
        <w:t xml:space="preserve">would also render it less effective in ensuring depositor protection and sufficient liquidity</w:t>
      </w:r>
      <w:r>
        <w:t xml:space="preserve"> </w:t>
      </w:r>
      <w:r>
        <w:t xml:space="preserve">in case of DGS funding shortfalls, contributing therefore comparatively less than option</w:t>
      </w:r>
      <w:r>
        <w:t xml:space="preserve"> </w:t>
      </w:r>
      <w:r>
        <w:t xml:space="preserve">4 to protecting taxpayer funds and breaking the bank-sovereign nexus. Moreover, absent</w:t>
      </w:r>
      <w:r>
        <w:t xml:space="preserve"> </w:t>
      </w:r>
      <w:r>
        <w:t xml:space="preserve">EDIS, the potential for cost synergies through lower contributions to the RF/SRF and</w:t>
      </w:r>
      <w:r>
        <w:t xml:space="preserve"> </w:t>
      </w:r>
      <w:r>
        <w:t xml:space="preserve">DGS funds by the industry would not materialise (unlike in option 4). On the contrary,</w:t>
      </w:r>
      <w:r>
        <w:t xml:space="preserve"> </w:t>
      </w:r>
      <w:r>
        <w:t xml:space="preserve">some banks may face increased costs (potentially raising MREL eligible instruments, ex</w:t>
      </w:r>
      <w:r>
        <w:t xml:space="preserve"> </w:t>
      </w:r>
      <w:r>
        <w:t xml:space="preserve">post replenishment needs for the safety nets as well as the obligation to enhance their</w:t>
      </w:r>
      <w:r>
        <w:t xml:space="preserve"> </w:t>
      </w:r>
      <w:r>
        <w:t xml:space="preserve">recovery plans and become more resolvable because of broadening the resolution scope)</w:t>
      </w:r>
      <w:r>
        <w:t xml:space="preserve"> </w:t>
      </w:r>
      <w:r>
        <w:t xml:space="preserve">which may be passed-through, to some extent, to customers.</w:t>
      </w:r>
      <w:r>
        <w:br/>
      </w:r>
      <w:r>
        <w:t xml:space="preserve">Stakeholder views and political considerations: The majority of Member States favouring</w:t>
      </w:r>
      <w:r>
        <w:t xml:space="preserve"> </w:t>
      </w:r>
      <w:r>
        <w:t xml:space="preserve">a strong CMDI reform could consider this option as sub-optimal because of the untapped</w:t>
      </w:r>
      <w:r>
        <w:t xml:space="preserve"> </w:t>
      </w:r>
      <w:r>
        <w:t xml:space="preserve">potential for broadening the scope of resolution supported by a more ambitious revision</w:t>
      </w:r>
      <w:r>
        <w:t xml:space="preserve"> </w:t>
      </w:r>
      <w:r>
        <w:t xml:space="preserve">of the funding equation, in particular the harmonisation of the depositor preference. One</w:t>
      </w:r>
      <w:r>
        <w:t xml:space="preserve"> </w:t>
      </w:r>
      <w:r>
        <w:t xml:space="preserve">Member State is reluctant to facilitate the usage of industry-funded safety nets in</w:t>
      </w:r>
      <w:r>
        <w:t xml:space="preserve"> </w:t>
      </w:r>
      <w:r>
        <w:t xml:space="preserve">resolution (RF/SRF) for non-systemic banks and, in this context, favours handling the</w:t>
      </w:r>
      <w:r>
        <w:t xml:space="preserve"> </w:t>
      </w:r>
      <w:r>
        <w:t xml:space="preserve">failure of smaller/medium-sized banks at national level and with national DGS funds</w:t>
      </w:r>
      <w:r>
        <w:t xml:space="preserve"> </w:t>
      </w:r>
      <w:r>
        <w:t xml:space="preserve">rather than under the harmonised framework. Depositors in particular would greatly</w:t>
      </w:r>
      <w:r>
        <w:t xml:space="preserve"> </w:t>
      </w:r>
      <w:r>
        <w:t xml:space="preserve">benefit from solutions that avoid inflicting losses on them and ensure their uninterrupted</w:t>
      </w:r>
      <w:r>
        <w:t xml:space="preserve"> </w:t>
      </w:r>
      <w:r>
        <w:t xml:space="preserve">access to their accounts100. They may therefore regard this option as sub-optimal because</w:t>
      </w:r>
      <w:r>
        <w:t xml:space="preserve"> </w:t>
      </w:r>
      <w:r>
        <w:t xml:space="preserve">the resolution scope would not be expanded to its full potential, meaning that some</w:t>
      </w:r>
      <w:r>
        <w:t xml:space="preserve"> </w:t>
      </w:r>
      <w:r>
        <w:t xml:space="preserve">deposits may still be on the line to bear losses when applying resolution tools.</w:t>
      </w:r>
      <w:r>
        <w:br/>
      </w:r>
      <w:r>
        <w:t xml:space="preserve">Regarding the industry, the majority of stakeholders from both big and small/medium</w:t>
      </w:r>
      <w:r>
        <w:t xml:space="preserve"> </w:t>
      </w:r>
      <w:r>
        <w:t xml:space="preserve">sized banks see merit in targeted amendments of the framework to improve its practical</w:t>
      </w:r>
    </w:p>
    <w:p>
      <w:pPr>
        <w:pStyle w:val="BodyText"/>
      </w:pPr>
      <w:r>
        <w:t xml:space="preserve">100 See responses to the public and targeted consultations.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application, in particular views converge on the need to improve the predictability and</w:t>
      </w:r>
      <w:r>
        <w:t xml:space="preserve"> </w:t>
      </w:r>
      <w:r>
        <w:t xml:space="preserve">transparency of the PIA assessment and to avoid paying additional contributions into</w:t>
      </w:r>
      <w:r>
        <w:t xml:space="preserve"> </w:t>
      </w:r>
      <w:r>
        <w:t xml:space="preserve">industry funded safety nets. However, views of some small and large banks diverge on</w:t>
      </w:r>
      <w:r>
        <w:t xml:space="preserve"> </w:t>
      </w:r>
      <w:r>
        <w:t xml:space="preserve">the need to broaden the scope of resolution. On one hand, some smaller/medium-sized</w:t>
      </w:r>
      <w:r>
        <w:t xml:space="preserve"> </w:t>
      </w:r>
      <w:r>
        <w:t xml:space="preserve">banks, in particular cooperatives and savings banks101 may prefer to stay outside the</w:t>
      </w:r>
      <w:r>
        <w:t xml:space="preserve"> </w:t>
      </w:r>
      <w:r>
        <w:t xml:space="preserve">scope of resolution to avoid costs related to additional requirements (MREL, reporting</w:t>
      </w:r>
      <w:r>
        <w:t xml:space="preserve"> </w:t>
      </w:r>
      <w:r>
        <w:t xml:space="preserve">obligations to resolution authorities for resolution planning and MREL calibration,</w:t>
      </w:r>
      <w:r>
        <w:t xml:space="preserve"> </w:t>
      </w:r>
      <w:r>
        <w:t xml:space="preserve">increased scrutiny by markets) or possible ex post contributions to the safety nets</w:t>
      </w:r>
      <w:r>
        <w:t xml:space="preserve"> </w:t>
      </w:r>
      <w:r>
        <w:t xml:space="preserve">(RF/SRF or DGS). Many large banks, on the other hand, are supportive of bringing more</w:t>
      </w:r>
      <w:r>
        <w:t xml:space="preserve"> </w:t>
      </w:r>
      <w:r>
        <w:t xml:space="preserve">smaller/medium sized banks into the resolution scope, regardless of their size and</w:t>
      </w:r>
      <w:r>
        <w:t xml:space="preserve"> </w:t>
      </w:r>
      <w:r>
        <w:t xml:space="preserve">country of origin, and enhancing the credibility, predictability and consistency of the</w:t>
      </w:r>
      <w:r>
        <w:t xml:space="preserve"> </w:t>
      </w:r>
      <w:r>
        <w:t xml:space="preserve">framework as well as level playing field in the single market. Large banks also support</w:t>
      </w:r>
      <w:r>
        <w:t xml:space="preserve"> </w:t>
      </w:r>
      <w:r>
        <w:t xml:space="preserve">minimising risks to taxpayer money and minimising moral hazard by ensuring a use of</w:t>
      </w:r>
      <w:r>
        <w:t xml:space="preserve"> </w:t>
      </w:r>
      <w:r>
        <w:t xml:space="preserve">internal resolution buffers and a consistent and careful approach across the EU for the</w:t>
      </w:r>
      <w:r>
        <w:t xml:space="preserve"> </w:t>
      </w:r>
      <w:r>
        <w:t xml:space="preserve">use of industry funded safety nets subject to a harmonised least cost test, supporting</w:t>
      </w:r>
      <w:r>
        <w:t xml:space="preserve"> </w:t>
      </w:r>
      <w:r>
        <w:t xml:space="preserve">market discipline and avoiding competitive distortions. On the other hand, they are</w:t>
      </w:r>
      <w:r>
        <w:t xml:space="preserve"> </w:t>
      </w:r>
      <w:r>
        <w:t xml:space="preserve">critical of the prospect of paying additional contributions into the safety nets, if these</w:t>
      </w:r>
      <w:r>
        <w:t xml:space="preserve"> </w:t>
      </w:r>
      <w:r>
        <w:t xml:space="preserve">were to be used more frequently to handle the failure of more small/mid-sized banks102.</w:t>
      </w:r>
      <w:r>
        <w:t xml:space="preserve"> </w:t>
      </w:r>
      <w:r>
        <w:t xml:space="preserve">Winners and losers: Reduced risks to financial stability through a potentially slightly</w:t>
      </w:r>
      <w:r>
        <w:t xml:space="preserve"> </w:t>
      </w:r>
      <w:r>
        <w:t xml:space="preserve">broader application of resolution tools under this option would benefit taxpayers and</w:t>
      </w:r>
      <w:r>
        <w:t xml:space="preserve"> </w:t>
      </w:r>
      <w:r>
        <w:t xml:space="preserve">depositors. Depositors, including individuals and SMEs, would be better off than under</w:t>
      </w:r>
      <w:r>
        <w:t xml:space="preserve"> </w:t>
      </w:r>
      <w:r>
        <w:t xml:space="preserve">the baseline option due to continued access to their deposits and the continuity of the</w:t>
      </w:r>
      <w:r>
        <w:t xml:space="preserve"> </w:t>
      </w:r>
      <w:r>
        <w:t xml:space="preserve">bank’s critical functions through more extensive use of resolution and thanks to a more</w:t>
      </w:r>
      <w:r>
        <w:t xml:space="preserve"> </w:t>
      </w:r>
      <w:r>
        <w:t xml:space="preserve">effective use of DGS resources in general. This impact, however, would be limited to the</w:t>
      </w:r>
      <w:r>
        <w:t xml:space="preserve"> </w:t>
      </w:r>
      <w:r>
        <w:t xml:space="preserve">resources available in the DGS until there is progress on EDIS and would be less certain</w:t>
      </w:r>
      <w:r>
        <w:t xml:space="preserve"> </w:t>
      </w:r>
      <w:r>
        <w:t xml:space="preserve">than under options 3 and 4 where the expansion of resolution is broader given a positive</w:t>
      </w:r>
      <w:r>
        <w:t xml:space="preserve"> </w:t>
      </w:r>
      <w:r>
        <w:t xml:space="preserve">presumption of public interest and hence resolution.</w:t>
      </w:r>
      <w:r>
        <w:br/>
      </w:r>
      <w:r>
        <w:t xml:space="preserve">Resolution authorities are also winners in this option. They would benefit from legal</w:t>
      </w:r>
      <w:r>
        <w:t xml:space="preserve"> </w:t>
      </w:r>
      <w:r>
        <w:t xml:space="preserve">clarifications of the PIA and more consistent rules on access to funding in resolution and</w:t>
      </w:r>
      <w:r>
        <w:t xml:space="preserve"> </w:t>
      </w:r>
      <w:r>
        <w:t xml:space="preserve">insolvency. This would reduce their risk of legal challenge. The increased access to</w:t>
      </w:r>
      <w:r>
        <w:t xml:space="preserve"> </w:t>
      </w:r>
      <w:r>
        <w:t xml:space="preserve">funding in resolution for transfer strategies would permit them to confidently take</w:t>
      </w:r>
      <w:r>
        <w:t xml:space="preserve"> </w:t>
      </w:r>
      <w:r>
        <w:t xml:space="preserve">positive PIA decisions and facilitate their implementation, although this would imply</w:t>
      </w:r>
      <w:r>
        <w:t xml:space="preserve"> </w:t>
      </w:r>
      <w:r>
        <w:t xml:space="preserve">additional work in improving the planning of such strategies.</w:t>
      </w:r>
      <w:r>
        <w:t xml:space="preserve"> </w:t>
      </w:r>
      <w:r>
        <w:t xml:space="preserve">The impact on the DGS funds and consequently on banks’ contributions is twofold. On</w:t>
      </w:r>
      <w:r>
        <w:t xml:space="preserve"> </w:t>
      </w:r>
      <w:r>
        <w:t xml:space="preserve">the one hand, DGS funds could be used more frequently than under the baseline if</w:t>
      </w:r>
      <w:r>
        <w:t xml:space="preserve"> </w:t>
      </w:r>
      <w:r>
        <w:t xml:space="preserve">cheaper than paying out covered deposits in insolvency (thanks to harmonising the</w:t>
      </w:r>
      <w:r>
        <w:t xml:space="preserve"> </w:t>
      </w:r>
      <w:r>
        <w:t xml:space="preserve">hierarchy of claims by implementing a two-tier depositor preference which facilitates</w:t>
      </w:r>
      <w:r>
        <w:t xml:space="preserve"> </w:t>
      </w:r>
      <w:r>
        <w:t xml:space="preserve">meeting the least cost test, although not as much as under a single-tier preference</w:t>
      </w:r>
      <w:r>
        <w:t xml:space="preserve"> </w:t>
      </w:r>
      <w:r>
        <w:t xml:space="preserve">explored under option 3), potentially increasing the need to replenish depleted DGSs on</w:t>
      </w:r>
      <w:r>
        <w:t xml:space="preserve"> </w:t>
      </w:r>
      <w:r>
        <w:t xml:space="preserve">the basis of industry contributions. On the other hand, such an impact could be mitigated</w:t>
      </w:r>
      <w:r>
        <w:t xml:space="preserve"> </w:t>
      </w:r>
      <w:r>
        <w:t xml:space="preserve">by a broader use of transfer strategies, increasing the cost efficiency of DGS</w:t>
      </w:r>
    </w:p>
    <w:p>
      <w:pPr>
        <w:pStyle w:val="BodyText"/>
      </w:pPr>
      <w:r>
        <w:t xml:space="preserve">101 ESBG (The European Savings and Retail Banking Group) (October, 2022), Short paper on the CMDI</w:t>
      </w:r>
      <w:r>
        <w:t xml:space="preserve"> </w:t>
      </w:r>
      <w:r>
        <w:t xml:space="preserve">framework.</w:t>
      </w:r>
      <w:r>
        <w:t xml:space="preserve"> </w:t>
      </w:r>
      <w:r>
        <w:t xml:space="preserve">102 AFME (Association for Financial Markets in Europe – an association of large banks) (October 2022),</w:t>
      </w:r>
      <w:r>
        <w:t xml:space="preserve"> </w:t>
      </w:r>
      <w:r>
        <w:t xml:space="preserve">Position paper on the CMDI review.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interventions, and better preserving DGS available financial means, compared to a more</w:t>
      </w:r>
      <w:r>
        <w:t xml:space="preserve"> </w:t>
      </w:r>
      <w:r>
        <w:t xml:space="preserve">costly payout in insolvency103.</w:t>
      </w:r>
      <w:r>
        <w:br/>
      </w:r>
      <w:r>
        <w:t xml:space="preserve">As originally intended by the framework but not observed in its application to date (see</w:t>
      </w:r>
      <w:r>
        <w:t xml:space="preserve"> </w:t>
      </w:r>
      <w:r>
        <w:t xml:space="preserve">evaluation), banks’ senior creditors104 would likely be losers under option 2, as they</w:t>
      </w:r>
      <w:r>
        <w:t xml:space="preserve"> </w:t>
      </w:r>
      <w:r>
        <w:t xml:space="preserve">could bear relatively more losses if more banks are put in resolution upon failing. In this</w:t>
      </w:r>
      <w:r>
        <w:t xml:space="preserve"> </w:t>
      </w:r>
      <w:r>
        <w:t xml:space="preserve">context, option 2, when compared to the baseline, may transfer some benefits from</w:t>
      </w:r>
      <w:r>
        <w:t xml:space="preserve"> </w:t>
      </w:r>
      <w:r>
        <w:t xml:space="preserve">banks’ creditors back to taxpayers, depositors and the society. Importantly, enabling</w:t>
      </w:r>
      <w:r>
        <w:t xml:space="preserve"> </w:t>
      </w:r>
      <w:r>
        <w:t xml:space="preserve">access to resolution financing by using the DGS fund for transfer strategies would not</w:t>
      </w:r>
      <w:r>
        <w:t xml:space="preserve"> </w:t>
      </w:r>
      <w:r>
        <w:t xml:space="preserve">discriminate against banks with open bank bail-in strategy because the latter would be</w:t>
      </w:r>
      <w:r>
        <w:t xml:space="preserve"> </w:t>
      </w:r>
      <w:r>
        <w:t xml:space="preserve">recapitalised, restructured and continue their operations, while banks under transfer</w:t>
      </w:r>
      <w:r>
        <w:t xml:space="preserve"> </w:t>
      </w:r>
      <w:r>
        <w:t xml:space="preserve">strategies would need to exit the market as a condition for the more proportionate</w:t>
      </w:r>
      <w:r>
        <w:t xml:space="preserve"> </w:t>
      </w:r>
      <w:r>
        <w:t xml:space="preserve">funding access.</w:t>
      </w:r>
      <w:r>
        <w:t xml:space="preserve"> </w:t>
      </w:r>
      <w:r>
        <w:t xml:space="preserve">6.1.2. Option 3 – Substantially improved resolution funding and commensurate</w:t>
      </w:r>
      <w:r>
        <w:t xml:space="preserve"> </w:t>
      </w:r>
      <w:r>
        <w:t xml:space="preserve">resolution scope</w:t>
      </w:r>
      <w:r>
        <w:t xml:space="preserve"> </w:t>
      </w:r>
      <w:r>
        <w:t xml:space="preserve">Option 3 envisages reviewing certain elements of the CMDI framework (BRRD/SRMR,</w:t>
      </w:r>
      <w:r>
        <w:t xml:space="preserve"> </w:t>
      </w:r>
      <w:r>
        <w:t xml:space="preserve">DGSD) achieving a robust reform of the funding equation, which would facilitate a more</w:t>
      </w:r>
      <w:r>
        <w:t xml:space="preserve"> </w:t>
      </w:r>
      <w:r>
        <w:t xml:space="preserve">credible and significant expansion of the resolution scope to more smaller and medium-</w:t>
      </w:r>
      <w:r>
        <w:t xml:space="preserve"> </w:t>
      </w:r>
      <w:r>
        <w:t xml:space="preserve">sized banks whose failure may not be handled in insolvency without consequence on</w:t>
      </w:r>
      <w:r>
        <w:t xml:space="preserve"> </w:t>
      </w:r>
      <w:r>
        <w:t xml:space="preserve">financial stability, taxpayer money and depositor protection. This option is designed to</w:t>
      </w:r>
      <w:r>
        <w:t xml:space="preserve"> </w:t>
      </w:r>
      <w:r>
        <w:t xml:space="preserve">deliver a broader use of resolution tools supported by a more substantial access to</w:t>
      </w:r>
      <w:r>
        <w:t xml:space="preserve"> </w:t>
      </w:r>
      <w:r>
        <w:t xml:space="preserve">funding than under option 2, but not as broad as under option 4 where EDIS as a</w:t>
      </w:r>
      <w:r>
        <w:t xml:space="preserve"> </w:t>
      </w:r>
      <w:r>
        <w:t xml:space="preserve">common central fund would act as a backstop to the national DGS funds.</w:t>
      </w:r>
      <w:r>
        <w:t xml:space="preserve"> </w:t>
      </w:r>
      <w:r>
        <w:t xml:space="preserve">6.1.2.1. Public interest assessment</w:t>
      </w:r>
      <w:r>
        <w:t xml:space="preserve"> </w:t>
      </w:r>
      <w:r>
        <w:t xml:space="preserve">Legislative amendments to the PIA under this option (in line with option 2) would</w:t>
      </w:r>
      <w:r>
        <w:t xml:space="preserve"> </w:t>
      </w:r>
      <w:r>
        <w:t xml:space="preserve">include regional economic considerations in the assessment of critical functions and</w:t>
      </w:r>
      <w:r>
        <w:t xml:space="preserve"> </w:t>
      </w:r>
      <w:r>
        <w:t xml:space="preserve">financial stability implications, the need to preserve DGS resources and the possible</w:t>
      </w:r>
      <w:r>
        <w:t xml:space="preserve"> </w:t>
      </w:r>
      <w:r>
        <w:t xml:space="preserve">granting of State aid in insolvency as part of the considerations on the resolution</w:t>
      </w:r>
      <w:r>
        <w:t xml:space="preserve"> </w:t>
      </w:r>
      <w:r>
        <w:t xml:space="preserve">objectives105. Importantly and differently from option 2, the legislative amendments to</w:t>
      </w:r>
      <w:r>
        <w:t xml:space="preserve"> </w:t>
      </w:r>
      <w:r>
        <w:t xml:space="preserve">the PIA would also clarify that national insolvency proceedings should be selected as the</w:t>
      </w:r>
      <w:r>
        <w:t xml:space="preserve"> </w:t>
      </w:r>
      <w:r>
        <w:t xml:space="preserve">preferred strategy only when they achieve the framework’s objectives better than</w:t>
      </w:r>
      <w:r>
        <w:t xml:space="preserve"> </w:t>
      </w:r>
      <w:r>
        <w:t xml:space="preserve">resolution (as oppose to achieving them in the same manner, as under the baseline and</w:t>
      </w:r>
      <w:r>
        <w:t xml:space="preserve"> </w:t>
      </w:r>
      <w:r>
        <w:t xml:space="preserve">option 2), leading to an increased prevalence to put banks in resolution, as the resolution</w:t>
      </w:r>
      <w:r>
        <w:t xml:space="preserve"> </w:t>
      </w:r>
      <w:r>
        <w:t xml:space="preserve">authorities would face a slightly increased burden of proof to place banks in insolvency.</w:t>
      </w:r>
      <w:r>
        <w:t xml:space="preserve"> </w:t>
      </w:r>
      <w:r>
        <w:t xml:space="preserve">Nevertheless, the PIA decision will remain at the discretion of the resolution authority on</w:t>
      </w:r>
      <w:r>
        <w:t xml:space="preserve"> </w:t>
      </w:r>
      <w:r>
        <w:t xml:space="preserve">a case-by-case basis. The outcome, in terms of expanding the resolution scope under</w:t>
      </w:r>
      <w:r>
        <w:t xml:space="preserve"> </w:t>
      </w:r>
      <w:r>
        <w:t xml:space="preserve">option 3, would be less ambitious than under option 4, where the inclusion of EDIS in the</w:t>
      </w:r>
      <w:r>
        <w:t xml:space="preserve"> </w:t>
      </w:r>
      <w:r>
        <w:t xml:space="preserve">funding solution would allow an even larger scope to apply resolution and a general</w:t>
      </w:r>
    </w:p>
    <w:p>
      <w:pPr>
        <w:pStyle w:val="BodyText"/>
      </w:pPr>
      <w:r>
        <w:t xml:space="preserve">103 See Annex 6.</w:t>
      </w:r>
      <w:r>
        <w:br/>
      </w:r>
      <w:r>
        <w:t xml:space="preserve">104 Banks’ shareholders and junior creditors would bear losses first, as also the case under State aid rules.</w:t>
      </w:r>
      <w:r>
        <w:t xml:space="preserve"> </w:t>
      </w:r>
      <w:r>
        <w:t xml:space="preserve">However, the BRRD already foresees that the claims held by senior creditors could also be bailed-in, in</w:t>
      </w:r>
      <w:r>
        <w:t xml:space="preserve"> </w:t>
      </w:r>
      <w:r>
        <w:t xml:space="preserve">order to cover losses and recapitalise an institution.</w:t>
      </w:r>
      <w:r>
        <w:br/>
      </w:r>
      <w:r>
        <w:t xml:space="preserve">105 SRB (May 2021), SRB’s updated approach to PIA, System-wide events in the public interest</w:t>
      </w:r>
      <w:r>
        <w:t xml:space="preserve"> </w:t>
      </w:r>
      <w:r>
        <w:t xml:space="preserve">assessment. The SRB already took steps to clarify the PIA in its internal policy.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presumption of positive PIA. As also mentioned under other options, the number of</w:t>
      </w:r>
      <w:r>
        <w:t xml:space="preserve"> </w:t>
      </w:r>
      <w:r>
        <w:t xml:space="preserve">additional banks channelled through resolution under this option cannot be estimated</w:t>
      </w:r>
      <w:r>
        <w:t xml:space="preserve"> </w:t>
      </w:r>
      <w:r>
        <w:t xml:space="preserve">upfront as the PIA remains a case-by-case assessment by resolution authorities.</w:t>
      </w:r>
      <w:r>
        <w:t xml:space="preserve"> </w:t>
      </w:r>
      <w:r>
        <w:t xml:space="preserve">However, the strengthening of the PIA provisions in the legislation coupled with credible</w:t>
      </w:r>
      <w:r>
        <w:t xml:space="preserve"> </w:t>
      </w:r>
      <w:r>
        <w:t xml:space="preserve">funding in resolution are likely to allow a significant broadening of resolution</w:t>
      </w:r>
      <w:r>
        <w:t xml:space="preserve"> </w:t>
      </w:r>
      <w:r>
        <w:t xml:space="preserve">application.</w:t>
      </w:r>
      <w:r>
        <w:t xml:space="preserve"> </w:t>
      </w:r>
      <w:r>
        <w:t xml:space="preserve">6.1.2.2. Conditions to access industry-funded safety nets</w:t>
      </w:r>
      <w:r>
        <w:t xml:space="preserve"> </w:t>
      </w:r>
      <w:r>
        <w:t xml:space="preserve">From the perspective of improving access to funding in resolution, the adjustments to</w:t>
      </w:r>
      <w:r>
        <w:t xml:space="preserve"> </w:t>
      </w:r>
      <w:r>
        <w:t xml:space="preserve">access criteria under this option would be the same as under options 2 and 4, i.e. </w:t>
      </w:r>
      <w:r>
        <w:t xml:space="preserve"> </w:t>
      </w:r>
      <w:r>
        <w:t xml:space="preserve">implementing the possibility to use DGS funds as a bridge to meet 8% TLOF and reach</w:t>
      </w:r>
      <w:r>
        <w:t xml:space="preserve"> </w:t>
      </w:r>
      <w:r>
        <w:t xml:space="preserve">the RF/SRF for transfer strategies with market exit in order to avoid imposing losses on</w:t>
      </w:r>
      <w:r>
        <w:t xml:space="preserve"> </w:t>
      </w:r>
      <w:r>
        <w:t xml:space="preserve">deposits, where that is desired on financial stability grounds. The key distinction in the</w:t>
      </w:r>
      <w:r>
        <w:t xml:space="preserve"> </w:t>
      </w:r>
      <w:r>
        <w:t xml:space="preserve">funding solution between options 2 and 3 is the amount of DGS funds made available for</w:t>
      </w:r>
      <w:r>
        <w:t xml:space="preserve"> </w:t>
      </w:r>
      <w:r>
        <w:t xml:space="preserve">potential interventions outside the payout event, in particular resolution strategies leading</w:t>
      </w:r>
      <w:r>
        <w:t xml:space="preserve"> </w:t>
      </w:r>
      <w:r>
        <w:t xml:space="preserve">to market exit (see section 6.1.2.4 for the corresponding change to the hierarchy of</w:t>
      </w:r>
      <w:r>
        <w:t xml:space="preserve"> </w:t>
      </w:r>
      <w:r>
        <w:t xml:space="preserve">claims envisaged). This more ambitious reform to the funding solution in resolution is</w:t>
      </w:r>
      <w:r>
        <w:t xml:space="preserve"> </w:t>
      </w:r>
      <w:r>
        <w:t xml:space="preserve">matched by a more ambitious expansion of the resolution scope.</w:t>
      </w:r>
      <w:r>
        <w:t xml:space="preserve"> </w:t>
      </w:r>
      <w:r>
        <w:t xml:space="preserve">6.1.2.3. Use of DGS funds</w:t>
      </w:r>
      <w:r>
        <w:t xml:space="preserve"> </w:t>
      </w:r>
      <w:r>
        <w:t xml:space="preserve">Under Option 3, DGS funds would contribute to the payout of covered deposits,</w:t>
      </w:r>
      <w:r>
        <w:t xml:space="preserve"> </w:t>
      </w:r>
      <w:r>
        <w:t xml:space="preserve">preventive, resolution and alternative measures under insolvency proceedings. Access</w:t>
      </w:r>
      <w:r>
        <w:t xml:space="preserve"> </w:t>
      </w:r>
      <w:r>
        <w:t xml:space="preserve">conditions would be clarified in the same way as under option 2.</w:t>
      </w:r>
      <w:r>
        <w:br/>
      </w:r>
      <w:r>
        <w:t xml:space="preserve">These adjustments would address the problem of unclear and inconsistent rules in</w:t>
      </w:r>
      <w:r>
        <w:t xml:space="preserve"> </w:t>
      </w:r>
      <w:r>
        <w:t xml:space="preserve">accessing DGS funding, contributing to improved level playing field also delivering</w:t>
      </w:r>
      <w:r>
        <w:t xml:space="preserve"> </w:t>
      </w:r>
      <w:r>
        <w:t xml:space="preserve">clearer rules leading to more legal certainty (e.g. the least cost test).</w:t>
      </w:r>
      <w:r>
        <w:br/>
      </w:r>
      <w:r>
        <w:t xml:space="preserve">6.1.2.4. Harmonisation of depositor preference in the hierarchy of claims:</w:t>
      </w:r>
      <w:r>
        <w:t xml:space="preserve"> </w:t>
      </w:r>
      <w:r>
        <w:t xml:space="preserve">single-tier depositor preference</w:t>
      </w:r>
      <w:r>
        <w:t xml:space="preserve"> </w:t>
      </w:r>
      <w:r>
        <w:t xml:space="preserve">Option 3 explores a harmonisation of the ranking of deposits in the hierarchy of claims</w:t>
      </w:r>
      <w:r>
        <w:t xml:space="preserve"> </w:t>
      </w:r>
      <w:r>
        <w:t xml:space="preserve">through a single-tier depositor preference and by removing the super-preference of</w:t>
      </w:r>
      <w:r>
        <w:t xml:space="preserve"> </w:t>
      </w:r>
      <w:r>
        <w:t xml:space="preserve">covered depositors and the DGS in the hierarchy of claims106. This entails two changes</w:t>
      </w:r>
      <w:r>
        <w:t xml:space="preserve"> </w:t>
      </w:r>
      <w:r>
        <w:t xml:space="preserve">being introduced in the BRRD. First, as under option 2, the legal preference at EU level</w:t>
      </w:r>
      <w:r>
        <w:t xml:space="preserve"> </w:t>
      </w:r>
      <w:r>
        <w:t xml:space="preserve">would be extended to include all deposits (general depositor preference), meaning that all</w:t>
      </w:r>
      <w:r>
        <w:t xml:space="preserve"> </w:t>
      </w:r>
      <w:r>
        <w:t xml:space="preserve">deposits, including eligible deposits of large corporates and excluded (uninsured)</w:t>
      </w:r>
      <w:r>
        <w:t xml:space="preserve"> </w:t>
      </w:r>
      <w:r>
        <w:t xml:space="preserve">deposits107, would rank above ordinary senior unsecured claims. Second, the existing</w:t>
      </w:r>
      <w:r>
        <w:t xml:space="preserve"> </w:t>
      </w:r>
      <w:r>
        <w:t xml:space="preserve">different relative ranking of deposits (i.e. the current three-tier approach) would be</w:t>
      </w:r>
      <w:r>
        <w:t xml:space="preserve"> </w:t>
      </w:r>
      <w:r>
        <w:t xml:space="preserve">replaced by a single ranking, whereby all deposits rank at the same level (i.e. pari passu)</w:t>
      </w:r>
      <w:r>
        <w:t xml:space="preserve"> </w:t>
      </w:r>
      <w:r>
        <w:t xml:space="preserve">amongst themselves (single-tier approach). Annex 7 further describes the different</w:t>
      </w:r>
    </w:p>
    <w:p>
      <w:pPr>
        <w:pStyle w:val="BodyText"/>
      </w:pPr>
      <w:r>
        <w:t xml:space="preserve">106 See Figure 29 in Annex 8, section 2, for a stylised view of creditor hierarchy in insolvency with a</w:t>
      </w:r>
      <w:r>
        <w:t xml:space="preserve"> </w:t>
      </w:r>
      <w:r>
        <w:t xml:space="preserve">single-tier depositor preference.</w:t>
      </w:r>
      <w:r>
        <w:t xml:space="preserve"> </w:t>
      </w:r>
      <w:r>
        <w:t xml:space="preserve">107 The deposits of public authorities would no longer be deemed as excluded deposits (see Annex 6,</w:t>
      </w:r>
      <w:r>
        <w:t xml:space="preserve"> </w:t>
      </w:r>
      <w:r>
        <w:t xml:space="preserve">section 3.2.6).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depositor preference scenarios assessed, varying in scope and relative ranking among</w:t>
      </w:r>
      <w:r>
        <w:t xml:space="preserve"> </w:t>
      </w:r>
      <w:r>
        <w:t xml:space="preserve">deposits.</w:t>
      </w:r>
      <w:r>
        <w:br/>
      </w:r>
      <w:r>
        <w:t xml:space="preserve">Annexes 7 and 8 (section 2) provide evidence that the general depositor preference with a</w:t>
      </w:r>
      <w:r>
        <w:t xml:space="preserve"> </w:t>
      </w:r>
      <w:r>
        <w:t xml:space="preserve">single-tier ranking would best address the objective of the revised framework, because it</w:t>
      </w:r>
      <w:r>
        <w:t xml:space="preserve"> </w:t>
      </w:r>
      <w:r>
        <w:t xml:space="preserve">would: (i) protect deposits in resolution by reducing the amount that would be otherwise</w:t>
      </w:r>
      <w:r>
        <w:t xml:space="preserve"> </w:t>
      </w:r>
      <w:r>
        <w:t xml:space="preserve">bailed-in to reach 8% TLOF and access the RF/SRF; (ii) maintain intact the protection</w:t>
      </w:r>
      <w:r>
        <w:t xml:space="preserve"> </w:t>
      </w:r>
      <w:r>
        <w:t xml:space="preserve">enjoyed by covered deposits which does not depend on their ranking and (iii) unlock the</w:t>
      </w:r>
      <w:r>
        <w:t xml:space="preserve"> </w:t>
      </w:r>
      <w:r>
        <w:t xml:space="preserve">largest amounts of funds that the DGS could contribute to measures other than the payout</w:t>
      </w:r>
      <w:r>
        <w:t xml:space="preserve"> </w:t>
      </w:r>
      <w:r>
        <w:t xml:space="preserve">of covered deposits under the least cost test, which is critical for facilitating more cost-</w:t>
      </w:r>
      <w:r>
        <w:t xml:space="preserve"> </w:t>
      </w:r>
      <w:r>
        <w:t xml:space="preserve">efficient interventions by the DGS, as proposed under this option. It should also be</w:t>
      </w:r>
      <w:r>
        <w:t xml:space="preserve"> </w:t>
      </w:r>
      <w:r>
        <w:t xml:space="preserve">acknowledged that, by placing non-covered non-preferred deposits (e.g. deposits of large</w:t>
      </w:r>
      <w:r>
        <w:t xml:space="preserve"> </w:t>
      </w:r>
      <w:r>
        <w:t xml:space="preserve">corporates) on the same ranking as covered and preferred deposits (deposits of</w:t>
      </w:r>
      <w:r>
        <w:t xml:space="preserve"> </w:t>
      </w:r>
      <w:r>
        <w:t xml:space="preserve">households and SMEs) and facilitating the use of the DGS bridge, banks would need to</w:t>
      </w:r>
      <w:r>
        <w:t xml:space="preserve"> </w:t>
      </w:r>
      <w:r>
        <w:t xml:space="preserve">replenish the DGS funds to protect not only covered and preferred deposits, but also</w:t>
      </w:r>
      <w:r>
        <w:t xml:space="preserve"> </w:t>
      </w:r>
      <w:r>
        <w:t xml:space="preserve">deposits of large corporates in the context of a transfer strategy. While it may expose the</w:t>
      </w:r>
      <w:r>
        <w:t xml:space="preserve"> </w:t>
      </w:r>
      <w:r>
        <w:t xml:space="preserve">DGS industry-funded safety nets to more frequent contributions by the banks, it would</w:t>
      </w:r>
      <w:r>
        <w:t xml:space="preserve"> </w:t>
      </w:r>
      <w:r>
        <w:t xml:space="preserve">reduce the likelihood and extent of recourse to taxpayer money, improve financial</w:t>
      </w:r>
      <w:r>
        <w:t xml:space="preserve"> </w:t>
      </w:r>
      <w:r>
        <w:t xml:space="preserve">stability and depositor protection and safeguard the financial means of the DGS to a</w:t>
      </w:r>
      <w:r>
        <w:t xml:space="preserve"> </w:t>
      </w:r>
      <w:r>
        <w:t xml:space="preserve">greater extent than a payout of covered deposits in insolvency.</w:t>
      </w:r>
      <w:r>
        <w:t xml:space="preserve"> </w:t>
      </w:r>
      <w:r>
        <w:t xml:space="preserve">As highlighted in Annex 7 (section 4.1.3), a comparative analysis of depositor preference</w:t>
      </w:r>
      <w:r>
        <w:t xml:space="preserve"> </w:t>
      </w:r>
      <w:r>
        <w:t xml:space="preserve">scenarios showed that the single-tier preference would best shield deposits from bearing</w:t>
      </w:r>
      <w:r>
        <w:t xml:space="preserve"> </w:t>
      </w:r>
      <w:r>
        <w:t xml:space="preserve">losses by reducing most significantly the number of banks where deposits would be</w:t>
      </w:r>
      <w:r>
        <w:t xml:space="preserve"> </w:t>
      </w:r>
      <w:r>
        <w:t xml:space="preserve">impacted when reaching 8% TLOF, from 96 banks in the baseline scenario to 48 (out of</w:t>
      </w:r>
      <w:r>
        <w:t xml:space="preserve"> </w:t>
      </w:r>
      <w:r>
        <w:t xml:space="preserve">368 banks in total), reducing the value of impacted deposits from EUR 18.3 bn in the</w:t>
      </w:r>
      <w:r>
        <w:t xml:space="preserve"> </w:t>
      </w:r>
      <w:r>
        <w:t xml:space="preserve">baseline to EUR 6.4 bn and unlocking on aggregate up to 20 times more funds for DGS</w:t>
      </w:r>
      <w:r>
        <w:t xml:space="preserve"> </w:t>
      </w:r>
      <w:r>
        <w:t xml:space="preserve">contributions under the least cost test (EUR 0.98 bn) than under the baseline or the</w:t>
      </w:r>
      <w:r>
        <w:t xml:space="preserve"> </w:t>
      </w:r>
      <w:r>
        <w:t xml:space="preserve">alternative scenarios retaining the super-preference of DGS (EUR 0.05 bn). Under the</w:t>
      </w:r>
      <w:r>
        <w:t xml:space="preserve"> </w:t>
      </w:r>
      <w:r>
        <w:t xml:space="preserve">single-tier preference, the DGS intervention under the least cost test would be sufficient</w:t>
      </w:r>
      <w:r>
        <w:t xml:space="preserve"> </w:t>
      </w:r>
      <w:r>
        <w:t xml:space="preserve">to bridge the gap towards 8% TLOF in 76% of cases when considering the entire sample</w:t>
      </w:r>
      <w:r>
        <w:t xml:space="preserve"> </w:t>
      </w:r>
      <w:r>
        <w:t xml:space="preserve">and in 88% of cases when considering only banks with resolution strategy108,109.</w:t>
      </w:r>
      <w:r>
        <w:br/>
      </w:r>
      <w:r>
        <w:t xml:space="preserve">The analysis shows that some deposits in a number of banks would not be shielded from</w:t>
      </w:r>
      <w:r>
        <w:t xml:space="preserve"> </w:t>
      </w:r>
      <w:r>
        <w:t xml:space="preserve">losses in case the 8% TLOF needs to be met. In view of a greater protection of deposits,</w:t>
      </w:r>
      <w:r>
        <w:t xml:space="preserve"> </w:t>
      </w:r>
      <w:r>
        <w:t xml:space="preserve">alternatives solutions for certain tail scenarios may be explored. For instance, should the</w:t>
      </w:r>
      <w:r>
        <w:t xml:space="preserve"> </w:t>
      </w:r>
      <w:r>
        <w:t xml:space="preserve">DGS support not be sufficient or not be able to intervene due to the least cost test to</w:t>
      </w:r>
      <w:r>
        <w:t xml:space="preserve"> </w:t>
      </w:r>
      <w:r>
        <w:t xml:space="preserve">cover the gap between the assets and the deposits transferred110, the RF/SRF might</w:t>
      </w:r>
    </w:p>
    <w:p>
      <w:pPr>
        <w:pStyle w:val="BodyText"/>
      </w:pPr>
      <w:r>
        <w:t xml:space="preserve">108 The resolution or liquidation strategy of banks in the analysed sample reflects the PIA decisions as of</w:t>
      </w:r>
      <w:r>
        <w:t xml:space="preserve"> </w:t>
      </w:r>
      <w:r>
        <w:t xml:space="preserve">Q4 2019. Given the intended expansion of the PIA, the results based on the entire sample as well as the</w:t>
      </w:r>
      <w:r>
        <w:t xml:space="preserve"> </w:t>
      </w:r>
      <w:r>
        <w:t xml:space="preserve">ones considering only banks with resolution strategies as of Q4 2019 are provided for comparison in</w:t>
      </w:r>
      <w:r>
        <w:t xml:space="preserve"> </w:t>
      </w:r>
      <w:r>
        <w:t xml:space="preserve">Annex 7.</w:t>
      </w:r>
      <w:r>
        <w:t xml:space="preserve"> </w:t>
      </w:r>
      <w:r>
        <w:t xml:space="preserve">109 These results are based on an assumption for a recovery rate of 85% in the insolvency counterfactual</w:t>
      </w:r>
      <w:r>
        <w:t xml:space="preserve"> </w:t>
      </w:r>
      <w:r>
        <w:t xml:space="preserve">when conducting the least cost test. A lower recovery rate would mean that the DGS would be able to</w:t>
      </w:r>
      <w:r>
        <w:t xml:space="preserve"> </w:t>
      </w:r>
      <w:r>
        <w:t xml:space="preserve">contribute more and shield more depositors in a larger number of banks, as explained in Annex 7, section</w:t>
      </w:r>
      <w:r>
        <w:t xml:space="preserve"> </w:t>
      </w:r>
      <w:r>
        <w:t xml:space="preserve">4.5, while a higher recovery rate would have the opposite effect.</w:t>
      </w:r>
      <w:r>
        <w:br/>
      </w:r>
      <w:r>
        <w:t xml:space="preserve">110 DGS contributions to reach 8% TLOF may not be sufficient due to the least cost test limit or the cap</w:t>
      </w:r>
      <w:r>
        <w:t xml:space="preserve"> </w:t>
      </w:r>
      <w:r>
        <w:t xml:space="preserve">when using the DGS funds for an individual bank (0.4% of covered deposits, or 50% of the DGS means).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provide additional financial support (irrespective of whether the 8% TLOF has been</w:t>
      </w:r>
      <w:r>
        <w:t xml:space="preserve"> </w:t>
      </w:r>
      <w:r>
        <w:t xml:space="preserve">reached or not), when justified based on financial stability grounds or other exceptional</w:t>
      </w:r>
      <w:r>
        <w:t xml:space="preserve"> </w:t>
      </w:r>
      <w:r>
        <w:t xml:space="preserve">circumstances. However, this additional flexibility was discarded as the 8% TLOF access</w:t>
      </w:r>
      <w:r>
        <w:t xml:space="preserve"> </w:t>
      </w:r>
      <w:r>
        <w:t xml:space="preserve">condition to the resolution fund is generally perceived as a critical safeguard against</w:t>
      </w:r>
      <w:r>
        <w:t xml:space="preserve"> </w:t>
      </w:r>
      <w:r>
        <w:t xml:space="preserve">moral hazard.</w:t>
      </w:r>
      <w:r>
        <w:br/>
      </w:r>
      <w:r>
        <w:t xml:space="preserve">Regarding the argument of cost-efficiency associated with the use of DGS funds in</w:t>
      </w:r>
      <w:r>
        <w:t xml:space="preserve"> </w:t>
      </w:r>
      <w:r>
        <w:t xml:space="preserve">resolution or alternative measures versus the cost of a payout of covered deposits, an</w:t>
      </w:r>
      <w:r>
        <w:t xml:space="preserve"> </w:t>
      </w:r>
      <w:r>
        <w:t xml:space="preserve">ECB report on DGS alternative measures111 shows that 261 banks, banking groups or</w:t>
      </w:r>
      <w:r>
        <w:t xml:space="preserve"> </w:t>
      </w:r>
      <w:r>
        <w:t xml:space="preserve">hosted subsidiaries in the Banking Union could individually deplete their fully-filled</w:t>
      </w:r>
      <w:r>
        <w:t xml:space="preserve"> </w:t>
      </w:r>
      <w:r>
        <w:t xml:space="preserve">DGSs with a single payout of covered deposits in insolvency. While 129 of these banks</w:t>
      </w:r>
      <w:r>
        <w:t xml:space="preserve"> </w:t>
      </w:r>
      <w:r>
        <w:t xml:space="preserve">are significant institutions likely to involve resolution rather than a depositor payout in</w:t>
      </w:r>
      <w:r>
        <w:t xml:space="preserve"> </w:t>
      </w:r>
      <w:r>
        <w:t xml:space="preserve">insolvency, the 132 remaining are less significant institutions or their hosted subsidiaries,</w:t>
      </w:r>
      <w:r>
        <w:t xml:space="preserve"> </w:t>
      </w:r>
      <w:r>
        <w:t xml:space="preserve">which also have covered deposits exceeding the target level of their DGSs.</w:t>
      </w:r>
      <w:r>
        <w:t xml:space="preserve"> </w:t>
      </w:r>
      <w:r>
        <w:t xml:space="preserve">6.1.2.5.Use of industry-funded safety nets and cost synergies for banks</w:t>
      </w:r>
      <w:r>
        <w:t xml:space="preserve"> </w:t>
      </w:r>
      <w:r>
        <w:t xml:space="preserve">The nature of the impacts on banks and industry-funded safety nets, and the potential</w:t>
      </w:r>
      <w:r>
        <w:t xml:space="preserve"> </w:t>
      </w:r>
      <w:r>
        <w:t xml:space="preserve">cost synergies related to these are the same as described under option 2. The main</w:t>
      </w:r>
      <w:r>
        <w:t xml:space="preserve"> </w:t>
      </w:r>
      <w:r>
        <w:t xml:space="preserve">distinction under option 3 is the intensity of these impacts. Since the access to funding</w:t>
      </w:r>
      <w:r>
        <w:t xml:space="preserve"> </w:t>
      </w:r>
      <w:r>
        <w:t xml:space="preserve">from DGS would be facilitated more substantially under this option (as a result of the</w:t>
      </w:r>
      <w:r>
        <w:t xml:space="preserve"> </w:t>
      </w:r>
      <w:r>
        <w:t xml:space="preserve">single-tier depositor preference in the hierarchy of claims), DGS replenishment needs via</w:t>
      </w:r>
      <w:r>
        <w:t xml:space="preserve"> </w:t>
      </w:r>
      <w:r>
        <w:t xml:space="preserve">ex post industry contributions could be higher. However, this potential higher cost for the</w:t>
      </w:r>
      <w:r>
        <w:t xml:space="preserve"> </w:t>
      </w:r>
      <w:r>
        <w:t xml:space="preserve">industry would be counter-balanced by the following effects: (i) increased depositor</w:t>
      </w:r>
      <w:r>
        <w:t xml:space="preserve"> </w:t>
      </w:r>
      <w:r>
        <w:t xml:space="preserve">protection including for non-covered deposits, which could facilitate more effective and</w:t>
      </w:r>
      <w:r>
        <w:t xml:space="preserve"> </w:t>
      </w:r>
      <w:r>
        <w:t xml:space="preserve">efficient transfer strategies (restructuring and market exit) thereby fostering</w:t>
      </w:r>
      <w:r>
        <w:t xml:space="preserve"> </w:t>
      </w:r>
      <w:r>
        <w:t xml:space="preserve">competitiveness for the sector; (ii) increased financial stability through credible financing</w:t>
      </w:r>
      <w:r>
        <w:t xml:space="preserve"> </w:t>
      </w:r>
      <w:r>
        <w:t xml:space="preserve">of transfer tools in resolution or alternative measures for more failing banks in a credible</w:t>
      </w:r>
      <w:r>
        <w:t xml:space="preserve"> </w:t>
      </w:r>
      <w:r>
        <w:t xml:space="preserve">manner, preserving asset value, reducing contagion and ensuring the continuation of</w:t>
      </w:r>
      <w:r>
        <w:t xml:space="preserve"> </w:t>
      </w:r>
      <w:r>
        <w:t xml:space="preserve">client relationship, and (iii) reduced recourse to taxpayer funds while synergies between</w:t>
      </w:r>
      <w:r>
        <w:t xml:space="preserve"> </w:t>
      </w:r>
      <w:r>
        <w:t xml:space="preserve">RF/SRF and DGS would be more efficiently combined, in particular in the Banking</w:t>
      </w:r>
      <w:r>
        <w:t xml:space="preserve"> </w:t>
      </w:r>
      <w:r>
        <w:t xml:space="preserve">Union where the SRF and DGSs do not have the same base for the bank contributions.</w:t>
      </w:r>
      <w:r>
        <w:t xml:space="preserve"> </w:t>
      </w:r>
      <w:r>
        <w:t xml:space="preserve">The combined use of the safety nets would enhance the resilience of the industry-funded</w:t>
      </w:r>
      <w:r>
        <w:t xml:space="preserve"> </w:t>
      </w:r>
      <w:r>
        <w:t xml:space="preserve">source of funding available for bank failures and, to some extent, reduce the</w:t>
      </w:r>
      <w:r>
        <w:t xml:space="preserve"> </w:t>
      </w:r>
      <w:r>
        <w:t xml:space="preserve">procyclicality of ex post contributions bearing on the sector112.</w:t>
      </w:r>
      <w:r>
        <w:t xml:space="preserve"> </w:t>
      </w:r>
      <w:r>
        <w:t xml:space="preserve">However, foregoing the pooling effects that the implementation of EDIS could have</w:t>
      </w:r>
      <w:r>
        <w:t xml:space="preserve"> </w:t>
      </w:r>
      <w:r>
        <w:t xml:space="preserve">brought, this option would not result in savings related to lower safety net contributions</w:t>
      </w:r>
      <w:r>
        <w:t xml:space="preserve"> </w:t>
      </w:r>
      <w:r>
        <w:t xml:space="preserve">by the banking sector (see option 4). Therefore, the combined target level contributions</w:t>
      </w:r>
      <w:r>
        <w:t xml:space="preserve"> </w:t>
      </w:r>
      <w:r>
        <w:t xml:space="preserve">for DGSs would remain as under the baseline option (0.8% of covered deposits).</w:t>
      </w:r>
    </w:p>
    <w:p>
      <w:pPr>
        <w:pStyle w:val="BodyText"/>
      </w:pPr>
      <w:r>
        <w:t xml:space="preserve">111 ECB (October 2022) Protecting depositors and saving money - why DGS in the EU should be able to</w:t>
      </w:r>
      <w:r>
        <w:t xml:space="preserve"> </w:t>
      </w:r>
      <w:r>
        <w:t xml:space="preserve">support transfers of assets and liabilities when a bank fails.</w:t>
      </w:r>
      <w:r>
        <w:t xml:space="preserve"> </w:t>
      </w:r>
      <w:r>
        <w:t xml:space="preserve">112 As replenishment needs are spread across a larger population of banks, not only on the domestic</w:t>
      </w:r>
      <w:r>
        <w:t xml:space="preserve"> </w:t>
      </w:r>
      <w:r>
        <w:t xml:space="preserve">banking sector in case a DGS is used.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6.1.2.6. Assessment of Option 3</w:t>
      </w:r>
      <w:r>
        <w:t xml:space="preserve"> </w:t>
      </w:r>
      <w:r>
        <w:t xml:space="preserve">Benefits</w:t>
      </w:r>
      <w:r>
        <w:t xml:space="preserve"> </w:t>
      </w:r>
      <w:r>
        <w:t xml:space="preserve">Option 3 would broaden the application of the EU harmonised framework for resolution</w:t>
      </w:r>
      <w:r>
        <w:t xml:space="preserve"> </w:t>
      </w:r>
      <w:r>
        <w:t xml:space="preserve">to more smaller/medium-sized banks on the back of more ambitious improvements in the</w:t>
      </w:r>
      <w:r>
        <w:t xml:space="preserve"> </w:t>
      </w:r>
      <w:r>
        <w:t xml:space="preserve">funding solution. The legal clarification of the PIA would deliver a broad application of</w:t>
      </w:r>
      <w:r>
        <w:t xml:space="preserve"> </w:t>
      </w:r>
      <w:r>
        <w:t xml:space="preserve">resolution tools. Legal clarity and level playing field would be significantly enhanced</w:t>
      </w:r>
      <w:r>
        <w:t xml:space="preserve"> </w:t>
      </w:r>
      <w:r>
        <w:t xml:space="preserve">and the uncertainty regarding the handling of smaller and medium sized banks through</w:t>
      </w:r>
      <w:r>
        <w:t xml:space="preserve"> </w:t>
      </w:r>
      <w:r>
        <w:t xml:space="preserve">diverging national solutions greatly reduced. The problems identified in the current</w:t>
      </w:r>
      <w:r>
        <w:t xml:space="preserve"> </w:t>
      </w:r>
      <w:r>
        <w:t xml:space="preserve">framework regarding the difficulty to access funding sources and the broad discretion</w:t>
      </w:r>
      <w:r>
        <w:t xml:space="preserve"> </w:t>
      </w:r>
      <w:r>
        <w:t xml:space="preserve">when deciding whether to place a bank in resolution or insolvency, would be addressed</w:t>
      </w:r>
      <w:r>
        <w:t xml:space="preserve"> </w:t>
      </w:r>
      <w:r>
        <w:t xml:space="preserve">to a large extent. A more extensive use of resolution underpinned by a mechanism to</w:t>
      </w:r>
      <w:r>
        <w:t xml:space="preserve"> </w:t>
      </w:r>
      <w:r>
        <w:t xml:space="preserve">improve access to the DGS and resolution funding, while meeting the 8% TLOF</w:t>
      </w:r>
      <w:r>
        <w:t xml:space="preserve"> </w:t>
      </w:r>
      <w:r>
        <w:t xml:space="preserve">minimum bail-in condition, would limit further the recourse to public funds and enhance</w:t>
      </w:r>
      <w:r>
        <w:t xml:space="preserve"> </w:t>
      </w:r>
      <w:r>
        <w:t xml:space="preserve">financial stability. At the same time, allowing DGS funds to bridge the gap to access the</w:t>
      </w:r>
      <w:r>
        <w:t xml:space="preserve"> </w:t>
      </w:r>
      <w:r>
        <w:t xml:space="preserve">RF/SRF would introduce more proportionality for smaller/medium-sized banks under</w:t>
      </w:r>
      <w:r>
        <w:t xml:space="preserve"> </w:t>
      </w:r>
      <w:r>
        <w:t xml:space="preserve">transfer strategies in accessing safety nets without weakening the minimum bail-in</w:t>
      </w:r>
      <w:r>
        <w:t xml:space="preserve"> </w:t>
      </w:r>
      <w:r>
        <w:t xml:space="preserve">condition to access the RF/SRF. Implementing a single-tier depositor preference would</w:t>
      </w:r>
      <w:r>
        <w:t xml:space="preserve"> </w:t>
      </w:r>
      <w:r>
        <w:t xml:space="preserve">shield more depositors from taking losses and enable more DGS funds’ contribution to</w:t>
      </w:r>
      <w:r>
        <w:t xml:space="preserve"> </w:t>
      </w:r>
      <w:r>
        <w:t xml:space="preserve">finance transfer tools in resolution or alternative measures under the least cost test. This</w:t>
      </w:r>
      <w:r>
        <w:t xml:space="preserve"> </w:t>
      </w:r>
      <w:r>
        <w:t xml:space="preserve">would de facto provide more scope for DGS funding interventions for a larger population</w:t>
      </w:r>
      <w:r>
        <w:t xml:space="preserve"> </w:t>
      </w:r>
      <w:r>
        <w:t xml:space="preserve">of banks than under the baseline and option 2, to either facilitate transfer transactions</w:t>
      </w:r>
      <w:r>
        <w:t xml:space="preserve"> </w:t>
      </w:r>
      <w:r>
        <w:t xml:space="preserve">directly or help bridge the gap to meet the access condition of RF/SRF (provided market</w:t>
      </w:r>
      <w:r>
        <w:t xml:space="preserve"> </w:t>
      </w:r>
      <w:r>
        <w:t xml:space="preserve">exit as a safeguard is observed).</w:t>
      </w:r>
      <w:r>
        <w:br/>
      </w:r>
      <w:r>
        <w:t xml:space="preserve">The implementation of option 3 would strengthen the level playing field in the EU,</w:t>
      </w:r>
      <w:r>
        <w:t xml:space="preserve"> </w:t>
      </w:r>
      <w:r>
        <w:t xml:space="preserve">improve legal certainty and predictability, and make the CMDI framework more</w:t>
      </w:r>
      <w:r>
        <w:t xml:space="preserve"> </w:t>
      </w:r>
      <w:r>
        <w:t xml:space="preserve">incentive-compatible across all possible interventions available in the toolbox, whether</w:t>
      </w:r>
      <w:r>
        <w:t xml:space="preserve"> </w:t>
      </w:r>
      <w:r>
        <w:t xml:space="preserve">they are embedded in the harmonised framework (BRRD/DGSD) or available under</w:t>
      </w:r>
      <w:r>
        <w:t xml:space="preserve"> </w:t>
      </w:r>
      <w:r>
        <w:t xml:space="preserve">national insolvency procedure. Similarly to the other options, option 3 would facilitate</w:t>
      </w:r>
      <w:r>
        <w:t xml:space="preserve"> </w:t>
      </w:r>
      <w:r>
        <w:t xml:space="preserve">the use of DGS funds in resolution, but also better frame interventions outside resolution</w:t>
      </w:r>
      <w:r>
        <w:t xml:space="preserve"> </w:t>
      </w:r>
      <w:r>
        <w:t xml:space="preserve">such as preventive and alternative measures by clarifying access conditions (least cost</w:t>
      </w:r>
      <w:r>
        <w:t xml:space="preserve"> </w:t>
      </w:r>
      <w:r>
        <w:t xml:space="preserve">test), leading to more standardisation, transparency, predictability of rules and an</w:t>
      </w:r>
      <w:r>
        <w:t xml:space="preserve"> </w:t>
      </w:r>
      <w:r>
        <w:t xml:space="preserve">equitable treatment of depositors, creditors and taxpayers across the EU.</w:t>
      </w:r>
      <w:r>
        <w:br/>
      </w:r>
      <w:r>
        <w:t xml:space="preserve">Option 3 would deliver tangible benefits to resolution authorities by increasing the legal</w:t>
      </w:r>
      <w:r>
        <w:t xml:space="preserve"> </w:t>
      </w:r>
      <w:r>
        <w:t xml:space="preserve">certainty of the framework and providing them with stronger financing solutions to</w:t>
      </w:r>
      <w:r>
        <w:t xml:space="preserve"> </w:t>
      </w:r>
      <w:r>
        <w:t xml:space="preserve">credibly handle bank failures. It would also enhance depositor protection and a more</w:t>
      </w:r>
      <w:r>
        <w:t xml:space="preserve"> </w:t>
      </w:r>
      <w:r>
        <w:t xml:space="preserve">efficient use of industry funds, whose main purpose is to finance crisis management</w:t>
      </w:r>
      <w:r>
        <w:t xml:space="preserve"> </w:t>
      </w:r>
      <w:r>
        <w:t xml:space="preserve">measures. Additionally, enabling and significantly strengthening the funding of</w:t>
      </w:r>
      <w:r>
        <w:t xml:space="preserve"> </w:t>
      </w:r>
      <w:r>
        <w:t xml:space="preserve">resolution strategies, such as transfer tools, would be conducive to further cross-border</w:t>
      </w:r>
      <w:r>
        <w:t xml:space="preserve"> </w:t>
      </w:r>
      <w:r>
        <w:t xml:space="preserve">market integration and consolidation.</w:t>
      </w:r>
      <w:r>
        <w:t xml:space="preserve"> </w:t>
      </w:r>
      <w:r>
        <w:t xml:space="preserve">Costs</w:t>
      </w:r>
      <w:r>
        <w:t xml:space="preserve"> </w:t>
      </w:r>
      <w:r>
        <w:t xml:space="preserve">The nature of the costs assessed under option 2 would largely remain valid under option</w:t>
      </w:r>
      <w:r>
        <w:t xml:space="preserve"> </w:t>
      </w:r>
      <w:r>
        <w:t xml:space="preserve">3, with the distinction that some costs under option 3 may be somewhat higher or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applicable to more banks, while at the same time comparatively delivering greater</w:t>
      </w:r>
      <w:r>
        <w:t xml:space="preserve"> </w:t>
      </w:r>
      <w:r>
        <w:t xml:space="preserve">benefits (see above). These costs, as already explained under option 2, include: (i)</w:t>
      </w:r>
      <w:r>
        <w:t xml:space="preserve"> </w:t>
      </w:r>
      <w:r>
        <w:t xml:space="preserve">potential additional replenishment needs by the industry without benefiting from lower</w:t>
      </w:r>
      <w:r>
        <w:t xml:space="preserve"> </w:t>
      </w:r>
      <w:r>
        <w:t xml:space="preserve">contributions (in the absence of EDIS), (ii) risks of shortfalls in national DGS funds,</w:t>
      </w:r>
      <w:r>
        <w:t xml:space="preserve"> </w:t>
      </w:r>
      <w:r>
        <w:t xml:space="preserve">which may require borrowing (from other DGSs or the market) or for a backstop by the</w:t>
      </w:r>
      <w:r>
        <w:t xml:space="preserve"> </w:t>
      </w:r>
      <w:r>
        <w:t xml:space="preserve">sovereign, reinforcing the bank-sovereign nexus, (iii) additional coordination efforts</w:t>
      </w:r>
      <w:r>
        <w:t xml:space="preserve"> </w:t>
      </w:r>
      <w:r>
        <w:t xml:space="preserve">between resolution and DGSs authorities, (iv) the need for banks earmarked for</w:t>
      </w:r>
      <w:r>
        <w:t xml:space="preserve"> </w:t>
      </w:r>
      <w:r>
        <w:t xml:space="preserve">resolution due to the changes to the PIA to raise the required levels of MREL and (v)</w:t>
      </w:r>
      <w:r>
        <w:t xml:space="preserve"> </w:t>
      </w:r>
      <w:r>
        <w:t xml:space="preserve">costs related to marginal reporting needs by banks entering the resolution scope for the</w:t>
      </w:r>
      <w:r>
        <w:t xml:space="preserve"> </w:t>
      </w:r>
      <w:r>
        <w:t xml:space="preserve">first time.</w:t>
      </w:r>
      <w:r>
        <w:br/>
      </w:r>
      <w:r>
        <w:t xml:space="preserve">A more substantial improvement in accessing industry-funded safety nets (RF/SRF and</w:t>
      </w:r>
      <w:r>
        <w:t xml:space="preserve"> </w:t>
      </w:r>
      <w:r>
        <w:t xml:space="preserve">DGS funds), both in terms of higher amounts unlocked and for a larger population of</w:t>
      </w:r>
      <w:r>
        <w:t xml:space="preserve"> </w:t>
      </w:r>
      <w:r>
        <w:t xml:space="preserve">banks (thanks to the single-tier depositor preference), may increase the risk of shortfalls</w:t>
      </w:r>
      <w:r>
        <w:t xml:space="preserve"> </w:t>
      </w:r>
      <w:r>
        <w:t xml:space="preserve">in national DGS funds. Without EDIS, these shortfalls could be mitigated through</w:t>
      </w:r>
      <w:r>
        <w:t xml:space="preserve"> </w:t>
      </w:r>
      <w:r>
        <w:t xml:space="preserve">extraordinary contributions by the banking industry, which may lead to pass-through</w:t>
      </w:r>
      <w:r>
        <w:t xml:space="preserve"> </w:t>
      </w:r>
      <w:r>
        <w:t xml:space="preserve">costs effects from banks to their customers. DGS shortfalls could also be mitigated by</w:t>
      </w:r>
      <w:r>
        <w:t xml:space="preserve"> </w:t>
      </w:r>
      <w:r>
        <w:t xml:space="preserve">lending from other DGSs, lending from the market or recourse to public funds. However,</w:t>
      </w:r>
      <w:r>
        <w:t xml:space="preserve"> </w:t>
      </w:r>
      <w:r>
        <w:t xml:space="preserve">the latter would reinforce the bank-sovereign nexus. As under option 2, in the absence of</w:t>
      </w:r>
      <w:r>
        <w:t xml:space="preserve"> </w:t>
      </w:r>
      <w:r>
        <w:t xml:space="preserve">EDIS, cost synergies for the industry in the form of reduced contributions to safety nets</w:t>
      </w:r>
      <w:r>
        <w:t xml:space="preserve"> </w:t>
      </w:r>
      <w:r>
        <w:t xml:space="preserve">would not materialise and DGS’ vulnerability to large shocks may continue to impair</w:t>
      </w:r>
      <w:r>
        <w:t xml:space="preserve"> </w:t>
      </w:r>
      <w:r>
        <w:t xml:space="preserve">depositor confidence in the banking sector.</w:t>
      </w:r>
      <w:r>
        <w:t xml:space="preserve"> </w:t>
      </w:r>
      <w:r>
        <w:t xml:space="preserve">The implementation of this option would also require additional coordination among</w:t>
      </w:r>
      <w:r>
        <w:t xml:space="preserve"> </w:t>
      </w:r>
      <w:r>
        <w:t xml:space="preserve">resolution and DGS authorities when using the DGS fund to reach the resolution fund. It</w:t>
      </w:r>
      <w:r>
        <w:t xml:space="preserve"> </w:t>
      </w:r>
      <w:r>
        <w:t xml:space="preserve">would also imply additional tasks for resolution authorities to prepare additional</w:t>
      </w:r>
      <w:r>
        <w:t xml:space="preserve"> </w:t>
      </w:r>
      <w:r>
        <w:t xml:space="preserve">resolution plans and set bank-specific MREL requirements due to the extension of the</w:t>
      </w:r>
      <w:r>
        <w:t xml:space="preserve"> </w:t>
      </w:r>
      <w:r>
        <w:t xml:space="preserve">PIA. However, these costs would be mitigated by the benefits of using the framework as</w:t>
      </w:r>
      <w:r>
        <w:t xml:space="preserve"> </w:t>
      </w:r>
      <w:r>
        <w:t xml:space="preserve">intended and ensure the market exit of failing banks without consequences on financial</w:t>
      </w:r>
      <w:r>
        <w:t xml:space="preserve"> </w:t>
      </w:r>
      <w:r>
        <w:t xml:space="preserve">stability.</w:t>
      </w:r>
      <w:r>
        <w:br/>
      </w:r>
      <w:r>
        <w:t xml:space="preserve">This option would also impact banks through the requirement to ensure adequate levels</w:t>
      </w:r>
      <w:r>
        <w:t xml:space="preserve"> </w:t>
      </w:r>
      <w:r>
        <w:t xml:space="preserve">of internal loss absorbing capacity to allow for the execution of resolution strategies</w:t>
      </w:r>
      <w:r>
        <w:t xml:space="preserve"> </w:t>
      </w:r>
      <w:r>
        <w:t xml:space="preserve">(bail-in or transfer strategies) and investing in projects to become more resolvable (i.e. </w:t>
      </w:r>
      <w:r>
        <w:t xml:space="preserve"> </w:t>
      </w:r>
      <w:r>
        <w:t xml:space="preserve">enhancing their management information systems, valuation capabilities, revising</w:t>
      </w:r>
      <w:r>
        <w:t xml:space="preserve"> </w:t>
      </w:r>
      <w:r>
        <w:t xml:space="preserve">contracts to assure resolution stays with counterparts, other projects related to the</w:t>
      </w:r>
      <w:r>
        <w:t xml:space="preserve"> </w:t>
      </w:r>
      <w:r>
        <w:t xml:space="preserve">organisation structure and separability). However, whether new MREL requirements</w:t>
      </w:r>
      <w:r>
        <w:t xml:space="preserve"> </w:t>
      </w:r>
      <w:r>
        <w:t xml:space="preserve">would translate into higher costs is a case-by-case assessment that cannot be estimated</w:t>
      </w:r>
      <w:r>
        <w:t xml:space="preserve"> </w:t>
      </w:r>
      <w:r>
        <w:t xml:space="preserve">upfront, depending on the required MREL targets, the outstanding stock of eligible</w:t>
      </w:r>
      <w:r>
        <w:t xml:space="preserve"> </w:t>
      </w:r>
      <w:r>
        <w:t xml:space="preserve">instruments that banks already hold as well as on bank individual features and market</w:t>
      </w:r>
      <w:r>
        <w:t xml:space="preserve"> </w:t>
      </w:r>
      <w:r>
        <w:t xml:space="preserve">conditions. A mitigating factor for banks would be avoiding the loss of franchise value</w:t>
      </w:r>
      <w:r>
        <w:t xml:space="preserve"> </w:t>
      </w:r>
      <w:r>
        <w:t xml:space="preserve">and the continuation of critical functions via a transfer to a buyer, avoiding the bail-in of</w:t>
      </w:r>
      <w:r>
        <w:t xml:space="preserve"> </w:t>
      </w:r>
      <w:r>
        <w:t xml:space="preserve">depositors by using DGS to fill the gap towards accessing resolution funding, in case</w:t>
      </w:r>
      <w:r>
        <w:t xml:space="preserve"> </w:t>
      </w:r>
      <w:r>
        <w:t xml:space="preserve">MREL capacity were not sufficient to support the resolution action, subject to</w:t>
      </w:r>
      <w:r>
        <w:t xml:space="preserve"> </w:t>
      </w:r>
      <w:r>
        <w:t xml:space="preserve">safeguards.</w:t>
      </w:r>
      <w:r>
        <w:br/>
      </w:r>
      <w:r>
        <w:t xml:space="preserve">While option 3 would address to a larger extent than option 2 the problems identified in</w:t>
      </w:r>
      <w:r>
        <w:t xml:space="preserve"> </w:t>
      </w:r>
      <w:r>
        <w:t xml:space="preserve">chapter 2, it should be acknowledged, however, that the resolution scope and necessary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funding may not be secured in all cases under this option due to remaining discretion and</w:t>
      </w:r>
      <w:r>
        <w:t xml:space="preserve"> </w:t>
      </w:r>
      <w:r>
        <w:t xml:space="preserve">the inherent limitations in the conditions to access funding (least cost test)113. As a</w:t>
      </w:r>
      <w:r>
        <w:t xml:space="preserve"> </w:t>
      </w:r>
      <w:r>
        <w:t xml:space="preserve">consequence, the problem of insufficient legal certainty and predictability may not</w:t>
      </w:r>
      <w:r>
        <w:t xml:space="preserve"> </w:t>
      </w:r>
      <w:r>
        <w:t xml:space="preserve">always be fully addressed and there may be some residual uncertainty in the treatment of</w:t>
      </w:r>
      <w:r>
        <w:t xml:space="preserve"> </w:t>
      </w:r>
      <w:r>
        <w:t xml:space="preserve">certain bank liability holders in the event of a bank failure.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Effectiveness, efficiency and coherence: Under option 3, the broadening of the resolution</w:t>
      </w:r>
      <w:r>
        <w:t xml:space="preserve"> </w:t>
      </w:r>
      <w:r>
        <w:t xml:space="preserve">scope would be achieved with increased legal certainty and mirror the increased</w:t>
      </w:r>
      <w:r>
        <w:t xml:space="preserve"> </w:t>
      </w:r>
      <w:r>
        <w:t xml:space="preserve">availability in funding. It would materially tackle the problem of level playing field,</w:t>
      </w:r>
      <w:r>
        <w:t xml:space="preserve"> </w:t>
      </w:r>
      <w:r>
        <w:t xml:space="preserve">convergence in practices and use of public funds to manage failing banks, unlike the</w:t>
      </w:r>
      <w:r>
        <w:t xml:space="preserve"> </w:t>
      </w:r>
      <w:r>
        <w:t xml:space="preserve">baseline or option 2 which would deliver a weaker reform in the same direction.</w:t>
      </w:r>
      <w:r>
        <w:t xml:space="preserve"> </w:t>
      </w:r>
      <w:r>
        <w:t xml:space="preserve">Providing the funding and the PIA legal clarity to place more smaller/medium-sized</w:t>
      </w:r>
      <w:r>
        <w:t xml:space="preserve"> </w:t>
      </w:r>
      <w:r>
        <w:t xml:space="preserve">banks in resolution would contribute to improving financial stability, depositor</w:t>
      </w:r>
      <w:r>
        <w:t xml:space="preserve"> </w:t>
      </w:r>
      <w:r>
        <w:t xml:space="preserve">protection, limiting contagion and preserving critical functions in banking compared to</w:t>
      </w:r>
      <w:r>
        <w:t xml:space="preserve"> </w:t>
      </w:r>
      <w:r>
        <w:t xml:space="preserve">the baseline and option 2, however to a lesser extent than under Option 4 where EDIS</w:t>
      </w:r>
      <w:r>
        <w:t xml:space="preserve"> </w:t>
      </w:r>
      <w:r>
        <w:t xml:space="preserve">would significantly reinforce the funding equation. In this context, the issues related to</w:t>
      </w:r>
      <w:r>
        <w:t xml:space="preserve"> </w:t>
      </w:r>
      <w:r>
        <w:t xml:space="preserve">the existing room for arbitrage and lack of clarity and predictability in the application of</w:t>
      </w:r>
      <w:r>
        <w:t xml:space="preserve"> </w:t>
      </w:r>
      <w:r>
        <w:t xml:space="preserve">crisis management tools, as identified in Chapter 2, would be largely resolved, despite</w:t>
      </w:r>
      <w:r>
        <w:t xml:space="preserve"> </w:t>
      </w:r>
      <w:r>
        <w:t xml:space="preserve">some residual risks that may remain due to certain inherent limitations in the access to</w:t>
      </w:r>
      <w:r>
        <w:t xml:space="preserve"> </w:t>
      </w:r>
      <w:r>
        <w:t xml:space="preserve">funds (least cost test) and the remaining discretion. The possibility to use the DGS funds</w:t>
      </w:r>
      <w:r>
        <w:t xml:space="preserve"> </w:t>
      </w:r>
      <w:r>
        <w:t xml:space="preserve">as a bridge to access the RF/SRF if conditions are met would require enhanced</w:t>
      </w:r>
      <w:r>
        <w:t xml:space="preserve"> </w:t>
      </w:r>
      <w:r>
        <w:t xml:space="preserve">coordination between the SRB and national DGS authorities. However, this does not</w:t>
      </w:r>
      <w:r>
        <w:t xml:space="preserve"> </w:t>
      </w:r>
      <w:r>
        <w:t xml:space="preserve">imply any change in governance. As explained above, the reforms envisaged in option 3</w:t>
      </w:r>
      <w:r>
        <w:t xml:space="preserve"> </w:t>
      </w:r>
      <w:r>
        <w:t xml:space="preserve">would entail certain costs, which would be outweighed by the benefits brought by the</w:t>
      </w:r>
      <w:r>
        <w:t xml:space="preserve"> </w:t>
      </w:r>
      <w:r>
        <w:t xml:space="preserve">improvements to the framework in terms of financial stability, depositor protection, level</w:t>
      </w:r>
      <w:r>
        <w:t xml:space="preserve"> </w:t>
      </w:r>
      <w:r>
        <w:t xml:space="preserve">playing field and taxpayer money.</w:t>
      </w:r>
      <w:r>
        <w:t xml:space="preserve"> </w:t>
      </w:r>
      <w:r>
        <w:t xml:space="preserve">The policy option package 3 (as well as 2) is assessed against the background of the 2015</w:t>
      </w:r>
      <w:r>
        <w:t xml:space="preserve"> </w:t>
      </w:r>
      <w:r>
        <w:t xml:space="preserve">EDIS proposal under the assumption that political negotiations remain on hold. However,</w:t>
      </w:r>
      <w:r>
        <w:t xml:space="preserve"> </w:t>
      </w:r>
      <w:r>
        <w:t xml:space="preserve">option 3 is neutral but open to the introduction of EDIS at a later stage. Within the</w:t>
      </w:r>
      <w:r>
        <w:t xml:space="preserve"> </w:t>
      </w:r>
      <w:r>
        <w:t xml:space="preserve">Banking Union, the establishment of EDIS (whatever the design), would enhance the</w:t>
      </w:r>
      <w:r>
        <w:t xml:space="preserve"> </w:t>
      </w:r>
      <w:r>
        <w:t xml:space="preserve">effectiveness and efficiency of the framework under this option, as the firepower of</w:t>
      </w:r>
      <w:r>
        <w:t xml:space="preserve"> </w:t>
      </w:r>
      <w:r>
        <w:t xml:space="preserve">deposit guarantee schemes to contribute to transfer strategies would increase, and with</w:t>
      </w:r>
      <w:r>
        <w:t xml:space="preserve"> </w:t>
      </w:r>
      <w:r>
        <w:t xml:space="preserve">EDIS in place, there would be a better alignment between the level of the decision taking</w:t>
      </w:r>
      <w:r>
        <w:t xml:space="preserve"> </w:t>
      </w:r>
      <w:r>
        <w:t xml:space="preserve">(EU or national) and the responsibility related to financing.</w:t>
      </w:r>
      <w:r>
        <w:br/>
      </w:r>
      <w:r>
        <w:t xml:space="preserve">Stakeholder views and political considerations: The reform proposed under option 3 is</w:t>
      </w:r>
      <w:r>
        <w:t xml:space="preserve"> </w:t>
      </w:r>
      <w:r>
        <w:t xml:space="preserve">fully aligned with the vision put forward by the Eurogroup in its statement of 16 June</w:t>
      </w:r>
      <w:r>
        <w:t xml:space="preserve"> </w:t>
      </w:r>
      <w:r>
        <w:t xml:space="preserve">2022114. The Eurogroup in inclusive format agreed on a clarified and harmonised public</w:t>
      </w:r>
      <w:r>
        <w:t xml:space="preserve"> </w:t>
      </w:r>
      <w:r>
        <w:t xml:space="preserve">interest assessment, broader application of resolution tools in crisis management at</w:t>
      </w:r>
      <w:r>
        <w:t xml:space="preserve"> </w:t>
      </w:r>
      <w:r>
        <w:t xml:space="preserve">European and national level, including for smaller and medium-sized banks where the</w:t>
      </w:r>
    </w:p>
    <w:p>
      <w:pPr>
        <w:pStyle w:val="BodyText"/>
      </w:pPr>
      <w:r>
        <w:t xml:space="preserve">113 Even under a single-tier depositor preference, the least cost test would not allow DGS fund intervention</w:t>
      </w:r>
      <w:r>
        <w:t xml:space="preserve"> </w:t>
      </w:r>
      <w:r>
        <w:t xml:space="preserve">in all cases. Therefore, funding in resolution may remain beyond reach for a number of banks, provided the</w:t>
      </w:r>
      <w:r>
        <w:t xml:space="preserve"> </w:t>
      </w:r>
      <w:r>
        <w:t xml:space="preserve">resolution authority wanted to include them in the scope. See Annex 7 section 4.</w:t>
      </w:r>
      <w:r>
        <w:br/>
      </w:r>
      <w:r>
        <w:t xml:space="preserve">114 Eurogroup (16 June 2022), Eurogroup statement on the future of the Banking Union.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funding needed for effective use of resolution tools is available, notably through MREL</w:t>
      </w:r>
      <w:r>
        <w:t xml:space="preserve"> </w:t>
      </w:r>
      <w:r>
        <w:t xml:space="preserve">and industry-funded safety nets. The Eurogroup also agreed to further harmonise the use</w:t>
      </w:r>
      <w:r>
        <w:t xml:space="preserve"> </w:t>
      </w:r>
      <w:r>
        <w:t xml:space="preserve">of national DGS funds in crisis management, while ensuring appropriate flexibility for</w:t>
      </w:r>
      <w:r>
        <w:t xml:space="preserve"> </w:t>
      </w:r>
      <w:r>
        <w:t xml:space="preserve">facilitating market exit of failing banks in a manner that preserves the value of the bank’s</w:t>
      </w:r>
      <w:r>
        <w:t xml:space="preserve"> </w:t>
      </w:r>
      <w:r>
        <w:t xml:space="preserve">assets. It called for a harmonised least cost test to govern the use of DGS funds outside</w:t>
      </w:r>
      <w:r>
        <w:t xml:space="preserve"> </w:t>
      </w:r>
      <w:r>
        <w:t xml:space="preserve">payout of covered deposits to ensure consistent, credible and predictable outcomes.</w:t>
      </w:r>
      <w:r>
        <w:t xml:space="preserve"> </w:t>
      </w:r>
      <w:r>
        <w:t xml:space="preserve">Given diverging views among Member States on the merits and risks of implementing a</w:t>
      </w:r>
      <w:r>
        <w:t xml:space="preserve"> </w:t>
      </w:r>
      <w:r>
        <w:t xml:space="preserve">single-tier depositor preference, the Eurogroup statement deferred the impact analysis</w:t>
      </w:r>
      <w:r>
        <w:t xml:space="preserve"> </w:t>
      </w:r>
      <w:r>
        <w:t xml:space="preserve">and policy making to the Commission.</w:t>
      </w:r>
      <w:r>
        <w:br/>
      </w:r>
      <w:r>
        <w:t xml:space="preserve">While many Member States find the idea of expanding resolution and a more extensive</w:t>
      </w:r>
      <w:r>
        <w:t xml:space="preserve"> </w:t>
      </w:r>
      <w:r>
        <w:t xml:space="preserve">use of the RF/SRF appealing, some remain reluctant to facilitating the access to</w:t>
      </w:r>
      <w:r>
        <w:t xml:space="preserve"> </w:t>
      </w:r>
      <w:r>
        <w:t xml:space="preserve">resolution funding due to concerns related to moral hazard and redistribution effects in</w:t>
      </w:r>
      <w:r>
        <w:t xml:space="preserve"> </w:t>
      </w:r>
      <w:r>
        <w:t xml:space="preserve">case of replenishment needs following a depletion of the SRF in the Banking Union. At</w:t>
      </w:r>
      <w:r>
        <w:t xml:space="preserve"> </w:t>
      </w:r>
      <w:r>
        <w:t xml:space="preserve">the same time, many Member States support the idea of expanding the resolution scope</w:t>
      </w:r>
      <w:r>
        <w:t xml:space="preserve"> </w:t>
      </w:r>
      <w:r>
        <w:t xml:space="preserve">and framing the discretion regarding the PIA, while at the same time integrating more</w:t>
      </w:r>
      <w:r>
        <w:t xml:space="preserve"> </w:t>
      </w:r>
      <w:r>
        <w:t xml:space="preserve">proportionality in the rules to access funding. One Member State is reluctant to facilitate</w:t>
      </w:r>
      <w:r>
        <w:t xml:space="preserve"> </w:t>
      </w:r>
      <w:r>
        <w:t xml:space="preserve">the usage of industry-funded safety nets in resolution (RF/SRF) for non-systemic banks</w:t>
      </w:r>
      <w:r>
        <w:t xml:space="preserve"> </w:t>
      </w:r>
      <w:r>
        <w:t xml:space="preserve">and, in this context, favours handling the failure of smaller/medium-sized banks at</w:t>
      </w:r>
      <w:r>
        <w:t xml:space="preserve"> </w:t>
      </w:r>
      <w:r>
        <w:t xml:space="preserve">national level and with national DGS funds rather than under the harmonised framework.</w:t>
      </w:r>
      <w:r>
        <w:br/>
      </w:r>
      <w:r>
        <w:t xml:space="preserve">The European Parliament supports adjustments to the CMDI framework with the goal of</w:t>
      </w:r>
      <w:r>
        <w:t xml:space="preserve"> </w:t>
      </w:r>
      <w:r>
        <w:t xml:space="preserve">ensuring more coherent, credible and effective approaches across all Member States,</w:t>
      </w:r>
      <w:r>
        <w:t xml:space="preserve"> </w:t>
      </w:r>
      <w:r>
        <w:t xml:space="preserve">including facilitating market exit of failing banks to the benefit of financial stability,</w:t>
      </w:r>
      <w:r>
        <w:t xml:space="preserve"> </w:t>
      </w:r>
      <w:r>
        <w:t xml:space="preserve">taxpayers’ protection and depositors’ confidence115. In particular, the European</w:t>
      </w:r>
      <w:r>
        <w:t xml:space="preserve"> </w:t>
      </w:r>
      <w:r>
        <w:t xml:space="preserve">Parliament supports a clarification of the PIA criteria, so that the framework is applied in</w:t>
      </w:r>
      <w:r>
        <w:t xml:space="preserve"> </w:t>
      </w:r>
      <w:r>
        <w:t xml:space="preserve">a more consistent and predictable manner. It is also supportive of using DGS funds: (i) to</w:t>
      </w:r>
      <w:r>
        <w:t xml:space="preserve"> </w:t>
      </w:r>
      <w:r>
        <w:t xml:space="preserve">fill the gap towards reaching the minimum bail-in rule (8% TLOF) to access resolution</w:t>
      </w:r>
      <w:r>
        <w:t xml:space="preserve"> </w:t>
      </w:r>
      <w:r>
        <w:t xml:space="preserve">funding for smaller/medium sized banks with a transfer strategy or (ii) to support</w:t>
      </w:r>
      <w:r>
        <w:t xml:space="preserve"> </w:t>
      </w:r>
      <w:r>
        <w:t xml:space="preserve">alternative measures in national insolvency for those banks, subject to a stringent,</w:t>
      </w:r>
      <w:r>
        <w:t xml:space="preserve"> </w:t>
      </w:r>
      <w:r>
        <w:t xml:space="preserve">harmonised least cost test. The European Parliament therefore calls for more clarity on</w:t>
      </w:r>
      <w:r>
        <w:t xml:space="preserve"> </w:t>
      </w:r>
      <w:r>
        <w:t xml:space="preserve">the least-cost principle and to the conditions for the use of DGS funds. It has finally</w:t>
      </w:r>
      <w:r>
        <w:t xml:space="preserve"> </w:t>
      </w:r>
      <w:r>
        <w:t xml:space="preserve">stressed the need to explore a possible alignment of specific aspects of insolvency law for</w:t>
      </w:r>
      <w:r>
        <w:t xml:space="preserve"> </w:t>
      </w:r>
      <w:r>
        <w:t xml:space="preserve">the purpose of aligning incentives and ensuring a level playing field.</w:t>
      </w:r>
      <w:r>
        <w:t xml:space="preserve"> </w:t>
      </w:r>
      <w:r>
        <w:t xml:space="preserve">The views of the industry, as for all options, are confirming the need to bring forward</w:t>
      </w:r>
      <w:r>
        <w:t xml:space="preserve"> </w:t>
      </w:r>
      <w:r>
        <w:t xml:space="preserve">targeted amendments for improving the practical application of the CMDI framework, in</w:t>
      </w:r>
      <w:r>
        <w:t xml:space="preserve"> </w:t>
      </w:r>
      <w:r>
        <w:t xml:space="preserve">particular with regard to improving the predictability of the PIA assessment. As under all</w:t>
      </w:r>
      <w:r>
        <w:t xml:space="preserve"> </w:t>
      </w:r>
      <w:r>
        <w:t xml:space="preserve">options, on one hand, some smaller/medium-sized banks, in particular cooperatives and</w:t>
      </w:r>
      <w:r>
        <w:t xml:space="preserve"> </w:t>
      </w:r>
      <w:r>
        <w:t xml:space="preserve">savings banks116 may prefer to stay outside the scope of resolution to avoid costs related</w:t>
      </w:r>
      <w:r>
        <w:t xml:space="preserve"> </w:t>
      </w:r>
      <w:r>
        <w:t xml:space="preserve">to additional requirements (MREL, reporting obligations to resolution authorities for</w:t>
      </w:r>
      <w:r>
        <w:t xml:space="preserve"> </w:t>
      </w:r>
      <w:r>
        <w:t xml:space="preserve">resolution planning and MREL calibration, increased scrutiny by markets) or possible ex</w:t>
      </w:r>
      <w:r>
        <w:t xml:space="preserve"> </w:t>
      </w:r>
      <w:r>
        <w:t xml:space="preserve">post contributions to the safety nets (RF/SRF or DGS). Many large banks, on the other</w:t>
      </w:r>
    </w:p>
    <w:p>
      <w:pPr>
        <w:pStyle w:val="BodyText"/>
      </w:pPr>
      <w:r>
        <w:t xml:space="preserve">115 European Parliament (June 2022), European Parliament 2021 annual report on Banking Union.</w:t>
      </w:r>
      <w:r>
        <w:t xml:space="preserve"> </w:t>
      </w:r>
      <w:r>
        <w:t xml:space="preserve">116 ESBG (European Savings and Retail Banking Group) (October, 2022), Short paper on the CMDI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hand, are supportive of bringing more smaller/medium sized banks into the resolution</w:t>
      </w:r>
      <w:r>
        <w:t xml:space="preserve"> </w:t>
      </w:r>
      <w:r>
        <w:t xml:space="preserve">scope, regardless of their size and country of origin, and enhancing the credibility,</w:t>
      </w:r>
      <w:r>
        <w:t xml:space="preserve"> </w:t>
      </w:r>
      <w:r>
        <w:t xml:space="preserve">predictability and consistency of the framework. Large banks also support minimising</w:t>
      </w:r>
      <w:r>
        <w:t xml:space="preserve"> </w:t>
      </w:r>
      <w:r>
        <w:t xml:space="preserve">risks to taxpayer money and minimising moral hazard by ensuring a consistent and</w:t>
      </w:r>
      <w:r>
        <w:t xml:space="preserve"> </w:t>
      </w:r>
      <w:r>
        <w:t xml:space="preserve">careful approach across the EU for the use of industry funded safety nets subject to a</w:t>
      </w:r>
      <w:r>
        <w:t xml:space="preserve"> </w:t>
      </w:r>
      <w:r>
        <w:t xml:space="preserve">harmonised least cost test, supporting market discipline and avoiding competitive</w:t>
      </w:r>
      <w:r>
        <w:t xml:space="preserve"> </w:t>
      </w:r>
      <w:r>
        <w:t xml:space="preserve">distortions. On the other hand, they are critical of the prospect of paying additional</w:t>
      </w:r>
      <w:r>
        <w:t xml:space="preserve"> </w:t>
      </w:r>
      <w:r>
        <w:t xml:space="preserve">contributions into the safety nets, if these were to be used more frequently to handle the</w:t>
      </w:r>
      <w:r>
        <w:t xml:space="preserve"> </w:t>
      </w:r>
      <w:r>
        <w:t xml:space="preserve">failure of more small/mid-sized banks117. However, the principle of industry funding</w:t>
      </w:r>
      <w:r>
        <w:t xml:space="preserve"> </w:t>
      </w:r>
      <w:r>
        <w:t xml:space="preserve">(internal absorption capacity and safety nets) absorbing losses in case of distress/failure</w:t>
      </w:r>
      <w:r>
        <w:t xml:space="preserve"> </w:t>
      </w:r>
      <w:r>
        <w:t xml:space="preserve">as opposed to public bail-out would inevitably come as a cost. Overall, the majority of</w:t>
      </w:r>
      <w:r>
        <w:t xml:space="preserve"> </w:t>
      </w:r>
      <w:r>
        <w:t xml:space="preserve">stakeholders agree that resolution and insolvency tools should be applied more</w:t>
      </w:r>
      <w:r>
        <w:t xml:space="preserve"> </w:t>
      </w:r>
      <w:r>
        <w:t xml:space="preserve">consistently, thereby ensuring a better level playing field in the treatment of similar</w:t>
      </w:r>
      <w:r>
        <w:t xml:space="preserve"> </w:t>
      </w:r>
      <w:r>
        <w:t xml:space="preserve">banks across the EU.</w:t>
      </w:r>
      <w:r>
        <w:br/>
      </w:r>
      <w:r>
        <w:t xml:space="preserve">In addition, some international institutions118 acknowledge the more efficient use of</w:t>
      </w:r>
      <w:r>
        <w:t xml:space="preserve"> </w:t>
      </w:r>
      <w:r>
        <w:t xml:space="preserve">funds in resolution rather than through payout in insolvency and the economic</w:t>
      </w:r>
      <w:r>
        <w:t xml:space="preserve"> </w:t>
      </w:r>
      <w:r>
        <w:t xml:space="preserve">inefficiency, at a system level, of having significant funds sitting idle and untapped,</w:t>
      </w:r>
      <w:r>
        <w:t xml:space="preserve"> </w:t>
      </w:r>
      <w:r>
        <w:t xml:space="preserve">while public funds are being employed to handle failures. Also, some industry players</w:t>
      </w:r>
      <w:r>
        <w:t xml:space="preserve"> </w:t>
      </w:r>
      <w:r>
        <w:t xml:space="preserve">acknowledge the need for additional market consolidation in the EU and ensuring that</w:t>
      </w:r>
      <w:r>
        <w:t xml:space="preserve"> </w:t>
      </w:r>
      <w:r>
        <w:t xml:space="preserve">smaller/medium-sized institutions actually exit the market when failing. Depositors,</w:t>
      </w:r>
      <w:r>
        <w:t xml:space="preserve"> </w:t>
      </w:r>
      <w:r>
        <w:t xml:space="preserve">including SMEs, and consumer organisations support the reform proposed under option 3</w:t>
      </w:r>
      <w:r>
        <w:t xml:space="preserve"> </w:t>
      </w:r>
      <w:r>
        <w:t xml:space="preserve">because it would reduce the need for recourse to taxpayer funds and because they would</w:t>
      </w:r>
      <w:r>
        <w:t xml:space="preserve"> </w:t>
      </w:r>
      <w:r>
        <w:t xml:space="preserve">be shielded to a greater extent from bearing losses in a failure, while industry-funded</w:t>
      </w:r>
      <w:r>
        <w:t xml:space="preserve"> </w:t>
      </w:r>
      <w:r>
        <w:t xml:space="preserve">safety nets would take the second line of defence (after banks’ internal loss absorbing</w:t>
      </w:r>
      <w:r>
        <w:t xml:space="preserve"> </w:t>
      </w:r>
      <w:r>
        <w:t xml:space="preserve">capacity) to cover losses and sustain the financing of the crisis management measures.</w:t>
      </w:r>
      <w:r>
        <w:br/>
      </w:r>
      <w:r>
        <w:t xml:space="preserve">Winners and losers: Depositors, including households and SMEs, are likely winners</w:t>
      </w:r>
      <w:r>
        <w:t xml:space="preserve"> </w:t>
      </w:r>
      <w:r>
        <w:t xml:space="preserve">under option 3 by retaining uninterrupted access to their accounts under the assumption</w:t>
      </w:r>
      <w:r>
        <w:t xml:space="preserve"> </w:t>
      </w:r>
      <w:r>
        <w:t xml:space="preserve">of a broader use of resolution tools delivered by legal clarifications in the PIA and</w:t>
      </w:r>
      <w:r>
        <w:t xml:space="preserve"> </w:t>
      </w:r>
      <w:r>
        <w:t xml:space="preserve">enhancement of funding options. Taxpayers would also be better off under this option</w:t>
      </w:r>
      <w:r>
        <w:t xml:space="preserve"> </w:t>
      </w:r>
      <w:r>
        <w:t xml:space="preserve">since banks’ failures would be financed by industry-funded safety nets created for this</w:t>
      </w:r>
      <w:r>
        <w:t xml:space="preserve"> </w:t>
      </w:r>
      <w:r>
        <w:t xml:space="preserve">purpose.</w:t>
      </w:r>
      <w:r>
        <w:t xml:space="preserve"> </w:t>
      </w:r>
      <w:r>
        <w:t xml:space="preserve">Smaller and medium-sized banks relying on equity and deposits and their clients would</w:t>
      </w:r>
      <w:r>
        <w:t xml:space="preserve"> </w:t>
      </w:r>
      <w:r>
        <w:t xml:space="preserve">essentially be in a better situation if they were to fail, thanks to alternatives to access</w:t>
      </w:r>
      <w:r>
        <w:t xml:space="preserve"> </w:t>
      </w:r>
      <w:r>
        <w:t xml:space="preserve">RF/SRF without bailing-in deposits and a more credible possibility of being transferred</w:t>
      </w:r>
      <w:r>
        <w:t xml:space="preserve"> </w:t>
      </w:r>
      <w:r>
        <w:t xml:space="preserve">to a buyer while preserving their franchise asset value. Alternatively, under national</w:t>
      </w:r>
    </w:p>
    <w:p>
      <w:pPr>
        <w:pStyle w:val="BodyText"/>
      </w:pPr>
      <w:r>
        <w:t xml:space="preserve">117 AFME (Association for Financial Markets in Europe – an association of large banks) (October 2022),</w:t>
      </w:r>
      <w:r>
        <w:t xml:space="preserve"> </w:t>
      </w:r>
      <w:r>
        <w:t xml:space="preserve">Position paper on the CMDI review.</w:t>
      </w:r>
      <w:r>
        <w:t xml:space="preserve"> </w:t>
      </w:r>
      <w:r>
        <w:t xml:space="preserve">118 For instance, the Financial Stability Institute (FSI) insights on policy implementation no.45 (July 2022)</w:t>
      </w:r>
      <w:r>
        <w:t xml:space="preserve"> </w:t>
      </w:r>
      <w:r>
        <w:t xml:space="preserve">“Counting the cost of payout: constraints for deposit insurers in funding bank failure management” argues</w:t>
      </w:r>
      <w:r>
        <w:t xml:space="preserve"> </w:t>
      </w:r>
      <w:r>
        <w:t xml:space="preserve">that (p.4): “Financial stability may benefit from broader use of deposit insurance funds in the management</w:t>
      </w:r>
      <w:r>
        <w:t xml:space="preserve"> </w:t>
      </w:r>
      <w:r>
        <w:t xml:space="preserve">of a failing bank….(DGS) support for non-payout measures such as transfer transactions, bridge banks or</w:t>
      </w:r>
      <w:r>
        <w:t xml:space="preserve"> </w:t>
      </w:r>
      <w:r>
        <w:t xml:space="preserve">capital and liquidity support under bank insolvency and resolution frameworks can achieve the same</w:t>
      </w:r>
      <w:r>
        <w:t xml:space="preserve"> </w:t>
      </w:r>
      <w:r>
        <w:t xml:space="preserve">objective by minimising interruptions to depositors’ access to their funds and, in addition, potentially offer</w:t>
      </w:r>
      <w:r>
        <w:t xml:space="preserve"> </w:t>
      </w:r>
      <w:r>
        <w:t xml:space="preserve">wider benefits for financial stability. Those benefits stem from a broader range of failure management</w:t>
      </w:r>
      <w:r>
        <w:t xml:space="preserve"> </w:t>
      </w:r>
      <w:r>
        <w:t xml:space="preserve">options for authorities which avoid the uncertainties and frictions of lengthy liquidation proceedings and</w:t>
      </w:r>
      <w:r>
        <w:t xml:space="preserve"> </w:t>
      </w:r>
      <w:r>
        <w:t xml:space="preserve">achieve closure at a much earlier stage”.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insolvency regimes, they would have to rely on the national DGS funds to transfer the</w:t>
      </w:r>
      <w:r>
        <w:t xml:space="preserve"> </w:t>
      </w:r>
      <w:r>
        <w:t xml:space="preserve">business or payout covered deposits under a liquidation process. However, the banking</w:t>
      </w:r>
      <w:r>
        <w:t xml:space="preserve"> </w:t>
      </w:r>
      <w:r>
        <w:t xml:space="preserve">sector in general may face costs due to potential replenishment needs for DGS and</w:t>
      </w:r>
      <w:r>
        <w:t xml:space="preserve"> </w:t>
      </w:r>
      <w:r>
        <w:t xml:space="preserve">RF/SRF, which would be used more broadly to substitute public funds. Absent any</w:t>
      </w:r>
      <w:r>
        <w:t xml:space="preserve"> </w:t>
      </w:r>
      <w:r>
        <w:t xml:space="preserve">reduction of contributions to the safety nets, option 3 may be more expensive for the</w:t>
      </w:r>
      <w:r>
        <w:t xml:space="preserve"> </w:t>
      </w:r>
      <w:r>
        <w:t xml:space="preserve">banking industry compared to option 4, while providing less benefits in terms of</w:t>
      </w:r>
      <w:r>
        <w:t xml:space="preserve"> </w:t>
      </w:r>
      <w:r>
        <w:t xml:space="preserve">depositor protection and not addressing the bank-sovereign nexus in the absence of</w:t>
      </w:r>
      <w:r>
        <w:t xml:space="preserve"> </w:t>
      </w:r>
      <w:r>
        <w:t xml:space="preserve">EDIS. Option 3 may also be potentially more expensive for the industry than option 2,</w:t>
      </w:r>
      <w:r>
        <w:t xml:space="preserve"> </w:t>
      </w:r>
      <w:r>
        <w:t xml:space="preserve">however it would deliver superior benefits, as explained above. Banks newly subjected to</w:t>
      </w:r>
      <w:r>
        <w:t xml:space="preserve"> </w:t>
      </w:r>
      <w:r>
        <w:t xml:space="preserve">resolution strategy would also need to invest in projects to become more resolvable</w:t>
      </w:r>
      <w:r>
        <w:t xml:space="preserve"> </w:t>
      </w:r>
      <w:r>
        <w:t xml:space="preserve">(negative aspects from a banks’ cost perspective, while a very positive one for financial</w:t>
      </w:r>
      <w:r>
        <w:t xml:space="preserve"> </w:t>
      </w:r>
      <w:r>
        <w:t xml:space="preserve">stability). As under the other options, facilitating the access to resolution financing by</w:t>
      </w:r>
      <w:r>
        <w:t xml:space="preserve"> </w:t>
      </w:r>
      <w:r>
        <w:t xml:space="preserve">using the DGS for banks with transfer strategies aims at ensuring an orderly market exit</w:t>
      </w:r>
      <w:r>
        <w:t xml:space="preserve"> </w:t>
      </w:r>
      <w:r>
        <w:t xml:space="preserve">for such banks and it would not create an undue advantage compared to banks with open</w:t>
      </w:r>
      <w:r>
        <w:t xml:space="preserve"> </w:t>
      </w:r>
      <w:r>
        <w:t xml:space="preserve">bank bail-in strategies, which are meant to be recapitalised and continue their operations</w:t>
      </w:r>
      <w:r>
        <w:t xml:space="preserve"> </w:t>
      </w:r>
      <w:r>
        <w:t xml:space="preserve">post-resolution.</w:t>
      </w:r>
      <w:r>
        <w:t xml:space="preserve"> </w:t>
      </w:r>
      <w:r>
        <w:t xml:space="preserve">Resolution authorities would be winners under this option, benefiting from additional</w:t>
      </w:r>
      <w:r>
        <w:t xml:space="preserve"> </w:t>
      </w:r>
      <w:r>
        <w:t xml:space="preserve">legal clarity stemming from the PIA legal amendments, a strong toolkit underpinned by</w:t>
      </w:r>
      <w:r>
        <w:t xml:space="preserve"> </w:t>
      </w:r>
      <w:r>
        <w:t xml:space="preserve">more accessible safety nets and more consistent rules on access to funding in resolution</w:t>
      </w:r>
      <w:r>
        <w:t xml:space="preserve"> </w:t>
      </w:r>
      <w:r>
        <w:t xml:space="preserve">and insolvency. Achieving standardisation and transparency thanks to the harmonisation</w:t>
      </w:r>
      <w:r>
        <w:t xml:space="preserve"> </w:t>
      </w:r>
      <w:r>
        <w:t xml:space="preserve">of the least cost test, the reform under option 3 would solve the problem of misaligned</w:t>
      </w:r>
      <w:r>
        <w:t xml:space="preserve"> </w:t>
      </w:r>
      <w:r>
        <w:t xml:space="preserve">incentives when deciding on the type of measures and tools to apply, leading to more</w:t>
      </w:r>
      <w:r>
        <w:t xml:space="preserve"> </w:t>
      </w:r>
      <w:r>
        <w:t xml:space="preserve">convergence, legal certainty and improved level playing field. It would also reduce the</w:t>
      </w:r>
      <w:r>
        <w:t xml:space="preserve"> </w:t>
      </w:r>
      <w:r>
        <w:t xml:space="preserve">authorities’ legal risk (litigations).</w:t>
      </w:r>
      <w:r>
        <w:br/>
      </w:r>
      <w:r>
        <w:t xml:space="preserve">Banks’ creditors, and specifically senior ordinary unsecured creditors119, would be more</w:t>
      </w:r>
      <w:r>
        <w:t xml:space="preserve"> </w:t>
      </w:r>
      <w:r>
        <w:t xml:space="preserve">exposed to the risk of bearing losses under this option, since the banks in which they hold</w:t>
      </w:r>
      <w:r>
        <w:t xml:space="preserve"> </w:t>
      </w:r>
      <w:r>
        <w:t xml:space="preserve">claims are more likely to be placed in resolution in case of failure than under the baseline</w:t>
      </w:r>
      <w:r>
        <w:t xml:space="preserve"> </w:t>
      </w:r>
      <w:r>
        <w:t xml:space="preserve">and option 2, but to a lesser extent than under option 4. The degree of this impact</w:t>
      </w:r>
      <w:r>
        <w:t xml:space="preserve"> </w:t>
      </w:r>
      <w:r>
        <w:t xml:space="preserve">depends on whether the bank would have a possibility to be restructured under national</w:t>
      </w:r>
      <w:r>
        <w:t xml:space="preserve"> </w:t>
      </w:r>
      <w:r>
        <w:t xml:space="preserve">insolvency law under the current legislation.</w:t>
      </w:r>
      <w:r>
        <w:t xml:space="preserve"> </w:t>
      </w:r>
      <w:r>
        <w:t xml:space="preserve">6.1.3. Option 4 – Ambitious reform of the CMDI framework including EDIS</w:t>
      </w:r>
      <w:r>
        <w:t xml:space="preserve"> </w:t>
      </w:r>
      <w:r>
        <w:t xml:space="preserve">Option 4 envisages a review of the CMDI framework coupled with the implementation</w:t>
      </w:r>
      <w:r>
        <w:t xml:space="preserve"> </w:t>
      </w:r>
      <w:r>
        <w:t xml:space="preserve">of EDIS as the third pillar of the Banking Union architecture. However, EDIS as</w:t>
      </w:r>
      <w:r>
        <w:t xml:space="preserve"> </w:t>
      </w:r>
      <w:r>
        <w:t xml:space="preserve">envisaged under option 4 does not correspond to the fully fledged mechanism put</w:t>
      </w:r>
      <w:r>
        <w:t xml:space="preserve"> </w:t>
      </w:r>
      <w:r>
        <w:t xml:space="preserve">forward in the 2015 Commission proposal, which did not make progress in co-legislative</w:t>
      </w:r>
      <w:r>
        <w:t xml:space="preserve"> </w:t>
      </w:r>
      <w:r>
        <w:t xml:space="preserve">negotiations. Instead, it is consistent with a hybrid, intermediate mechanism more</w:t>
      </w:r>
      <w:r>
        <w:t xml:space="preserve"> </w:t>
      </w:r>
      <w:r>
        <w:t xml:space="preserve">recently discussed in inter-governmental format since 2018 (see Annex 10, section 2).</w:t>
      </w:r>
      <w:r>
        <w:t xml:space="preserve"> </w:t>
      </w:r>
      <w:r>
        <w:t xml:space="preserve">While this option was explicitly not endorsed by the Eurogroup, the Commission and</w:t>
      </w:r>
    </w:p>
    <w:p>
      <w:pPr>
        <w:pStyle w:val="BodyText"/>
      </w:pPr>
      <w:r>
        <w:t xml:space="preserve">119 The depositor preference (valid across all options) means that senior ordinary unsecured creditors</w:t>
      </w:r>
      <w:r>
        <w:t xml:space="preserve"> </w:t>
      </w:r>
      <w:r>
        <w:t xml:space="preserve">become junior to deposits in the hierarchy of claims, while they previously ranked pari passu with non-</w:t>
      </w:r>
      <w:r>
        <w:t xml:space="preserve"> </w:t>
      </w:r>
      <w:r>
        <w:t xml:space="preserve">covered non-preferred deposits. This would facilitate bailing in these creditors without creating a no</w:t>
      </w:r>
      <w:r>
        <w:t xml:space="preserve"> </w:t>
      </w:r>
      <w:r>
        <w:t xml:space="preserve">creditor worse off risk, as under the baseline, in case non-covered non-preferred deposits would be shielded</w:t>
      </w:r>
      <w:r>
        <w:t xml:space="preserve"> </w:t>
      </w:r>
      <w:r>
        <w:t xml:space="preserve">from losses.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many stakeholders continue to underline its importance, pointing that EDIS would make</w:t>
      </w:r>
      <w:r>
        <w:t xml:space="preserve"> </w:t>
      </w:r>
      <w:r>
        <w:t xml:space="preserve">the CMDI framework more robust. The interplay between the CMDI framework and a</w:t>
      </w:r>
      <w:r>
        <w:t xml:space="preserve"> </w:t>
      </w:r>
      <w:r>
        <w:t xml:space="preserve">possible EDIS in the future is important to bear in mind for the conceptual logic and</w:t>
      </w:r>
      <w:r>
        <w:t xml:space="preserve"> </w:t>
      </w:r>
      <w:r>
        <w:t xml:space="preserve">policy design of the review. Therefore, it has been included in this impact assessment for</w:t>
      </w:r>
      <w:r>
        <w:t xml:space="preserve"> </w:t>
      </w:r>
      <w:r>
        <w:t xml:space="preserve">technical completeness and consistency and in sign of acknowledgement of all the</w:t>
      </w:r>
      <w:r>
        <w:t xml:space="preserve"> </w:t>
      </w:r>
      <w:r>
        <w:t xml:space="preserve">political and technical discussions which took place on EDIS in the past years.</w:t>
      </w:r>
      <w:r>
        <w:t xml:space="preserve"> </w:t>
      </w:r>
      <w:r>
        <w:t xml:space="preserve">6.1.3.1. Public interest assessment</w:t>
      </w:r>
      <w:r>
        <w:t xml:space="preserve"> </w:t>
      </w:r>
      <w:r>
        <w:t xml:space="preserve">Option 4 would deliver an expansion in the scope of resolution that would exceed in</w:t>
      </w:r>
      <w:r>
        <w:t xml:space="preserve"> </w:t>
      </w:r>
      <w:r>
        <w:t xml:space="preserve">intensity the one under option 3, primarily thanks to a more ambitious funding solution</w:t>
      </w:r>
      <w:r>
        <w:t xml:space="preserve"> </w:t>
      </w:r>
      <w:r>
        <w:t xml:space="preserve">including EDIS as a complementary central industry-funded safety net alongside the SRF</w:t>
      </w:r>
      <w:r>
        <w:t xml:space="preserve"> </w:t>
      </w:r>
      <w:r>
        <w:t xml:space="preserve">in the Banking Union. The more extensive application of resolution, compared to other</w:t>
      </w:r>
      <w:r>
        <w:t xml:space="preserve"> </w:t>
      </w:r>
      <w:r>
        <w:t xml:space="preserve">options, would be achieved through the same legislative amendments as proposed under</w:t>
      </w:r>
      <w:r>
        <w:t xml:space="preserve"> </w:t>
      </w:r>
      <w:r>
        <w:t xml:space="preserve">options 2 and 3 plus loosening, more than under option 3, the burden of proof for</w:t>
      </w:r>
      <w:r>
        <w:t xml:space="preserve"> </w:t>
      </w:r>
      <w:r>
        <w:t xml:space="preserve">resolution authorities to place banks in resolution thanks to a “general positive</w:t>
      </w:r>
      <w:r>
        <w:t xml:space="preserve"> </w:t>
      </w:r>
      <w:r>
        <w:t xml:space="preserve">presumption of public interest”. As also mentioned under other options, the number of</w:t>
      </w:r>
      <w:r>
        <w:t xml:space="preserve"> </w:t>
      </w:r>
      <w:r>
        <w:t xml:space="preserve">additional banks that would go in resolution under this option cannot be estimated</w:t>
      </w:r>
      <w:r>
        <w:t xml:space="preserve"> </w:t>
      </w:r>
      <w:r>
        <w:t xml:space="preserve">upfront, as the PIA remains a case-by-case assessment by resolution authorities.</w:t>
      </w:r>
      <w:r>
        <w:t xml:space="preserve"> </w:t>
      </w:r>
      <w:r>
        <w:t xml:space="preserve">However, the strengthening of the PIA provisions and the presumption of public interest</w:t>
      </w:r>
      <w:r>
        <w:t xml:space="preserve"> </w:t>
      </w:r>
      <w:r>
        <w:t xml:space="preserve">in the legislation are likely to result in a significant broadening of resolution application.</w:t>
      </w:r>
      <w:r>
        <w:t xml:space="preserve"> </w:t>
      </w:r>
      <w:r>
        <w:t xml:space="preserve">6.1.3.2. Conditions to access industry-funded safety nets</w:t>
      </w:r>
      <w:r>
        <w:t xml:space="preserve"> </w:t>
      </w:r>
      <w:r>
        <w:t xml:space="preserve">For a credible application of resolution tools on a broad scale, the access to resolution</w:t>
      </w:r>
      <w:r>
        <w:t xml:space="preserve"> </w:t>
      </w:r>
      <w:r>
        <w:t xml:space="preserve">financing is key, especially for smaller/medium-sized banks with a large deposit base,</w:t>
      </w:r>
      <w:r>
        <w:t xml:space="preserve"> </w:t>
      </w:r>
      <w:r>
        <w:t xml:space="preserve">likely to be resolved under transfer strategies. Importantly, as under options 2 and 3, the</w:t>
      </w:r>
      <w:r>
        <w:t xml:space="preserve"> </w:t>
      </w:r>
      <w:r>
        <w:t xml:space="preserve">minimum bail-in requirement of 8% TLOF remains unchanged, to safeguard against</w:t>
      </w:r>
      <w:r>
        <w:t xml:space="preserve"> </w:t>
      </w:r>
      <w:r>
        <w:t xml:space="preserve">moral hazard when using the RF/SRF. However, when deemed important for financial</w:t>
      </w:r>
      <w:r>
        <w:t xml:space="preserve"> </w:t>
      </w:r>
      <w:r>
        <w:t xml:space="preserve">stability, deposits would not be required to cover losses to meet such requirement, if</w:t>
      </w:r>
      <w:r>
        <w:t xml:space="preserve"> </w:t>
      </w:r>
      <w:r>
        <w:t xml:space="preserve">certain conditions are met. More specifically, the DGS/EDIS can intervene to support</w:t>
      </w:r>
      <w:r>
        <w:t xml:space="preserve"> </w:t>
      </w:r>
      <w:r>
        <w:t xml:space="preserve">transfer strategies120 leading to a market exit and cover losses in lieu of deposits up to the</w:t>
      </w:r>
      <w:r>
        <w:t xml:space="preserve"> </w:t>
      </w:r>
      <w:r>
        <w:t xml:space="preserve">amount determined under the least cost test. This approach as in options 2 and 3 is</w:t>
      </w:r>
      <w:r>
        <w:t xml:space="preserve"> </w:t>
      </w:r>
      <w:r>
        <w:t xml:space="preserve">justified by the need to ensure consistency with the broader approach to the PIA and the</w:t>
      </w:r>
      <w:r>
        <w:t xml:space="preserve"> </w:t>
      </w:r>
      <w:r>
        <w:t xml:space="preserve">expectation that more adequate access to funding in resolution needs to be available for</w:t>
      </w:r>
      <w:r>
        <w:t xml:space="preserve"> </w:t>
      </w:r>
      <w:r>
        <w:t xml:space="preserve">certain strategies.</w:t>
      </w:r>
      <w:r>
        <w:br/>
      </w:r>
      <w:r>
        <w:t xml:space="preserve">Extending the scope for resolution combined with the possibility to access funding more</w:t>
      </w:r>
      <w:r>
        <w:t xml:space="preserve"> </w:t>
      </w:r>
      <w:r>
        <w:t xml:space="preserve">broadly and credibly (RF/SRF, DGS/EDIS) would improve legal certainty in applying</w:t>
      </w:r>
      <w:r>
        <w:t xml:space="preserve"> </w:t>
      </w:r>
      <w:r>
        <w:t xml:space="preserve">the PIA, achieve more convergence and level playing field in applying resolution across</w:t>
      </w:r>
      <w:r>
        <w:t xml:space="preserve"> </w:t>
      </w:r>
      <w:r>
        <w:t xml:space="preserve">jurisdictions and, importantly, address the funding issues identified in Chapter 2.</w:t>
      </w:r>
      <w:r>
        <w:t xml:space="preserve"> </w:t>
      </w:r>
      <w:r>
        <w:t xml:space="preserve">Implementing an EDIS central fund as a backstop to the DGS funds would tackle the</w:t>
      </w:r>
      <w:r>
        <w:t xml:space="preserve"> </w:t>
      </w:r>
      <w:r>
        <w:t xml:space="preserve">problem of potential shortfalls in available resources of national DGSs that may be</w:t>
      </w:r>
      <w:r>
        <w:t xml:space="preserve"> </w:t>
      </w:r>
      <w:r>
        <w:t xml:space="preserve">caused by significant shocks, which no other option can credibly tackle without engaging</w:t>
      </w:r>
      <w:r>
        <w:t xml:space="preserve"> </w:t>
      </w:r>
      <w:r>
        <w:t xml:space="preserve">taxpayer funds. As under the other options, the targeted DGS/EDIS contribution to</w:t>
      </w:r>
    </w:p>
    <w:p>
      <w:pPr>
        <w:pStyle w:val="BodyText"/>
      </w:pPr>
      <w:r>
        <w:t xml:space="preserve">120 Concerning other enhancements made in the proposed reform to promote the use of DGS for transfer</w:t>
      </w:r>
      <w:r>
        <w:t xml:space="preserve"> </w:t>
      </w:r>
      <w:r>
        <w:t xml:space="preserve">strategies, see Chapter 6, section 1.1.2.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reaching the condition to access RF/SRF for transfer strategies would introduce more</w:t>
      </w:r>
      <w:r>
        <w:t xml:space="preserve"> </w:t>
      </w:r>
      <w:r>
        <w:t xml:space="preserve">proportionality, while at the same time safeguarding against moral hazard by maintaining</w:t>
      </w:r>
      <w:r>
        <w:t xml:space="preserve"> </w:t>
      </w:r>
      <w:r>
        <w:t xml:space="preserve">the minimum condition of 8% TLOF.</w:t>
      </w:r>
      <w:r>
        <w:t xml:space="preserve"> </w:t>
      </w:r>
      <w:r>
        <w:t xml:space="preserve">6.1.3.3. Use of DGS funds/ EDIS role and governance</w:t>
      </w:r>
      <w:r>
        <w:t xml:space="preserve"> </w:t>
      </w:r>
      <w:r>
        <w:t xml:space="preserve">Option 4, which is the most ambitious in terms of resolution scope combined with a</w:t>
      </w:r>
      <w:r>
        <w:t xml:space="preserve"> </w:t>
      </w:r>
      <w:r>
        <w:t xml:space="preserve">central fund in EDIS, also aims to address the problem pertaining to unclear rules and</w:t>
      </w:r>
      <w:r>
        <w:t xml:space="preserve"> </w:t>
      </w:r>
      <w:r>
        <w:t xml:space="preserve">access conditions to DGS/EDIS funds per type of intervention, eliminating legal</w:t>
      </w:r>
      <w:r>
        <w:t xml:space="preserve"> </w:t>
      </w:r>
      <w:r>
        <w:t xml:space="preserve">uncertainties. In terms of scope of intervention, support from EDIS would be called for</w:t>
      </w:r>
      <w:r>
        <w:t xml:space="preserve"> </w:t>
      </w:r>
      <w:r>
        <w:t xml:space="preserve">all DGSs functions: payout of covered deposits, preventive measures, contribution in</w:t>
      </w:r>
      <w:r>
        <w:t xml:space="preserve"> </w:t>
      </w:r>
      <w:r>
        <w:t xml:space="preserve">resolution and alternative measures in insolvency. The following clarifications would be</w:t>
      </w:r>
      <w:r>
        <w:t xml:space="preserve"> </w:t>
      </w:r>
      <w:r>
        <w:t xml:space="preserve">made:</w:t>
      </w:r>
      <w:r>
        <w:br/>
      </w:r>
      <w:r>
        <w:t xml:space="preserve"> Clarify and harmonise the conditions for financing of preventive measures by</w:t>
      </w:r>
      <w:r>
        <w:t xml:space="preserve"> </w:t>
      </w:r>
      <w:r>
        <w:t xml:space="preserve">DGS/ EDIS contribution;</w:t>
      </w:r>
      <w:r>
        <w:t xml:space="preserve"> </w:t>
      </w:r>
      <w:r>
        <w:t xml:space="preserve"> Clarify the scope of intervention and least cost tests of DGS/ EDIS in resolution;</w:t>
      </w:r>
      <w:r>
        <w:br/>
      </w:r>
      <w:r>
        <w:t xml:space="preserve"> Clarify and harmonise the least cost test for DGS contributions and access</w:t>
      </w:r>
      <w:r>
        <w:t xml:space="preserve"> </w:t>
      </w:r>
      <w:r>
        <w:t xml:space="preserve">conditions to EDIS alternative measures in insolvency;</w:t>
      </w:r>
      <w:r>
        <w:br/>
      </w:r>
      <w:r>
        <w:t xml:space="preserve"> EDIS to contribute, as a backstop to the DGS, to the payout of covered deposits</w:t>
      </w:r>
      <w:r>
        <w:t xml:space="preserve"> </w:t>
      </w:r>
      <w:r>
        <w:t xml:space="preserve">in insolvency.</w:t>
      </w:r>
      <w:r>
        <w:br/>
      </w:r>
      <w:r>
        <w:t xml:space="preserve">These adjustments would contribute to clearer rules leading to more legal certainty,</w:t>
      </w:r>
      <w:r>
        <w:t xml:space="preserve"> </w:t>
      </w:r>
      <w:r>
        <w:t xml:space="preserve">simplification of the least cost test and eliminating difficulties in its application,</w:t>
      </w:r>
      <w:r>
        <w:t xml:space="preserve"> </w:t>
      </w:r>
      <w:r>
        <w:t xml:space="preserve">enhanced level playing field and address the issue of inconsistent solutions to funding.</w:t>
      </w:r>
      <w:r>
        <w:t xml:space="preserve"> </w:t>
      </w:r>
      <w:r>
        <w:t xml:space="preserve">Under option 4, with the establishment of EDIS, the governance in the Banking Union</w:t>
      </w:r>
      <w:r>
        <w:t xml:space="preserve"> </w:t>
      </w:r>
      <w:r>
        <w:t xml:space="preserve">would be revised and strengthened. In order to reflect the substantial concentration of</w:t>
      </w:r>
      <w:r>
        <w:t xml:space="preserve"> </w:t>
      </w:r>
      <w:r>
        <w:t xml:space="preserve">resources at central level, a key role for the SRB in the decision-making process</w:t>
      </w:r>
      <w:r>
        <w:t xml:space="preserve"> </w:t>
      </w:r>
      <w:r>
        <w:t xml:space="preserve">concerning the funding measures (including use of DGS/EDIS) would be required under</w:t>
      </w:r>
      <w:r>
        <w:t xml:space="preserve"> </w:t>
      </w:r>
      <w:r>
        <w:t xml:space="preserve">this option. The SRB would therefore be empowered to take decisions in all scenarios</w:t>
      </w:r>
      <w:r>
        <w:t xml:space="preserve"> </w:t>
      </w:r>
      <w:r>
        <w:t xml:space="preserve">where EDIS would need to be tapped. For certain elements of the decision-making</w:t>
      </w:r>
      <w:r>
        <w:t xml:space="preserve"> </w:t>
      </w:r>
      <w:r>
        <w:t xml:space="preserve">process, and particularly the least cost test calculation, the SRB may however still decide</w:t>
      </w:r>
      <w:r>
        <w:t xml:space="preserve"> </w:t>
      </w:r>
      <w:r>
        <w:t xml:space="preserve">to rely on input from national authorities when more specific national considerations are</w:t>
      </w:r>
      <w:r>
        <w:t xml:space="preserve"> </w:t>
      </w:r>
      <w:r>
        <w:t xml:space="preserve">concerned (e.g. the ranking of liabilities at national level or an estimate of the recovery</w:t>
      </w:r>
      <w:r>
        <w:t xml:space="preserve"> </w:t>
      </w:r>
      <w:r>
        <w:t xml:space="preserve">rates for assets).</w:t>
      </w:r>
      <w:r>
        <w:t xml:space="preserve"> </w:t>
      </w:r>
      <w:r>
        <w:t xml:space="preserve">6.1.3.4. Harmonisation of depositor preference in the hierarchy of claims</w:t>
      </w:r>
      <w:r>
        <w:t xml:space="preserve"> </w:t>
      </w:r>
      <w:r>
        <w:t xml:space="preserve">Option 4 envisages the implementation of a single-tier depositor preference in the</w:t>
      </w:r>
      <w:r>
        <w:t xml:space="preserve"> </w:t>
      </w:r>
      <w:r>
        <w:t xml:space="preserve">hierarchy of claims and removing the super-priority of DGS/EDIS/covered deposits, as</w:t>
      </w:r>
      <w:r>
        <w:t xml:space="preserve"> </w:t>
      </w:r>
      <w:r>
        <w:t xml:space="preserve">also explained under option 3. The only distinction is that the benefit of implementing a</w:t>
      </w:r>
      <w:r>
        <w:t xml:space="preserve"> </w:t>
      </w:r>
      <w:r>
        <w:t xml:space="preserve">single-tier preference for depositors would also entail facilitating the use of EDIS under</w:t>
      </w:r>
      <w:r>
        <w:t xml:space="preserve"> </w:t>
      </w:r>
      <w:r>
        <w:t xml:space="preserve">the least cost test where necessary as backstop to national DGS funds.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6.1.3.5. Use of industry-funded safety nets and cost synergies for banks with</w:t>
      </w:r>
      <w:r>
        <w:t xml:space="preserve"> </w:t>
      </w:r>
      <w:r>
        <w:t xml:space="preserve">EDIS in place</w:t>
      </w:r>
      <w:r>
        <w:t xml:space="preserve"> </w:t>
      </w:r>
      <w:r>
        <w:t xml:space="preserve">Option 4 would generate significant synergies between the SRF and EDIS, both in terms</w:t>
      </w:r>
      <w:r>
        <w:t xml:space="preserve"> </w:t>
      </w:r>
      <w:r>
        <w:t xml:space="preserve">of funding structure, liquidity depth and scope of intervention in resolution and</w:t>
      </w:r>
      <w:r>
        <w:t xml:space="preserve"> </w:t>
      </w:r>
      <w:r>
        <w:t xml:space="preserve">insolvency. By design, pooling resources and increasing risk diversification would allow</w:t>
      </w:r>
      <w:r>
        <w:t xml:space="preserve"> </w:t>
      </w:r>
      <w:r>
        <w:t xml:space="preserve">to increase the level of depositor protection, while creating room for lowering the target</w:t>
      </w:r>
      <w:r>
        <w:t xml:space="preserve"> </w:t>
      </w:r>
      <w:r>
        <w:t xml:space="preserve">level and, consequently, reducing the contributions burden for the banking sector. The</w:t>
      </w:r>
      <w:r>
        <w:t xml:space="preserve"> </w:t>
      </w:r>
      <w:r>
        <w:t xml:space="preserve">quantitative analysis121 demonstrates the possibility to maintain or even increase the</w:t>
      </w:r>
      <w:r>
        <w:t xml:space="preserve"> </w:t>
      </w:r>
      <w:r>
        <w:t xml:space="preserve">current level of depositor protection with a lower target level, even under systemic crisis</w:t>
      </w:r>
      <w:r>
        <w:t xml:space="preserve"> </w:t>
      </w:r>
      <w:r>
        <w:t xml:space="preserve">simulations. The more resources are pooled the higher the potential reduction of</w:t>
      </w:r>
      <w:r>
        <w:t xml:space="preserve"> </w:t>
      </w:r>
      <w:r>
        <w:t xml:space="preserve">contributions would be. For instance, assuming an ambitious pooling, EDIS would</w:t>
      </w:r>
      <w:r>
        <w:t xml:space="preserve"> </w:t>
      </w:r>
      <w:r>
        <w:t xml:space="preserve">significantly lower the probability and the amounts of liquidity shortfall compared to the</w:t>
      </w:r>
      <w:r>
        <w:t xml:space="preserve"> </w:t>
      </w:r>
      <w:r>
        <w:t xml:space="preserve">status quo with a 0.6% target level122. The cost savings for the banks in the Banking</w:t>
      </w:r>
      <w:r>
        <w:t xml:space="preserve"> </w:t>
      </w:r>
      <w:r>
        <w:t xml:space="preserve">Union could represent on aggregate EUR 14 bn or 25.5% of total DGS contributions, as</w:t>
      </w:r>
      <w:r>
        <w:t xml:space="preserve"> </w:t>
      </w:r>
      <w:r>
        <w:t xml:space="preserve">estimated based on Q4 2020 data. However, given the risk-based nature of contributions,</w:t>
      </w:r>
      <w:r>
        <w:t xml:space="preserve"> </w:t>
      </w:r>
      <w:r>
        <w:t xml:space="preserve">the cost reduction would not affect all banks to the same extent123.</w:t>
      </w:r>
      <w:r>
        <w:t xml:space="preserve"> </w:t>
      </w:r>
      <w:r>
        <w:t xml:space="preserve">However, if Member States wish to retain and cover the residual national options and</w:t>
      </w:r>
      <w:r>
        <w:t xml:space="preserve"> </w:t>
      </w:r>
      <w:r>
        <w:t xml:space="preserve">discretions (other than preventive and alternative measures) under the DGSD (not fully</w:t>
      </w:r>
      <w:r>
        <w:t xml:space="preserve"> </w:t>
      </w:r>
      <w:r>
        <w:t xml:space="preserve">harmonised), they would be required to finance them with funds above the target level.</w:t>
      </w:r>
      <w:r>
        <w:t xml:space="preserve"> </w:t>
      </w:r>
      <w:r>
        <w:t xml:space="preserve">The current target level of 0.8% of covered deposits would continue to apply in the</w:t>
      </w:r>
      <w:r>
        <w:t xml:space="preserve"> </w:t>
      </w:r>
      <w:r>
        <w:t xml:space="preserve">Member States outside the Banking Union.</w:t>
      </w:r>
      <w:r>
        <w:t xml:space="preserve"> </w:t>
      </w:r>
      <w:r>
        <w:t xml:space="preserve">6.1.3.6. Assessment of Option 4</w:t>
      </w:r>
      <w:r>
        <w:t xml:space="preserve"> </w:t>
      </w:r>
      <w:r>
        <w:t xml:space="preserve">Benefits</w:t>
      </w:r>
      <w:r>
        <w:t xml:space="preserve"> </w:t>
      </w:r>
      <w:r>
        <w:t xml:space="preserve">Option 4 would deliver a decisive step forward towards completing the Banking Union</w:t>
      </w:r>
      <w:r>
        <w:t xml:space="preserve"> </w:t>
      </w:r>
      <w:r>
        <w:t xml:space="preserve">with its third pillar, EDIS. It would be broadening the application of the EU harmonised</w:t>
      </w:r>
      <w:r>
        <w:t xml:space="preserve"> </w:t>
      </w:r>
      <w:r>
        <w:t xml:space="preserve">framework for resolution. In the Banking Union, it would create a central EDIS fund</w:t>
      </w:r>
      <w:r>
        <w:t xml:space="preserve"> </w:t>
      </w:r>
      <w:r>
        <w:t xml:space="preserve">with pooled resources available to handle multiple bank failures, which would enhance</w:t>
      </w:r>
      <w:r>
        <w:t xml:space="preserve"> </w:t>
      </w:r>
      <w:r>
        <w:t xml:space="preserve">the financial stability of participating Member States, strengthen the single market in</w:t>
      </w:r>
      <w:r>
        <w:t xml:space="preserve"> </w:t>
      </w:r>
      <w:r>
        <w:t xml:space="preserve">banking and underpin the Economic and Monetary Union.</w:t>
      </w:r>
      <w:r>
        <w:br/>
      </w:r>
      <w:r>
        <w:t xml:space="preserve">The legal clarification of the PIA would deliver a broad application of resolution tools.</w:t>
      </w:r>
      <w:r>
        <w:t xml:space="preserve"> </w:t>
      </w:r>
      <w:r>
        <w:t xml:space="preserve">Legal clarity and level playing field would be significantly enhanced and the uncertainty</w:t>
      </w:r>
      <w:r>
        <w:t xml:space="preserve"> </w:t>
      </w:r>
      <w:r>
        <w:t xml:space="preserve">regarding the handling of smaller and medium sized banks through diverging national</w:t>
      </w:r>
      <w:r>
        <w:t xml:space="preserve"> </w:t>
      </w:r>
      <w:r>
        <w:t xml:space="preserve">solutions greatly reduced. The problems identified in the current framework regarding</w:t>
      </w:r>
      <w:r>
        <w:t xml:space="preserve"> </w:t>
      </w:r>
      <w:r>
        <w:t xml:space="preserve">the robustness of funding sources, the difficulty to access them and the broad discretion</w:t>
      </w:r>
      <w:r>
        <w:t xml:space="preserve"> </w:t>
      </w:r>
      <w:r>
        <w:t xml:space="preserve">when deciding whether to place a bank in resolution or insolvency, would be addressed</w:t>
      </w:r>
      <w:r>
        <w:t xml:space="preserve"> </w:t>
      </w:r>
      <w:r>
        <w:t xml:space="preserve">to a large extent. An extensive use of resolution underpinned by central industry-funded</w:t>
      </w:r>
    </w:p>
    <w:p>
      <w:pPr>
        <w:pStyle w:val="BodyText"/>
      </w:pPr>
      <w:r>
        <w:t xml:space="preserve">121 In terms of calibration, a lot of work has been carried out in various fora (Council working parties,</w:t>
      </w:r>
      <w:r>
        <w:t xml:space="preserve"> </w:t>
      </w:r>
      <w:r>
        <w:t xml:space="preserve">HLWG on EDIS, EGBPI, JRC reports) assessing various possibilities to pool funds into a central fund in a</w:t>
      </w:r>
      <w:r>
        <w:t xml:space="preserve"> </w:t>
      </w:r>
      <w:r>
        <w:t xml:space="preserve">gradual manner. See Annex 10.</w:t>
      </w:r>
      <w:r>
        <w:t xml:space="preserve"> </w:t>
      </w:r>
      <w:r>
        <w:t xml:space="preserve">122 There is a 95% probability that the hybrid EDIS with such a reduced target level provides a better</w:t>
      </w:r>
      <w:r>
        <w:t xml:space="preserve"> </w:t>
      </w:r>
      <w:r>
        <w:t xml:space="preserve">protection than the status quo. See Annexes 10 and 12.</w:t>
      </w:r>
      <w:r>
        <w:t xml:space="preserve"> </w:t>
      </w:r>
      <w:r>
        <w:t xml:space="preserve">123 The riskier the bank, the smaller the cost reduction and vice-versa.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safety nets and a mechanism to improve access the resolution fund while meeting the 8%</w:t>
      </w:r>
      <w:r>
        <w:t xml:space="preserve"> </w:t>
      </w:r>
      <w:r>
        <w:t xml:space="preserve">TLOF would limit further the recourse to public funds and enhance financial stability,</w:t>
      </w:r>
      <w:r>
        <w:t xml:space="preserve"> </w:t>
      </w:r>
      <w:r>
        <w:t xml:space="preserve">weakening the bank-sovereign nexus in the Banking Union.</w:t>
      </w:r>
      <w:r>
        <w:br/>
      </w:r>
      <w:r>
        <w:t xml:space="preserve">Improvements to conditions for DGS/EDIS contribution to various interventions other</w:t>
      </w:r>
      <w:r>
        <w:t xml:space="preserve"> </w:t>
      </w:r>
      <w:r>
        <w:t xml:space="preserve">than payout would render the use of DGS/EDIS more efficient when compared to a</w:t>
      </w:r>
      <w:r>
        <w:t xml:space="preserve"> </w:t>
      </w:r>
      <w:r>
        <w:t xml:space="preserve">payout scenario124 and boost depositor confidence, including due to continued access to</w:t>
      </w:r>
      <w:r>
        <w:t xml:space="preserve"> </w:t>
      </w:r>
      <w:r>
        <w:t xml:space="preserve">their accounts also ensuring level playing field with an equitable treatment of depositors,</w:t>
      </w:r>
      <w:r>
        <w:t xml:space="preserve"> </w:t>
      </w:r>
      <w:r>
        <w:t xml:space="preserve">creditors, taxpayers across the EU.</w:t>
      </w:r>
      <w:r>
        <w:br/>
      </w:r>
      <w:r>
        <w:t xml:space="preserve">At the same time, allowing DGS/EDIS to bridge the gap to access the RF/SRF would</w:t>
      </w:r>
      <w:r>
        <w:t xml:space="preserve"> </w:t>
      </w:r>
      <w:r>
        <w:t xml:space="preserve">introduce more proportionality for smaller/medium-sized banks under transfer strategies</w:t>
      </w:r>
      <w:r>
        <w:t xml:space="preserve"> </w:t>
      </w:r>
      <w:r>
        <w:t xml:space="preserve">without weakening the minimum bail-in condition to access the RF/SRF.</w:t>
      </w:r>
      <w:r>
        <w:br/>
      </w:r>
      <w:r>
        <w:t xml:space="preserve">This option would deliver cost synergies for the banking sector through a lower</w:t>
      </w:r>
      <w:r>
        <w:t xml:space="preserve"> </w:t>
      </w:r>
      <w:r>
        <w:t xml:space="preserve">combined target level and related contributions, while providing extensive benefits via</w:t>
      </w:r>
      <w:r>
        <w:t xml:space="preserve"> </w:t>
      </w:r>
      <w:r>
        <w:t xml:space="preserve">the available pooled resources.</w:t>
      </w:r>
      <w:r>
        <w:br/>
      </w:r>
      <w:r>
        <w:t xml:space="preserve">Moreover, enabling and significantly strengthening the funding of resolution strategies</w:t>
      </w:r>
      <w:r>
        <w:t xml:space="preserve"> </w:t>
      </w:r>
      <w:r>
        <w:t xml:space="preserve">such as transfer tools would be conducive to further cross-border market integration. It</w:t>
      </w:r>
      <w:r>
        <w:t xml:space="preserve"> </w:t>
      </w:r>
      <w:r>
        <w:t xml:space="preserve">could also contribute to the efficiency of the EU resolution regime by promoting a</w:t>
      </w:r>
      <w:r>
        <w:t xml:space="preserve"> </w:t>
      </w:r>
      <w:r>
        <w:t xml:space="preserve">functional framework able to cater for the failure of smaller/medium-sized banks, as it is</w:t>
      </w:r>
      <w:r>
        <w:t xml:space="preserve"> </w:t>
      </w:r>
      <w:r>
        <w:t xml:space="preserve">the case in other jurisdictions (e.g. US with the Federal Deposit Insurance Corporation).</w:t>
      </w:r>
      <w:r>
        <w:t xml:space="preserve"> </w:t>
      </w:r>
      <w:r>
        <w:t xml:space="preserve">In line with this more centralised use of funding, including when it comes to EDIS, this</w:t>
      </w:r>
      <w:r>
        <w:t xml:space="preserve"> </w:t>
      </w:r>
      <w:r>
        <w:t xml:space="preserve">option proposes a governance structure with a prominent role for the SRB to manage</w:t>
      </w:r>
      <w:r>
        <w:t xml:space="preserve"> </w:t>
      </w:r>
      <w:r>
        <w:t xml:space="preserve">funding for banks under its remit.</w:t>
      </w:r>
      <w:r>
        <w:t xml:space="preserve"> </w:t>
      </w:r>
      <w:r>
        <w:t xml:space="preserve">Costs</w:t>
      </w:r>
      <w:r>
        <w:t xml:space="preserve"> </w:t>
      </w:r>
      <w:r>
        <w:t xml:space="preserve">The creation of EDIS would involve set-up costs to pool funds in a central EDIS fund.</w:t>
      </w:r>
      <w:r>
        <w:t xml:space="preserve"> </w:t>
      </w:r>
      <w:r>
        <w:t xml:space="preserve">However, these costs would be likely marginal, when compared to the set-up of the</w:t>
      </w:r>
      <w:r>
        <w:t xml:space="preserve"> </w:t>
      </w:r>
      <w:r>
        <w:t xml:space="preserve">SRM/SRB/SRF in 2015, as the functioning of EDIS would build on already existing and</w:t>
      </w:r>
      <w:r>
        <w:t xml:space="preserve"> </w:t>
      </w:r>
      <w:r>
        <w:t xml:space="preserve">functioning funds (DGS funds and SRF) and established processes, workflows and</w:t>
      </w:r>
      <w:r>
        <w:t xml:space="preserve"> </w:t>
      </w:r>
      <w:r>
        <w:t xml:space="preserve">authorities (national DGS authorities and the SRB). While the set-up costs of this option</w:t>
      </w:r>
      <w:r>
        <w:t xml:space="preserve"> </w:t>
      </w:r>
      <w:r>
        <w:t xml:space="preserve">would be higher than zero, the benefits of available liquidity in case of DGS shortfalls</w:t>
      </w:r>
      <w:r>
        <w:t xml:space="preserve"> </w:t>
      </w:r>
      <w:r>
        <w:t xml:space="preserve">would render the cost-effectiveness of this option comparatively higher than that of other</w:t>
      </w:r>
      <w:r>
        <w:t xml:space="preserve"> </w:t>
      </w:r>
      <w:r>
        <w:t xml:space="preserve">options.</w:t>
      </w:r>
      <w:r>
        <w:t xml:space="preserve"> </w:t>
      </w:r>
      <w:r>
        <w:t xml:space="preserve">The implementation of this option would also require additional coordination among</w:t>
      </w:r>
      <w:r>
        <w:t xml:space="preserve"> </w:t>
      </w:r>
      <w:r>
        <w:t xml:space="preserve">authorities when using the DGS/EDIS to reach the resolution fund. It would also imply</w:t>
      </w:r>
      <w:r>
        <w:t xml:space="preserve"> </w:t>
      </w:r>
      <w:r>
        <w:t xml:space="preserve">additional tasks for resolution authorities to prepare additional resolution plans and set</w:t>
      </w:r>
      <w:r>
        <w:t xml:space="preserve"> </w:t>
      </w:r>
      <w:r>
        <w:t xml:space="preserve">bank-specific MREL requirements due to the extension of the PIA. However, these costs</w:t>
      </w:r>
      <w:r>
        <w:t xml:space="preserve"> </w:t>
      </w:r>
      <w:r>
        <w:t xml:space="preserve">would be mitigated by the benefits of using the framework as intended and ensure the</w:t>
      </w:r>
      <w:r>
        <w:t xml:space="preserve"> </w:t>
      </w:r>
      <w:r>
        <w:t xml:space="preserve">market exit of failing banks without consequences on financial stability.</w:t>
      </w:r>
      <w:r>
        <w:br/>
      </w:r>
      <w:r>
        <w:t xml:space="preserve">This option would also impact banks which would need to comply with the requirement</w:t>
      </w:r>
      <w:r>
        <w:t xml:space="preserve"> </w:t>
      </w:r>
      <w:r>
        <w:t xml:space="preserve">to ensure adequate levels of internal loss absorbing capacity to allow for the execution of</w:t>
      </w:r>
      <w:r>
        <w:t xml:space="preserve"> </w:t>
      </w:r>
      <w:r>
        <w:t xml:space="preserve">resolution strategies (bail-in or transfer strategies) and investing in projects to become</w:t>
      </w:r>
    </w:p>
    <w:p>
      <w:pPr>
        <w:pStyle w:val="BodyText"/>
      </w:pPr>
      <w:r>
        <w:t xml:space="preserve">124 See also Annex 10.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more resolvable. However, whether new MREL requirements would translate into higher</w:t>
      </w:r>
      <w:r>
        <w:t xml:space="preserve"> </w:t>
      </w:r>
      <w:r>
        <w:t xml:space="preserve">costs is a case-by-case assessment, depending on the required MREL targets, the</w:t>
      </w:r>
      <w:r>
        <w:t xml:space="preserve"> </w:t>
      </w:r>
      <w:r>
        <w:t xml:space="preserve">outstanding stock of eligible instruments that banks already hold as well as on bank</w:t>
      </w:r>
      <w:r>
        <w:t xml:space="preserve"> </w:t>
      </w:r>
      <w:r>
        <w:t xml:space="preserve">individual features and market conditions. A mitigating factor for banks would be</w:t>
      </w:r>
      <w:r>
        <w:t xml:space="preserve"> </w:t>
      </w:r>
      <w:r>
        <w:t xml:space="preserve">avoiding the bail-in of depositors by using DGS/EDIS to fill the gap towards reaching the</w:t>
      </w:r>
      <w:r>
        <w:t xml:space="preserve"> </w:t>
      </w:r>
      <w:r>
        <w:t xml:space="preserve">minimum bail-in rule (8% TLOF) to access resolution funding for banks with transfer</w:t>
      </w:r>
      <w:r>
        <w:t xml:space="preserve"> </w:t>
      </w:r>
      <w:r>
        <w:t xml:space="preserve">strategy, in case MREL capacity were not sufficient to support the resolution action,</w:t>
      </w:r>
      <w:r>
        <w:t xml:space="preserve"> </w:t>
      </w:r>
      <w:r>
        <w:t xml:space="preserve">subject to safeguards. However, using the DGS/EDIS fund and the RF/SRF would also</w:t>
      </w:r>
      <w:r>
        <w:t xml:space="preserve"> </w:t>
      </w:r>
      <w:r>
        <w:t xml:space="preserve">entail re-couping those funds through ex post contributions from the industry.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Effectiveness, efficiency and coherence: Option 4 would be a step forward towards</w:t>
      </w:r>
      <w:r>
        <w:t xml:space="preserve"> </w:t>
      </w:r>
      <w:r>
        <w:t xml:space="preserve">completing the Banking Union with its third pillar. It would contribute by design to a</w:t>
      </w:r>
      <w:r>
        <w:t xml:space="preserve"> </w:t>
      </w:r>
      <w:r>
        <w:t xml:space="preserve">greater application of resolution tools than any other option (through legal amendment</w:t>
      </w:r>
      <w:r>
        <w:t xml:space="preserve"> </w:t>
      </w:r>
      <w:r>
        <w:t xml:space="preserve">including a general presumption of positive PIA), also strengthening financial stability,</w:t>
      </w:r>
      <w:r>
        <w:t xml:space="preserve"> </w:t>
      </w:r>
      <w:r>
        <w:t xml:space="preserve">limiting significantly the recourse to taxpayer money, thanks to stronger, more accessible</w:t>
      </w:r>
      <w:r>
        <w:t xml:space="preserve"> </w:t>
      </w:r>
      <w:r>
        <w:t xml:space="preserve">industry-funded central safety nets. This option is the one that would best preserve</w:t>
      </w:r>
      <w:r>
        <w:t xml:space="preserve"> </w:t>
      </w:r>
      <w:r>
        <w:t xml:space="preserve">critical functions and the franchise value of assets in failing banks given the extensive</w:t>
      </w:r>
      <w:r>
        <w:t xml:space="preserve"> </w:t>
      </w:r>
      <w:r>
        <w:t xml:space="preserve">use of resolution. This option would also contribute to better legal clarity and aligned</w:t>
      </w:r>
      <w:r>
        <w:t xml:space="preserve"> </w:t>
      </w:r>
      <w:r>
        <w:t xml:space="preserve">incentives in the choice of applicable procedure (resolution or insolvency) as well as</w:t>
      </w:r>
      <w:r>
        <w:t xml:space="preserve"> </w:t>
      </w:r>
      <w:r>
        <w:t xml:space="preserve">enhancing the EU level playing field. It would boost depositor protection and ensure they</w:t>
      </w:r>
      <w:r>
        <w:t xml:space="preserve"> </w:t>
      </w:r>
      <w:r>
        <w:t xml:space="preserve">are treated equitably, irrespective of their location.</w:t>
      </w:r>
      <w:r>
        <w:t xml:space="preserve"> </w:t>
      </w:r>
      <w:r>
        <w:t xml:space="preserve">Stakeholder views and political considerations: Given the outcome of the June 2022</w:t>
      </w:r>
      <w:r>
        <w:t xml:space="preserve"> </w:t>
      </w:r>
      <w:r>
        <w:t xml:space="preserve">Eurogroup and the lack of agreement on a comprehensive roadmap to complete the</w:t>
      </w:r>
      <w:r>
        <w:t xml:space="preserve"> </w:t>
      </w:r>
      <w:r>
        <w:t xml:space="preserve">Banking Union including EDIS, this option is considered politically unfeasible, at least in</w:t>
      </w:r>
      <w:r>
        <w:t xml:space="preserve"> </w:t>
      </w:r>
      <w:r>
        <w:t xml:space="preserve">the current institutional cycle.</w:t>
      </w:r>
      <w:r>
        <w:br/>
      </w:r>
      <w:r>
        <w:t xml:space="preserve">In its recent report on Banking Union125, the European Parliament has stressed the</w:t>
      </w:r>
      <w:r>
        <w:t xml:space="preserve"> </w:t>
      </w:r>
      <w:r>
        <w:t xml:space="preserve">importance of completing the Banking Union with the establishment of an EDIS, as its</w:t>
      </w:r>
      <w:r>
        <w:t xml:space="preserve"> </w:t>
      </w:r>
      <w:r>
        <w:t xml:space="preserve">third pillar. In particularly, the European Parliament stresses the importance of EDIS, for</w:t>
      </w:r>
      <w:r>
        <w:t xml:space="preserve"> </w:t>
      </w:r>
      <w:r>
        <w:t xml:space="preserve">improving the protection for depositors in the EU and their trust in the banking sector</w:t>
      </w:r>
      <w:r>
        <w:t xml:space="preserve"> </w:t>
      </w:r>
      <w:r>
        <w:t xml:space="preserve">and for reducing the link between banks and sovereigns. However, the Parliament has not</w:t>
      </w:r>
      <w:r>
        <w:t xml:space="preserve"> </w:t>
      </w:r>
      <w:r>
        <w:t xml:space="preserve">yet concluded its first reading of the Commission’s 2015 EDIS proposal.</w:t>
      </w:r>
      <w:r>
        <w:br/>
      </w:r>
      <w:r>
        <w:t xml:space="preserve">The potential to place more banks in resolution, benefiting from strong central safety nets</w:t>
      </w:r>
      <w:r>
        <w:t xml:space="preserve"> </w:t>
      </w:r>
      <w:r>
        <w:t xml:space="preserve">and reducing financing costs (i.e. for EDIS in the Banking Union), is appreciated by the</w:t>
      </w:r>
      <w:r>
        <w:t xml:space="preserve"> </w:t>
      </w:r>
      <w:r>
        <w:t xml:space="preserve">banking industry (banks of all sizes and business models), which considers that national</w:t>
      </w:r>
      <w:r>
        <w:t xml:space="preserve"> </w:t>
      </w:r>
      <w:r>
        <w:t xml:space="preserve">DGSs are limited in size and firepower and a fully-fledged EDIS would be an essential</w:t>
      </w:r>
      <w:r>
        <w:t xml:space="preserve"> </w:t>
      </w:r>
      <w:r>
        <w:t xml:space="preserve">piece of the Banking Union architecture. This view is not shared by IPS members, which</w:t>
      </w:r>
      <w:r>
        <w:t xml:space="preserve"> </w:t>
      </w:r>
      <w:r>
        <w:t xml:space="preserve">consider their solidarity model as sufficient to avert failures. Some respondents to the</w:t>
      </w:r>
      <w:r>
        <w:t xml:space="preserve"> </w:t>
      </w:r>
      <w:r>
        <w:t xml:space="preserve">targeted and public consultations126 underlined that a fully-fledged EDIS would reduce</w:t>
      </w:r>
      <w:r>
        <w:t xml:space="preserve"> </w:t>
      </w:r>
      <w:r>
        <w:t xml:space="preserve">the burden on banks while minimising the probability of a call for ex post contributions,</w:t>
      </w:r>
      <w:r>
        <w:t xml:space="preserve"> </w:t>
      </w:r>
      <w:r>
        <w:t xml:space="preserve">also avoiding pro-cyclical impacts on banks’ balance sheets. However, certain</w:t>
      </w:r>
    </w:p>
    <w:p>
      <w:pPr>
        <w:pStyle w:val="BodyText"/>
      </w:pPr>
      <w:r>
        <w:t xml:space="preserve">125 European Parliament (June 2022), European Parliament 2021 annual report on Banking Union.</w:t>
      </w:r>
      <w:r>
        <w:t xml:space="preserve"> </w:t>
      </w:r>
      <w:r>
        <w:t xml:space="preserve">126 See Annex 2.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smaller/medium-sized banks which would come into the scope of resolution may need to</w:t>
      </w:r>
      <w:r>
        <w:t xml:space="preserve"> </w:t>
      </w:r>
      <w:r>
        <w:t xml:space="preserve">bear additional obligations to enhance recovery plans, provide more extensive</w:t>
      </w:r>
      <w:r>
        <w:t xml:space="preserve"> </w:t>
      </w:r>
      <w:r>
        <w:t xml:space="preserve">information to resolution authorities for the preparation of resolution plans, ensure</w:t>
      </w:r>
      <w:r>
        <w:t xml:space="preserve"> </w:t>
      </w:r>
      <w:r>
        <w:t xml:space="preserve">compliance with MREL requirements and become more resolvable127.</w:t>
      </w:r>
      <w:r>
        <w:t xml:space="preserve"> </w:t>
      </w:r>
      <w:r>
        <w:t xml:space="preserve">Consumer organisations are supportive of a centralised deposit insurance scheme128 to</w:t>
      </w:r>
      <w:r>
        <w:t xml:space="preserve"> </w:t>
      </w:r>
      <w:r>
        <w:t xml:space="preserve">ensure a uniform level of depositor protection and reinforce consumer confidence.</w:t>
      </w:r>
      <w:r>
        <w:t xml:space="preserve"> </w:t>
      </w:r>
      <w:r>
        <w:t xml:space="preserve">Consumers support any solution that limits the use of public money to rescue failing</w:t>
      </w:r>
      <w:r>
        <w:t xml:space="preserve"> </w:t>
      </w:r>
      <w:r>
        <w:t xml:space="preserve">banks. They would however prefer solutions where capital requirements for banks would</w:t>
      </w:r>
      <w:r>
        <w:t xml:space="preserve"> </w:t>
      </w:r>
      <w:r>
        <w:t xml:space="preserve">be increased, and State aid in liquidation proceedings and of precautionary support would</w:t>
      </w:r>
      <w:r>
        <w:t xml:space="preserve"> </w:t>
      </w:r>
      <w:r>
        <w:t xml:space="preserve">be subject to a stricter test129.</w:t>
      </w:r>
      <w:r>
        <w:br/>
      </w:r>
      <w:r>
        <w:t xml:space="preserve">Winners and losers: Taxpayers, depositors and Member States would benefit greatly</w:t>
      </w:r>
      <w:r>
        <w:t xml:space="preserve"> </w:t>
      </w:r>
      <w:r>
        <w:t xml:space="preserve">from an improved and more proportionate CMDI framework with a strong EDIS in the</w:t>
      </w:r>
      <w:r>
        <w:t xml:space="preserve"> </w:t>
      </w:r>
      <w:r>
        <w:t xml:space="preserve">Banking Union. Such a framework, given the expected application of resolution and the</w:t>
      </w:r>
      <w:r>
        <w:t xml:space="preserve"> </w:t>
      </w:r>
      <w:r>
        <w:t xml:space="preserve">improved functioning of measures outside of resolution, would significantly reduce risks</w:t>
      </w:r>
      <w:r>
        <w:t xml:space="preserve"> </w:t>
      </w:r>
      <w:r>
        <w:t xml:space="preserve">for financial stability, and would preserve banking critical functions for the society. The</w:t>
      </w:r>
      <w:r>
        <w:t xml:space="preserve"> </w:t>
      </w:r>
      <w:r>
        <w:t xml:space="preserve">reduced recourse to public funds and the corresponding increased use of industry-funded</w:t>
      </w:r>
      <w:r>
        <w:t xml:space="preserve"> </w:t>
      </w:r>
      <w:r>
        <w:t xml:space="preserve">safety nets (RF/SRF, DGS/EDIS) would have a positive impact on weakening the bank-</w:t>
      </w:r>
      <w:r>
        <w:t xml:space="preserve"> </w:t>
      </w:r>
      <w:r>
        <w:t xml:space="preserve">sovereign nexus. More depositors would be likely better off than under other options, due</w:t>
      </w:r>
      <w:r>
        <w:t xml:space="preserve"> </w:t>
      </w:r>
      <w:r>
        <w:t xml:space="preserve">to continued access to their deposits and depositor protection thanks to a robust EDIS in</w:t>
      </w:r>
      <w:r>
        <w:t xml:space="preserve"> </w:t>
      </w:r>
      <w:r>
        <w:t xml:space="preserve">the Banking Union. Such a construction may also increase the appeal of the Banking</w:t>
      </w:r>
      <w:r>
        <w:t xml:space="preserve"> </w:t>
      </w:r>
      <w:r>
        <w:t xml:space="preserve">Union with non-participating Member States, paving the way towards a more integrated</w:t>
      </w:r>
      <w:r>
        <w:t xml:space="preserve"> </w:t>
      </w:r>
      <w:r>
        <w:t xml:space="preserve">and centralised single market in banking.</w:t>
      </w:r>
      <w:r>
        <w:br/>
      </w:r>
      <w:r>
        <w:t xml:space="preserve">Smaller and medium-sized banks relying on equity and deposits, which are generally</w:t>
      </w:r>
      <w:r>
        <w:t xml:space="preserve"> </w:t>
      </w:r>
      <w:r>
        <w:t xml:space="preserve">candidates for transfer strategies, and their shareholders, creditors and employees would</w:t>
      </w:r>
      <w:r>
        <w:t xml:space="preserve"> </w:t>
      </w:r>
      <w:r>
        <w:t xml:space="preserve">also benefit from more proportionality by being able to access the RF/SRF more easily,</w:t>
      </w:r>
      <w:r>
        <w:t xml:space="preserve"> </w:t>
      </w:r>
      <w:r>
        <w:t xml:space="preserve">without the need to systematically inflict losses on depositors. Such banks would be able</w:t>
      </w:r>
      <w:r>
        <w:t xml:space="preserve"> </w:t>
      </w:r>
      <w:r>
        <w:t xml:space="preserve">to access the RF/SRF through DGS contributions under the least cost test, while being</w:t>
      </w:r>
      <w:r>
        <w:t xml:space="preserve"> </w:t>
      </w:r>
      <w:r>
        <w:t xml:space="preserve">subject to safeguards (e.g. market exit if they fail). However, the smaller and medium-</w:t>
      </w:r>
      <w:r>
        <w:t xml:space="preserve"> </w:t>
      </w:r>
      <w:r>
        <w:t xml:space="preserve">sized banks subject to an extended PIA would also need to comply with MREL</w:t>
      </w:r>
      <w:r>
        <w:t xml:space="preserve"> </w:t>
      </w:r>
      <w:r>
        <w:t xml:space="preserve">requirements in line with the resolution strategy and invest in projects to become more</w:t>
      </w:r>
      <w:r>
        <w:t xml:space="preserve"> </w:t>
      </w:r>
      <w:r>
        <w:t xml:space="preserve">resolvable (negative aspects from a banks’ cost perspective, while a very positive one for</w:t>
      </w:r>
      <w:r>
        <w:t xml:space="preserve"> </w:t>
      </w:r>
      <w:r>
        <w:t xml:space="preserve">financial stability). As under the other options, facilitating the access to resolution</w:t>
      </w:r>
      <w:r>
        <w:t xml:space="preserve"> </w:t>
      </w:r>
      <w:r>
        <w:t xml:space="preserve">financing by using the DGS for banks with transfer strategies aims at ensuring an orderly</w:t>
      </w:r>
      <w:r>
        <w:t xml:space="preserve"> </w:t>
      </w:r>
      <w:r>
        <w:t xml:space="preserve">market exit for such banks and it would not create an undue advantage compared to</w:t>
      </w:r>
      <w:r>
        <w:t xml:space="preserve"> </w:t>
      </w:r>
      <w:r>
        <w:t xml:space="preserve">banks with open bank bail-in strategies, which are meant to be recapitalised and continue</w:t>
      </w:r>
      <w:r>
        <w:t xml:space="preserve"> </w:t>
      </w:r>
      <w:r>
        <w:t xml:space="preserve">their operations post-resolution.</w:t>
      </w:r>
      <w:r>
        <w:br/>
      </w:r>
      <w:r>
        <w:t xml:space="preserve">Resolution authorities would be winners under this option (even more so than under</w:t>
      </w:r>
      <w:r>
        <w:t xml:space="preserve"> </w:t>
      </w:r>
      <w:r>
        <w:t xml:space="preserve">other options), benefiting from a strong toolkit underpinned by robust safety nets in the</w:t>
      </w:r>
      <w:r>
        <w:t xml:space="preserve"> </w:t>
      </w:r>
      <w:r>
        <w:t xml:space="preserve">Banking Union and more consistent rules on access to funding in resolution and</w:t>
      </w:r>
    </w:p>
    <w:p>
      <w:pPr>
        <w:pStyle w:val="BodyText"/>
      </w:pPr>
      <w:r>
        <w:t xml:space="preserve">127 Yet, as a mitigating factor for these additional obligations, the BRRD provides for a proportionate</w:t>
      </w:r>
      <w:r>
        <w:t xml:space="preserve"> </w:t>
      </w:r>
      <w:r>
        <w:t xml:space="preserve">treatment of smaller institutions by allowing for simplified obligations in terms of planning preparation and</w:t>
      </w:r>
      <w:r>
        <w:t xml:space="preserve"> </w:t>
      </w:r>
      <w:r>
        <w:t xml:space="preserve">reporting of information to relevant authorities.</w:t>
      </w:r>
      <w:r>
        <w:br/>
      </w:r>
      <w:r>
        <w:t xml:space="preserve">128 Respondents to the consultation did not specify whether a centralised deposit insurance should take the</w:t>
      </w:r>
      <w:r>
        <w:t xml:space="preserve"> </w:t>
      </w:r>
      <w:r>
        <w:t xml:space="preserve">form of the 2015 proposal or a hybrid model as under this option.</w:t>
      </w:r>
      <w:r>
        <w:br/>
      </w:r>
      <w:r>
        <w:t xml:space="preserve">129 See responses to the public and targeted consultations.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insolvency. This option would achieve more convergence and legal certainty in the</w:t>
      </w:r>
      <w:r>
        <w:t xml:space="preserve"> </w:t>
      </w:r>
      <w:r>
        <w:t xml:space="preserve">application of rules, leading to improved level playing field. It would also reduce the</w:t>
      </w:r>
      <w:r>
        <w:t xml:space="preserve"> </w:t>
      </w:r>
      <w:r>
        <w:t xml:space="preserve">authorities’ legal risk (litigations).</w:t>
      </w:r>
      <w:r>
        <w:br/>
      </w:r>
      <w:r>
        <w:t xml:space="preserve">Banks’ creditors, and specifically senior bond holders, would be more exposed to the risk</w:t>
      </w:r>
      <w:r>
        <w:t xml:space="preserve"> </w:t>
      </w:r>
      <w:r>
        <w:t xml:space="preserve">of bearing losses since the banks in which they hold claims are more likely to be placed</w:t>
      </w:r>
      <w:r>
        <w:t xml:space="preserve"> </w:t>
      </w:r>
      <w:r>
        <w:t xml:space="preserve">in resolution in case of failure than under the baseline and other options. The degree of</w:t>
      </w:r>
      <w:r>
        <w:t xml:space="preserve"> </w:t>
      </w:r>
      <w:r>
        <w:t xml:space="preserve">this impact depends on whether the bank would have a possibility to be restructured</w:t>
      </w:r>
      <w:r>
        <w:t xml:space="preserve"> </w:t>
      </w:r>
      <w:r>
        <w:t xml:space="preserve">under national insolvency law under the current legislation.</w:t>
      </w:r>
      <w:r>
        <w:t xml:space="preserve"> </w:t>
      </w:r>
      <w:r>
        <w:t xml:space="preserve">6.2. Comparison and choice of preferred options</w:t>
      </w:r>
      <w:r>
        <w:t xml:space="preserve"> </w:t>
      </w:r>
      <w:r>
        <w:t xml:space="preserve">Table 1 provides a high-level summary of how the previously-described options compare</w:t>
      </w:r>
      <w:r>
        <w:t xml:space="preserve"> </w:t>
      </w:r>
      <w:r>
        <w:t xml:space="preserve">(for the sake of readability of the tables, the labels of the options have been shortened).</w:t>
      </w:r>
      <w:r>
        <w:t xml:space="preserve"> </w:t>
      </w:r>
      <w:r>
        <w:t xml:space="preserve">Table 1: Summary of how the options compare</w:t>
      </w:r>
      <w:r>
        <w:t xml:space="preserve"> </w:t>
      </w:r>
      <w:r>
        <w:t xml:space="preserve">Magnitude of impact as compared with the baseline scenario (the baseline is indicated as 0): +++ very</w:t>
      </w:r>
      <w:r>
        <w:t xml:space="preserve"> </w:t>
      </w:r>
      <w:r>
        <w:t xml:space="preserve">positive; ++ positive; + slightly positive; +/- mixed effect; 0 no effect; – slightly negative; – negative; —</w:t>
      </w:r>
      <w:r>
        <w:t xml:space="preserve"> </w:t>
      </w:r>
      <w:r>
        <w:t xml:space="preserve">very negative.</w:t>
      </w:r>
      <w:r>
        <w:t xml:space="preserve"> </w:t>
      </w:r>
      <w:r>
        <w:t xml:space="preserve">Leaving aside option 4 which, although technically the most robust option, is not</w:t>
      </w:r>
      <w:r>
        <w:t xml:space="preserve"> </w:t>
      </w:r>
      <w:r>
        <w:t xml:space="preserve">politically feasible at this stage, option 3 would, on balance, deliver solutions to most</w:t>
      </w:r>
      <w:r>
        <w:t xml:space="preserve"> </w:t>
      </w:r>
      <w:r>
        <w:t xml:space="preserve">problems identified in chapter 2. It is therefore considered to be the preferred option.</w:t>
      </w:r>
      <w:r>
        <w:br/>
      </w:r>
      <w:r>
        <w:t xml:space="preserve">In particular, in terms of effectiveness, option 3 would deliver a crisis management</w:t>
      </w:r>
      <w:r>
        <w:t xml:space="preserve"> </w:t>
      </w:r>
      <w:r>
        <w:t xml:space="preserve">reform contributing comparatively more than other options to strengthening financial</w:t>
      </w:r>
      <w:r>
        <w:t xml:space="preserve"> </w:t>
      </w:r>
      <w:r>
        <w:t xml:space="preserve">stability, while facilitating market exit of failing banks. It would likely reduce the</w:t>
      </w:r>
      <w:r>
        <w:t xml:space="preserve"> </w:t>
      </w:r>
      <w:r>
        <w:t xml:space="preserve">recourse to public funds by creating the funding conditions to handle more failures of</w:t>
      </w:r>
      <w:r>
        <w:t xml:space="preserve"> </w:t>
      </w:r>
      <w:r>
        <w:t xml:space="preserve">smaller/medium-sized banks in the CMDI framework, using industry-funded safety nets.</w:t>
      </w:r>
      <w:r>
        <w:t xml:space="preserve"> </w:t>
      </w:r>
      <w:r>
        <w:t xml:space="preserve">Increased access to funding in resolution or for alternative measures would open the</w:t>
      </w:r>
      <w:r>
        <w:t xml:space="preserve"> </w:t>
      </w:r>
      <w:r>
        <w:t xml:space="preserve">possibility of shielding depositors from bearing losses, maintaining the client relationship</w:t>
      </w:r>
      <w:r>
        <w:t xml:space="preserve"> </w:t>
      </w:r>
      <w:r>
        <w:t xml:space="preserve">and the franchise value of assets by creating room for a successful transfer of failing</w:t>
      </w:r>
      <w:r>
        <w:t xml:space="preserve"> </w:t>
      </w:r>
      <w:r>
        <w:t xml:space="preserve">banks. Option 3 would also improve the legal clarity and predictability of the framework</w:t>
      </w:r>
      <w:r>
        <w:t xml:space="preserve"> </w:t>
      </w:r>
      <w:r>
        <w:t xml:space="preserve">by standardising and harmonising the access condition to DGS funds for all contributions</w:t>
      </w:r>
      <w:r>
        <w:t xml:space="preserve"> </w:t>
      </w:r>
      <w:r>
        <w:t xml:space="preserve">other than payout of covered deposit, ensuring incentive compatibility among the various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</w:t>
      </w:r>
      <w:r>
        <w:t xml:space="preserve"> </w:t>
      </w:r>
      <w:r>
        <w:t xml:space="preserve">SCORE</w:t>
      </w:r>
      <w:r>
        <w:t xml:space="preserve"> </w:t>
      </w:r>
      <w:r>
        <w:t xml:space="preserve">Financial</w:t>
      </w:r>
      <w:r>
        <w:t xml:space="preserve"> </w:t>
      </w:r>
      <w:r>
        <w:t xml:space="preserve">stability</w:t>
      </w:r>
      <w:r>
        <w:t xml:space="preserve"> </w:t>
      </w:r>
      <w:r>
        <w:t xml:space="preserve">Minimise</w:t>
      </w:r>
      <w:r>
        <w:t xml:space="preserve"> </w:t>
      </w:r>
      <w:r>
        <w:t xml:space="preserve">recourse to</w:t>
      </w:r>
      <w:r>
        <w:t xml:space="preserve"> </w:t>
      </w:r>
      <w:r>
        <w:t xml:space="preserve">taxpayer</w:t>
      </w:r>
      <w:r>
        <w:t xml:space="preserve"> </w:t>
      </w:r>
      <w:r>
        <w:t xml:space="preserve">money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field, single</w:t>
      </w:r>
      <w:r>
        <w:t xml:space="preserve"> </w:t>
      </w:r>
      <w:r>
        <w:t xml:space="preserve">market</w:t>
      </w:r>
      <w:r>
        <w:t xml:space="preserve"> </w:t>
      </w:r>
      <w:r>
        <w:t xml:space="preserve">Depositor</w:t>
      </w:r>
      <w:r>
        <w:t xml:space="preserve"> </w:t>
      </w:r>
      <w:r>
        <w:t xml:space="preserve">protection</w:t>
      </w:r>
      <w:r>
        <w:t xml:space="preserve"> </w:t>
      </w:r>
      <w:r>
        <w:t xml:space="preserve">Option 1</w:t>
      </w:r>
      <w:r>
        <w:t xml:space="preserve"> </w:t>
      </w:r>
      <w:r>
        <w:t xml:space="preserve">Do nothing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Slightly improved resolution</w:t>
      </w:r>
      <w:r>
        <w:t xml:space="preserve"> </w:t>
      </w:r>
      <w:r>
        <w:t xml:space="preserve">funding</w:t>
      </w:r>
      <w:r>
        <w:t xml:space="preserve"> </w:t>
      </w:r>
      <w:r>
        <w:t xml:space="preserve">and</w:t>
      </w:r>
      <w:r>
        <w:t xml:space="preserve"> </w:t>
      </w:r>
      <w:r>
        <w:t xml:space="preserve">commensurate</w:t>
      </w:r>
      <w:r>
        <w:t xml:space="preserve"> </w:t>
      </w:r>
      <w:r>
        <w:t xml:space="preserve">resolution scope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Option 3</w:t>
      </w:r>
      <w:r>
        <w:br/>
      </w:r>
      <w:r>
        <w:t xml:space="preserve">Substantially</w:t>
      </w:r>
      <w:r>
        <w:t xml:space="preserve"> </w:t>
      </w:r>
      <w:r>
        <w:t xml:space="preserve">improved</w:t>
      </w:r>
      <w:r>
        <w:t xml:space="preserve"> </w:t>
      </w:r>
      <w:r>
        <w:t xml:space="preserve">resolution</w:t>
      </w:r>
      <w:r>
        <w:t xml:space="preserve"> </w:t>
      </w:r>
      <w:r>
        <w:t xml:space="preserve">funding</w:t>
      </w:r>
      <w:r>
        <w:t xml:space="preserve"> </w:t>
      </w:r>
      <w:r>
        <w:t xml:space="preserve">and</w:t>
      </w:r>
      <w:r>
        <w:t xml:space="preserve"> </w:t>
      </w:r>
      <w:r>
        <w:t xml:space="preserve">commensurate</w:t>
      </w:r>
      <w:r>
        <w:t xml:space="preserve"> </w:t>
      </w:r>
      <w:r>
        <w:t xml:space="preserve">resolution</w:t>
      </w:r>
      <w:r>
        <w:t xml:space="preserve"> </w:t>
      </w:r>
      <w:r>
        <w:t xml:space="preserve">scope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4</w:t>
      </w:r>
      <w:r>
        <w:br/>
      </w:r>
      <w:r>
        <w:t xml:space="preserve">Ambitious</w:t>
      </w:r>
      <w:r>
        <w:t xml:space="preserve"> </w:t>
      </w:r>
      <w:r>
        <w:t xml:space="preserve">CMDI</w:t>
      </w:r>
      <w:r>
        <w:t xml:space="preserve"> </w:t>
      </w:r>
      <w:r>
        <w:t xml:space="preserve">reform</w:t>
      </w:r>
      <w:r>
        <w:t xml:space="preserve"> </w:t>
      </w:r>
      <w:r>
        <w:t xml:space="preserve">including EDIS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measures (preventive, resolution, alternative measures in insolvency) that could be used</w:t>
      </w:r>
      <w:r>
        <w:t xml:space="preserve"> </w:t>
      </w:r>
      <w:r>
        <w:t xml:space="preserve">to handle bank failures.</w:t>
      </w:r>
      <w:r>
        <w:br/>
      </w:r>
      <w:r>
        <w:t xml:space="preserve">In terms of cost-efficiency, option 3 would deliver benefits exceeding its costs by</w:t>
      </w:r>
      <w:r>
        <w:t xml:space="preserve"> </w:t>
      </w:r>
      <w:r>
        <w:t xml:space="preserve">ensuring that already established industry-funded safety nets could be used more broadly</w:t>
      </w:r>
      <w:r>
        <w:t xml:space="preserve"> </w:t>
      </w:r>
      <w:r>
        <w:t xml:space="preserve">and in a more efficient manner130. Additional obligations on banks generated through this</w:t>
      </w:r>
      <w:r>
        <w:t xml:space="preserve"> </w:t>
      </w:r>
      <w:r>
        <w:t xml:space="preserve">reform would be mitigated by increased societal benefits, through protecting financial</w:t>
      </w:r>
      <w:r>
        <w:t xml:space="preserve"> </w:t>
      </w:r>
      <w:r>
        <w:t xml:space="preserve">stability and taxpayer money, more market consolidation and transferring the benefits</w:t>
      </w:r>
      <w:r>
        <w:t xml:space="preserve"> </w:t>
      </w:r>
      <w:r>
        <w:t xml:space="preserve">from banks’ creditors to depositors and taxpayers. In comparison, option 4 would deliver</w:t>
      </w:r>
      <w:r>
        <w:t xml:space="preserve"> </w:t>
      </w:r>
      <w:r>
        <w:t xml:space="preserve">more cost synergies to the industry through reductions of contributions to EDIS, thanks</w:t>
      </w:r>
      <w:r>
        <w:t xml:space="preserve"> </w:t>
      </w:r>
      <w:r>
        <w:t xml:space="preserve">to the pooling effects that a central fund would create. However, in option 3 (as in option</w:t>
      </w:r>
      <w:r>
        <w:t xml:space="preserve"> </w:t>
      </w:r>
      <w:r>
        <w:t xml:space="preserve">2), the potential increase in costs for banks due to calls to replenish depleted safety nets,</w:t>
      </w:r>
      <w:r>
        <w:t xml:space="preserve"> </w:t>
      </w:r>
      <w:r>
        <w:t xml:space="preserve">requirements to build-up loss absorbing capacity and other additional requirements,</w:t>
      </w:r>
      <w:r>
        <w:t xml:space="preserve"> </w:t>
      </w:r>
      <w:r>
        <w:t xml:space="preserve">which come with having a resolution strategy (e.g. reporting, becoming more resolvable),</w:t>
      </w:r>
      <w:r>
        <w:t xml:space="preserve"> </w:t>
      </w:r>
      <w:r>
        <w:t xml:space="preserve">would not be balanced by any cost reduction in contributions to the safety nets under this</w:t>
      </w:r>
      <w:r>
        <w:t xml:space="preserve"> </w:t>
      </w:r>
      <w:r>
        <w:t xml:space="preserve">option.</w:t>
      </w:r>
      <w:r>
        <w:t xml:space="preserve"> </w:t>
      </w:r>
      <w:r>
        <w:t xml:space="preserve">In terms of coherence, all option packages, including option 3 have been designed with</w:t>
      </w:r>
      <w:r>
        <w:t xml:space="preserve"> </w:t>
      </w:r>
      <w:r>
        <w:t xml:space="preserve">internal coherence among the various elements in mind (e.g. ambition on the PIA</w:t>
      </w:r>
      <w:r>
        <w:t xml:space="preserve"> </w:t>
      </w:r>
      <w:r>
        <w:t xml:space="preserve">expansion matched by funding solutions).</w:t>
      </w:r>
      <w:r>
        <w:br/>
      </w:r>
      <w:r>
        <w:t xml:space="preserve">The changes envisaged under option 2 go into the same direction as the ones described</w:t>
      </w:r>
      <w:r>
        <w:t xml:space="preserve"> </w:t>
      </w:r>
      <w:r>
        <w:t xml:space="preserve">for option 3, however they would deliver a less extensive reform and, as a result, achieve</w:t>
      </w:r>
      <w:r>
        <w:t xml:space="preserve"> </w:t>
      </w:r>
      <w:r>
        <w:t xml:space="preserve">a less effective outcome in terms of the objectives of the framework. This is mainly due</w:t>
      </w:r>
      <w:r>
        <w:t xml:space="preserve"> </w:t>
      </w:r>
      <w:r>
        <w:t xml:space="preserve">to a less effective outcome in terms of potentially unlocking DGS funds as a result of</w:t>
      </w:r>
      <w:r>
        <w:t xml:space="preserve"> </w:t>
      </w:r>
      <w:r>
        <w:t xml:space="preserve">implementing a two-tier depositor preference as opposed to a single-tier depositor</w:t>
      </w:r>
      <w:r>
        <w:t xml:space="preserve"> </w:t>
      </w:r>
      <w:r>
        <w:t xml:space="preserve">preference as envisaged under option 3, which may limit the potential to place more</w:t>
      </w:r>
      <w:r>
        <w:t xml:space="preserve"> </w:t>
      </w:r>
      <w:r>
        <w:t xml:space="preserve">banks in resolution. The overall costs of option 2 may be somewhat lower than in option</w:t>
      </w:r>
      <w:r>
        <w:t xml:space="preserve"> </w:t>
      </w:r>
      <w:r>
        <w:t xml:space="preserve">3, but so are the benefits delivered, i.e. a narrower scope to broaden resolution matched</w:t>
      </w:r>
      <w:r>
        <w:t xml:space="preserve"> </w:t>
      </w:r>
      <w:r>
        <w:t xml:space="preserve">by a narrower increase in funding, as explained in the respective sections in Chapter 6.</w:t>
      </w:r>
      <w:r>
        <w:br/>
      </w:r>
      <w:r>
        <w:t xml:space="preserve">When ranking the effectiveness of the various reform options envisaged and measured in</w:t>
      </w:r>
      <w:r>
        <w:t xml:space="preserve"> </w:t>
      </w:r>
      <w:r>
        <w:t xml:space="preserve">terms of PIA scope, access to industry funding and depositor protection, the benefits</w:t>
      </w:r>
      <w:r>
        <w:t xml:space="preserve"> </w:t>
      </w:r>
      <w:r>
        <w:t xml:space="preserve">delivered under option 2 would improve the current framework (baseline) less</w:t>
      </w:r>
      <w:r>
        <w:t xml:space="preserve"> </w:t>
      </w:r>
      <w:r>
        <w:t xml:space="preserve">significantly. Option 3 would make a more substantial impact than option 2. Based on the</w:t>
      </w:r>
      <w:r>
        <w:t xml:space="preserve"> </w:t>
      </w:r>
      <w:r>
        <w:t xml:space="preserve">sample analysed in Annex 7, section 4.1.3, the funding unlocked under option 3 would be</w:t>
      </w:r>
      <w:r>
        <w:t xml:space="preserve"> </w:t>
      </w:r>
      <w:r>
        <w:t xml:space="preserve">20 times higher than under the baseline, while it would be five times higher than under</w:t>
      </w:r>
      <w:r>
        <w:t xml:space="preserve"> </w:t>
      </w:r>
      <w:r>
        <w:t xml:space="preserve">option 2. In this regard, option 3 would lead to an increased protection of taxpayer</w:t>
      </w:r>
      <w:r>
        <w:t xml:space="preserve"> </w:t>
      </w:r>
      <w:r>
        <w:t xml:space="preserve">money and depositors, although it would also come at a potentially higher cost for the</w:t>
      </w:r>
      <w:r>
        <w:t xml:space="preserve"> </w:t>
      </w:r>
      <w:r>
        <w:t xml:space="preserve">banking sector.</w:t>
      </w:r>
    </w:p>
    <w:p>
      <w:pPr>
        <w:pStyle w:val="BodyText"/>
      </w:pPr>
      <w:r>
        <w:t xml:space="preserve">130 Using the DGS fund for measures other than payout may result in lower disbursement needs than when</w:t>
      </w:r>
      <w:r>
        <w:t xml:space="preserve"> </w:t>
      </w:r>
      <w:r>
        <w:t xml:space="preserve">paying out covered deposits in insolvency. See sections 7.1.4.4 and 7.2.2.6 in the evaluation (Annex 5) and</w:t>
      </w:r>
      <w:r>
        <w:t xml:space="preserve"> </w:t>
      </w:r>
      <w:r>
        <w:t xml:space="preserve">ECB (October 2022), Protecting depositors and saving money - why DGS in the EU should be able to</w:t>
      </w:r>
      <w:r>
        <w:t xml:space="preserve"> </w:t>
      </w:r>
      <w:r>
        <w:t xml:space="preserve">support transfers of assets and liabilities when a bank fails.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6.3. Common elements across the packages of options</w:t>
      </w:r>
      <w:r>
        <w:t xml:space="preserve"> </w:t>
      </w:r>
      <w:r>
        <w:t xml:space="preserve">This section provides an assessment of additional policy changes envisaged to enhance</w:t>
      </w:r>
      <w:r>
        <w:t xml:space="preserve"> </w:t>
      </w:r>
      <w:r>
        <w:t xml:space="preserve">depositor protection and which are common across all packages of options. The</w:t>
      </w:r>
      <w:r>
        <w:t xml:space="preserve"> </w:t>
      </w:r>
      <w:r>
        <w:t xml:space="preserve">remaining common elements across all packages of options (early intervention measures,</w:t>
      </w:r>
      <w:r>
        <w:t xml:space="preserve"> </w:t>
      </w:r>
      <w:r>
        <w:t xml:space="preserve">timing of FOLF trigger, interaction between FOLF and insolvency triggers) listed in</w:t>
      </w:r>
      <w:r>
        <w:t xml:space="preserve"> </w:t>
      </w:r>
      <w:r>
        <w:t xml:space="preserve">section 5.5 are of a more technical nature and presented in Annex 8.</w:t>
      </w:r>
      <w:r>
        <w:br/>
      </w:r>
      <w:r>
        <w:t xml:space="preserve">Depositor protection</w:t>
      </w:r>
      <w:r>
        <w:t xml:space="preserve"> </w:t>
      </w:r>
      <w:r>
        <w:t xml:space="preserve">As observed in the four EBA opinions, the consistency of depositor protection in the EU</w:t>
      </w:r>
      <w:r>
        <w:t xml:space="preserve"> </w:t>
      </w:r>
      <w:r>
        <w:t xml:space="preserve">needs to be improved across all options131. In addition to the current standard protection</w:t>
      </w:r>
      <w:r>
        <w:t xml:space="preserve"> </w:t>
      </w:r>
      <w:r>
        <w:t xml:space="preserve">of EUR 100 000 per depositor per bank applicable across the EU, more convergence</w:t>
      </w:r>
      <w:r>
        <w:t xml:space="preserve"> </w:t>
      </w:r>
      <w:r>
        <w:t xml:space="preserve">focusing on specific depositors (i.e. public authorities) or types of deposits (i.e. client</w:t>
      </w:r>
      <w:r>
        <w:t xml:space="preserve"> </w:t>
      </w:r>
      <w:r>
        <w:t xml:space="preserve">funds of financial institutions, so-called temporary high balances) would contribute to a</w:t>
      </w:r>
      <w:r>
        <w:t xml:space="preserve"> </w:t>
      </w:r>
      <w:r>
        <w:t xml:space="preserve">more equal treatment of depositors across the EU. The organisation of depositor payouts,</w:t>
      </w:r>
      <w:r>
        <w:t xml:space="preserve"> </w:t>
      </w:r>
      <w:r>
        <w:t xml:space="preserve">addressing various situations involving money-laundering concerns in a cross-border</w:t>
      </w:r>
      <w:r>
        <w:t xml:space="preserve"> </w:t>
      </w:r>
      <w:r>
        <w:t xml:space="preserve">context, or specific elements of information disclosure would also benefit from</w:t>
      </w:r>
      <w:r>
        <w:t xml:space="preserve"> </w:t>
      </w:r>
      <w:r>
        <w:t xml:space="preserve">improvements. Having regard to the increasing volume of cross-border and Fintech</w:t>
      </w:r>
      <w:r>
        <w:t xml:space="preserve"> </w:t>
      </w:r>
      <w:r>
        <w:t xml:space="preserve">services132, these improvements would also help depositors navigate the different legal</w:t>
      </w:r>
      <w:r>
        <w:t xml:space="preserve"> </w:t>
      </w:r>
      <w:r>
        <w:t xml:space="preserve">regimes to claim the repayment of their deposits in other Member States.</w:t>
      </w:r>
      <w:r>
        <w:br/>
      </w:r>
      <w:r>
        <w:t xml:space="preserve">Key areas for further improvements are:</w:t>
      </w:r>
      <w:r>
        <w:t xml:space="preserve"> </w:t>
      </w:r>
      <w:r>
        <w:t xml:space="preserve">- Eligibility for depositor protection (e.g. public authorities);</w:t>
      </w:r>
      <w:r>
        <w:t xml:space="preserve"> </w:t>
      </w:r>
      <w:r>
        <w:t xml:space="preserve">- DGS payout processes (prescription timelines, determination of repayable</w:t>
      </w:r>
      <w:r>
        <w:t xml:space="preserve"> </w:t>
      </w:r>
      <w:r>
        <w:t xml:space="preserve">amount, set off);</w:t>
      </w:r>
      <w:r>
        <w:t xml:space="preserve"> </w:t>
      </w:r>
      <w:r>
        <w:t xml:space="preserve">- Specific improvements to information disclosure for depositors;</w:t>
      </w:r>
      <w:r>
        <w:t xml:space="preserve"> </w:t>
      </w:r>
      <w:r>
        <w:t xml:space="preserve">- Cooperation between DGSs (reimbursements in host Member States, passported</w:t>
      </w:r>
      <w:r>
        <w:t xml:space="preserve"> </w:t>
      </w:r>
      <w:r>
        <w:t xml:space="preserve">services and transfers of contributions in the event of changes to DGS affiliation);</w:t>
      </w:r>
      <w:r>
        <w:t xml:space="preserve"> </w:t>
      </w:r>
      <w:r>
        <w:t xml:space="preserve">- DGS funding (definition of available financial means, use of funding sources);</w:t>
      </w:r>
      <w:r>
        <w:br/>
      </w:r>
      <w:r>
        <w:t xml:space="preserve">- More convergence in the application of national options and discretions, e.g. </w:t>
      </w:r>
      <w:r>
        <w:t xml:space="preserve"> </w:t>
      </w:r>
      <w:r>
        <w:t xml:space="preserve">temporary high balances, third country branches;</w:t>
      </w:r>
      <w:r>
        <w:t xml:space="preserve"> </w:t>
      </w:r>
      <w:r>
        <w:t xml:space="preserve">- The treatment of client funds held by non-bank financial institutions.</w:t>
      </w:r>
      <w:r>
        <w:t xml:space="preserve"> </w:t>
      </w:r>
      <w:r>
        <w:t xml:space="preserve">Box 4: Implementing the EBA advice</w:t>
      </w:r>
      <w:r>
        <w:br/>
      </w:r>
      <w:r>
        <w:t xml:space="preserve">The analysed policy options closely follow the opinions provided by the EBA for the</w:t>
      </w:r>
      <w:r>
        <w:t xml:space="preserve"> </w:t>
      </w:r>
      <w:r>
        <w:t xml:space="preserve">CMDI review through two main channels.</w:t>
      </w:r>
      <w:r>
        <w:t xml:space="preserve"> </w:t>
      </w:r>
      <w:r>
        <w:t xml:space="preserve">First, the options retain 16 out of 19 recommendations from a set of four opinions</w:t>
      </w:r>
      <w:r>
        <w:t xml:space="preserve"> </w:t>
      </w:r>
      <w:r>
        <w:t xml:space="preserve">dedicated to the review of the DGSD functioning (Table 10, Annex 6, section 2). The</w:t>
      </w:r>
      <w:r>
        <w:t xml:space="preserve"> </w:t>
      </w:r>
      <w:r>
        <w:t xml:space="preserve">only exceptions are related to definitions of certain concepts discarded based on</w:t>
      </w:r>
      <w:r>
        <w:t xml:space="preserve"> </w:t>
      </w:r>
      <w:r>
        <w:t xml:space="preserve">technical and legal considerations, or to recommendations which received no support</w:t>
      </w:r>
    </w:p>
    <w:p>
      <w:pPr>
        <w:pStyle w:val="BodyText"/>
      </w:pPr>
      <w:r>
        <w:t xml:space="preserve">131 See Chapter 2, section 2.3.1 and Annex 6.</w:t>
      </w:r>
      <w:r>
        <w:t xml:space="preserve"> </w:t>
      </w:r>
      <w:r>
        <w:t xml:space="preserve">132 Fintech services refer to technology and innovation that aims to compete with traditional financial</w:t>
      </w:r>
      <w:r>
        <w:t xml:space="preserve"> </w:t>
      </w:r>
      <w:r>
        <w:t xml:space="preserve">methods in the delivery of financial services (e.g. payments, investment).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from Member States. This is the case for the following elements:</w:t>
      </w:r>
      <w:r>
        <w:t xml:space="preserve"> </w:t>
      </w:r>
      <w:r>
        <w:t xml:space="preserve">-</w:t>
      </w:r>
      <w:r>
        <w:t xml:space="preserve"> </w:t>
      </w:r>
      <w:r>
        <w:t xml:space="preserve">the recommendation to clarify the concept of “normal banking transaction” in the</w:t>
      </w:r>
      <w:r>
        <w:t xml:space="preserve"> </w:t>
      </w:r>
      <w:r>
        <w:t xml:space="preserve">definition of deposit in light of recent case law133 that clarifies whether certain</w:t>
      </w:r>
      <w:r>
        <w:t xml:space="preserve"> </w:t>
      </w:r>
      <w:r>
        <w:t xml:space="preserve">funds held on an account fall within the definition of a deposit will be subject to a</w:t>
      </w:r>
      <w:r>
        <w:t xml:space="preserve"> </w:t>
      </w:r>
      <w:r>
        <w:t xml:space="preserve">case-by-case assessment;</w:t>
      </w:r>
      <w:r>
        <w:br/>
      </w:r>
      <w:r>
        <w:t xml:space="preserve">-</w:t>
      </w:r>
      <w:r>
        <w:t xml:space="preserve"> </w:t>
      </w:r>
      <w:r>
        <w:t xml:space="preserve">the recommendation to assess whether there was a need to revise the definition of</w:t>
      </w:r>
      <w:r>
        <w:t xml:space="preserve"> </w:t>
      </w:r>
      <w:r>
        <w:t xml:space="preserve">low-risk assets related to investments of the DGS available financial means led to</w:t>
      </w:r>
      <w:r>
        <w:t xml:space="preserve"> </w:t>
      </w:r>
      <w:r>
        <w:t xml:space="preserve">the conclusion that there was no need to change this definition based on the</w:t>
      </w:r>
      <w:r>
        <w:t xml:space="preserve"> </w:t>
      </w:r>
      <w:r>
        <w:t xml:space="preserve">feedback received from Member States where a majority did not see merit in</w:t>
      </w:r>
      <w:r>
        <w:t xml:space="preserve"> </w:t>
      </w:r>
      <w:r>
        <w:t xml:space="preserve">changing the current definition;</w:t>
      </w:r>
      <w:r>
        <w:br/>
      </w:r>
      <w:r>
        <w:t xml:space="preserve">-</w:t>
      </w:r>
      <w:r>
        <w:t xml:space="preserve"> </w:t>
      </w:r>
      <w:r>
        <w:t xml:space="preserve">the recommendation on the possibility to use failed institutions’ assets for a DGS</w:t>
      </w:r>
      <w:r>
        <w:t xml:space="preserve"> </w:t>
      </w:r>
      <w:r>
        <w:t xml:space="preserve">payout was discarded based on the low likelihood that a failed institution would</w:t>
      </w:r>
      <w:r>
        <w:t xml:space="preserve"> </w:t>
      </w:r>
      <w:r>
        <w:t xml:space="preserve">have a significant amount of liquid assets to pay depositors in the DGS’ stead.</w:t>
      </w:r>
      <w:r>
        <w:t xml:space="preserve"> </w:t>
      </w:r>
      <w:r>
        <w:t xml:space="preserve">Second, the EBA report responding to the Commission’s call for advice regarding</w:t>
      </w:r>
      <w:r>
        <w:t xml:space="preserve"> </w:t>
      </w:r>
      <w:r>
        <w:t xml:space="preserve">funding in resolution and insolvency was fully taken into account. The policy options of</w:t>
      </w:r>
      <w:r>
        <w:t xml:space="preserve"> </w:t>
      </w:r>
      <w:r>
        <w:t xml:space="preserve">the impact assessment mirror the different scenarios of changes in the creditor hierarchy</w:t>
      </w:r>
      <w:r>
        <w:t xml:space="preserve"> </w:t>
      </w:r>
      <w:r>
        <w:t xml:space="preserve">analysed by the EBA, from the unharmonised three-tier depositor preference (status quo)</w:t>
      </w:r>
      <w:r>
        <w:t xml:space="preserve"> </w:t>
      </w:r>
      <w:r>
        <w:t xml:space="preserve">to the harmonised single-tier depositor preference (preferred option). The EBA provides</w:t>
      </w:r>
      <w:r>
        <w:t xml:space="preserve"> </w:t>
      </w:r>
      <w:r>
        <w:t xml:space="preserve">evidence that equally preferring all deposits to other ordinary unsecured claims could</w:t>
      </w:r>
      <w:r>
        <w:t xml:space="preserve"> </w:t>
      </w:r>
      <w:r>
        <w:t xml:space="preserve">significantly increase the number of institutions that could be more efficiently managed</w:t>
      </w:r>
      <w:r>
        <w:t xml:space="preserve"> </w:t>
      </w:r>
      <w:r>
        <w:t xml:space="preserve">in case of failure, by (i) reducing the overall cost (as the value of the bank is better</w:t>
      </w:r>
      <w:r>
        <w:t xml:space="preserve"> </w:t>
      </w:r>
      <w:r>
        <w:t xml:space="preserve">preserved when it can be sold in resolution, as opposed to its assets sold in pieces in</w:t>
      </w:r>
      <w:r>
        <w:t xml:space="preserve"> </w:t>
      </w:r>
      <w:r>
        <w:t xml:space="preserve">insolvency), (ii) accessing resolution financing arrangements (funded by the industry as</w:t>
      </w:r>
      <w:r>
        <w:t xml:space="preserve"> </w:t>
      </w:r>
      <w:r>
        <w:t xml:space="preserve">opposed to taxpayers) and (iii) avoiding a bail-in of deposits (and deriving financial</w:t>
      </w:r>
      <w:r>
        <w:t xml:space="preserve"> </w:t>
      </w:r>
      <w:r>
        <w:t xml:space="preserve">stability concerns and possible contagion generated by the unavailability of deposits in a</w:t>
      </w:r>
      <w:r>
        <w:t xml:space="preserve"> </w:t>
      </w:r>
      <w:r>
        <w:t xml:space="preserve">liquidation). The impact assessment leverages on this pivotal conclusion to justify its</w:t>
      </w:r>
      <w:r>
        <w:t xml:space="preserve"> </w:t>
      </w:r>
      <w:r>
        <w:t xml:space="preserve">policy choices in Annex 7 and reproduces the EBA’s quantitative material in the</w:t>
      </w:r>
      <w:r>
        <w:t xml:space="preserve"> </w:t>
      </w:r>
      <w:r>
        <w:t xml:space="preserve">numerical tables reported in this Annex.</w:t>
      </w:r>
      <w:r>
        <w:br/>
      </w:r>
      <w:r>
        <w:t xml:space="preserve">7.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The packages of policy options outlined above would all provide an improvement to the</w:t>
      </w:r>
      <w:r>
        <w:t xml:space="preserve"> </w:t>
      </w:r>
      <w:r>
        <w:t xml:space="preserve">status quo. All of them address, to some extent, some of the core issues identified in the</w:t>
      </w:r>
      <w:r>
        <w:t xml:space="preserve"> </w:t>
      </w:r>
      <w:r>
        <w:t xml:space="preserve">problem definition and follow a similar direction. In particular, they would allow (to</w:t>
      </w:r>
      <w:r>
        <w:t xml:space="preserve"> </w:t>
      </w:r>
      <w:r>
        <w:t xml:space="preserve">various degrees) a more extensive application of resolution, more proportionate and</w:t>
      </w:r>
      <w:r>
        <w:t xml:space="preserve"> </w:t>
      </w:r>
      <w:r>
        <w:t xml:space="preserve">consistent access to funding sources in resolution and outside, and incentivise a more</w:t>
      </w:r>
      <w:r>
        <w:t xml:space="preserve"> </w:t>
      </w:r>
      <w:r>
        <w:t xml:space="preserve">extensive use of the sources of financing which are funded by the industry (resolution</w:t>
      </w:r>
      <w:r>
        <w:t xml:space="preserve"> </w:t>
      </w:r>
      <w:r>
        <w:t xml:space="preserve">fund, DGS) as a possible complement to the internal loss absorption capacity of the bank</w:t>
      </w:r>
      <w:r>
        <w:t xml:space="preserve"> </w:t>
      </w:r>
      <w:r>
        <w:t xml:space="preserve">concerned. This would foster financial stability, depositor protection and limit recourse</w:t>
      </w:r>
      <w:r>
        <w:t xml:space="preserve"> </w:t>
      </w:r>
      <w:r>
        <w:t xml:space="preserve">to taxpayers’ funds. As an important distinguishing element, option 4 would also</w:t>
      </w:r>
      <w:r>
        <w:t xml:space="preserve"> </w:t>
      </w:r>
      <w:r>
        <w:t xml:space="preserve">implement EDIS as a central fund134, which would backstop the national DGS funds and</w:t>
      </w:r>
      <w:r>
        <w:t xml:space="preserve"> </w:t>
      </w:r>
      <w:r>
        <w:t xml:space="preserve">reduce the link between banks and sovereigns, which cannot be achieved under the other</w:t>
      </w:r>
    </w:p>
    <w:p>
      <w:pPr>
        <w:pStyle w:val="BodyText"/>
      </w:pPr>
      <w:r>
        <w:t xml:space="preserve">133 The EU CJEU has clarified the meaning of the concept ‘normal banking transactions’ in the judgment</w:t>
      </w:r>
      <w:r>
        <w:t xml:space="preserve"> </w:t>
      </w:r>
      <w:r>
        <w:t xml:space="preserve">of 22 March 2018 (Joined cases C 688/15 and C 109/16 Anisimovienė and Others v. Snoras).</w:t>
      </w:r>
      <w:r>
        <w:t xml:space="preserve"> </w:t>
      </w:r>
      <w:r>
        <w:t xml:space="preserve">134 However, a different mechanism (hybrid) than the fully fledged EDIS put forward in the 2015</w:t>
      </w:r>
      <w:r>
        <w:t xml:space="preserve"> </w:t>
      </w:r>
      <w:r>
        <w:t xml:space="preserve">Commission proposal.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options. Although option 4 would be an important step towards completing the Banking</w:t>
      </w:r>
      <w:r>
        <w:t xml:space="preserve"> </w:t>
      </w:r>
      <w:r>
        <w:t xml:space="preserve">Union, it cannot be implemented politically at this point in time.</w:t>
      </w:r>
      <w:r>
        <w:t xml:space="preserve"> </w:t>
      </w:r>
      <w:r>
        <w:t xml:space="preserve">All the options provide improvements with respect to the legal certainty and</w:t>
      </w:r>
      <w:r>
        <w:t xml:space="preserve"> </w:t>
      </w:r>
      <w:r>
        <w:t xml:space="preserve">predictability in the management of bank failures. In particular, the clarifications to</w:t>
      </w:r>
      <w:r>
        <w:t xml:space="preserve"> </w:t>
      </w:r>
      <w:r>
        <w:t xml:space="preserve">important provisions such as the harmonisation of the least cost test contribute to</w:t>
      </w:r>
      <w:r>
        <w:t xml:space="preserve"> </w:t>
      </w:r>
      <w:r>
        <w:t xml:space="preserve">clarifying and resolving certain interpretive issues which have led to uncertainty in the</w:t>
      </w:r>
      <w:r>
        <w:t xml:space="preserve"> </w:t>
      </w:r>
      <w:r>
        <w:t xml:space="preserve">application of the framework.</w:t>
      </w:r>
      <w:r>
        <w:br/>
      </w:r>
      <w:r>
        <w:t xml:space="preserve">In the same vein, the proposed clarifications to some elements of the toolbox (detailed in</w:t>
      </w:r>
      <w:r>
        <w:t xml:space="preserve"> </w:t>
      </w:r>
      <w:r>
        <w:t xml:space="preserve">section 6.3 of Chapter 6 and in Annex 8) which are important to ensure early action</w:t>
      </w:r>
      <w:r>
        <w:t xml:space="preserve"> </w:t>
      </w:r>
      <w:r>
        <w:t xml:space="preserve">before the bank’s failure (early intervention measures, preventive DGSD measures,</w:t>
      </w:r>
      <w:r>
        <w:t xml:space="preserve"> </w:t>
      </w:r>
      <w:r>
        <w:t xml:space="preserve">BRRD precautionary measures) are effective in ensuring a better framed and more</w:t>
      </w:r>
      <w:r>
        <w:t xml:space="preserve"> </w:t>
      </w:r>
      <w:r>
        <w:t xml:space="preserve">consistent use of these tools. Additionally, clarifications regarding advancing the</w:t>
      </w:r>
      <w:r>
        <w:t xml:space="preserve"> </w:t>
      </w:r>
      <w:r>
        <w:t xml:space="preserve">timeliness of resolution action (by ensuring an adequately early FOLF triggering) would</w:t>
      </w:r>
      <w:r>
        <w:t xml:space="preserve"> </w:t>
      </w:r>
      <w:r>
        <w:t xml:space="preserve">bring significant net societal benefits in terms of cost minimisation. While there may be</w:t>
      </w:r>
      <w:r>
        <w:t xml:space="preserve"> </w:t>
      </w:r>
      <w:r>
        <w:t xml:space="preserve">limitations to the degree of ambition for advancing the determination in time of a bank as</w:t>
      </w:r>
      <w:r>
        <w:t xml:space="preserve"> </w:t>
      </w:r>
      <w:r>
        <w:t xml:space="preserve">FOLF135, the earlier this determination is made, the more resources (capital, liquidity) are</w:t>
      </w:r>
      <w:r>
        <w:t xml:space="preserve"> </w:t>
      </w:r>
      <w:r>
        <w:t xml:space="preserve">available in the failing bank to facilitate the execution of a successful resolution action</w:t>
      </w:r>
      <w:r>
        <w:t xml:space="preserve"> </w:t>
      </w:r>
      <w:r>
        <w:t xml:space="preserve">with potentially less need to impose losses on deposits. Finally, clarifications to the</w:t>
      </w:r>
      <w:r>
        <w:t xml:space="preserve"> </w:t>
      </w:r>
      <w:r>
        <w:t xml:space="preserve">FOLF triggers and their coordination with triggers for insolvency (see Annex 8) would</w:t>
      </w:r>
      <w:r>
        <w:t xml:space="preserve"> </w:t>
      </w:r>
      <w:r>
        <w:t xml:space="preserve">improve clarity with respect to the need for a swift exit of a failing bank from the market</w:t>
      </w:r>
      <w:r>
        <w:t xml:space="preserve"> </w:t>
      </w:r>
      <w:r>
        <w:t xml:space="preserve">when there is no public interest in resolution. This in turn reduces the burden for</w:t>
      </w:r>
      <w:r>
        <w:t xml:space="preserve"> </w:t>
      </w:r>
      <w:r>
        <w:t xml:space="preserve">authorities and banks in ensuring compliance with the legislative provisions. Since many</w:t>
      </w:r>
      <w:r>
        <w:t xml:space="preserve"> </w:t>
      </w:r>
      <w:r>
        <w:t xml:space="preserve">of these amendments and clarifications are common to all options, it can be concluded</w:t>
      </w:r>
      <w:r>
        <w:t xml:space="preserve"> </w:t>
      </w:r>
      <w:r>
        <w:t xml:space="preserve">that they all equally achieve the mentioned objective.</w:t>
      </w:r>
      <w:r>
        <w:br/>
      </w:r>
      <w:r>
        <w:t xml:space="preserve">However, with respect to the objective of improving the effectiveness of the funding</w:t>
      </w:r>
      <w:r>
        <w:t xml:space="preserve"> </w:t>
      </w:r>
      <w:r>
        <w:t xml:space="preserve">options and address the divergent access conditions in resolution and outside resolution,</w:t>
      </w:r>
      <w:r>
        <w:t xml:space="preserve"> </w:t>
      </w:r>
      <w:r>
        <w:t xml:space="preserve">not all options are able to achieve the policy objectives to the same extent. From this</w:t>
      </w:r>
      <w:r>
        <w:t xml:space="preserve"> </w:t>
      </w:r>
      <w:r>
        <w:t xml:space="preserve">perspective, the design features on access conditions to, and availability of funding are</w:t>
      </w:r>
      <w:r>
        <w:t xml:space="preserve"> </w:t>
      </w:r>
      <w:r>
        <w:t xml:space="preserve">intrinsically linked with the scope of resolution that would be achieved as predicated by</w:t>
      </w:r>
      <w:r>
        <w:t xml:space="preserve"> </w:t>
      </w:r>
      <w:r>
        <w:t xml:space="preserve">the PIA under the various options. In this respect, option 3 is the preferred option</w:t>
      </w:r>
      <w:r>
        <w:t xml:space="preserve"> </w:t>
      </w:r>
      <w:r>
        <w:t xml:space="preserve">retained, as it achieves a strong funding from industry-funded safety nets aimed at</w:t>
      </w:r>
      <w:r>
        <w:t xml:space="preserve"> </w:t>
      </w:r>
      <w:r>
        <w:t xml:space="preserve">supporting transfer strategies for failing banks in resolution or under alternative</w:t>
      </w:r>
      <w:r>
        <w:t xml:space="preserve"> </w:t>
      </w:r>
      <w:r>
        <w:t xml:space="preserve">measures, if available, setting the stage for a credible broadening of the resolution scope.</w:t>
      </w:r>
      <w:r>
        <w:br/>
      </w:r>
      <w:r>
        <w:t xml:space="preserve">Option 3 would make more DGS funds available for measures other than the payout of</w:t>
      </w:r>
      <w:r>
        <w:t xml:space="preserve"> </w:t>
      </w:r>
      <w:r>
        <w:t xml:space="preserve">covered deposits in insolvency by harmonising the ranking of deposits through a single-</w:t>
      </w:r>
      <w:r>
        <w:t xml:space="preserve"> </w:t>
      </w:r>
      <w:r>
        <w:t xml:space="preserve">tier preference in the hierarchy of claims and removing the super-priority of the DGS.</w:t>
      </w:r>
      <w:r>
        <w:t xml:space="preserve"> </w:t>
      </w:r>
      <w:r>
        <w:t xml:space="preserve">Option 2 would enable a more modest use of DGS funds through a two-tier depositor</w:t>
      </w:r>
      <w:r>
        <w:t xml:space="preserve"> </w:t>
      </w:r>
      <w:r>
        <w:t xml:space="preserve">preference without the super-priority of DGS, and thus lead to a less ambitious CMDI</w:t>
      </w:r>
      <w:r>
        <w:t xml:space="preserve"> </w:t>
      </w:r>
      <w:r>
        <w:t xml:space="preserve">reform, which would require the same types of legislative changes as option 3 only with</w:t>
      </w:r>
      <w:r>
        <w:t xml:space="preserve"> </w:t>
      </w:r>
      <w:r>
        <w:t xml:space="preserve">a lower impact in terms of achieving the overall objectives of the framework. It should,</w:t>
      </w:r>
      <w:r>
        <w:t xml:space="preserve"> </w:t>
      </w:r>
      <w:r>
        <w:t xml:space="preserve">however, be acknowledged that option 3 would reduce the flexibility for resolution</w:t>
      </w:r>
    </w:p>
    <w:p>
      <w:pPr>
        <w:pStyle w:val="BodyText"/>
      </w:pPr>
      <w:r>
        <w:t xml:space="preserve">135 FOLF may not be triggered if private solutions are available to avert the bank’s failure.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authorities to allocate losses to non-covered non-preferred deposits without breaching the</w:t>
      </w:r>
      <w:r>
        <w:t xml:space="preserve"> </w:t>
      </w:r>
      <w:r>
        <w:t xml:space="preserve">“no creditor worse off” principle, as they would rank pari passu with other deposits</w:t>
      </w:r>
      <w:r>
        <w:t xml:space="preserve"> </w:t>
      </w:r>
      <w:r>
        <w:t xml:space="preserve">excluded from bail-in. The preferred option 3 provides for a reinforced role of DGSs in</w:t>
      </w:r>
      <w:r>
        <w:t xml:space="preserve"> </w:t>
      </w:r>
      <w:r>
        <w:t xml:space="preserve">the context of the CMDI framework. In particular, it promotes a more efficient use of</w:t>
      </w:r>
      <w:r>
        <w:t xml:space="preserve"> </w:t>
      </w:r>
      <w:r>
        <w:t xml:space="preserve">more DGS resources for transfer strategies and introduces the possibility for DGSs to</w:t>
      </w:r>
      <w:r>
        <w:t xml:space="preserve"> </w:t>
      </w:r>
      <w:r>
        <w:t xml:space="preserve">contribute to bridge the gap between deposits and 8% TLOF, under the least cost test.</w:t>
      </w:r>
      <w:r>
        <w:br/>
      </w:r>
      <w:r>
        <w:t xml:space="preserve">All these changes are likely to translate into a more intensive use of DGS funds for</w:t>
      </w:r>
      <w:r>
        <w:t xml:space="preserve"> </w:t>
      </w:r>
      <w:r>
        <w:t xml:space="preserve">measures other than the payout of covered deposits, which in turn may lead to higher</w:t>
      </w:r>
      <w:r>
        <w:t xml:space="preserve"> </w:t>
      </w:r>
      <w:r>
        <w:t xml:space="preserve">costs for the industry in case of replenishment needs and potentially, higher risks of</w:t>
      </w:r>
      <w:r>
        <w:t xml:space="preserve"> </w:t>
      </w:r>
      <w:r>
        <w:t xml:space="preserve">shortfalls. The magnitude of these costs for the industry may be higher under option 3</w:t>
      </w:r>
      <w:r>
        <w:t xml:space="preserve"> </w:t>
      </w:r>
      <w:r>
        <w:t xml:space="preserve">than under option 2, but they would also be balanced by addressing the identified</w:t>
      </w:r>
      <w:r>
        <w:t xml:space="preserve"> </w:t>
      </w:r>
      <w:r>
        <w:t xml:space="preserve">problems to a greater extent and in a more credible manner and achieving greater societal</w:t>
      </w:r>
      <w:r>
        <w:t xml:space="preserve"> </w:t>
      </w:r>
      <w:r>
        <w:t xml:space="preserve">benefits through a considerably higher likelihood to preserve financial stability, protect</w:t>
      </w:r>
      <w:r>
        <w:t xml:space="preserve"> </w:t>
      </w:r>
      <w:r>
        <w:t xml:space="preserve">public funds and deposits. Also, as shown in the evaluation (sections 7.1.4.4. and 7.2.2.6)</w:t>
      </w:r>
      <w:r>
        <w:t xml:space="preserve"> </w:t>
      </w:r>
      <w:r>
        <w:t xml:space="preserve">using DGS funds to facilitate transfer transactions in resolution or alternative measures is</w:t>
      </w:r>
      <w:r>
        <w:t xml:space="preserve"> </w:t>
      </w:r>
      <w:r>
        <w:t xml:space="preserve">likely more efficient than paying out covered deposits in insolvency (baseline).</w:t>
      </w:r>
      <w:r>
        <w:br/>
      </w:r>
      <w:r>
        <w:t xml:space="preserve">In the absence of EDIS, the only available avenues to remedy a DGS shortfall would be</w:t>
      </w:r>
      <w:r>
        <w:t xml:space="preserve"> </w:t>
      </w:r>
      <w:r>
        <w:t xml:space="preserve">recourse to industry ex post contributions, alternative funding arrangements136 and, in</w:t>
      </w:r>
      <w:r>
        <w:t xml:space="preserve"> </w:t>
      </w:r>
      <w:r>
        <w:t xml:space="preserve">insolvency, to supplement the DGS intervention with liquidation aid financed by the</w:t>
      </w:r>
      <w:r>
        <w:t xml:space="preserve"> </w:t>
      </w:r>
      <w:r>
        <w:t xml:space="preserve">State. In all cases, the solutions are less efficient than receiving financing from a</w:t>
      </w:r>
      <w:r>
        <w:t xml:space="preserve"> </w:t>
      </w:r>
      <w:r>
        <w:t xml:space="preserve">centralised EDIS, which would provide an opportunity for lowering banks’ contributions</w:t>
      </w:r>
      <w:r>
        <w:t xml:space="preserve"> </w:t>
      </w:r>
      <w:r>
        <w:t xml:space="preserve">and a much more easily accessible source of financing compared to borrowing from other</w:t>
      </w:r>
      <w:r>
        <w:t xml:space="preserve"> </w:t>
      </w:r>
      <w:r>
        <w:t xml:space="preserve">DGSs or the market. Moreover, an EDIS backstop to national DGS funds would weaken</w:t>
      </w:r>
      <w:r>
        <w:t xml:space="preserve"> </w:t>
      </w:r>
      <w:r>
        <w:t xml:space="preserve">the bank-sovereign link. The political reality, however, has removed the implementation</w:t>
      </w:r>
      <w:r>
        <w:t xml:space="preserve"> </w:t>
      </w:r>
      <w:r>
        <w:t xml:space="preserve">of EDIS as part of this CMDI reform package. But even without EDIS, the CMDI reform</w:t>
      </w:r>
      <w:r>
        <w:t xml:space="preserve"> </w:t>
      </w:r>
      <w:r>
        <w:t xml:space="preserve">would improve the framework substantially by ensuring more banks could be handled via</w:t>
      </w:r>
      <w:r>
        <w:t xml:space="preserve"> </w:t>
      </w:r>
      <w:r>
        <w:t xml:space="preserve">the harmonised framework by using the banks’ loss absorbing capacity and industry-</w:t>
      </w:r>
      <w:r>
        <w:t xml:space="preserve"> </w:t>
      </w:r>
      <w:r>
        <w:t xml:space="preserve">funded safety nets rather than taxpayers’ funds.</w:t>
      </w:r>
      <w:r>
        <w:br/>
      </w:r>
      <w:r>
        <w:t xml:space="preserve">Finally, also when it comes to the objective of addressing the uneven and inconsistent</w:t>
      </w:r>
      <w:r>
        <w:t xml:space="preserve"> </w:t>
      </w:r>
      <w:r>
        <w:t xml:space="preserve">depositor protection, all options provide clarifications aimed at reducing the divergences</w:t>
      </w:r>
      <w:r>
        <w:t xml:space="preserve"> </w:t>
      </w:r>
      <w:r>
        <w:t xml:space="preserve">in the protection of depositors across Member States (see further Annex 6). However, the</w:t>
      </w:r>
      <w:r>
        <w:t xml:space="preserve"> </w:t>
      </w:r>
      <w:r>
        <w:t xml:space="preserve">lack of robustness in DGS funding identified as an issue in Chapter 2 cannot be fixed via</w:t>
      </w:r>
      <w:r>
        <w:t xml:space="preserve"> </w:t>
      </w:r>
      <w:r>
        <w:t xml:space="preserve">this reform in the absence of EDIS.</w:t>
      </w:r>
      <w:r>
        <w:br/>
      </w:r>
      <w:r>
        <w:t xml:space="preserve">The proposed policy options would not have a significant impact on administrative costs</w:t>
      </w:r>
      <w:r>
        <w:t xml:space="preserve"> </w:t>
      </w:r>
      <w:r>
        <w:t xml:space="preserve">(i.e. information provision obligations by banks and resolution authorities), which would</w:t>
      </w:r>
      <w:r>
        <w:t xml:space="preserve"> </w:t>
      </w:r>
      <w:r>
        <w:t xml:space="preserve">remain low under all options. This is because, the very marginal increase in reporting</w:t>
      </w:r>
      <w:r>
        <w:t xml:space="preserve"> </w:t>
      </w:r>
      <w:r>
        <w:t xml:space="preserve">burden for banks entering the scope of resolution for the first time137 would be offset by</w:t>
      </w:r>
    </w:p>
    <w:p>
      <w:pPr>
        <w:pStyle w:val="BodyText"/>
      </w:pPr>
      <w:r>
        <w:t xml:space="preserve">136 Article 10(9) DGSD Recourse to alternative funding sources would entail borrowing from the market,</w:t>
      </w:r>
      <w:r>
        <w:t xml:space="preserve"> </w:t>
      </w:r>
      <w:r>
        <w:t xml:space="preserve">from other DGSs or from the State’s public budget.</w:t>
      </w:r>
      <w:r>
        <w:t xml:space="preserve"> </w:t>
      </w:r>
      <w:r>
        <w:t xml:space="preserve">137 Banks entering the scope of resolution for the first time would also be subject to the obligation to</w:t>
      </w:r>
      <w:r>
        <w:t xml:space="preserve"> </w:t>
      </w:r>
      <w:r>
        <w:t xml:space="preserve">enhance recovery plans, provide information to resolution authorities on a more frequent basis for the</w:t>
      </w:r>
      <w:r>
        <w:t xml:space="preserve"> </w:t>
      </w:r>
      <w:r>
        <w:t xml:space="preserve">preparation of more extensive resolution plans and ensure they become resolvable. While this would also</w:t>
      </w:r>
      <w:r>
        <w:t xml:space="preserve"> </w:t>
      </w:r>
      <w:r>
        <w:t xml:space="preserve">involve additional costs for banks, these are estimated to be marginal, because banks earmarked for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the relief resulting from removing the MREL decision for liquidation entities where the</w:t>
      </w:r>
      <w:r>
        <w:t xml:space="preserve"> </w:t>
      </w:r>
      <w:r>
        <w:t xml:space="preserve">MREL requirement is equal to own funds, as also shown in Annex 3.</w:t>
      </w:r>
      <w:r>
        <w:t xml:space="preserve"> </w:t>
      </w:r>
      <w:r>
        <w:t xml:space="preserve">Box 5: What this reform could mean for depositor protection and DGSs</w:t>
      </w:r>
      <w:r>
        <w:t xml:space="preserve"> </w:t>
      </w:r>
      <w:r>
        <w:t xml:space="preserve">Proposed changes under this reform</w:t>
      </w:r>
      <w:r>
        <w:t xml:space="preserve"> </w:t>
      </w:r>
      <w:r>
        <w:t xml:space="preserve"> Facilitated use of DGS funds in resolution to support the transfer of deposits, including non-</w:t>
      </w:r>
      <w:r>
        <w:t xml:space="preserve"> </w:t>
      </w:r>
      <w:r>
        <w:t xml:space="preserve">covered deposits, from smaller/medium-sized banks funded by deposits that would have a</w:t>
      </w:r>
      <w:r>
        <w:t xml:space="preserve"> </w:t>
      </w:r>
      <w:r>
        <w:t xml:space="preserve">positive PIA in case of failure, to other viable acquirers;</w:t>
      </w:r>
      <w:r>
        <w:br/>
      </w:r>
      <w:r>
        <w:t xml:space="preserve"> Possibility to shield more depositors from losses, if conditions are met, at a lower cost for the</w:t>
      </w:r>
      <w:r>
        <w:t xml:space="preserve"> </w:t>
      </w:r>
      <w:r>
        <w:t xml:space="preserve">DGS compared to a payout of covered deposits under insolvency;</w:t>
      </w:r>
      <w:r>
        <w:t xml:space="preserve"> </w:t>
      </w:r>
      <w:r>
        <w:t xml:space="preserve"> Harmonising the depositor preference in the hierarchy of claims by achieving a single-tier</w:t>
      </w:r>
      <w:r>
        <w:t xml:space="preserve"> </w:t>
      </w:r>
      <w:r>
        <w:t xml:space="preserve">depositor preference, reducing unlevel playing field and NCWO issues in cross-border cases;</w:t>
      </w:r>
      <w:r>
        <w:br/>
      </w:r>
      <w:r>
        <w:t xml:space="preserve"> Allowing a more cost-efficient use of DGS funds:</w:t>
      </w:r>
      <w:r>
        <w:t xml:space="preserve"> </w:t>
      </w:r>
      <w:r>
        <w:t xml:space="preserve">- Changing the creditor hierarchy would enable unlocking DGS funds for resolution and</w:t>
      </w:r>
      <w:r>
        <w:t xml:space="preserve"> </w:t>
      </w:r>
      <w:r>
        <w:t xml:space="preserve">alternative measures, under the least cost test, with increased cost efficiency compared to</w:t>
      </w:r>
      <w:r>
        <w:t xml:space="preserve"> </w:t>
      </w:r>
      <w:r>
        <w:t xml:space="preserve">the cost of payout events. However, this would also potentially increase the use of DGS</w:t>
      </w:r>
      <w:r>
        <w:t xml:space="preserve"> </w:t>
      </w:r>
      <w:r>
        <w:t xml:space="preserve">funds for transfer strategies with a call on the industry to replenish them;</w:t>
      </w:r>
      <w:r>
        <w:br/>
      </w:r>
      <w:r>
        <w:t xml:space="preserve">- Facilitating transfer strategies and better preserving the DGS financial means and</w:t>
      </w:r>
      <w:r>
        <w:t xml:space="preserve"> </w:t>
      </w:r>
      <w:r>
        <w:t xml:space="preserve">protecting also non-covered deposits, as they would generally be more cost-effective than</w:t>
      </w:r>
      <w:r>
        <w:t xml:space="preserve"> </w:t>
      </w:r>
      <w:r>
        <w:t xml:space="preserve">the payout of covered deposits. Transfer strategies in resolution could be more cash</w:t>
      </w:r>
      <w:r>
        <w:t xml:space="preserve"> </w:t>
      </w:r>
      <w:r>
        <w:t xml:space="preserve">efficient and preserve the DGS funding capacity (e.g. by providing guarantees), or strongly</w:t>
      </w:r>
      <w:r>
        <w:t xml:space="preserve"> </w:t>
      </w:r>
      <w:r>
        <w:t xml:space="preserve">limit the potential final loss but be more cash consuming (e.g. by providing loans) (see</w:t>
      </w:r>
      <w:r>
        <w:t xml:space="preserve"> </w:t>
      </w:r>
      <w:r>
        <w:t xml:space="preserve">Annex 10);</w:t>
      </w:r>
      <w:r>
        <w:t xml:space="preserve"> </w:t>
      </w:r>
      <w:r>
        <w:t xml:space="preserve">- The use of DGS funds in measures alternative to payout of covered deposits ensures intact</w:t>
      </w:r>
      <w:r>
        <w:t xml:space="preserve"> </w:t>
      </w:r>
      <w:r>
        <w:t xml:space="preserve">client relationships and continued access of depositors to their accounts without any</w:t>
      </w:r>
      <w:r>
        <w:t xml:space="preserve"> </w:t>
      </w:r>
      <w:r>
        <w:t xml:space="preserve">interruption of services, an important aspect in digitalised economies;</w:t>
      </w:r>
      <w:r>
        <w:t xml:space="preserve"> </w:t>
      </w:r>
      <w:r>
        <w:t xml:space="preserve">- A clearer and more consistent approach to preventive measures would also be cost-</w:t>
      </w:r>
      <w:r>
        <w:t xml:space="preserve"> </w:t>
      </w:r>
      <w:r>
        <w:t xml:space="preserve">effective for depositors by avoiding the bank’s deterioration, depositor service interruption</w:t>
      </w:r>
      <w:r>
        <w:t xml:space="preserve"> </w:t>
      </w:r>
      <w:r>
        <w:t xml:space="preserve">and costly payout events.</w:t>
      </w:r>
      <w:r>
        <w:t xml:space="preserve"> </w:t>
      </w:r>
      <w:r>
        <w:t xml:space="preserve"> Least cost test:</w:t>
      </w:r>
      <w:r>
        <w:t xml:space="preserve"> </w:t>
      </w:r>
      <w:r>
        <w:t xml:space="preserve">- Removing legal uncertainty and inconsistency regarding the least cost test and the DGS</w:t>
      </w:r>
      <w:r>
        <w:t xml:space="preserve"> </w:t>
      </w:r>
      <w:r>
        <w:t xml:space="preserve">intervention in preventive measures, resolution and alternative measures in insolvency</w:t>
      </w:r>
      <w:r>
        <w:t xml:space="preserve"> </w:t>
      </w:r>
      <w:r>
        <w:t xml:space="preserve">(clarification and harmonisation of applicable conditions under Articles 11(3), 11(6)</w:t>
      </w:r>
      <w:r>
        <w:t xml:space="preserve"> </w:t>
      </w:r>
      <w:r>
        <w:t xml:space="preserve">DGSD and Article 109 BRRD);</w:t>
      </w:r>
      <w:r>
        <w:t xml:space="preserve"> </w:t>
      </w:r>
      <w:r>
        <w:t xml:space="preserve">- The inclusion of indirect costs in the least cost test calculation may be envisaged, but this</w:t>
      </w:r>
      <w:r>
        <w:t xml:space="preserve"> </w:t>
      </w:r>
      <w:r>
        <w:t xml:space="preserve">alone would not replace the effect that the changes in the hierarchy of claims have on its</w:t>
      </w:r>
      <w:r>
        <w:t xml:space="preserve"> </w:t>
      </w:r>
      <w:r>
        <w:t xml:space="preserve">outcome.</w:t>
      </w:r>
    </w:p>
    <w:p>
      <w:pPr>
        <w:pStyle w:val="BodyText"/>
      </w:pPr>
      <w:r>
        <w:t xml:space="preserve">liquidation already report data to resolution authorities who prepare resolution plans albeit on a less</w:t>
      </w:r>
      <w:r>
        <w:t xml:space="preserve"> </w:t>
      </w:r>
      <w:r>
        <w:t xml:space="preserve">frequent basis (under simplified obligations).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What stays the same</w:t>
      </w:r>
      <w:r>
        <w:t xml:space="preserve"> </w:t>
      </w:r>
      <w:r>
        <w:t xml:space="preserve"> The DGS coverage level (eligible deposits up to, generally, 100,000 EUR) and the DGS target</w:t>
      </w:r>
      <w:r>
        <w:t xml:space="preserve"> </w:t>
      </w:r>
      <w:r>
        <w:t xml:space="preserve">level (in principle, 0.8% of covered deposits);</w:t>
      </w:r>
      <w:r>
        <w:t xml:space="preserve"> </w:t>
      </w:r>
      <w:r>
        <w:t xml:space="preserve"> Covered deposits and of the remaining part of eligible deposits of natural persons and SMEs</w:t>
      </w:r>
      <w:r>
        <w:t xml:space="preserve"> </w:t>
      </w:r>
      <w:r>
        <w:t xml:space="preserve">(preferred deposits) would continue to rank senior to ordinary unsecured creditors;</w:t>
      </w:r>
      <w:r>
        <w:t xml:space="preserve"> </w:t>
      </w:r>
      <w:r>
        <w:t xml:space="preserve"> The protection of covered deposits, which continues to be ensured by:</w:t>
      </w:r>
      <w:r>
        <w:t xml:space="preserve"> </w:t>
      </w:r>
      <w:r>
        <w:t xml:space="preserve">- the mandatory exclusion of covered deposits from bail-in as per Article 44(2) BRRD</w:t>
      </w:r>
      <w:r>
        <w:t xml:space="preserve"> </w:t>
      </w:r>
      <w:r>
        <w:t xml:space="preserve">- The repayment of the covered amount guaranteed by the DGS, in case of unavailability</w:t>
      </w:r>
      <w:r>
        <w:t xml:space="preserve"> </w:t>
      </w:r>
      <w:r>
        <w:t xml:space="preserve">- the possibility for the DGS to contribute to interventions other than the payout of covered</w:t>
      </w:r>
      <w:r>
        <w:t xml:space="preserve"> </w:t>
      </w:r>
      <w:r>
        <w:t xml:space="preserve">deposits, such as contribution to resolution or to preventive measures and alternative</w:t>
      </w:r>
      <w:r>
        <w:t xml:space="preserve"> </w:t>
      </w:r>
      <w:r>
        <w:t xml:space="preserve">measures in insolvency;</w:t>
      </w:r>
      <w:r>
        <w:t xml:space="preserve"> </w:t>
      </w:r>
      <w:r>
        <w:t xml:space="preserve"> The counterfactual in the least cost test (referring to the losses that covered deposits would</w:t>
      </w:r>
      <w:r>
        <w:t xml:space="preserve"> </w:t>
      </w:r>
      <w:r>
        <w:t xml:space="preserve">have incurred in insolvency).</w:t>
      </w:r>
    </w:p>
    <w:p>
      <w:pPr>
        <w:pStyle w:val="BodyText"/>
      </w:pPr>
      <w:r>
        <w:t xml:space="preserve">Rationale for shielding also (non-covered) depositors from losses</w:t>
      </w:r>
      <w:r>
        <w:t xml:space="preserve"> </w:t>
      </w:r>
      <w:r>
        <w:t xml:space="preserve"> Allowing more credible transfer strategies by facilitating the inclusion in the transfer</w:t>
      </w:r>
      <w:r>
        <w:t xml:space="preserve"> </w:t>
      </w:r>
      <w:r>
        <w:t xml:space="preserve">perimeter of entire deposit contracts and not only the covered part. This avoids compromising</w:t>
      </w:r>
      <w:r>
        <w:t xml:space="preserve"> </w:t>
      </w:r>
      <w:r>
        <w:t xml:space="preserve">the customer relationship and the franchise value, which would otherwise increase the risk of</w:t>
      </w:r>
      <w:r>
        <w:t xml:space="preserve"> </w:t>
      </w:r>
      <w:r>
        <w:t xml:space="preserve">deposit runs and potentially impair the appetite of the acquirer for the transfer;</w:t>
      </w:r>
      <w:r>
        <w:t xml:space="preserve"> </w:t>
      </w:r>
      <w:r>
        <w:t xml:space="preserve"> Maintaining the integrity of deposits, which are considered by most national authorities</w:t>
      </w:r>
      <w:r>
        <w:t xml:space="preserve"> </w:t>
      </w:r>
      <w:r>
        <w:t xml:space="preserve">instrumental to bank intermediation in the economy (i.e. channelling savings into investments</w:t>
      </w:r>
      <w:r>
        <w:t xml:space="preserve"> </w:t>
      </w:r>
      <w:r>
        <w:t xml:space="preserve">and lending), one of the main pillars of confidence in the banking system and an important</w:t>
      </w:r>
      <w:r>
        <w:t xml:space="preserve"> </w:t>
      </w:r>
      <w:r>
        <w:t xml:space="preserve">element to financial stability and the functioning of the payment system;</w:t>
      </w:r>
      <w:r>
        <w:t xml:space="preserve"> </w:t>
      </w:r>
      <w:r>
        <w:t xml:space="preserve"> Deposits fulfil a different role in the economy than investor claims. Depositors use banks,</w:t>
      </w:r>
      <w:r>
        <w:t xml:space="preserve"> </w:t>
      </w:r>
      <w:r>
        <w:t xml:space="preserve">primarily, as a secure place for placing their savings, for meeting future needs, while investors</w:t>
      </w:r>
      <w:r>
        <w:t xml:space="preserve"> </w:t>
      </w:r>
      <w:r>
        <w:t xml:space="preserve">take a (remunerated) claim in the bank after having analysed related risks and rewards;</w:t>
      </w:r>
      <w:r>
        <w:t xml:space="preserve"> </w:t>
      </w:r>
      <w:r>
        <w:t xml:space="preserve"> Alignment with past experiences of handling banks’ failures showing a high interest in</w:t>
      </w:r>
      <w:r>
        <w:t xml:space="preserve"> </w:t>
      </w:r>
      <w:r>
        <w:t xml:space="preserve">protecting deposits, where State aid was granted, inter alia, with the aim of protecting</w:t>
      </w:r>
      <w:r>
        <w:t xml:space="preserve"> </w:t>
      </w:r>
      <w:r>
        <w:t xml:space="preserve">depositors and where the use of those public funds did not require the burden sharing of any</w:t>
      </w:r>
      <w:r>
        <w:t xml:space="preserve"> </w:t>
      </w:r>
      <w:r>
        <w:t xml:space="preserve">depositor.</w:t>
      </w:r>
      <w:r>
        <w:t xml:space="preserve"> </w:t>
      </w:r>
      <w:r>
        <w:t xml:space="preserve">It can be concluded that, from a technical point of view, Option 3 is the one that would,</w:t>
      </w:r>
      <w:r>
        <w:t xml:space="preserve"> </w:t>
      </w:r>
      <w:r>
        <w:t xml:space="preserve">on balance, meet most of the objectives in the most effective, efficient and coherent</w:t>
      </w:r>
      <w:r>
        <w:t xml:space="preserve"> </w:t>
      </w:r>
      <w:r>
        <w:t xml:space="preserve">manner. This would entail a legislative proposal addressing the funding and the incentive</w:t>
      </w:r>
      <w:r>
        <w:t xml:space="preserve"> </w:t>
      </w:r>
      <w:r>
        <w:t xml:space="preserve">compatibility problems in the CMDI, namely measures to improve the proportionality of</w:t>
      </w:r>
      <w:r>
        <w:t xml:space="preserve"> </w:t>
      </w:r>
      <w:r>
        <w:t xml:space="preserve">accessing the resolution fund for deposit-based banks, by opening the possibility for the</w:t>
      </w:r>
      <w:r>
        <w:t xml:space="preserve"> </w:t>
      </w:r>
      <w:r>
        <w:t xml:space="preserve">DGS to be used to cover some of the losses that would otherwise be borne by depositors</w:t>
      </w:r>
      <w:r>
        <w:t xml:space="preserve"> </w:t>
      </w:r>
      <w:r>
        <w:t xml:space="preserve">(in order to reach the 8% TLOF and access resolution financing). The improvement in</w:t>
      </w:r>
      <w:r>
        <w:t xml:space="preserve"> </w:t>
      </w:r>
      <w:r>
        <w:t xml:space="preserve">proportionality is necessary in order to make the framework work for smaller/medium-</w:t>
      </w:r>
      <w:r>
        <w:t xml:space="preserve"> </w:t>
      </w:r>
      <w:r>
        <w:t xml:space="preserve">sized banks and it does not go beyond what is strictly necessary for the sake of meeting</w:t>
      </w:r>
      <w:r>
        <w:t xml:space="preserve"> </w:t>
      </w:r>
      <w:r>
        <w:t xml:space="preserve">the policy objectives.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These technical considerations are aligning well with the equally relevant political ones</w:t>
      </w:r>
      <w:r>
        <w:t xml:space="preserve"> </w:t>
      </w:r>
      <w:r>
        <w:t xml:space="preserve">expressed by Member States in the June 2022 Eurogroup statement and by the European</w:t>
      </w:r>
      <w:r>
        <w:t xml:space="preserve"> </w:t>
      </w:r>
      <w:r>
        <w:t xml:space="preserve">Parliament138. While the Commission retains full authority and independence in</w:t>
      </w:r>
      <w:r>
        <w:t xml:space="preserve"> </w:t>
      </w:r>
      <w:r>
        <w:t xml:space="preserve">proposing legislation, it is appropriate and efficient to take into account the elements</w:t>
      </w:r>
      <w:r>
        <w:t xml:space="preserve"> </w:t>
      </w:r>
      <w:r>
        <w:t xml:space="preserve">emerging from the related political discussions. Striking a balance between a solution</w:t>
      </w:r>
      <w:r>
        <w:t xml:space="preserve"> </w:t>
      </w:r>
      <w:r>
        <w:t xml:space="preserve">which can satisfactorily address the identified problems while being sufficiently</w:t>
      </w:r>
      <w:r>
        <w:t xml:space="preserve"> </w:t>
      </w:r>
      <w:r>
        <w:t xml:space="preserve">supported politically should form the basis for a successful negotiation between the co-</w:t>
      </w:r>
      <w:r>
        <w:t xml:space="preserve"> </w:t>
      </w:r>
      <w:r>
        <w:t xml:space="preserve">legislators.</w:t>
      </w:r>
      <w:r>
        <w:t xml:space="preserve"> </w:t>
      </w:r>
      <w:r>
        <w:t xml:space="preserve">REFIT</w:t>
      </w:r>
      <w:r>
        <w:t xml:space="preserve"> </w:t>
      </w:r>
      <w:r>
        <w:t xml:space="preserve">The proposed reform will bring about benefits with respect to administrative efficiency</w:t>
      </w:r>
      <w:r>
        <w:t xml:space="preserve"> </w:t>
      </w:r>
      <w:r>
        <w:t xml:space="preserve">and cost savings. These are largely the result of the various proposed measures to</w:t>
      </w:r>
      <w:r>
        <w:t xml:space="preserve"> </w:t>
      </w:r>
      <w:r>
        <w:t xml:space="preserve">increase the harmonisation of certain elements of the framework and to clarify points,</w:t>
      </w:r>
      <w:r>
        <w:t xml:space="preserve"> </w:t>
      </w:r>
      <w:r>
        <w:t xml:space="preserve">which have led to considerable discussion to achieve agreed interpretations.</w:t>
      </w:r>
      <w:r>
        <w:t xml:space="preserve"> </w:t>
      </w:r>
      <w:r>
        <w:t xml:space="preserve">In this respect, the measures proposed on the least cost test and the use of a consistent</w:t>
      </w:r>
      <w:r>
        <w:t xml:space="preserve"> </w:t>
      </w:r>
      <w:r>
        <w:t xml:space="preserve">methodology across different uses of DGSs will bring more simplification. Similar</w:t>
      </w:r>
      <w:r>
        <w:t xml:space="preserve"> </w:t>
      </w:r>
      <w:r>
        <w:t xml:space="preserve">positive impacts should be expected from the proposed clarifications to the use of DGSs</w:t>
      </w:r>
      <w:r>
        <w:t xml:space="preserve"> </w:t>
      </w:r>
      <w:r>
        <w:t xml:space="preserve">in resolution (Article 109 BRRD), and the use of resolution fund resources for liquidity</w:t>
      </w:r>
      <w:r>
        <w:t xml:space="preserve"> </w:t>
      </w:r>
      <w:r>
        <w:t xml:space="preserve">purposes. Other relevant clarifications in this respect are those related to the use of early</w:t>
      </w:r>
      <w:r>
        <w:t xml:space="preserve"> </w:t>
      </w:r>
      <w:r>
        <w:t xml:space="preserve">intervention measures, where simplification and clarity is achieved by removing overlaps</w:t>
      </w:r>
      <w:r>
        <w:t xml:space="preserve"> </w:t>
      </w:r>
      <w:r>
        <w:t xml:space="preserve">with supervisory measures, which have so far impaired the use of early intervention</w:t>
      </w:r>
      <w:r>
        <w:t xml:space="preserve"> </w:t>
      </w:r>
      <w:r>
        <w:t xml:space="preserve">measures. In addition, clarifications of FOLF triggers and the concept of winding down</w:t>
      </w:r>
      <w:r>
        <w:t xml:space="preserve"> </w:t>
      </w:r>
      <w:r>
        <w:t xml:space="preserve">under national measures applying in case of negative PIA will ensure further certainty</w:t>
      </w:r>
      <w:r>
        <w:t xml:space="preserve"> </w:t>
      </w:r>
      <w:r>
        <w:t xml:space="preserve">and consistency of outcomes of the procedures available.</w:t>
      </w:r>
      <w:r>
        <w:t xml:space="preserve"> </w:t>
      </w:r>
      <w:r>
        <w:t xml:space="preserve">Additionally, the proposed harmonisation of the ranking of depositors will bring about</w:t>
      </w:r>
      <w:r>
        <w:t xml:space="preserve"> </w:t>
      </w:r>
      <w:r>
        <w:t xml:space="preserve">more consistency and harmonisation across Member States on the treatment of deposits,</w:t>
      </w:r>
      <w:r>
        <w:t xml:space="preserve"> </w:t>
      </w:r>
      <w:r>
        <w:t xml:space="preserve">avoid uncertainties and potential unlevel playing field. It will also facilitate the role of</w:t>
      </w:r>
      <w:r>
        <w:t xml:space="preserve"> </w:t>
      </w:r>
      <w:r>
        <w:t xml:space="preserve">the resolution authorities when assessing the existence of breaches of the no creditor</w:t>
      </w:r>
      <w:r>
        <w:t xml:space="preserve"> </w:t>
      </w:r>
      <w:r>
        <w:t xml:space="preserve">worse of principle. In the same manner, the proposed technical improvements in the</w:t>
      </w:r>
      <w:r>
        <w:t xml:space="preserve"> </w:t>
      </w:r>
      <w:r>
        <w:t xml:space="preserve">DGSD139 are expected to remedy application issues and improve, overall, the consistency</w:t>
      </w:r>
      <w:r>
        <w:t xml:space="preserve"> </w:t>
      </w:r>
      <w:r>
        <w:t xml:space="preserve">of depositor protection in the EU.</w:t>
      </w:r>
      <w:r>
        <w:br/>
      </w:r>
      <w:r>
        <w:t xml:space="preserve">Finally, the improvements included in this initiative are “future-proof” and deemed to</w:t>
      </w:r>
      <w:r>
        <w:t xml:space="preserve"> </w:t>
      </w:r>
      <w:r>
        <w:t xml:space="preserve">significantly enhance the preparedness of banks and resolution authorities in dealing with</w:t>
      </w:r>
      <w:r>
        <w:t xml:space="preserve"> </w:t>
      </w:r>
      <w:r>
        <w:t xml:space="preserve">emerging and future crises cases, especially in the context of the deteriorating economic</w:t>
      </w:r>
      <w:r>
        <w:t xml:space="preserve"> </w:t>
      </w:r>
      <w:r>
        <w:t xml:space="preserve">environment due to geopolitical tensions.</w:t>
      </w:r>
    </w:p>
    <w:p>
      <w:pPr>
        <w:pStyle w:val="BodyText"/>
      </w:pPr>
      <w:r>
        <w:t xml:space="preserve">138 See also section 6.1.2.6 on the main considerations of the European Parliament related to the CMDI</w:t>
      </w:r>
      <w:r>
        <w:t xml:space="preserve"> </w:t>
      </w:r>
      <w:r>
        <w:t xml:space="preserve">reform.</w:t>
      </w:r>
      <w:r>
        <w:t xml:space="preserve"> </w:t>
      </w:r>
      <w:r>
        <w:t xml:space="preserve">139 See section 6.3 and Annex 8 on the ‘Common elements across the packages of options’.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Other impacts</w:t>
      </w:r>
      <w:r>
        <w:t xml:space="preserve"> </w:t>
      </w:r>
      <w:r>
        <w:t xml:space="preserve">Climate and environmental impacts</w:t>
      </w:r>
      <w:r>
        <w:t xml:space="preserve"> </w:t>
      </w:r>
      <w:r>
        <w:t xml:space="preserve">Pursuant to Article 6(4) of the European Climate Law140, no direct climate or</w:t>
      </w:r>
      <w:r>
        <w:t xml:space="preserve"> </w:t>
      </w:r>
      <w:r>
        <w:t xml:space="preserve">environmental impacts and no significant harm, either direct or indirect, are expected to</w:t>
      </w:r>
      <w:r>
        <w:t xml:space="preserve"> </w:t>
      </w:r>
      <w:r>
        <w:t xml:space="preserve">arise from the implementation of the preferred option. The initiative may have some</w:t>
      </w:r>
      <w:r>
        <w:t xml:space="preserve"> </w:t>
      </w:r>
      <w:r>
        <w:t xml:space="preserve">indirect positive impacts on fostering the transition to a more sustainable economy by</w:t>
      </w:r>
      <w:r>
        <w:t xml:space="preserve"> </w:t>
      </w:r>
      <w:r>
        <w:t xml:space="preserve">increasing financial stability and the overall resilience of the banking sector, therefore</w:t>
      </w:r>
      <w:r>
        <w:t xml:space="preserve"> </w:t>
      </w:r>
      <w:r>
        <w:t xml:space="preserve">enabling banks’ contribution to green transition goals. This effect would be however</w:t>
      </w:r>
      <w:r>
        <w:t xml:space="preserve"> </w:t>
      </w:r>
      <w:r>
        <w:t xml:space="preserve">indirect and is not possible to quantify. The initiative is considered to be consistent with</w:t>
      </w:r>
      <w:r>
        <w:t xml:space="preserve"> </w:t>
      </w:r>
      <w:r>
        <w:t xml:space="preserve">the objectives of the European Climate Law.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Employees are not directly impacted. A robust and resilient banking sector and enhanced</w:t>
      </w:r>
      <w:r>
        <w:t xml:space="preserve"> </w:t>
      </w:r>
      <w:r>
        <w:t xml:space="preserve">protection of depositors in cases of bank failures, including of SMEs and larger corporate</w:t>
      </w:r>
      <w:r>
        <w:t xml:space="preserve"> </w:t>
      </w:r>
      <w:r>
        <w:t xml:space="preserve">depositors, would increase the likelihood that employees would be able to keep their jobs</w:t>
      </w:r>
      <w:r>
        <w:t xml:space="preserve"> </w:t>
      </w:r>
      <w:r>
        <w:t xml:space="preserve">in companies that hold deposits and are clients in banks. Moreover, a solid banking</w:t>
      </w:r>
      <w:r>
        <w:t xml:space="preserve"> </w:t>
      </w:r>
      <w:r>
        <w:t xml:space="preserve">sector could better contribute to financing the economy and promoting growth which</w:t>
      </w:r>
      <w:r>
        <w:t xml:space="preserve"> </w:t>
      </w:r>
      <w:r>
        <w:t xml:space="preserve">would benefit the non-financial sector and their employees. No further significant social</w:t>
      </w:r>
      <w:r>
        <w:t xml:space="preserve"> </w:t>
      </w:r>
      <w:r>
        <w:t xml:space="preserve">impacts are expected.</w:t>
      </w:r>
      <w:r>
        <w:t xml:space="preserve"> </w:t>
      </w:r>
      <w:r>
        <w:t xml:space="preserve">SMEs</w:t>
      </w:r>
      <w:r>
        <w:t xml:space="preserve"> </w:t>
      </w:r>
      <w:r>
        <w:t xml:space="preserve">The CMDI review is not directly addressed to SMEs, however they would benefit from</w:t>
      </w:r>
      <w:r>
        <w:t xml:space="preserve"> </w:t>
      </w:r>
      <w:r>
        <w:t xml:space="preserve">the improvements that the reform is expected to bring, in their quality of depositors and</w:t>
      </w:r>
      <w:r>
        <w:t xml:space="preserve"> </w:t>
      </w:r>
      <w:r>
        <w:t xml:space="preserve">bank customers. The initiative aims to ensure that the crisis management toolbox can be</w:t>
      </w:r>
      <w:r>
        <w:t xml:space="preserve"> </w:t>
      </w:r>
      <w:r>
        <w:t xml:space="preserve">flexibly applied to more smaller/medium-sized banks in a manner that achieves the</w:t>
      </w:r>
      <w:r>
        <w:t xml:space="preserve"> </w:t>
      </w:r>
      <w:r>
        <w:t xml:space="preserve">framework’s objectives, including the protection of depositors, which can be SMEs.</w:t>
      </w:r>
      <w:r>
        <w:t xml:space="preserve"> </w:t>
      </w:r>
      <w:r>
        <w:t xml:space="preserve">Additionally, enabling crisis management tools facilitating the transfer of the failing</w:t>
      </w:r>
      <w:r>
        <w:t xml:space="preserve"> </w:t>
      </w:r>
      <w:r>
        <w:t xml:space="preserve">bank’s business to a buyer would ensure the continued client relationship for depositors,</w:t>
      </w:r>
      <w:r>
        <w:t xml:space="preserve"> </w:t>
      </w:r>
      <w:r>
        <w:t xml:space="preserve">including SMEs and avoid the interruption of access to the accounts and the risk of</w:t>
      </w:r>
      <w:r>
        <w:t xml:space="preserve"> </w:t>
      </w:r>
      <w:r>
        <w:t xml:space="preserve">losing the non-insured part of their deposit, as in case of an insolvency.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This initiative has a slightly positive impact on digitalisation, arising notably through the</w:t>
      </w:r>
      <w:r>
        <w:t xml:space="preserve"> </w:t>
      </w:r>
      <w:r>
        <w:t xml:space="preserve">proposed option to broaden the use of DGS funds for supporting the handling of failing</w:t>
      </w:r>
      <w:r>
        <w:t xml:space="preserve"> </w:t>
      </w:r>
      <w:r>
        <w:t xml:space="preserve">banks through measures other than payout in insolvency (i.e. resolution, preventive or</w:t>
      </w:r>
      <w:r>
        <w:t xml:space="preserve"> </w:t>
      </w:r>
      <w:r>
        <w:t xml:space="preserve">alternative measures), which would be disruptive for customers’ continued access to their</w:t>
      </w:r>
      <w:r>
        <w:t xml:space="preserve"> </w:t>
      </w:r>
      <w:r>
        <w:t xml:space="preserve">accounts for a significant period of time. Based on our assessment, the preferred option</w:t>
      </w:r>
      <w:r>
        <w:t xml:space="preserve"> </w:t>
      </w:r>
      <w:r>
        <w:t xml:space="preserve">would ensure continued access to customer accounts, an important element encouraging</w:t>
      </w:r>
      <w:r>
        <w:t xml:space="preserve"> </w:t>
      </w:r>
      <w:r>
        <w:t xml:space="preserve">digitalisation in banking services.</w:t>
      </w:r>
    </w:p>
    <w:p>
      <w:pPr>
        <w:pStyle w:val="BodyText"/>
      </w:pPr>
      <w:r>
        <w:t xml:space="preserve">140 Regulation (EU) 2021/1119 of the European Parliament and of the Council of 30 June 2021 establishing</w:t>
      </w:r>
      <w:r>
        <w:t xml:space="preserve"> </w:t>
      </w:r>
      <w:r>
        <w:t xml:space="preserve">the framework for achieving climate neutrality and amending Regulations (EC) No 401/2009 and (EU)</w:t>
      </w:r>
      <w:r>
        <w:t xml:space="preserve"> </w:t>
      </w:r>
      <w:r>
        <w:t xml:space="preserve">2018/1999 (‘European Climate Law’)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External impacts</w:t>
      </w:r>
      <w:r>
        <w:t xml:space="preserve"> </w:t>
      </w:r>
      <w:r>
        <w:t xml:space="preserve">This initiative does not specifically target third countries or their entities, as it is focused</w:t>
      </w:r>
      <w:r>
        <w:t xml:space="preserve"> </w:t>
      </w:r>
      <w:r>
        <w:t xml:space="preserve">on reforming the EU CMDI framework. However, certain benefits arising from further</w:t>
      </w:r>
      <w:r>
        <w:t xml:space="preserve"> </w:t>
      </w:r>
      <w:r>
        <w:t xml:space="preserve">legal clarity, harmonisation and standardisation (i.e. depositor preference in the creditor</w:t>
      </w:r>
      <w:r>
        <w:t xml:space="preserve"> </w:t>
      </w:r>
      <w:r>
        <w:t xml:space="preserve">hierarchy) would also benefit entities of third country banks operating in the EU.</w:t>
      </w:r>
      <w:r>
        <w:t xml:space="preserve"> </w:t>
      </w:r>
      <w:r>
        <w:t xml:space="preserve">Impact on fundamental rights</w:t>
      </w:r>
      <w:r>
        <w:t xml:space="preserve"> </w:t>
      </w:r>
      <w:r>
        <w:t xml:space="preserve">The preferred option respects the rights and principles set out in the Charter of</w:t>
      </w:r>
      <w:r>
        <w:t xml:space="preserve"> </w:t>
      </w:r>
      <w:r>
        <w:t xml:space="preserve">Fundamental Rights. The free movement of persons, services and establishment</w:t>
      </w:r>
      <w:r>
        <w:t xml:space="preserve"> </w:t>
      </w:r>
      <w:r>
        <w:t xml:space="preserve">constituting one of the basic rights and freedoms protected by the Treaty on the European</w:t>
      </w:r>
      <w:r>
        <w:t xml:space="preserve"> </w:t>
      </w:r>
      <w:r>
        <w:t xml:space="preserve">Union and the Treaty on the Functioning of the European Union is relevant for this</w:t>
      </w:r>
      <w:r>
        <w:t xml:space="preserve"> </w:t>
      </w:r>
      <w:r>
        <w:t xml:space="preserve">measure.</w:t>
      </w:r>
      <w:r>
        <w:t xml:space="preserve"> </w:t>
      </w:r>
      <w:r>
        <w:t xml:space="preserve">The preferred option will not have any negative impacts on fundamental rights since</w:t>
      </w:r>
      <w:r>
        <w:t xml:space="preserve"> </w:t>
      </w:r>
      <w:r>
        <w:t xml:space="preserve">most Member States recognise that the need to safeguard the rights of banks’</w:t>
      </w:r>
      <w:r>
        <w:t xml:space="preserve"> </w:t>
      </w:r>
      <w:r>
        <w:t xml:space="preserve">shareholders and creditors must be balanced against the rights of taxpayers, depositors</w:t>
      </w:r>
      <w:r>
        <w:t xml:space="preserve"> </w:t>
      </w:r>
      <w:r>
        <w:t xml:space="preserve">and the general interest of protecting economic value and financial stability. Overall, the</w:t>
      </w:r>
      <w:r>
        <w:t xml:space="preserve"> </w:t>
      </w:r>
      <w:r>
        <w:t xml:space="preserve">impact on fundamental rights will be neutral.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shall carry out an evaluation of this package of proposed amendments,</w:t>
      </w:r>
      <w:r>
        <w:t xml:space="preserve"> </w:t>
      </w:r>
      <w:r>
        <w:t xml:space="preserve">five years after its entry into application and present a report on the main findings to the</w:t>
      </w:r>
      <w:r>
        <w:t xml:space="preserve"> </w:t>
      </w:r>
      <w:r>
        <w:t xml:space="preserve">European Parliament, the Council and the European Economic and Social Committee.</w:t>
      </w:r>
      <w:r>
        <w:t xml:space="preserve"> </w:t>
      </w:r>
      <w:r>
        <w:t xml:space="preserve">The evaluation shall be conducted according to the Commission’s better regulation</w:t>
      </w:r>
      <w:r>
        <w:t xml:space="preserve"> </w:t>
      </w:r>
      <w:r>
        <w:t xml:space="preserve">Guidelines. Member States shall provide the Commission with the information necessary</w:t>
      </w:r>
      <w:r>
        <w:t xml:space="preserve"> </w:t>
      </w:r>
      <w:r>
        <w:t xml:space="preserve">for the preparation of that report. The evaluation will be based on a list of specific and</w:t>
      </w:r>
      <w:r>
        <w:t xml:space="preserve"> </w:t>
      </w:r>
      <w:r>
        <w:t xml:space="preserve">measurable indicators that are relevant to the objective of the reform, as presented in the</w:t>
      </w:r>
      <w:r>
        <w:t xml:space="preserve"> </w:t>
      </w:r>
      <w:r>
        <w:t xml:space="preserve">following table.</w:t>
      </w:r>
      <w:r>
        <w:t xml:space="preserve"> </w:t>
      </w:r>
      <w:r>
        <w:t xml:space="preserve">Summary of indicators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 of information</w:t>
      </w:r>
      <w:r>
        <w:t xml:space="preserve"> </w:t>
      </w:r>
      <w:r>
        <w:t xml:space="preserve">Data</w:t>
      </w:r>
      <w:r>
        <w:t xml:space="preserve"> </w:t>
      </w:r>
      <w:r>
        <w:t xml:space="preserve">already</w:t>
      </w:r>
      <w:r>
        <w:t xml:space="preserve"> </w:t>
      </w:r>
      <w:r>
        <w:t xml:space="preserve">collected?</w:t>
      </w:r>
      <w:r>
        <w:t xml:space="preserve"> </w:t>
      </w:r>
      <w:r>
        <w:t xml:space="preserve">Actor(s)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Further enhance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and strengthen</w:t>
      </w:r>
      <w:r>
        <w:t xml:space="preserve"> </w:t>
      </w:r>
      <w:r>
        <w:t xml:space="preserve">an even playing</w:t>
      </w:r>
      <w:r>
        <w:t xml:space="preserve"> </w:t>
      </w:r>
      <w:r>
        <w:t xml:space="preserve">field as regards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of the tools</w:t>
      </w:r>
      <w:r>
        <w:t xml:space="preserve"> </w:t>
      </w:r>
      <w:r>
        <w:t xml:space="preserve">available in bank</w:t>
      </w:r>
      <w:r>
        <w:t xml:space="preserve"> </w:t>
      </w:r>
      <w:r>
        <w:t xml:space="preserve">resolution and</w:t>
      </w:r>
      <w:r>
        <w:t xml:space="preserve"> </w:t>
      </w:r>
      <w:r>
        <w:t xml:space="preserve">insolvency.</w:t>
      </w:r>
      <w:r>
        <w:t xml:space="preserve"> </w:t>
      </w:r>
      <w:r>
        <w:t xml:space="preserve">Number of banks undergoing resolution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NRAs/SRB,</w:t>
      </w:r>
      <w:r>
        <w:t xml:space="preserve"> </w:t>
      </w:r>
      <w:r>
        <w:t xml:space="preserve">Official Journal</w:t>
      </w:r>
      <w:r>
        <w:t xml:space="preserve"> </w:t>
      </w:r>
      <w:r>
        <w:t xml:space="preserve">Yes</w:t>
      </w:r>
      <w:r>
        <w:t xml:space="preserve"> </w:t>
      </w:r>
      <w:r>
        <w:t xml:space="preserve">EBA/NRAs/</w:t>
      </w:r>
      <w:r>
        <w:t xml:space="preserve"> </w:t>
      </w:r>
      <w:r>
        <w:t xml:space="preserve">SRB,</w:t>
      </w:r>
      <w:r>
        <w:t xml:space="preserve"> </w:t>
      </w:r>
      <w:r>
        <w:t xml:space="preserve">Commission</w:t>
      </w:r>
      <w:r>
        <w:t xml:space="preserve"> </w:t>
      </w:r>
      <w:r>
        <w:t xml:space="preserve">Number of different resolution tools and powers</w:t>
      </w:r>
      <w:r>
        <w:t xml:space="preserve"> </w:t>
      </w:r>
      <w:r>
        <w:t xml:space="preserve">applied (e.g. transfer tools, bail-in)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NRAs/SRB</w:t>
      </w:r>
      <w:r>
        <w:t xml:space="preserve"> </w:t>
      </w:r>
      <w:r>
        <w:t xml:space="preserve">Yes</w:t>
      </w:r>
      <w:r>
        <w:t xml:space="preserve"> </w:t>
      </w:r>
      <w:r>
        <w:t xml:space="preserve">EBA/NRAs/</w:t>
      </w:r>
      <w:r>
        <w:t xml:space="preserve"> </w:t>
      </w:r>
      <w:r>
        <w:t xml:space="preserve">SRB</w:t>
      </w:r>
      <w:r>
        <w:t xml:space="preserve"> </w:t>
      </w:r>
      <w:r>
        <w:t xml:space="preserve">Number of banks benefitting from precautionary</w:t>
      </w:r>
      <w:r>
        <w:t xml:space="preserve"> </w:t>
      </w:r>
      <w:r>
        <w:t xml:space="preserve">aid measures, which subsequently are determined</w:t>
      </w:r>
      <w:r>
        <w:t xml:space="preserve"> </w:t>
      </w:r>
      <w:r>
        <w:t xml:space="preserve">to be FOLF</w:t>
      </w:r>
      <w:r>
        <w:t xml:space="preserve"> </w:t>
      </w:r>
      <w:r>
        <w:t xml:space="preserve">Official Journal</w:t>
      </w:r>
      <w:r>
        <w:t xml:space="preserve"> </w:t>
      </w:r>
      <w:r>
        <w:t xml:space="preserve">Yes</w:t>
      </w:r>
      <w:r>
        <w:t xml:space="preserve"> </w:t>
      </w:r>
      <w:r>
        <w:t xml:space="preserve">Commission</w:t>
      </w:r>
      <w:r>
        <w:t xml:space="preserve"> </w:t>
      </w:r>
      <w:r>
        <w:t xml:space="preserve">Number of banks benefitting from DGS</w:t>
      </w:r>
      <w:r>
        <w:t xml:space="preserve"> </w:t>
      </w:r>
      <w:r>
        <w:t xml:space="preserve">preventive measures, which subsequently are</w:t>
      </w:r>
      <w:r>
        <w:t xml:space="preserve"> </w:t>
      </w:r>
      <w:r>
        <w:t xml:space="preserve">determined to be FOLF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DGSs,</w:t>
      </w:r>
      <w:r>
        <w:t xml:space="preserve"> </w:t>
      </w:r>
      <w:r>
        <w:t xml:space="preserve">Official Journal</w:t>
      </w:r>
      <w:r>
        <w:t xml:space="preserve"> </w:t>
      </w:r>
      <w:r>
        <w:t xml:space="preserve">Yes</w:t>
      </w:r>
      <w:r>
        <w:t xml:space="preserve"> </w:t>
      </w:r>
      <w:r>
        <w:t xml:space="preserve">EBA,</w:t>
      </w:r>
      <w:r>
        <w:t xml:space="preserve"> </w:t>
      </w:r>
      <w:r>
        <w:t xml:space="preserve">Commission</w:t>
      </w:r>
      <w:r>
        <w:t xml:space="preserve"> </w:t>
      </w:r>
      <w:r>
        <w:t xml:space="preserve">Number of banks (for which EIM triggers have</w:t>
      </w:r>
      <w:r>
        <w:t xml:space="preserve"> </w:t>
      </w:r>
      <w:r>
        <w:t xml:space="preserve">been met) addressed through an EIM measure</w:t>
      </w:r>
      <w:r>
        <w:t xml:space="preserve"> </w:t>
      </w:r>
      <w:r>
        <w:t xml:space="preserve">Information from</w:t>
      </w:r>
      <w:r>
        <w:t xml:space="preserve"> </w:t>
      </w:r>
      <w:r>
        <w:t xml:space="preserve">NCAs/SSM</w:t>
      </w:r>
      <w:r>
        <w:t xml:space="preserve"> </w:t>
      </w:r>
      <w:r>
        <w:t xml:space="preserve">No</w:t>
      </w:r>
      <w:r>
        <w:t xml:space="preserve"> </w:t>
      </w:r>
      <w:r>
        <w:t xml:space="preserve">EBA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Number of positive PIA assessments by the</w:t>
      </w:r>
      <w:r>
        <w:t xml:space="preserve"> </w:t>
      </w:r>
      <w:r>
        <w:t xml:space="preserve">NRAs/SRB for banks determined to be FOLF and</w:t>
      </w:r>
      <w:r>
        <w:t xml:space="preserve"> </w:t>
      </w:r>
      <w:r>
        <w:t xml:space="preserve">type of elements included in the</w:t>
      </w:r>
      <w:r>
        <w:t xml:space="preserve"> </w:t>
      </w:r>
      <w:r>
        <w:t xml:space="preserve">PIA assessments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NRAs/SRB</w:t>
      </w:r>
      <w:r>
        <w:t xml:space="preserve"> </w:t>
      </w:r>
      <w:r>
        <w:t xml:space="preserve">No</w:t>
      </w:r>
      <w:r>
        <w:t xml:space="preserve"> </w:t>
      </w:r>
      <w:r>
        <w:t xml:space="preserve">EBA</w:t>
      </w:r>
      <w:r>
        <w:t xml:space="preserve"> </w:t>
      </w:r>
      <w:r>
        <w:t xml:space="preserve">Number of winding up procedures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NCAs/DGSs</w:t>
      </w:r>
      <w:r>
        <w:t xml:space="preserve"> </w:t>
      </w:r>
      <w:r>
        <w:t xml:space="preserve">Yes</w:t>
      </w:r>
      <w:r>
        <w:t xml:space="preserve"> </w:t>
      </w:r>
      <w:r>
        <w:t xml:space="preserve">EBA</w:t>
      </w:r>
      <w:r>
        <w:t xml:space="preserve"> </w:t>
      </w:r>
      <w:r>
        <w:t xml:space="preserve">Average period between the issuance of a</w:t>
      </w:r>
      <w:r>
        <w:t xml:space="preserve"> </w:t>
      </w:r>
      <w:r>
        <w:t xml:space="preserve">negative PIA assessment and the initiation of the</w:t>
      </w:r>
      <w:r>
        <w:t xml:space="preserve"> </w:t>
      </w:r>
      <w:r>
        <w:t xml:space="preserve">orderly winding up proceedings for failing banks</w:t>
      </w:r>
      <w:r>
        <w:t xml:space="preserve"> </w:t>
      </w:r>
      <w:r>
        <w:t xml:space="preserve">that cannot be resolved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NCAs/NRAs/DGSs</w:t>
      </w:r>
      <w:r>
        <w:t xml:space="preserve"> </w:t>
      </w:r>
      <w:r>
        <w:t xml:space="preserve">No</w:t>
      </w:r>
      <w:r>
        <w:t xml:space="preserve"> </w:t>
      </w:r>
      <w:r>
        <w:t xml:space="preserve">EBA</w:t>
      </w:r>
      <w:r>
        <w:t xml:space="preserve"> </w:t>
      </w:r>
      <w:r>
        <w:t xml:space="preserve">Complaints about competitive disadvantages due</w:t>
      </w:r>
      <w:r>
        <w:t xml:space="preserve"> </w:t>
      </w:r>
      <w:r>
        <w:t xml:space="preserve">to different insolvency rankings of ordinary</w:t>
      </w:r>
      <w:r>
        <w:t xml:space="preserve"> </w:t>
      </w:r>
      <w:r>
        <w:t xml:space="preserve">unsecured claims and other deposits</w:t>
      </w:r>
      <w:r>
        <w:t xml:space="preserve"> </w:t>
      </w:r>
      <w:r>
        <w:t xml:space="preserve">Stakeholder feedback</w:t>
      </w:r>
      <w:r>
        <w:t xml:space="preserve"> </w:t>
      </w:r>
      <w:r>
        <w:t xml:space="preserve">No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Ad-hoc statistical analysis e.g. correlation</w:t>
      </w:r>
      <w:r>
        <w:t xml:space="preserve"> </w:t>
      </w:r>
      <w:r>
        <w:t xml:space="preserve">between CDS banking sector and CDS of</w:t>
      </w:r>
      <w:r>
        <w:t xml:space="preserve"> </w:t>
      </w:r>
      <w:r>
        <w:t xml:space="preserve">sovereign, correlation between bank share price</w:t>
      </w:r>
      <w:r>
        <w:t xml:space="preserve"> </w:t>
      </w:r>
      <w:r>
        <w:t xml:space="preserve">and sovereign spread (*)</w:t>
      </w:r>
      <w:r>
        <w:t xml:space="preserve"> </w:t>
      </w:r>
      <w:r>
        <w:t xml:space="preserve">Market data</w:t>
      </w:r>
      <w:r>
        <w:t xml:space="preserve"> </w:t>
      </w:r>
      <w:r>
        <w:t xml:space="preserve">Yes</w:t>
      </w:r>
      <w:r>
        <w:t xml:space="preserve"> </w:t>
      </w:r>
      <w:r>
        <w:t xml:space="preserve">EBA</w:t>
      </w:r>
      <w:r>
        <w:t xml:space="preserve"> </w:t>
      </w:r>
      <w:r>
        <w:t xml:space="preserve">Facilitate access</w:t>
      </w:r>
      <w:r>
        <w:t xml:space="preserve"> </w:t>
      </w:r>
      <w:r>
        <w:t xml:space="preserve">to safety nets in</w:t>
      </w:r>
      <w:r>
        <w:t xml:space="preserve"> </w:t>
      </w:r>
      <w:r>
        <w:t xml:space="preserve">case of bank</w:t>
      </w:r>
      <w:r>
        <w:t xml:space="preserve"> </w:t>
      </w:r>
      <w:r>
        <w:t xml:space="preserve">failure and</w:t>
      </w:r>
      <w:r>
        <w:t xml:space="preserve"> </w:t>
      </w:r>
      <w:r>
        <w:t xml:space="preserve">improve the</w:t>
      </w:r>
      <w:r>
        <w:t xml:space="preserve"> </w:t>
      </w:r>
      <w:r>
        <w:t xml:space="preserve">clarity and</w:t>
      </w:r>
      <w:r>
        <w:t xml:space="preserve"> </w:t>
      </w:r>
      <w:r>
        <w:t xml:space="preserve">consistency of</w:t>
      </w:r>
      <w:r>
        <w:t xml:space="preserve"> </w:t>
      </w:r>
      <w:r>
        <w:t xml:space="preserve">funding rules.</w:t>
      </w:r>
      <w:r>
        <w:t xml:space="preserve"> </w:t>
      </w:r>
      <w:r>
        <w:t xml:space="preserve">Number of banks (of small/medium/large size)</w:t>
      </w:r>
      <w:r>
        <w:t xml:space="preserve"> </w:t>
      </w:r>
      <w:r>
        <w:t xml:space="preserve">which are determined to be FOLF accessing</w:t>
      </w:r>
      <w:r>
        <w:t xml:space="preserve"> </w:t>
      </w:r>
      <w:r>
        <w:t xml:space="preserve">resolution funding and amount of resolution funding</w:t>
      </w:r>
      <w:r>
        <w:t xml:space="preserve"> </w:t>
      </w:r>
      <w:r>
        <w:t xml:space="preserve">provided.</w:t>
      </w:r>
      <w:r>
        <w:t xml:space="preserve"> </w:t>
      </w:r>
      <w:r>
        <w:t xml:space="preserve">Percentage of banks (of small/medium/large size)</w:t>
      </w:r>
      <w:r>
        <w:t xml:space="preserve"> </w:t>
      </w:r>
      <w:r>
        <w:t xml:space="preserve">which are determined to be FOLF accessing</w:t>
      </w:r>
      <w:r>
        <w:t xml:space="preserve"> </w:t>
      </w:r>
      <w:r>
        <w:t xml:space="preserve">resolution funding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NRAs/SRB;</w:t>
      </w:r>
      <w:r>
        <w:t xml:space="preserve"> </w:t>
      </w:r>
      <w:r>
        <w:t xml:space="preserve">Official Journal</w:t>
      </w:r>
      <w:r>
        <w:t xml:space="preserve"> </w:t>
      </w:r>
      <w:r>
        <w:t xml:space="preserve">Yes</w:t>
      </w:r>
      <w:r>
        <w:t xml:space="preserve"> </w:t>
      </w:r>
      <w:r>
        <w:t xml:space="preserve">EBA,</w:t>
      </w:r>
      <w:r>
        <w:t xml:space="preserve"> </w:t>
      </w:r>
      <w:r>
        <w:t xml:space="preserve">Commission</w:t>
      </w:r>
      <w:r>
        <w:t xml:space="preserve"> </w:t>
      </w:r>
      <w:r>
        <w:t xml:space="preserve">Number of banks undergoing resolution</w:t>
      </w:r>
      <w:r>
        <w:t xml:space="preserve"> </w:t>
      </w:r>
      <w:r>
        <w:t xml:space="preserve">accessing DGS funding in resolution and amount</w:t>
      </w:r>
      <w:r>
        <w:t xml:space="preserve"> </w:t>
      </w:r>
      <w:r>
        <w:t xml:space="preserve">of the DGS funds provided in resolution in</w:t>
      </w:r>
      <w:r>
        <w:t xml:space="preserve"> </w:t>
      </w:r>
      <w:r>
        <w:t xml:space="preserve">relation to the two possibilities: (a) bridging the</w:t>
      </w:r>
      <w:r>
        <w:t xml:space="preserve"> </w:t>
      </w:r>
      <w:r>
        <w:t xml:space="preserve">gap to the 8% minimum bail in requirement</w:t>
      </w:r>
      <w:r>
        <w:t xml:space="preserve"> </w:t>
      </w:r>
      <w:r>
        <w:t xml:space="preserve">otherwise required, for transfer strategies, or</w:t>
      </w:r>
      <w:r>
        <w:t xml:space="preserve"> </w:t>
      </w:r>
      <w:r>
        <w:t xml:space="preserve">(b) other uses in resolution than bridging the gap</w:t>
      </w:r>
      <w:r>
        <w:t xml:space="preserve"> </w:t>
      </w:r>
      <w:r>
        <w:t xml:space="preserve">to the 8% minimum bail in requirement otherwise</w:t>
      </w:r>
      <w:r>
        <w:t xml:space="preserve"> </w:t>
      </w:r>
      <w:r>
        <w:t xml:space="preserve">required, for transfer strategies.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DGSs/SRB,</w:t>
      </w:r>
      <w:r>
        <w:t xml:space="preserve"> </w:t>
      </w:r>
      <w:r>
        <w:t xml:space="preserve">Official Journal</w:t>
      </w:r>
      <w:r>
        <w:t xml:space="preserve"> </w:t>
      </w:r>
      <w:r>
        <w:t xml:space="preserve">Yes</w:t>
      </w:r>
      <w:r>
        <w:t xml:space="preserve"> </w:t>
      </w:r>
      <w:r>
        <w:t xml:space="preserve">EBA/DGS/</w:t>
      </w:r>
      <w:r>
        <w:t xml:space="preserve"> </w:t>
      </w:r>
      <w:r>
        <w:t xml:space="preserve">SRB,</w:t>
      </w:r>
      <w:r>
        <w:t xml:space="preserve"> </w:t>
      </w:r>
      <w:r>
        <w:t xml:space="preserve">Commission</w:t>
      </w:r>
      <w:r>
        <w:t xml:space="preserve"> </w:t>
      </w:r>
      <w:r>
        <w:t xml:space="preserve">Number of banks accessing DGS funding for</w:t>
      </w:r>
      <w:r>
        <w:t xml:space="preserve"> </w:t>
      </w:r>
      <w:r>
        <w:t xml:space="preserve">alternative measures and amount of DGS funds</w:t>
      </w:r>
      <w:r>
        <w:t xml:space="preserve"> </w:t>
      </w:r>
      <w:r>
        <w:t xml:space="preserve">provided for alternative measures.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DGSs,</w:t>
      </w:r>
      <w:r>
        <w:t xml:space="preserve"> </w:t>
      </w:r>
      <w:r>
        <w:t xml:space="preserve">Official Journal</w:t>
      </w:r>
      <w:r>
        <w:t xml:space="preserve"> </w:t>
      </w:r>
      <w:r>
        <w:t xml:space="preserve">Yes</w:t>
      </w:r>
      <w:r>
        <w:t xml:space="preserve"> </w:t>
      </w:r>
      <w:r>
        <w:t xml:space="preserve">EBA,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Number of banks accessing DGS funding for</w:t>
      </w:r>
      <w:r>
        <w:t xml:space="preserve"> </w:t>
      </w:r>
      <w:r>
        <w:t xml:space="preserve">preventive measures and amount of DGS funds</w:t>
      </w:r>
      <w:r>
        <w:t xml:space="preserve"> </w:t>
      </w:r>
      <w:r>
        <w:t xml:space="preserve">provided for preventive measures.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DGSs,</w:t>
      </w:r>
      <w:r>
        <w:t xml:space="preserve"> </w:t>
      </w:r>
      <w:r>
        <w:t xml:space="preserve">Official Journal</w:t>
      </w:r>
      <w:r>
        <w:t xml:space="preserve"> </w:t>
      </w:r>
      <w:r>
        <w:t xml:space="preserve">Yes</w:t>
      </w:r>
      <w:r>
        <w:t xml:space="preserve"> </w:t>
      </w:r>
      <w:r>
        <w:t xml:space="preserve">EBA,</w:t>
      </w:r>
      <w:r>
        <w:t xml:space="preserve"> </w:t>
      </w:r>
      <w:r>
        <w:t xml:space="preserve">Commission</w:t>
      </w:r>
      <w:r>
        <w:t xml:space="preserve"> </w:t>
      </w:r>
      <w:r>
        <w:t xml:space="preserve">Further align the</w:t>
      </w:r>
      <w:r>
        <w:t xml:space="preserve"> </w:t>
      </w:r>
      <w:r>
        <w:t xml:space="preserve">coverage level of</w:t>
      </w:r>
      <w:r>
        <w:t xml:space="preserve"> </w:t>
      </w:r>
      <w:r>
        <w:t xml:space="preserve">depositors and</w:t>
      </w:r>
      <w:r>
        <w:t xml:space="preserve"> </w:t>
      </w:r>
      <w:r>
        <w:t xml:space="preserve">upgrade the</w:t>
      </w:r>
      <w:r>
        <w:t xml:space="preserve"> </w:t>
      </w:r>
      <w:r>
        <w:t xml:space="preserve">capacity of</w:t>
      </w:r>
      <w:r>
        <w:t xml:space="preserve"> </w:t>
      </w:r>
      <w:r>
        <w:t xml:space="preserve">national DGS’s</w:t>
      </w:r>
      <w:r>
        <w:t xml:space="preserve"> </w:t>
      </w:r>
      <w:r>
        <w:t xml:space="preserve">to withstand</w:t>
      </w:r>
      <w:r>
        <w:t xml:space="preserve"> </w:t>
      </w:r>
      <w:r>
        <w:t xml:space="preserve">local shocks.</w:t>
      </w:r>
      <w:r>
        <w:t xml:space="preserve"> </w:t>
      </w:r>
      <w:r>
        <w:t xml:space="preserve">Number of national DGSs without any alternative</w:t>
      </w:r>
      <w:r>
        <w:t xml:space="preserve"> </w:t>
      </w:r>
      <w:r>
        <w:t xml:space="preserve">funding arrangements in place</w:t>
      </w:r>
      <w:r>
        <w:t xml:space="preserve"> </w:t>
      </w:r>
      <w:r>
        <w:t xml:space="preserve">Stakeholder feedback</w:t>
      </w:r>
      <w:r>
        <w:t xml:space="preserve"> </w:t>
      </w:r>
      <w:r>
        <w:t xml:space="preserve">No</w:t>
      </w:r>
      <w:r>
        <w:t xml:space="preserve"> </w:t>
      </w:r>
      <w:r>
        <w:t xml:space="preserve">Commission</w:t>
      </w:r>
      <w:r>
        <w:t xml:space="preserve"> </w:t>
      </w:r>
      <w:r>
        <w:t xml:space="preserve">Final amount of losses incurred by DGSs for any</w:t>
      </w:r>
      <w:r>
        <w:t xml:space="preserve"> </w:t>
      </w:r>
      <w:r>
        <w:t xml:space="preserve">type of intervention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DGSs</w:t>
      </w:r>
      <w:r>
        <w:t xml:space="preserve"> </w:t>
      </w:r>
      <w:r>
        <w:t xml:space="preserve">No</w:t>
      </w:r>
      <w:r>
        <w:t xml:space="preserve"> </w:t>
      </w:r>
      <w:r>
        <w:t xml:space="preserve">EBA</w:t>
      </w:r>
      <w:r>
        <w:t xml:space="preserve"> </w:t>
      </w:r>
      <w:r>
        <w:t xml:space="preserve">Number of cases where third country branches</w:t>
      </w:r>
      <w:r>
        <w:t xml:space="preserve"> </w:t>
      </w:r>
      <w:r>
        <w:t xml:space="preserve">were granted a derogation from the obligation to</w:t>
      </w:r>
      <w:r>
        <w:t xml:space="preserve"> </w:t>
      </w:r>
      <w:r>
        <w:t xml:space="preserve">participate in the DGS.</w:t>
      </w:r>
      <w:r>
        <w:t xml:space="preserve"> </w:t>
      </w:r>
      <w:r>
        <w:t xml:space="preserve">Information from the</w:t>
      </w:r>
      <w:r>
        <w:t xml:space="preserve"> </w:t>
      </w:r>
      <w:r>
        <w:t xml:space="preserve">responsible authority</w:t>
      </w:r>
      <w:r>
        <w:t xml:space="preserve"> </w:t>
      </w:r>
      <w:r>
        <w:t xml:space="preserve">No</w:t>
      </w:r>
      <w:r>
        <w:t xml:space="preserve"> </w:t>
      </w:r>
      <w:r>
        <w:t xml:space="preserve">EBA</w:t>
      </w:r>
      <w:r>
        <w:t xml:space="preserve"> </w:t>
      </w:r>
      <w:r>
        <w:t xml:space="preserve">(*) This type of indicators would capture several of the general objectives of the CMDI framework (such as</w:t>
      </w:r>
      <w:r>
        <w:t xml:space="preserve"> </w:t>
      </w:r>
      <w:r>
        <w:t xml:space="preserve">financial stability, breaking the sovereign-bank nexus, etc.) and disentangling the individual effects would</w:t>
      </w:r>
      <w:r>
        <w:t xml:space="preserve"> </w:t>
      </w:r>
      <w:r>
        <w:t xml:space="preserve">not be possible.</w:t>
      </w:r>
      <w:r>
        <w:br/>
      </w:r>
      <w:r>
        <w:t xml:space="preserve">Compliance and enforcement will be ensured on an ongoing basis including, where</w:t>
      </w:r>
      <w:r>
        <w:t xml:space="preserve"> </w:t>
      </w:r>
      <w:r>
        <w:t xml:space="preserve">needed, through infringement proceedings for lack of transposition or for incorrect</w:t>
      </w:r>
      <w:r>
        <w:t xml:space="preserve"> </w:t>
      </w:r>
      <w:r>
        <w:t xml:space="preserve">transposition and/or application of the legislative measures. Reporting of breaches of EU</w:t>
      </w:r>
      <w:r>
        <w:t xml:space="preserve"> </w:t>
      </w:r>
      <w:r>
        <w:t xml:space="preserve">law can be channelled through the European System of Financial Supervision, including</w:t>
      </w:r>
      <w:r>
        <w:t xml:space="preserve"> </w:t>
      </w:r>
      <w:r>
        <w:t xml:space="preserve">the national competent authorities, EBA as well as through the ECB. EBA will also</w:t>
      </w:r>
      <w:r>
        <w:t xml:space="preserve"> </w:t>
      </w:r>
      <w:r>
        <w:t xml:space="preserve">continue publishing its regular reports, such as the reports taking stock of the compliance</w:t>
      </w:r>
      <w:r>
        <w:t xml:space="preserve"> </w:t>
      </w:r>
      <w:r>
        <w:t xml:space="preserve">with MREL in the EU. This is run in parallel with the quarterly MREL dashboard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published by the SRB for the Banking Union. EBA will also continue to assess and</w:t>
      </w:r>
      <w:r>
        <w:t xml:space="preserve"> </w:t>
      </w:r>
      <w:r>
        <w:t xml:space="preserve">monitor the resilience and the funding levels of the national DGSs.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01"/>
        </w:numPr>
      </w:pPr>
      <w:r>
        <w:t xml:space="preserve">LEAD DG, DECIDE PLANNING/COMMISSION WORK PROGRAMME REFERENCES</w:t>
      </w:r>
      <w:r>
        <w:t xml:space="preserve"> </w:t>
      </w:r>
      <w:r>
        <w:t xml:space="preserve">This impact assessment report was prepared by Directorate D “Banking, insurance and</w:t>
      </w:r>
      <w:r>
        <w:t xml:space="preserve"> </w:t>
      </w:r>
      <w:r>
        <w:t xml:space="preserve">financial crime” of the Directorate General “Directorate-General for Financial Stability,</w:t>
      </w:r>
      <w:r>
        <w:t xml:space="preserve"> </w:t>
      </w:r>
      <w:r>
        <w:t xml:space="preserve">Financial Services and Capital Markets Union” (DG FISMA).</w:t>
      </w:r>
      <w:r>
        <w:br/>
      </w:r>
      <w:r>
        <w:t xml:space="preserve">The Decide Planning references are:</w:t>
      </w:r>
      <w:r>
        <w:t xml:space="preserve"> </w:t>
      </w:r>
      <w:r>
        <w:t xml:space="preserve"> PLAN/2020/8120: BRRD Review – Proposal for a Directive of the European</w:t>
      </w:r>
      <w:r>
        <w:t xml:space="preserve"> </w:t>
      </w:r>
      <w:r>
        <w:t xml:space="preserve">Parliament and of the Council amending Directive 2014/59/EU (BRRD)</w:t>
      </w:r>
      <w:r>
        <w:br/>
      </w:r>
      <w:r>
        <w:t xml:space="preserve"> PLAN/2020/8121: DGSD Review – Proposal for a Directive of the European</w:t>
      </w:r>
      <w:r>
        <w:t xml:space="preserve"> </w:t>
      </w:r>
      <w:r>
        <w:t xml:space="preserve">Parliament and of the Council amending Directive 2014/49/EU (DGSD)</w:t>
      </w:r>
      <w:r>
        <w:t xml:space="preserve"> </w:t>
      </w:r>
      <w:r>
        <w:t xml:space="preserve"> PLAN/2020/8122: SRMR Review – Proposal for a Regulation of the European</w:t>
      </w:r>
      <w:r>
        <w:t xml:space="preserve"> </w:t>
      </w:r>
      <w:r>
        <w:t xml:space="preserve">Parliament and of the Council amending Regulation (EU) 806/2014 (SRMR)</w:t>
      </w:r>
      <w:r>
        <w:t xml:space="preserve"> </w:t>
      </w:r>
      <w:r>
        <w:t xml:space="preserve">This initiative was part of the Commission’s 2021 Work Programme141, though its timing</w:t>
      </w:r>
      <w:r>
        <w:t xml:space="preserve"> </w:t>
      </w:r>
      <w:r>
        <w:t xml:space="preserve">was determined by the long-awaited political agreement on a comprehensive work plan</w:t>
      </w:r>
      <w:r>
        <w:t xml:space="preserve"> </w:t>
      </w:r>
      <w:r>
        <w:t xml:space="preserve">to complete the Banking Union, which was not achieved in the June 2022 Eurogroup.</w:t>
      </w:r>
      <w:r>
        <w:t xml:space="preserve"> </w:t>
      </w:r>
      <w:r>
        <w:t xml:space="preserve">Instead, the Eurogroup invited the Commission to table legislative proposals for</w:t>
      </w:r>
      <w:r>
        <w:t xml:space="preserve"> </w:t>
      </w:r>
      <w:r>
        <w:t xml:space="preserve">reforming the CMDI framework142.</w:t>
      </w:r>
    </w:p>
    <w:p>
      <w:pPr>
        <w:pStyle w:val="Compact"/>
        <w:numPr>
          <w:ilvl w:val="0"/>
          <w:numId w:val="1001"/>
        </w:numPr>
      </w:pPr>
      <w:r>
        <w:t xml:space="preserve">ORGANISATION AND TIMING</w:t>
      </w:r>
      <w:r>
        <w:t xml:space="preserve"> </w:t>
      </w:r>
      <w:r>
        <w:t xml:space="preserve">Eight Inter-Service Steering Group (ISSG) consultations – chaired by SG – were held</w:t>
      </w:r>
      <w:r>
        <w:t xml:space="preserve"> </w:t>
      </w:r>
      <w:r>
        <w:t xml:space="preserve">between 2020 and 2023:</w:t>
      </w:r>
    </w:p>
    <w:p>
      <w:pPr>
        <w:pStyle w:val="Compact"/>
        <w:numPr>
          <w:ilvl w:val="0"/>
          <w:numId w:val="1002"/>
        </w:numPr>
      </w:pPr>
      <w:r>
        <w:t xml:space="preserve">19 October 2020</w:t>
      </w:r>
    </w:p>
    <w:p>
      <w:pPr>
        <w:pStyle w:val="Compact"/>
        <w:numPr>
          <w:ilvl w:val="0"/>
          <w:numId w:val="1002"/>
        </w:numPr>
      </w:pPr>
      <w:r>
        <w:t xml:space="preserve">25 March 2021</w:t>
      </w:r>
    </w:p>
    <w:p>
      <w:pPr>
        <w:pStyle w:val="Compact"/>
        <w:numPr>
          <w:ilvl w:val="0"/>
          <w:numId w:val="1002"/>
        </w:numPr>
      </w:pPr>
      <w:r>
        <w:t xml:space="preserve">11 May 2021</w:t>
      </w:r>
    </w:p>
    <w:p>
      <w:pPr>
        <w:pStyle w:val="Compact"/>
        <w:numPr>
          <w:ilvl w:val="0"/>
          <w:numId w:val="1002"/>
        </w:numPr>
      </w:pPr>
      <w:r>
        <w:t xml:space="preserve">4 June 2021</w:t>
      </w:r>
    </w:p>
    <w:p>
      <w:pPr>
        <w:pStyle w:val="Compact"/>
        <w:numPr>
          <w:ilvl w:val="0"/>
          <w:numId w:val="1002"/>
        </w:numPr>
      </w:pPr>
      <w:r>
        <w:t xml:space="preserve">18 May 2022</w:t>
      </w:r>
    </w:p>
    <w:p>
      <w:pPr>
        <w:pStyle w:val="Compact"/>
        <w:numPr>
          <w:ilvl w:val="0"/>
          <w:numId w:val="1002"/>
        </w:numPr>
      </w:pPr>
      <w:r>
        <w:t xml:space="preserve">12 to 16 September 2022 (under written procedure)</w:t>
      </w:r>
    </w:p>
    <w:p>
      <w:pPr>
        <w:pStyle w:val="Compact"/>
        <w:numPr>
          <w:ilvl w:val="0"/>
          <w:numId w:val="1002"/>
        </w:numPr>
      </w:pPr>
      <w:r>
        <w:t xml:space="preserve">25 November 2022</w:t>
      </w:r>
    </w:p>
    <w:p>
      <w:pPr>
        <w:pStyle w:val="Compact"/>
        <w:numPr>
          <w:ilvl w:val="0"/>
          <w:numId w:val="1002"/>
        </w:numPr>
      </w:pPr>
      <w:r>
        <w:t xml:space="preserve">17 January 2023.</w:t>
      </w:r>
    </w:p>
    <w:p>
      <w:pPr>
        <w:pStyle w:val="FirstParagraph"/>
      </w:pPr>
      <w:r>
        <w:t xml:space="preserve">The ISSG consisted of representatives from various Directorates-General of the</w:t>
      </w:r>
      <w:r>
        <w:t xml:space="preserve"> </w:t>
      </w:r>
      <w:r>
        <w:t xml:space="preserve">Commission: BUDG, COMP, ECFIN, GROW, JUST, REFORM, TRADE, SG and SJ.</w:t>
      </w:r>
      <w:r>
        <w:t xml:space="preserve"> </w:t>
      </w:r>
      <w:r>
        <w:t xml:space="preserve">The contributions of the members of the Steering Group have been taken into account in</w:t>
      </w:r>
      <w:r>
        <w:t xml:space="preserve"> </w:t>
      </w:r>
      <w:r>
        <w:t xml:space="preserve">the content and shape of this impact assessment.</w:t>
      </w:r>
      <w:r>
        <w:t xml:space="preserve"> </w:t>
      </w:r>
      <w:r>
        <w:t xml:space="preserve">Adoption of the package is expected in April 2023.</w:t>
      </w:r>
    </w:p>
    <w:p>
      <w:pPr>
        <w:pStyle w:val="BodyText"/>
      </w:pPr>
      <w:r>
        <w:t xml:space="preserve">141 Commission Work Programme 2021: A Union of vitality in a world of fragility, 19 October 2020,</w:t>
      </w:r>
      <w:r>
        <w:t xml:space="preserve"> </w:t>
      </w:r>
      <w:r>
        <w:t xml:space="preserve">COM(2020)690 final.</w:t>
      </w:r>
      <w:r>
        <w:t xml:space="preserve"> </w:t>
      </w:r>
      <w:r>
        <w:t xml:space="preserve">142 Eurogroup (16 June 2022), Eurogroup statement on the future of the Banking Union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upstream meeting was held with the Regulatory Scrutiny Board (RSB) on 28 April</w:t>
      </w:r>
      <w:r>
        <w:t xml:space="preserve"> </w:t>
      </w:r>
      <w:r>
        <w:t xml:space="preserve">2021.</w:t>
      </w:r>
      <w:r>
        <w:br/>
      </w:r>
      <w:r>
        <w:t xml:space="preserve">The draft report was sent to the RSB on 28 September 2022 and the hearing took place</w:t>
      </w:r>
      <w:r>
        <w:t xml:space="preserve"> </w:t>
      </w:r>
      <w:r>
        <w:t xml:space="preserve">on 26 October 2022. The RSB delivered a negative opinion on 28 October 2022. The</w:t>
      </w:r>
      <w:r>
        <w:t xml:space="preserve"> </w:t>
      </w:r>
      <w:r>
        <w:t xml:space="preserve">report was resubmitted to the RSB on 9 December 2022; the RSB then issued a positive</w:t>
      </w:r>
      <w:r>
        <w:t xml:space="preserve"> </w:t>
      </w:r>
      <w:r>
        <w:t xml:space="preserve">opinion on 17 January 2023.</w:t>
      </w:r>
      <w:r>
        <w:br/>
      </w:r>
      <w:r>
        <w:t xml:space="preserve">The principal areas/topics raised by the RSB’s opinion of 28 October 2022 are addressed</w:t>
      </w:r>
      <w:r>
        <w:t xml:space="preserve"> </w:t>
      </w:r>
      <w:r>
        <w:t xml:space="preserve">and clarified in this Impact Assessment in the following manner: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Elements to improve (section (C) of the</w:t>
      </w:r>
      <w:r>
        <w:t xml:space="preserve"> </w:t>
      </w:r>
      <w:r>
        <w:t xml:space="preserve">Opinion)</w:t>
      </w:r>
      <w:r>
        <w:t xml:space="preserve"> </w:t>
      </w:r>
      <w:r>
        <w:t xml:space="preserve">How the comments have been addressed</w:t>
      </w:r>
      <w:r>
        <w:t xml:space="preserve"> </w:t>
      </w:r>
      <w:r>
        <w:t xml:space="preserve">(1) The report needs to better identify and</w:t>
      </w:r>
      <w:r>
        <w:t xml:space="preserve"> </w:t>
      </w:r>
      <w:r>
        <w:t xml:space="preserve">explain the substantive problem and</w:t>
      </w:r>
      <w:r>
        <w:t xml:space="preserve"> </w:t>
      </w:r>
      <w:r>
        <w:t xml:space="preserve">shortcomings in the current framework it</w:t>
      </w:r>
      <w:r>
        <w:t xml:space="preserve"> </w:t>
      </w:r>
      <w:r>
        <w:t xml:space="preserve">seeks to address and substantiate it with</w:t>
      </w:r>
      <w:r>
        <w:t xml:space="preserve"> </w:t>
      </w:r>
      <w:r>
        <w:t xml:space="preserve">robust evidence. In doing this, it should</w:t>
      </w:r>
      <w:r>
        <w:t xml:space="preserve"> </w:t>
      </w:r>
      <w:r>
        <w:t xml:space="preserve">draw on the conclusions of the evaluation</w:t>
      </w:r>
      <w:r>
        <w:t xml:space="preserve"> </w:t>
      </w:r>
      <w:r>
        <w:t xml:space="preserve">that the EU resolution framework is</w:t>
      </w:r>
      <w:r>
        <w:t xml:space="preserve"> </w:t>
      </w:r>
      <w:r>
        <w:t xml:space="preserve">sparsely used. It should examine exactly</w:t>
      </w:r>
      <w:r>
        <w:t xml:space="preserve"> </w:t>
      </w:r>
      <w:r>
        <w:t xml:space="preserve">why this is a problem and what the drivers</w:t>
      </w:r>
      <w:r>
        <w:t xml:space="preserve"> </w:t>
      </w:r>
      <w:r>
        <w:t xml:space="preserve">behind it are by clearly setting out the</w:t>
      </w:r>
      <w:r>
        <w:t xml:space="preserve"> </w:t>
      </w:r>
      <w:r>
        <w:t xml:space="preserve">disincentives for Member States (and</w:t>
      </w:r>
      <w:r>
        <w:t xml:space="preserve"> </w:t>
      </w:r>
      <w:r>
        <w:t xml:space="preserve">banks) to practical bank resolution using</w:t>
      </w:r>
      <w:r>
        <w:t xml:space="preserve"> </w:t>
      </w:r>
      <w:r>
        <w:t xml:space="preserve">the EU framework. It should explain why</w:t>
      </w:r>
      <w:r>
        <w:t xml:space="preserve"> </w:t>
      </w:r>
      <w:r>
        <w:t xml:space="preserve">the current arrangements and incentives</w:t>
      </w:r>
      <w:r>
        <w:t xml:space="preserve"> </w:t>
      </w:r>
      <w:r>
        <w:t xml:space="preserve">have failed and why Member States have</w:t>
      </w:r>
      <w:r>
        <w:t xml:space="preserve"> </w:t>
      </w:r>
      <w:r>
        <w:t xml:space="preserve">shown a strong preference for resolution</w:t>
      </w:r>
      <w:r>
        <w:t xml:space="preserve"> </w:t>
      </w:r>
      <w:r>
        <w:t xml:space="preserve">outside of the EU framework. It should</w:t>
      </w:r>
      <w:r>
        <w:t xml:space="preserve"> </w:t>
      </w:r>
      <w:r>
        <w:t xml:space="preserve">demonstrate why this poses a risk to the</w:t>
      </w:r>
      <w:r>
        <w:t xml:space="preserve"> </w:t>
      </w:r>
      <w:r>
        <w:t xml:space="preserve">wider financial stability of the EU. It</w:t>
      </w:r>
      <w:r>
        <w:t xml:space="preserve"> </w:t>
      </w:r>
      <w:r>
        <w:t xml:space="preserve">should show why the current arrangements</w:t>
      </w:r>
      <w:r>
        <w:t xml:space="preserve"> </w:t>
      </w:r>
      <w:r>
        <w:t xml:space="preserve">would not be fit for purpose in a large scale</w:t>
      </w:r>
      <w:r>
        <w:t xml:space="preserve"> </w:t>
      </w:r>
      <w:r>
        <w:t xml:space="preserve">financial crisis scenario. Finally, it should</w:t>
      </w:r>
      <w:r>
        <w:t xml:space="preserve"> </w:t>
      </w:r>
      <w:r>
        <w:t xml:space="preserve">better explain the international experience</w:t>
      </w:r>
      <w:r>
        <w:t xml:space="preserve"> </w:t>
      </w:r>
      <w:r>
        <w:t xml:space="preserve">in handling bank failures and the lessons</w:t>
      </w:r>
      <w:r>
        <w:t xml:space="preserve"> </w:t>
      </w:r>
      <w:r>
        <w:t xml:space="preserve">that can be drawn from these.</w:t>
      </w:r>
      <w:r>
        <w:t xml:space="preserve"> </w:t>
      </w:r>
      <w:r>
        <w:t xml:space="preserve"> Clarifications of the objective, design</w:t>
      </w:r>
      <w:r>
        <w:t xml:space="preserve"> </w:t>
      </w:r>
      <w:r>
        <w:t xml:space="preserve">and scope of the crisis management and</w:t>
      </w:r>
      <w:r>
        <w:t xml:space="preserve"> </w:t>
      </w:r>
      <w:r>
        <w:t xml:space="preserve">deposit insurance framework and the</w:t>
      </w:r>
      <w:r>
        <w:t xml:space="preserve"> </w:t>
      </w:r>
      <w:r>
        <w:t xml:space="preserve">merits of resolution compared to</w:t>
      </w:r>
      <w:r>
        <w:t xml:space="preserve"> </w:t>
      </w:r>
      <w:r>
        <w:t xml:space="preserve">national insolvency proceedings</w:t>
      </w:r>
      <w:r>
        <w:t xml:space="preserve"> </w:t>
      </w:r>
      <w:r>
        <w:t xml:space="preserve">(Chapter 1 and Annex 4 for additional</w:t>
      </w:r>
      <w:r>
        <w:t xml:space="preserve"> </w:t>
      </w:r>
      <w:r>
        <w:t xml:space="preserve">details).</w:t>
      </w:r>
      <w:r>
        <w:br/>
      </w:r>
      <w:r>
        <w:t xml:space="preserve"> Summary of the problems identified</w:t>
      </w:r>
      <w:r>
        <w:t xml:space="preserve"> </w:t>
      </w:r>
      <w:r>
        <w:t xml:space="preserve">during the implementation of the</w:t>
      </w:r>
      <w:r>
        <w:t xml:space="preserve"> </w:t>
      </w:r>
      <w:r>
        <w:t xml:space="preserve">framework and the reasons why this</w:t>
      </w:r>
      <w:r>
        <w:t xml:space="preserve"> </w:t>
      </w:r>
      <w:r>
        <w:t xml:space="preserve">reform is necessary, in particular why</w:t>
      </w:r>
      <w:r>
        <w:t xml:space="preserve"> </w:t>
      </w:r>
      <w:r>
        <w:t xml:space="preserve">the framework should also be</w:t>
      </w:r>
      <w:r>
        <w:t xml:space="preserve"> </w:t>
      </w:r>
      <w:r>
        <w:t xml:space="preserve">applicable to small and mid-sized</w:t>
      </w:r>
      <w:r>
        <w:t xml:space="preserve"> </w:t>
      </w:r>
      <w:r>
        <w:t xml:space="preserve">banks; additional evidence showing</w:t>
      </w:r>
      <w:r>
        <w:t xml:space="preserve"> </w:t>
      </w:r>
      <w:r>
        <w:t xml:space="preserve">that the failure of smaller banks can</w:t>
      </w:r>
      <w:r>
        <w:t xml:space="preserve"> </w:t>
      </w:r>
      <w:r>
        <w:t xml:space="preserve">also impact financial stability including</w:t>
      </w:r>
      <w:r>
        <w:t xml:space="preserve"> </w:t>
      </w:r>
      <w:r>
        <w:t xml:space="preserve">a stylised example to illustrate these</w:t>
      </w:r>
      <w:r>
        <w:t xml:space="preserve"> </w:t>
      </w:r>
      <w:r>
        <w:t xml:space="preserve">problems (Chapter 2, Annex 4, Box 6)</w:t>
      </w:r>
      <w:r>
        <w:t xml:space="preserve"> </w:t>
      </w:r>
      <w:r>
        <w:t xml:space="preserve"> Details on the nature and magnitude of</w:t>
      </w:r>
      <w:r>
        <w:t xml:space="preserve"> </w:t>
      </w:r>
      <w:r>
        <w:t xml:space="preserve">the risk of maintaining the framework</w:t>
      </w:r>
      <w:r>
        <w:t xml:space="preserve"> </w:t>
      </w:r>
      <w:r>
        <w:t xml:space="preserve">as it stands, considering the problems</w:t>
      </w:r>
      <w:r>
        <w:t xml:space="preserve"> </w:t>
      </w:r>
      <w:r>
        <w:t xml:space="preserve">identified and their impacts on financial</w:t>
      </w:r>
      <w:r>
        <w:t xml:space="preserve"> </w:t>
      </w:r>
      <w:r>
        <w:t xml:space="preserve">stability, depositor protection and</w:t>
      </w:r>
      <w:r>
        <w:t xml:space="preserve"> </w:t>
      </w:r>
      <w:r>
        <w:t xml:space="preserve">public finances (Chapter 5, section 5.3)</w:t>
      </w:r>
      <w:r>
        <w:t xml:space="preserve"> </w:t>
      </w:r>
      <w:r>
        <w:t xml:space="preserve"> Update of relevant figures on the</w:t>
      </w:r>
      <w:r>
        <w:t xml:space="preserve"> </w:t>
      </w:r>
      <w:r>
        <w:t xml:space="preserve">implementation of the framework to</w:t>
      </w:r>
      <w:r>
        <w:t xml:space="preserve"> </w:t>
      </w:r>
      <w:r>
        <w:t xml:space="preserve">take into account a recent resolution</w:t>
      </w:r>
      <w:r>
        <w:t xml:space="preserve"> </w:t>
      </w:r>
      <w:r>
        <w:t xml:space="preserve">case in Poland (Chapter 2 and Annexes</w:t>
      </w:r>
      <w:r>
        <w:t xml:space="preserve"> </w:t>
      </w:r>
      <w:r>
        <w:t xml:space="preserve">5 and 9)</w:t>
      </w:r>
      <w:r>
        <w:t xml:space="preserve"> </w:t>
      </w:r>
      <w:r>
        <w:t xml:space="preserve"> Details on the how recent cases of</w:t>
      </w:r>
      <w:r>
        <w:t xml:space="preserve"> </w:t>
      </w:r>
      <w:r>
        <w:t xml:space="preserve">failure managed under the CMDI</w:t>
      </w:r>
      <w:r>
        <w:t xml:space="preserve"> </w:t>
      </w:r>
      <w:r>
        <w:t xml:space="preserve">framework relate to the identified</w:t>
      </w:r>
      <w:r>
        <w:t xml:space="preserve"> </w:t>
      </w:r>
      <w:r>
        <w:t xml:space="preserve">problems (Boxes 8, 10 and 11, Annex</w:t>
      </w:r>
      <w:r>
        <w:t xml:space="preserve"> </w:t>
      </w:r>
      <w:r>
        <w:t xml:space="preserve">5)</w:t>
      </w:r>
      <w:r>
        <w:t xml:space="preserve"> </w:t>
      </w:r>
      <w:r>
        <w:t xml:space="preserve">(2) While the resolution framework is</w:t>
      </w:r>
      <w:r>
        <w:t xml:space="preserve"> </w:t>
      </w:r>
      <w:r>
        <w:t xml:space="preserve">designed to cover all banks in the EU, in</w:t>
      </w:r>
      <w:r>
        <w:t xml:space="preserve"> </w:t>
      </w:r>
      <w:r>
        <w:t xml:space="preserve"> Explanations on how the principle of</w:t>
      </w:r>
      <w:r>
        <w:t xml:space="preserve"> </w:t>
      </w:r>
      <w:r>
        <w:t xml:space="preserve">subsidiarity is addressed in the reform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practice its use has been limited. The report</w:t>
      </w:r>
      <w:r>
        <w:t xml:space="preserve"> </w:t>
      </w:r>
      <w:r>
        <w:t xml:space="preserve">should recall and better explain that all</w:t>
      </w:r>
      <w:r>
        <w:t xml:space="preserve"> </w:t>
      </w:r>
      <w:r>
        <w:t xml:space="preserve">banks are covered by the existing</w:t>
      </w:r>
      <w:r>
        <w:t xml:space="preserve"> </w:t>
      </w:r>
      <w:r>
        <w:t xml:space="preserve">framework and demonstrate, with evidence,</w:t>
      </w:r>
      <w:r>
        <w:t xml:space="preserve"> </w:t>
      </w:r>
      <w:r>
        <w:t xml:space="preserve">the need to facilitate the practical use of the</w:t>
      </w:r>
      <w:r>
        <w:t xml:space="preserve"> </w:t>
      </w:r>
      <w:r>
        <w:t xml:space="preserve">EU resolution framework for smaller and</w:t>
      </w:r>
      <w:r>
        <w:t xml:space="preserve"> </w:t>
      </w:r>
      <w:r>
        <w:t xml:space="preserve">mid-sized banks. It should demonstrate</w:t>
      </w:r>
      <w:r>
        <w:t xml:space="preserve"> </w:t>
      </w:r>
      <w:r>
        <w:t xml:space="preserve">how this is consistent with the principle of</w:t>
      </w:r>
      <w:r>
        <w:t xml:space="preserve"> </w:t>
      </w:r>
      <w:r>
        <w:t xml:space="preserve">subsidiarity. This should include evidence</w:t>
      </w:r>
      <w:r>
        <w:t xml:space="preserve"> </w:t>
      </w:r>
      <w:r>
        <w:t xml:space="preserve">to demonstrate the clear cross-border</w:t>
      </w:r>
      <w:r>
        <w:t xml:space="preserve"> </w:t>
      </w:r>
      <w:r>
        <w:t xml:space="preserve">nature of the problem including by</w:t>
      </w:r>
      <w:r>
        <w:t xml:space="preserve"> </w:t>
      </w:r>
      <w:r>
        <w:t xml:space="preserve">providing evidence on the composition of</w:t>
      </w:r>
      <w:r>
        <w:t xml:space="preserve"> </w:t>
      </w:r>
      <w:r>
        <w:t xml:space="preserve">the banking sector in different Member</w:t>
      </w:r>
      <w:r>
        <w:t xml:space="preserve"> </w:t>
      </w:r>
      <w:r>
        <w:t xml:space="preserve">States and the differing scale and</w:t>
      </w:r>
      <w:r>
        <w:t xml:space="preserve"> </w:t>
      </w:r>
      <w:r>
        <w:t xml:space="preserve">geographical spread of the potential</w:t>
      </w:r>
      <w:r>
        <w:t xml:space="preserve"> </w:t>
      </w:r>
      <w:r>
        <w:t xml:space="preserve">recipients. It should provide evidence of</w:t>
      </w:r>
      <w:r>
        <w:t xml:space="preserve"> </w:t>
      </w:r>
      <w:r>
        <w:t xml:space="preserve">the risk of EU-wide contagion in the</w:t>
      </w:r>
      <w:r>
        <w:t xml:space="preserve"> </w:t>
      </w:r>
      <w:r>
        <w:t xml:space="preserve">internal market and for public finances if</w:t>
      </w:r>
      <w:r>
        <w:t xml:space="preserve"> </w:t>
      </w:r>
      <w:r>
        <w:t xml:space="preserve">the current arrangements persist. Finally, it</w:t>
      </w:r>
      <w:r>
        <w:t xml:space="preserve"> </w:t>
      </w:r>
      <w:r>
        <w:t xml:space="preserve">should better set out the division of roles</w:t>
      </w:r>
      <w:r>
        <w:t xml:space="preserve"> </w:t>
      </w:r>
      <w:r>
        <w:t xml:space="preserve">between the EU state aid framework (and</w:t>
      </w:r>
      <w:r>
        <w:t xml:space="preserve"> </w:t>
      </w:r>
      <w:r>
        <w:t xml:space="preserve">its upcoming revision) and the resolution</w:t>
      </w:r>
      <w:r>
        <w:t xml:space="preserve"> </w:t>
      </w:r>
      <w:r>
        <w:t xml:space="preserve">framework and how coherence will be</w:t>
      </w:r>
      <w:r>
        <w:t xml:space="preserve"> </w:t>
      </w:r>
      <w:r>
        <w:t xml:space="preserve">ensured between the two.</w:t>
      </w:r>
      <w:r>
        <w:t xml:space="preserve"> </w:t>
      </w:r>
      <w:r>
        <w:t xml:space="preserve">and evidence on risk of contagion and</w:t>
      </w:r>
      <w:r>
        <w:t xml:space="preserve"> </w:t>
      </w:r>
      <w:r>
        <w:t xml:space="preserve">systemic nature of small banks</w:t>
      </w:r>
      <w:r>
        <w:t xml:space="preserve"> </w:t>
      </w:r>
      <w:r>
        <w:t xml:space="preserve">(Chapter 3, section 3.2, Annex 4, Box</w:t>
      </w:r>
      <w:r>
        <w:t xml:space="preserve"> </w:t>
      </w:r>
      <w:r>
        <w:t xml:space="preserve">6)</w:t>
      </w:r>
      <w:r>
        <w:t xml:space="preserve"> </w:t>
      </w:r>
      <w:r>
        <w:t xml:space="preserve"> Details on the interactions between the</w:t>
      </w:r>
      <w:r>
        <w:t xml:space="preserve"> </w:t>
      </w:r>
      <w:r>
        <w:t xml:space="preserve">CMDI and the State aid rules under the</w:t>
      </w:r>
      <w:r>
        <w:t xml:space="preserve"> </w:t>
      </w:r>
      <w:r>
        <w:t xml:space="preserve">current framework and how</w:t>
      </w:r>
      <w:r>
        <w:t xml:space="preserve"> </w:t>
      </w:r>
      <w:r>
        <w:t xml:space="preserve">consistency will be achieved with the</w:t>
      </w:r>
      <w:r>
        <w:t xml:space="preserve"> </w:t>
      </w:r>
      <w:r>
        <w:t xml:space="preserve">revision of the CMDI framework</w:t>
      </w:r>
      <w:r>
        <w:t xml:space="preserve"> </w:t>
      </w:r>
      <w:r>
        <w:t xml:space="preserve">(Chapter 5, section 5.2 and Annex 4)</w:t>
      </w:r>
    </w:p>
    <w:p>
      <w:pPr>
        <w:pStyle w:val="BodyText"/>
      </w:pPr>
      <w:r>
        <w:t xml:space="preserve">Some amendments listed to address</w:t>
      </w:r>
      <w:r>
        <w:t xml:space="preserve"> </w:t>
      </w:r>
      <w:r>
        <w:t xml:space="preserve">recommendation (1) are also relevant for</w:t>
      </w:r>
      <w:r>
        <w:t xml:space="preserve"> </w:t>
      </w:r>
      <w:r>
        <w:t xml:space="preserve">recommendation (2).</w:t>
      </w:r>
    </w:p>
    <w:p>
      <w:pPr>
        <w:numPr>
          <w:ilvl w:val="0"/>
          <w:numId w:val="1003"/>
        </w:numPr>
      </w:pPr>
      <w:r>
        <w:t xml:space="preserve">The report should better explain the</w:t>
      </w:r>
      <w:r>
        <w:t xml:space="preserve"> </w:t>
      </w:r>
      <w:r>
        <w:t xml:space="preserve">links between the EBA advice and the</w:t>
      </w:r>
      <w:r>
        <w:t xml:space="preserve"> </w:t>
      </w:r>
      <w:r>
        <w:t xml:space="preserve">options set out in the report. It should</w:t>
      </w:r>
      <w:r>
        <w:t xml:space="preserve"> </w:t>
      </w:r>
      <w:r>
        <w:t xml:space="preserve">clarify the envisaged bridging facility, its</w:t>
      </w:r>
      <w:r>
        <w:t xml:space="preserve"> </w:t>
      </w:r>
      <w:r>
        <w:t xml:space="preserve">scope and limitations, and its envisaged</w:t>
      </w:r>
      <w:r>
        <w:t xml:space="preserve"> </w:t>
      </w:r>
      <w:r>
        <w:t xml:space="preserve">impacts. It should explain that EDIS under</w:t>
      </w:r>
      <w:r>
        <w:t xml:space="preserve"> </w:t>
      </w:r>
      <w:r>
        <w:t xml:space="preserve">the most comprehensive option 4 is</w:t>
      </w:r>
      <w:r>
        <w:t xml:space="preserve"> </w:t>
      </w:r>
      <w:r>
        <w:t xml:space="preserve">different from the 2015 EDIS proposal. It</w:t>
      </w:r>
      <w:r>
        <w:t xml:space="preserve"> </w:t>
      </w:r>
      <w:r>
        <w:t xml:space="preserve">should better articulate how the analytical</w:t>
      </w:r>
      <w:r>
        <w:t xml:space="preserve"> </w:t>
      </w:r>
      <w:r>
        <w:t xml:space="preserve">and policy coherence between option 3</w:t>
      </w:r>
      <w:r>
        <w:t xml:space="preserve"> </w:t>
      </w:r>
      <w:r>
        <w:t xml:space="preserve">(which does not include EDIS and for</w:t>
      </w:r>
      <w:r>
        <w:t xml:space="preserve"> </w:t>
      </w:r>
      <w:r>
        <w:t xml:space="preserve">which a further legislative proposal is</w:t>
      </w:r>
      <w:r>
        <w:t xml:space="preserve"> </w:t>
      </w:r>
      <w:r>
        <w:t xml:space="preserve">envisaged) and the pending 2015 EDIS</w:t>
      </w:r>
      <w:r>
        <w:t xml:space="preserve"> </w:t>
      </w:r>
      <w:r>
        <w:t xml:space="preserve">proposal will be ensured. In view of this</w:t>
      </w:r>
      <w:r>
        <w:t xml:space="preserve"> </w:t>
      </w:r>
      <w:r>
        <w:t xml:space="preserve">specific context and the results of the</w:t>
      </w:r>
      <w:r>
        <w:t xml:space="preserve"> </w:t>
      </w:r>
      <w:r>
        <w:t xml:space="preserve">presented analysis the report should reflect</w:t>
      </w:r>
      <w:r>
        <w:t xml:space="preserve"> </w:t>
      </w:r>
      <w:r>
        <w:t xml:space="preserve">whether analytically it is not more useful to</w:t>
      </w:r>
      <w:r>
        <w:t xml:space="preserve"> </w:t>
      </w:r>
      <w:r>
        <w:t xml:space="preserve">leave the choice of the preferred option</w:t>
      </w:r>
      <w:r>
        <w:t xml:space="preserve"> </w:t>
      </w:r>
      <w:r>
        <w:t xml:space="preserve">open.</w:t>
      </w:r>
      <w:r>
        <w:t xml:space="preserve"> </w:t>
      </w:r>
      <w:r>
        <w:t xml:space="preserve"> Details on how the advice provided by</w:t>
      </w:r>
      <w:r>
        <w:t xml:space="preserve"> </w:t>
      </w:r>
      <w:r>
        <w:t xml:space="preserve">EBA has been taken into account in the</w:t>
      </w:r>
      <w:r>
        <w:t xml:space="preserve"> </w:t>
      </w:r>
      <w:r>
        <w:t xml:space="preserve">design of the policy options (Chapter 6,</w:t>
      </w:r>
      <w:r>
        <w:t xml:space="preserve"> </w:t>
      </w:r>
      <w:r>
        <w:t xml:space="preserve">section 6.3, Box 4)</w:t>
      </w:r>
      <w:r>
        <w:t xml:space="preserve"> </w:t>
      </w:r>
      <w:r>
        <w:t xml:space="preserve"> Details on the functioning of the DGS</w:t>
      </w:r>
      <w:r>
        <w:t xml:space="preserve"> </w:t>
      </w:r>
      <w:r>
        <w:t xml:space="preserve">bridge financing, including on the</w:t>
      </w:r>
      <w:r>
        <w:t xml:space="preserve"> </w:t>
      </w:r>
      <w:r>
        <w:t xml:space="preserve">scope and safeguards and a stylised</w:t>
      </w:r>
      <w:r>
        <w:t xml:space="preserve"> </w:t>
      </w:r>
      <w:r>
        <w:t xml:space="preserve">example with a visual presentation of</w:t>
      </w:r>
      <w:r>
        <w:t xml:space="preserve"> </w:t>
      </w:r>
      <w:r>
        <w:t xml:space="preserve">the CMDI reform on this point</w:t>
      </w:r>
      <w:r>
        <w:t xml:space="preserve"> </w:t>
      </w:r>
      <w:r>
        <w:t xml:space="preserve">(Chapter 6, section 6.1.1.2, Box 2)</w:t>
      </w:r>
      <w:r>
        <w:t xml:space="preserve"> </w:t>
      </w:r>
      <w:r>
        <w:t xml:space="preserve"> Clarification that EDIS envisaged</w:t>
      </w:r>
      <w:r>
        <w:t xml:space="preserve"> </w:t>
      </w:r>
      <w:r>
        <w:t xml:space="preserve">under option 4 in the packages of</w:t>
      </w:r>
      <w:r>
        <w:t xml:space="preserve"> </w:t>
      </w:r>
      <w:r>
        <w:t xml:space="preserve">policy options is not the same</w:t>
      </w:r>
      <w:r>
        <w:t xml:space="preserve"> </w:t>
      </w:r>
      <w:r>
        <w:t xml:space="preserve">mechanism as envisaged as the</w:t>
      </w:r>
      <w:r>
        <w:t xml:space="preserve"> </w:t>
      </w:r>
      <w:r>
        <w:t xml:space="preserve">Commission 2015 proposal (Chapter 6,</w:t>
      </w:r>
      <w:r>
        <w:t xml:space="preserve"> </w:t>
      </w:r>
      <w:r>
        <w:t xml:space="preserve">section 6.1.3 - Option 4, section 6.1.2.6</w:t>
      </w:r>
      <w:r>
        <w:t xml:space="preserve"> </w:t>
      </w:r>
      <w:r>
        <w:t xml:space="preserve">– Option 3 and footnote in Chapter 7)</w:t>
      </w:r>
    </w:p>
    <w:p>
      <w:pPr>
        <w:numPr>
          <w:ilvl w:val="0"/>
          <w:numId w:val="1003"/>
        </w:numPr>
      </w:pPr>
      <w:r>
        <w:t xml:space="preserve">The report should be revised to make it</w:t>
      </w:r>
      <w:r>
        <w:t xml:space="preserve"> </w:t>
      </w:r>
      <w:r>
        <w:t xml:space="preserve">self-standing and accessible to the non</w:t>
      </w:r>
      <w:r>
        <w:t xml:space="preserve"> </w:t>
      </w:r>
      <w:r>
        <w:t xml:space="preserve">specialist reader. While technical language</w:t>
      </w:r>
      <w:r>
        <w:t xml:space="preserve"> </w:t>
      </w:r>
      <w:r>
        <w:t xml:space="preserve">is necessary in certain parts for experts</w:t>
      </w:r>
      <w:r>
        <w:t xml:space="preserve"> </w:t>
      </w:r>
      <w:r>
        <w:t xml:space="preserve">practitioners, and in particular in annexes,</w:t>
      </w:r>
      <w:r>
        <w:t xml:space="preserve"> </w:t>
      </w:r>
      <w:r>
        <w:t xml:space="preserve">it is important that the main narrative</w:t>
      </w:r>
      <w:r>
        <w:t xml:space="preserve"> </w:t>
      </w:r>
      <w:r>
        <w:t xml:space="preserve">remains clear for political decision makers.</w:t>
      </w:r>
      <w:r>
        <w:t xml:space="preserve"> </w:t>
      </w:r>
      <w:r>
        <w:t xml:space="preserve"> Executive summaries of EBA and JRC</w:t>
      </w:r>
      <w:r>
        <w:t xml:space="preserve"> </w:t>
      </w:r>
      <w:r>
        <w:t xml:space="preserve">reports used in, and annexed to, this</w:t>
      </w:r>
      <w:r>
        <w:t xml:space="preserve"> </w:t>
      </w:r>
      <w:r>
        <w:t xml:space="preserve">impact assessment respectively</w:t>
      </w:r>
      <w:r>
        <w:t xml:space="preserve"> </w:t>
      </w:r>
      <w:r>
        <w:t xml:space="preserve">(Annexes 11 and 12)</w:t>
      </w:r>
      <w:r>
        <w:t xml:space="preserve"> </w:t>
      </w:r>
      <w:r>
        <w:t xml:space="preserve"> A general review of the core impact</w:t>
      </w:r>
      <w:r>
        <w:t xml:space="preserve"> </w:t>
      </w:r>
      <w:r>
        <w:t xml:space="preserve">assessment and the glossary to clarify</w:t>
      </w:r>
      <w:r>
        <w:t xml:space="preserve"> </w:t>
      </w:r>
      <w:r>
        <w:t xml:space="preserve">technical terms and contribute to make</w:t>
      </w:r>
      <w:r>
        <w:t xml:space="preserve"> </w:t>
      </w:r>
      <w:r>
        <w:t xml:space="preserve">the report more self-standing for a non-</w:t>
      </w:r>
      <w:r>
        <w:t xml:space="preserve"> </w:t>
      </w:r>
      <w:r>
        <w:t xml:space="preserve">expert audience.</w:t>
      </w:r>
      <w:r>
        <w:t xml:space="preserve"> </w:t>
      </w:r>
      <w:r>
        <w:t xml:space="preserve"> Additions to, and review of, the</w:t>
      </w:r>
    </w:p>
    <w:p>
      <w:pPr>
        <w:pStyle w:val="FirstParagraph"/>
      </w:pPr>
      <w:r>
        <w:t xml:space="preserve">98</w:t>
      </w:r>
      <w:r>
        <w:t xml:space="preserve"> </w:t>
      </w:r>
      <w:r>
        <w:t xml:space="preserve">glossary</w:t>
      </w:r>
      <w:r>
        <w:t xml:space="preserve"> </w:t>
      </w:r>
      <w:r>
        <w:t xml:space="preserve">(5) The report should better integrate the</w:t>
      </w:r>
      <w:r>
        <w:t xml:space="preserve"> </w:t>
      </w:r>
      <w:r>
        <w:t xml:space="preserve">views of all stakeholders in the main report,</w:t>
      </w:r>
      <w:r>
        <w:t xml:space="preserve"> </w:t>
      </w:r>
      <w:r>
        <w:t xml:space="preserve">by better distinguishing between the views</w:t>
      </w:r>
      <w:r>
        <w:t xml:space="preserve"> </w:t>
      </w:r>
      <w:r>
        <w:t xml:space="preserve">of different groups on all key aspects.</w:t>
      </w:r>
      <w:r>
        <w:t xml:space="preserve"> </w:t>
      </w:r>
      <w:r>
        <w:t xml:space="preserve"> Additional information on stakeholder</w:t>
      </w:r>
      <w:r>
        <w:t xml:space="preserve"> </w:t>
      </w:r>
      <w:r>
        <w:t xml:space="preserve">views with a distinction between small</w:t>
      </w:r>
      <w:r>
        <w:t xml:space="preserve"> </w:t>
      </w:r>
      <w:r>
        <w:t xml:space="preserve">and large banks (Chapter 6, sections</w:t>
      </w:r>
      <w:r>
        <w:t xml:space="preserve"> </w:t>
      </w:r>
      <w:r>
        <w:t xml:space="preserve">6.1.1.6 Assessment of Option 2 –</w:t>
      </w:r>
      <w:r>
        <w:t xml:space="preserve"> </w:t>
      </w:r>
      <w:r>
        <w:t xml:space="preserve">Overall assessment and 6.1.2.6</w:t>
      </w:r>
      <w:r>
        <w:t xml:space="preserve"> </w:t>
      </w:r>
      <w:r>
        <w:t xml:space="preserve">Assessment of Option 3 – Overall</w:t>
      </w:r>
      <w:r>
        <w:t xml:space="preserve"> </w:t>
      </w:r>
      <w:r>
        <w:t xml:space="preserve">assessment)</w:t>
      </w:r>
    </w:p>
    <w:p>
      <w:pPr>
        <w:pStyle w:val="BodyText"/>
      </w:pPr>
      <w:r>
        <w:t xml:space="preserve">The limited suggestions raised by the second RSB’s opinion of 17 January 2023 are</w:t>
      </w:r>
      <w:r>
        <w:t xml:space="preserve"> </w:t>
      </w:r>
      <w:r>
        <w:t xml:space="preserve">addressed and clarified in this Impact Assessment in the following manner: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Elements to improve (section (C) of the</w:t>
      </w:r>
      <w:r>
        <w:t xml:space="preserve"> </w:t>
      </w:r>
      <w:r>
        <w:t xml:space="preserve">Opinion)</w:t>
      </w:r>
      <w:r>
        <w:t xml:space="preserve"> </w:t>
      </w:r>
      <w:r>
        <w:t xml:space="preserve">How the comments have been addressed</w:t>
      </w:r>
      <w:r>
        <w:t xml:space="preserve"> </w:t>
      </w:r>
      <w:r>
        <w:t xml:space="preserve">(1) The report should address the ‘One In:</w:t>
      </w:r>
      <w:r>
        <w:t xml:space="preserve"> </w:t>
      </w:r>
      <w:r>
        <w:t xml:space="preserve">One Out’ requirements. If quantitative</w:t>
      </w:r>
      <w:r>
        <w:t xml:space="preserve"> </w:t>
      </w:r>
      <w:r>
        <w:t xml:space="preserve">estimates cannot be produced, or if these</w:t>
      </w:r>
      <w:r>
        <w:t xml:space="preserve"> </w:t>
      </w:r>
      <w:r>
        <w:t xml:space="preserve">are negligible, or the proposal is considered</w:t>
      </w:r>
      <w:r>
        <w:t xml:space="preserve"> </w:t>
      </w:r>
      <w:r>
        <w:t xml:space="preserve">to have no ‘One In: One Out’ implications,</w:t>
      </w:r>
      <w:r>
        <w:t xml:space="preserve"> </w:t>
      </w:r>
      <w:r>
        <w:t xml:space="preserve">this should be explained.</w:t>
      </w:r>
      <w:r>
        <w:t xml:space="preserve"> </w:t>
      </w:r>
      <w:r>
        <w:t xml:space="preserve"> Additional information on the ‘One In</w:t>
      </w:r>
      <w:r>
        <w:t xml:space="preserve"> </w:t>
      </w:r>
      <w:r>
        <w:t xml:space="preserve">One Out’ clarifying the neutral effect</w:t>
      </w:r>
      <w:r>
        <w:t xml:space="preserve"> </w:t>
      </w:r>
      <w:r>
        <w:t xml:space="preserve">of the initiative on administrative costs</w:t>
      </w:r>
      <w:r>
        <w:t xml:space="preserve"> </w:t>
      </w:r>
      <w:r>
        <w:t xml:space="preserve">added in Annex 3 and referenced also</w:t>
      </w:r>
      <w:r>
        <w:t xml:space="preserve"> </w:t>
      </w:r>
      <w:r>
        <w:t xml:space="preserve">in Chapter 7 when describing the</w:t>
      </w:r>
      <w:r>
        <w:t xml:space="preserve"> </w:t>
      </w:r>
      <w:r>
        <w:t xml:space="preserve">preferred option.</w:t>
      </w:r>
      <w:r>
        <w:br/>
      </w:r>
      <w:r>
        <w:t xml:space="preserve">(2) While the report presents general views</w:t>
      </w:r>
      <w:r>
        <w:t xml:space="preserve"> </w:t>
      </w:r>
      <w:r>
        <w:t xml:space="preserve">of large and small banks on the policy</w:t>
      </w:r>
      <w:r>
        <w:t xml:space="preserve"> </w:t>
      </w:r>
      <w:r>
        <w:t xml:space="preserve">options, Annex 2 still does not provide a</w:t>
      </w:r>
      <w:r>
        <w:t xml:space="preserve"> </w:t>
      </w:r>
      <w:r>
        <w:t xml:space="preserve">general overview of differentiated</w:t>
      </w:r>
      <w:r>
        <w:t xml:space="preserve"> </w:t>
      </w:r>
      <w:r>
        <w:t xml:space="preserve">stakeholder views. Annex 2 should</w:t>
      </w:r>
      <w:r>
        <w:t xml:space="preserve"> </w:t>
      </w:r>
      <w:r>
        <w:t xml:space="preserve">consider responses by type of stakeholder.</w:t>
      </w:r>
      <w:r>
        <w:t xml:space="preserve"> </w:t>
      </w:r>
      <w:r>
        <w:t xml:space="preserve"> Additional information on stakeholder</w:t>
      </w:r>
      <w:r>
        <w:t xml:space="preserve"> </w:t>
      </w:r>
      <w:r>
        <w:t xml:space="preserve">views with a distinction between small</w:t>
      </w:r>
      <w:r>
        <w:t xml:space="preserve"> </w:t>
      </w:r>
      <w:r>
        <w:t xml:space="preserve">and large banks included in Annex 2,</w:t>
      </w:r>
      <w:r>
        <w:t xml:space="preserve"> </w:t>
      </w:r>
      <w:r>
        <w:t xml:space="preserve">in line with the description of</w:t>
      </w:r>
      <w:r>
        <w:t xml:space="preserve"> </w:t>
      </w:r>
      <w:r>
        <w:t xml:space="preserve">stakeholder views in Chapter 6.</w:t>
      </w:r>
    </w:p>
    <w:p>
      <w:pPr>
        <w:pStyle w:val="Compact"/>
        <w:numPr>
          <w:ilvl w:val="0"/>
          <w:numId w:val="1004"/>
        </w:numPr>
      </w:pPr>
      <w:r>
        <w:t xml:space="preserve">EVIDENCE, SOURCES AND QUALITY</w:t>
      </w:r>
      <w:r>
        <w:t xml:space="preserve"> </w:t>
      </w:r>
      <w:r>
        <w:t xml:space="preserve">The impact assessment evaluation drew on a broad range of information sources such as</w:t>
      </w:r>
      <w:r>
        <w:t xml:space="preserve"> </w:t>
      </w:r>
      <w:r>
        <w:t xml:space="preserve">results of consultations with stakeholders, reports from the EBA, and additional desk</w:t>
      </w:r>
      <w:r>
        <w:t xml:space="preserve"> </w:t>
      </w:r>
      <w:r>
        <w:t xml:space="preserve">research by the Commission services. More specific sources included:</w:t>
      </w:r>
      <w:r>
        <w:t xml:space="preserve"> </w:t>
      </w:r>
      <w:r>
        <w:t xml:space="preserve"> Eurogroup’s Statement of June 2022143;</w:t>
      </w:r>
      <w:r>
        <w:t xml:space="preserve"> </w:t>
      </w:r>
      <w:r>
        <w:t xml:space="preserve"> The Commission’s 2019 review report of the BRRD and SRMR144;</w:t>
      </w:r>
      <w:r>
        <w:br/>
      </w:r>
      <w:r>
        <w:t xml:space="preserve"> Overview of past cases of bank failures, including those handled under State aid</w:t>
      </w:r>
      <w:r>
        <w:t xml:space="preserve"> </w:t>
      </w:r>
      <w:r>
        <w:t xml:space="preserve">rules145;</w:t>
      </w:r>
      <w:r>
        <w:br/>
      </w:r>
      <w:r>
        <w:t xml:space="preserve"> 11 expert group meetings with Member States as part of the Commission’s Expert</w:t>
      </w:r>
      <w:r>
        <w:t xml:space="preserve"> </w:t>
      </w:r>
      <w:r>
        <w:t xml:space="preserve">Group on Banking, Payments and Insurance (EGBPI);</w:t>
      </w:r>
      <w:r>
        <w:br/>
      </w:r>
      <w:r>
        <w:t xml:space="preserve"> The European Parliament’s 2021 report on the Banking Union146;</w:t>
      </w:r>
    </w:p>
    <w:p>
      <w:pPr>
        <w:pStyle w:val="FirstParagraph"/>
      </w:pPr>
      <w:r>
        <w:t xml:space="preserve">143 Eurogroup (June 2022), Eurogroup statement on the future of the Banking Union of 16 June 2022.</w:t>
      </w:r>
      <w:r>
        <w:t xml:space="preserve"> </w:t>
      </w:r>
      <w:r>
        <w:t xml:space="preserve">144 European Commission (April 2019), Report from the Commission to the European Parliament and the</w:t>
      </w:r>
      <w:r>
        <w:t xml:space="preserve"> </w:t>
      </w:r>
      <w:r>
        <w:t xml:space="preserve">Council on the application and review of Directive 2014/59/EU (BRRD) and Regulation 806/2014</w:t>
      </w:r>
      <w:r>
        <w:t xml:space="preserve"> </w:t>
      </w:r>
      <w:r>
        <w:t xml:space="preserve">(SRMR).</w:t>
      </w:r>
      <w:r>
        <w:t xml:space="preserve"> </w:t>
      </w:r>
      <w:r>
        <w:t xml:space="preserve">145 See Annex 9.</w:t>
      </w:r>
      <w:r>
        <w:t xml:space="preserve"> </w:t>
      </w:r>
      <w:r>
        <w:t xml:space="preserve">146 European Parliament (June 2022), European Parliament 2021 annual report on Banking Union.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 Feedback from the inception impact assessment which took place between 10</w:t>
      </w:r>
      <w:r>
        <w:t xml:space="preserve"> </w:t>
      </w:r>
      <w:r>
        <w:t xml:space="preserve">November – 8 December 2020 and gathered 15 responses from EU and third</w:t>
      </w:r>
      <w:r>
        <w:t xml:space="preserve"> </w:t>
      </w:r>
      <w:r>
        <w:t xml:space="preserve">countries (see Annex 2);</w:t>
      </w:r>
      <w:r>
        <w:t xml:space="preserve"> </w:t>
      </w:r>
      <w:r>
        <w:t xml:space="preserve"> Two public consultations on the experience with the application of the CMDI</w:t>
      </w:r>
      <w:r>
        <w:t xml:space="preserve"> </w:t>
      </w:r>
      <w:r>
        <w:t xml:space="preserve">framework and views on its revision (see Annex 2):</w:t>
      </w:r>
      <w:r>
        <w:br/>
      </w:r>
      <w:r>
        <w:t xml:space="preserve">o a public (general) consultation147 which ran for 12 weeks from 25</w:t>
      </w:r>
      <w:r>
        <w:t xml:space="preserve"> </w:t>
      </w:r>
      <w:r>
        <w:t xml:space="preserve">February– 20 May 2021 and gathered over 90 responses from a broad</w:t>
      </w:r>
      <w:r>
        <w:t xml:space="preserve"> </w:t>
      </w:r>
      <w:r>
        <w:t xml:space="preserve">range of stakeholders across the EU, and</w:t>
      </w:r>
      <w:r>
        <w:t xml:space="preserve"> </w:t>
      </w:r>
      <w:r>
        <w:t xml:space="preserve">o a targeted (technical) consultation148 which took place between 26 January</w:t>
      </w:r>
      <w:r>
        <w:t xml:space="preserve"> </w:t>
      </w:r>
      <w:r>
        <w:t xml:space="preserve">and 20 April 2021 with over 90 responses received from a broad range of</w:t>
      </w:r>
      <w:r>
        <w:t xml:space="preserve"> </w:t>
      </w:r>
      <w:r>
        <w:t xml:space="preserve">stakeholders across the EU, as well as third countries;</w:t>
      </w:r>
      <w:r>
        <w:t xml:space="preserve"> </w:t>
      </w:r>
      <w:r>
        <w:t xml:space="preserve"> Feedback from DG FISMA’s conference organised on 18 March 2021 discussing</w:t>
      </w:r>
      <w:r>
        <w:t xml:space="preserve"> </w:t>
      </w:r>
      <w:r>
        <w:t xml:space="preserve">the challenges in the current CMDI framework and exploring potential avenues</w:t>
      </w:r>
      <w:r>
        <w:t xml:space="preserve"> </w:t>
      </w:r>
      <w:r>
        <w:t xml:space="preserve">for its review149 (see Annex 2);</w:t>
      </w:r>
      <w:r>
        <w:t xml:space="preserve"> </w:t>
      </w:r>
      <w:r>
        <w:t xml:space="preserve"> An administrative arrangement (N FISMA/2020/003/D3/AA) with the Joint</w:t>
      </w:r>
      <w:r>
        <w:t xml:space="preserve"> </w:t>
      </w:r>
      <w:r>
        <w:t xml:space="preserve">Research Centre in 2020/21 on Financial Safety Nets in the European Union</w:t>
      </w:r>
      <w:r>
        <w:t xml:space="preserve"> </w:t>
      </w:r>
      <w:r>
        <w:t xml:space="preserve">(FinSafEU) for analytical assessments in particular on risk-based contributions,</w:t>
      </w:r>
      <w:r>
        <w:t xml:space="preserve"> </w:t>
      </w:r>
      <w:r>
        <w:t xml:space="preserve">temporary high balances, different EDIS designs and the review of the BRRD</w:t>
      </w:r>
      <w:r>
        <w:t xml:space="preserve"> </w:t>
      </w:r>
      <w:r>
        <w:t xml:space="preserve">framework (see Annex 12);</w:t>
      </w:r>
      <w:r>
        <w:t xml:space="preserve"> </w:t>
      </w:r>
      <w:r>
        <w:t xml:space="preserve"> A Call for advice to the EBA targeted on funding issues in the CMDI</w:t>
      </w:r>
      <w:r>
        <w:t xml:space="preserve"> </w:t>
      </w:r>
      <w:r>
        <w:t xml:space="preserve">framework150 (see Annex 11);</w:t>
      </w:r>
      <w:r>
        <w:t xml:space="preserve"> </w:t>
      </w:r>
      <w:r>
        <w:t xml:space="preserve"> Four reports from the EBA on the implementation of the DGSD151;</w:t>
      </w:r>
      <w:r>
        <w:t xml:space="preserve"> </w:t>
      </w:r>
      <w:r>
        <w:t xml:space="preserve"> EBA reports, i.e. on the application of early intervention measures in the EU152;</w:t>
      </w:r>
      <w:r>
        <w:t xml:space="preserve"> </w:t>
      </w:r>
      <w:r>
        <w:t xml:space="preserve"> ECB’s occasional paper on why DGSs in the EU should be able to support</w:t>
      </w:r>
      <w:r>
        <w:t xml:space="preserve"> </w:t>
      </w:r>
      <w:r>
        <w:t xml:space="preserve">transfers of assets when a bank fails153;</w:t>
      </w:r>
      <w:r>
        <w:t xml:space="preserve"> </w:t>
      </w:r>
      <w:r>
        <w:t xml:space="preserve"> A study financed under the European Parliament’s pilot project “Creating a true</w:t>
      </w:r>
      <w:r>
        <w:t xml:space="preserve"> </w:t>
      </w:r>
      <w:r>
        <w:t xml:space="preserve">Banking Union” on the options and national discretions under the DGSD and their</w:t>
      </w:r>
      <w:r>
        <w:t xml:space="preserve"> </w:t>
      </w:r>
      <w:r>
        <w:t xml:space="preserve">treatment in the context of a European Deposit Insurance Scheme (EDIS)154;</w:t>
      </w:r>
      <w:r>
        <w:t xml:space="preserve"> </w:t>
      </w:r>
      <w:r>
        <w:t xml:space="preserve"> A study financed under the European Parliament Pilot Project “Creating a true</w:t>
      </w:r>
      <w:r>
        <w:t xml:space="preserve"> </w:t>
      </w:r>
      <w:r>
        <w:t xml:space="preserve">Banking Union” on the differences between bank insolvency laws and their</w:t>
      </w:r>
      <w:r>
        <w:t xml:space="preserve"> </w:t>
      </w:r>
      <w:r>
        <w:t xml:space="preserve">potential harmonisation155;</w:t>
      </w:r>
    </w:p>
    <w:p>
      <w:pPr>
        <w:pStyle w:val="BodyText"/>
      </w:pPr>
      <w:r>
        <w:t xml:space="preserve">147 Public consultation on the review of the bank crisis management &amp; deposit insurance framework.</w:t>
      </w:r>
      <w:r>
        <w:t xml:space="preserve"> </w:t>
      </w:r>
      <w:r>
        <w:t xml:space="preserve">148 Targeted consultation on the review of the bank crisis management &amp; deposit insurance framework.</w:t>
      </w:r>
      <w:r>
        <w:t xml:space="preserve"> </w:t>
      </w:r>
      <w:r>
        <w:t xml:space="preserve">149 High-level conference – Strengthening the EU’s bank crisis management and deposit insurance</w:t>
      </w:r>
      <w:r>
        <w:t xml:space="preserve"> </w:t>
      </w:r>
      <w:r>
        <w:t xml:space="preserve">framework: for a more resilient and efficient banking union.</w:t>
      </w:r>
      <w:r>
        <w:t xml:space="preserve"> </w:t>
      </w:r>
      <w:r>
        <w:t xml:space="preserve">150 European Commission (19 April 2021) Call for advice to the EBA regarding funding in resolution and</w:t>
      </w:r>
      <w:r>
        <w:t xml:space="preserve"> </w:t>
      </w:r>
      <w:r>
        <w:t xml:space="preserve">insolvency as part of the review of the crisis management and deposit insurance framework.</w:t>
      </w:r>
      <w:r>
        <w:t xml:space="preserve"> </w:t>
      </w:r>
      <w:r>
        <w:t xml:space="preserve">151 EBA opinions of 8 August 2019, 30 October 2019, 23 January 2020 and 28 December 2020 issued</w:t>
      </w:r>
      <w:r>
        <w:t xml:space="preserve"> </w:t>
      </w:r>
      <w:r>
        <w:t xml:space="preserve">under Article 19(6) DGSD in the context of the DGSD review. See also Annex 6.</w:t>
      </w:r>
      <w:r>
        <w:t xml:space="preserve"> </w:t>
      </w:r>
      <w:r>
        <w:t xml:space="preserve">152 EBA (27 May 2021), Report on the application of early intervention measures in the European Union</w:t>
      </w:r>
      <w:r>
        <w:t xml:space="preserve"> </w:t>
      </w:r>
      <w:r>
        <w:t xml:space="preserve">in accordance with Articles 27-29 of the BRRD, EBA/REP/2021/12.</w:t>
      </w:r>
      <w:r>
        <w:t xml:space="preserve"> </w:t>
      </w:r>
      <w:r>
        <w:t xml:space="preserve">153 ECB (October 2022), Protecting depositors and saving money - why DGS in the EU should be able to</w:t>
      </w:r>
      <w:r>
        <w:t xml:space="preserve"> </w:t>
      </w:r>
      <w:r>
        <w:t xml:space="preserve">support transfers of assets and liabilities when a bank fails.</w:t>
      </w:r>
      <w:r>
        <w:t xml:space="preserve"> </w:t>
      </w:r>
      <w:r>
        <w:t xml:space="preserve">154 European Commission (28 November 2019) under the European Parliament’s Pilot Project “Creating a</w:t>
      </w:r>
      <w:r>
        <w:t xml:space="preserve"> </w:t>
      </w:r>
      <w:r>
        <w:t xml:space="preserve">true Banking Union” Study on the Options and national discretions under the DGSD and their treatment in</w:t>
      </w:r>
      <w:r>
        <w:t xml:space="preserve"> </w:t>
      </w:r>
      <w:r>
        <w:t xml:space="preserve">the context of a European Deposit Insurance Scheme.</w:t>
      </w:r>
      <w:r>
        <w:t xml:space="preserve"> </w:t>
      </w:r>
      <w:r>
        <w:t xml:space="preserve">155 European Commission (28 November 2019) under the European Parliament’s Pilot Project “Creating a</w:t>
      </w:r>
      <w:r>
        <w:t xml:space="preserve"> </w:t>
      </w:r>
      <w:r>
        <w:t xml:space="preserve">true Banking Union” Study on the differences between bank insolvency laws and on their potential</w:t>
      </w:r>
      <w:r>
        <w:t xml:space="preserve"> </w:t>
      </w:r>
      <w:r>
        <w:t xml:space="preserve">harmonisation.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 50 bilateral meetings with resolution and competent authorities between 2019 and</w:t>
      </w:r>
      <w:r>
        <w:t xml:space="preserve"> </w:t>
      </w:r>
      <w:r>
        <w:t xml:space="preserve">2022;</w:t>
      </w:r>
      <w:r>
        <w:t xml:space="preserve"> </w:t>
      </w:r>
      <w:r>
        <w:t xml:space="preserve"> Third party events (e.g. seminars, workshops, conferences) on the topic of the</w:t>
      </w:r>
      <w:r>
        <w:t xml:space="preserve"> </w:t>
      </w:r>
      <w:r>
        <w:t xml:space="preserve">CMDI framework156;</w:t>
      </w:r>
      <w:r>
        <w:t xml:space="preserve"> </w:t>
      </w:r>
      <w:r>
        <w:t xml:space="preserve"> 58 bilateral stakeholder meetings with banks, industry associations, think-tanks</w:t>
      </w:r>
      <w:r>
        <w:t xml:space="preserve"> </w:t>
      </w:r>
      <w:r>
        <w:t xml:space="preserve">(between 2019 and 2022);</w:t>
      </w:r>
      <w:r>
        <w:t xml:space="preserve"> </w:t>
      </w:r>
      <w:r>
        <w:t xml:space="preserve"> The Risk reduction monitoring report prepared jointly by the Commission</w:t>
      </w:r>
      <w:r>
        <w:t xml:space="preserve"> </w:t>
      </w:r>
      <w:r>
        <w:t xml:space="preserve">services, the ECB and the SRB for the Eurogroup meeting of 30 November 2020</w:t>
      </w:r>
      <w:r>
        <w:t xml:space="preserve"> </w:t>
      </w:r>
      <w:r>
        <w:t xml:space="preserve">in view of the political decision to approve the ESM Treaty reforms and the early</w:t>
      </w:r>
      <w:r>
        <w:t xml:space="preserve"> </w:t>
      </w:r>
      <w:r>
        <w:t xml:space="preserve">introduction of the backstop to the SRF157 and the Eurogroup meeting of May</w:t>
      </w:r>
      <w:r>
        <w:t xml:space="preserve"> </w:t>
      </w:r>
      <w:r>
        <w:t xml:space="preserve">2021158 and subsequent edition of November 2021159.</w:t>
      </w:r>
      <w:r>
        <w:t xml:space="preserve"> </w:t>
      </w:r>
      <w:r>
        <w:t xml:space="preserve"> Discussions in the High Level Working Group (HLWG) on EDIS and the</w:t>
      </w:r>
      <w:r>
        <w:t xml:space="preserve"> </w:t>
      </w:r>
      <w:r>
        <w:t xml:space="preserve">Council’s Working Party (CWP)160;</w:t>
      </w:r>
      <w:r>
        <w:t xml:space="preserve"> </w:t>
      </w:r>
      <w:r>
        <w:t xml:space="preserve"> Eurogroup conclusions of November 2020161, calling for a review of the CMDI</w:t>
      </w:r>
      <w:r>
        <w:t xml:space="preserve"> </w:t>
      </w:r>
      <w:r>
        <w:t xml:space="preserve">framework and which agreed the early introduction of a common backstop to the</w:t>
      </w:r>
      <w:r>
        <w:t xml:space="preserve"> </w:t>
      </w:r>
      <w:r>
        <w:t xml:space="preserve">SRF in 2022;</w:t>
      </w:r>
      <w:r>
        <w:t xml:space="preserve"> </w:t>
      </w:r>
      <w:r>
        <w:t xml:space="preserve"> The Fit for the Future (F4F) Platform’s opinion on the completion of the Banking</w:t>
      </w:r>
      <w:r>
        <w:t xml:space="preserve"> </w:t>
      </w:r>
      <w:r>
        <w:t xml:space="preserve">Union. 162</w:t>
      </w:r>
      <w:r>
        <w:t xml:space="preserve"> </w:t>
      </w:r>
      <w:r>
        <w:t xml:space="preserve"> The Financial Stability Board’s (FSB) Too big to fail (TBTF) report163 evaluating</w:t>
      </w:r>
      <w:r>
        <w:t xml:space="preserve"> </w:t>
      </w:r>
      <w:r>
        <w:t xml:space="preserve">the application of resolution frameworks for global systemically important banks</w:t>
      </w:r>
      <w:r>
        <w:t xml:space="preserve"> </w:t>
      </w:r>
      <w:r>
        <w:t xml:space="preserve">around the world.</w:t>
      </w:r>
      <w:r>
        <w:t xml:space="preserve"> </w:t>
      </w:r>
      <w:r>
        <w:t xml:space="preserve">The Commission services also took into consideration the report by the European Court</w:t>
      </w:r>
      <w:r>
        <w:t xml:space="preserve"> </w:t>
      </w:r>
      <w:r>
        <w:t xml:space="preserve">of Auditor’s on the functioning of the Single resolution mechanism164 and on the control</w:t>
      </w:r>
      <w:r>
        <w:t xml:space="preserve"> </w:t>
      </w:r>
      <w:r>
        <w:t xml:space="preserve">of State aid to financial institutions165.</w:t>
      </w:r>
    </w:p>
    <w:p>
      <w:pPr>
        <w:pStyle w:val="BodyText"/>
      </w:pPr>
      <w:r>
        <w:t xml:space="preserve">156 For example, workshop at the Banca d’Italia on The crisis management framework for banks in the EU -</w:t>
      </w:r>
      <w:r>
        <w:t xml:space="preserve"> </w:t>
      </w:r>
      <w:r>
        <w:t xml:space="preserve">How can we deal with the crisis of small and medium-sized banks.</w:t>
      </w:r>
      <w:r>
        <w:t xml:space="preserve"> </w:t>
      </w:r>
      <w:r>
        <w:t xml:space="preserve">157 European Commission, ECB and SRB (November 2020), Joint monitoring report on risk reduction</w:t>
      </w:r>
      <w:r>
        <w:t xml:space="preserve"> </w:t>
      </w:r>
      <w:r>
        <w:t xml:space="preserve">indicators.</w:t>
      </w:r>
      <w:r>
        <w:t xml:space="preserve"> </w:t>
      </w:r>
      <w:r>
        <w:t xml:space="preserve">158 European Commission, ECB and SRB (May 2021), Joint monitoring report on risk reduction</w:t>
      </w:r>
      <w:r>
        <w:t xml:space="preserve"> </w:t>
      </w:r>
      <w:r>
        <w:t xml:space="preserve">indicators.</w:t>
      </w:r>
      <w:r>
        <w:br/>
      </w:r>
      <w:r>
        <w:t xml:space="preserve">159 European Commission, ECB and SRB (November 2021), Joint monitoring report on risk reduction</w:t>
      </w:r>
      <w:r>
        <w:t xml:space="preserve"> </w:t>
      </w:r>
      <w:r>
        <w:t xml:space="preserve">indicators.</w:t>
      </w:r>
      <w:r>
        <w:br/>
      </w:r>
      <w:r>
        <w:t xml:space="preserve">160 The outcome of these discussions is mostly in public domain on the Council webpage.</w:t>
      </w:r>
      <w:r>
        <w:br/>
      </w:r>
      <w:r>
        <w:t xml:space="preserve">161 Eurogroup (30 November 2020), Eurogroup conclusions.</w:t>
      </w:r>
      <w:r>
        <w:t xml:space="preserve"> </w:t>
      </w:r>
      <w:r>
        <w:t xml:space="preserve">162 F4F Platform Opinion (10 December 2021), Completing the Banking Union.</w:t>
      </w:r>
      <w:r>
        <w:t xml:space="preserve"> </w:t>
      </w:r>
      <w:r>
        <w:t xml:space="preserve">163 Financial Stability Board (1 April 2021), Too big to fail report.</w:t>
      </w:r>
      <w:r>
        <w:t xml:space="preserve"> </w:t>
      </w:r>
      <w:r>
        <w:t xml:space="preserve">164 European Court of Auditors (January 2021), Special report: Resolution planning in the Single</w:t>
      </w:r>
      <w:r>
        <w:t xml:space="preserve"> </w:t>
      </w:r>
      <w:r>
        <w:t xml:space="preserve">Resolution Mechanism.</w:t>
      </w:r>
      <w:r>
        <w:br/>
      </w:r>
      <w:r>
        <w:t xml:space="preserve">165 European Court of Auditors (October 2020), Special Report 21/2020, Control of State aid to financial</w:t>
      </w:r>
      <w:r>
        <w:t xml:space="preserve"> </w:t>
      </w:r>
      <w:r>
        <w:t xml:space="preserve">institutions in the EU: in need of a fitness check.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ANNEX 2: STAKEHOLDER CONSULTATION</w:t>
      </w:r>
    </w:p>
    <w:p>
      <w:pPr>
        <w:pStyle w:val="Compact"/>
        <w:numPr>
          <w:ilvl w:val="0"/>
          <w:numId w:val="1005"/>
        </w:numPr>
      </w:pPr>
      <w:r>
        <w:t xml:space="preserve">INTRODUCTION</w:t>
      </w:r>
      <w:r>
        <w:t xml:space="preserve"> </w:t>
      </w:r>
      <w:r>
        <w:t xml:space="preserve">The European Commission is currently reviewing its CMDI framework and is expected</w:t>
      </w:r>
      <w:r>
        <w:t xml:space="preserve"> </w:t>
      </w:r>
      <w:r>
        <w:t xml:space="preserve">to make legislative proposals in Q1 2023. In order to understand better the performance</w:t>
      </w:r>
      <w:r>
        <w:t xml:space="preserve"> </w:t>
      </w:r>
      <w:r>
        <w:t xml:space="preserve">of the framework as well as the possible scope for improvements, the Commission</w:t>
      </w:r>
      <w:r>
        <w:t xml:space="preserve"> </w:t>
      </w:r>
      <w:r>
        <w:t xml:space="preserve">undertook extensive exchanges through different consultation tools to reach out to all</w:t>
      </w:r>
      <w:r>
        <w:t xml:space="preserve"> </w:t>
      </w:r>
      <w:r>
        <w:t xml:space="preserve">stakeholders involved. Annex 2 provides a summary of the consultation activities that</w:t>
      </w:r>
      <w:r>
        <w:t xml:space="preserve"> </w:t>
      </w:r>
      <w:r>
        <w:t xml:space="preserve">were considered while preparing the impact assessment.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CONSULTATION STRATEGY</w:t>
      </w:r>
      <w:r>
        <w:t xml:space="preserve"> </w:t>
      </w:r>
      <w:r>
        <w:t xml:space="preserve">To ensure that the Commission’s proposal on the CMDI framework review adequately</w:t>
      </w:r>
      <w:r>
        <w:t xml:space="preserve"> </w:t>
      </w:r>
      <w:r>
        <w:t xml:space="preserve">takes into account the views of all interested stakeholders, the consultation strategy</w:t>
      </w:r>
      <w:r>
        <w:t xml:space="preserve"> </w:t>
      </w:r>
      <w:r>
        <w:t xml:space="preserve">supporting this initiative builds on the following main consultation activities:</w:t>
      </w:r>
    </w:p>
    <w:p>
      <w:pPr>
        <w:pStyle w:val="Compact"/>
        <w:numPr>
          <w:ilvl w:val="0"/>
          <w:numId w:val="1006"/>
        </w:numPr>
      </w:pPr>
      <w:r>
        <w:t xml:space="preserve">An Inception Impact Assessment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 targeted consultation open for a total period of 12 weeks</w:t>
      </w:r>
    </w:p>
    <w:p>
      <w:pPr>
        <w:pStyle w:val="Compact"/>
        <w:numPr>
          <w:ilvl w:val="0"/>
          <w:numId w:val="1006"/>
        </w:numPr>
      </w:pPr>
      <w:r>
        <w:t xml:space="preserve">A public consultation open for a total period of 12 weeks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Targeted consultations of Member States and bilateral exchanges with</w:t>
      </w:r>
      <w:r>
        <w:t xml:space="preserve"> </w:t>
      </w:r>
      <w:r>
        <w:t xml:space="preserve">stakeholders and resolution/competent authorities</w:t>
      </w:r>
    </w:p>
    <w:p>
      <w:pPr>
        <w:pStyle w:val="Compact"/>
        <w:numPr>
          <w:ilvl w:val="0"/>
          <w:numId w:val="1006"/>
        </w:numPr>
      </w:pPr>
      <w:r>
        <w:t xml:space="preserve">A high-level conference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EBA opinions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The F4F Platform’s opinion on the completion of the Banking Union</w:t>
      </w:r>
      <w:r>
        <w:t xml:space="preserve"> </w:t>
      </w:r>
      <w:r>
        <w:t xml:space="preserve">The results of each component are presented in the synopsis report below.</w:t>
      </w:r>
    </w:p>
    <w:p>
      <w:pPr>
        <w:pStyle w:val="Compact"/>
        <w:numPr>
          <w:ilvl w:val="0"/>
          <w:numId w:val="1007"/>
        </w:numPr>
      </w:pPr>
      <w:r>
        <w:t xml:space="preserve">FEEDBACK ON THE COMBINED INCEPTION IMPACT ASSESSMENT/ROADMAP</w:t>
      </w:r>
      <w:r>
        <w:t xml:space="preserve"> </w:t>
      </w:r>
      <w:r>
        <w:t xml:space="preserve">The combined Inception Impact Assessment and roadmap aim to provide a detailed</w:t>
      </w:r>
      <w:r>
        <w:t xml:space="preserve"> </w:t>
      </w:r>
      <w:r>
        <w:t xml:space="preserve">analysis on the actions to be taken at the EU level and the potential impact of different</w:t>
      </w:r>
      <w:r>
        <w:t xml:space="preserve"> </w:t>
      </w:r>
      <w:r>
        <w:t xml:space="preserve">policy options on the economy, the society and the environment. The feedback period</w:t>
      </w:r>
      <w:r>
        <w:t xml:space="preserve"> </w:t>
      </w:r>
      <w:r>
        <w:t xml:space="preserve">for the Inception Impact Assessment lasted four weeks (10 November – 8 December</w:t>
      </w:r>
      <w:r>
        <w:t xml:space="preserve"> </w:t>
      </w:r>
      <w:r>
        <w:t xml:space="preserve">2020). The Commission received 15 responses through the “Have Your Say!” portal</w:t>
      </w:r>
      <w:r>
        <w:t xml:space="preserve"> </w:t>
      </w:r>
      <w:r>
        <w:t xml:space="preserve">from different stakeholder groups: banking associations (5), public authorities (4),</w:t>
      </w:r>
      <w:r>
        <w:t xml:space="preserve"> </w:t>
      </w:r>
      <w:r>
        <w:t xml:space="preserve">company/business organisations (2), trade union (1), academia (1) and “other” (2).</w:t>
      </w:r>
      <w:r>
        <w:br/>
      </w:r>
      <w:r>
        <w:t xml:space="preserve">All respondents acknowledged the need for a targeted review of the CMDI framework</w:t>
      </w:r>
      <w:r>
        <w:t xml:space="preserve"> </w:t>
      </w:r>
      <w:r>
        <w:t xml:space="preserve">to increase its efficiency, proportionality and overall coherence. Some respondents</w:t>
      </w:r>
      <w:r>
        <w:t xml:space="preserve"> </w:t>
      </w:r>
      <w:r>
        <w:t xml:space="preserve">emphasised the need for improving the applicability of existing resolution tools.</w:t>
      </w:r>
      <w:r>
        <w:t xml:space="preserve"> </w:t>
      </w:r>
      <w:r>
        <w:t xml:space="preserve">Most feedback, including from both large and small/medium-sized banks, supports</w:t>
      </w:r>
      <w:r>
        <w:t xml:space="preserve"> </w:t>
      </w:r>
      <w:r>
        <w:t xml:space="preserve">levelling the playing field in the management of bank failures, in particular, by reducing</w:t>
      </w:r>
      <w:r>
        <w:t xml:space="preserve"> </w:t>
      </w:r>
      <w:r>
        <w:t xml:space="preserve">discretion and ensuring more consistency in the application of the public interest</w:t>
      </w:r>
      <w:r>
        <w:t xml:space="preserve"> </w:t>
      </w:r>
      <w:r>
        <w:t xml:space="preserve">assessment (PIA) and by limiting incentives for resorting to solutions outside resolution.</w:t>
      </w:r>
      <w:r>
        <w:t xml:space="preserve"> </w:t>
      </w:r>
      <w:r>
        <w:t xml:space="preserve">One respondent underlined that any initiatives for further harmonising the creditor</w:t>
      </w:r>
      <w:r>
        <w:t xml:space="preserve"> </w:t>
      </w:r>
      <w:r>
        <w:t xml:space="preserve">hierarchy and increasing the level of protection of (certain) creditors, should be treated</w:t>
      </w:r>
    </w:p>
    <w:p>
      <w:pPr>
        <w:pStyle w:val="FirstParagraph"/>
      </w:pPr>
      <w:r>
        <w:t xml:space="preserve">102</w:t>
      </w:r>
      <w:r>
        <w:t xml:space="preserve"> </w:t>
      </w:r>
      <w:r>
        <w:t xml:space="preserve">with caution, while a detailed assessment of the associated costs will need to be</w:t>
      </w:r>
      <w:r>
        <w:t xml:space="preserve"> </w:t>
      </w:r>
      <w:r>
        <w:t xml:space="preserve">reflected in the impact assessment.</w:t>
      </w:r>
      <w:r>
        <w:t xml:space="preserve"> </w:t>
      </w:r>
      <w:r>
        <w:t xml:space="preserve">As regards funding solutions (sources, access conditions) in resolution and insolvency,</w:t>
      </w:r>
      <w:r>
        <w:t xml:space="preserve"> </w:t>
      </w:r>
      <w:r>
        <w:t xml:space="preserve">most feedback supported that the CMDI framework should include proportionate and</w:t>
      </w:r>
      <w:r>
        <w:t xml:space="preserve"> </w:t>
      </w:r>
      <w:r>
        <w:t xml:space="preserve">adequate solutions for the management of failures of any type of bank, but without</w:t>
      </w:r>
      <w:r>
        <w:t xml:space="preserve"> </w:t>
      </w:r>
      <w:r>
        <w:t xml:space="preserve">compromising the principle of burden sharing which is inherent to the Bank Recovery</w:t>
      </w:r>
      <w:r>
        <w:t xml:space="preserve"> </w:t>
      </w:r>
      <w:r>
        <w:t xml:space="preserve">and Resolution Directive (BRRD). According to most respondents, a review of the</w:t>
      </w:r>
      <w:r>
        <w:t xml:space="preserve"> </w:t>
      </w:r>
      <w:r>
        <w:t xml:space="preserve">conditions for granting State aid in- and outside resolution would be necessary. One</w:t>
      </w:r>
      <w:r>
        <w:t xml:space="preserve"> </w:t>
      </w:r>
      <w:r>
        <w:t xml:space="preserve">respondent called for a simpler and more transparent methodology for calculating the</w:t>
      </w:r>
      <w:r>
        <w:t xml:space="preserve"> </w:t>
      </w:r>
      <w:r>
        <w:t xml:space="preserve">contributions to the Single Resolution Fund (SRF), and requested the same for the</w:t>
      </w:r>
      <w:r>
        <w:t xml:space="preserve"> </w:t>
      </w:r>
      <w:r>
        <w:t xml:space="preserve">methodology for contributions to a European deposit insurance scheme (EDIS).</w:t>
      </w:r>
      <w:r>
        <w:t xml:space="preserve"> </w:t>
      </w:r>
      <w:r>
        <w:t xml:space="preserve">As regards depositor protection, some feedback called for a preservation of national</w:t>
      </w:r>
      <w:r>
        <w:t xml:space="preserve"> </w:t>
      </w:r>
      <w:r>
        <w:t xml:space="preserve">protection systems and of national options such as preventive and alternative measures</w:t>
      </w:r>
      <w:r>
        <w:t xml:space="preserve"> </w:t>
      </w:r>
      <w:r>
        <w:t xml:space="preserve">that have worked well in the past. However, most of the views converged that there is a</w:t>
      </w:r>
      <w:r>
        <w:t xml:space="preserve"> </w:t>
      </w:r>
      <w:r>
        <w:t xml:space="preserve">need for improving the efficiency of these measures, in particularly through clarification</w:t>
      </w:r>
      <w:r>
        <w:t xml:space="preserve"> </w:t>
      </w:r>
      <w:r>
        <w:t xml:space="preserve">of their conditions, limits and purpose. One respondent flagged that risk-reducing</w:t>
      </w:r>
      <w:r>
        <w:t xml:space="preserve"> </w:t>
      </w:r>
      <w:r>
        <w:t xml:space="preserve">specificities of institutional protection schemes (IPS) should be duly considered.</w:t>
      </w:r>
      <w:r>
        <w:t xml:space="preserve"> </w:t>
      </w:r>
      <w:r>
        <w:t xml:space="preserve">Most respondents underlined that any policy options should consider the potential</w:t>
      </w:r>
      <w:r>
        <w:t xml:space="preserve"> </w:t>
      </w:r>
      <w:r>
        <w:t xml:space="preserve">ramifications with regard to the discussions on EDIS. Three respondents support that the</w:t>
      </w:r>
      <w:r>
        <w:t xml:space="preserve"> </w:t>
      </w:r>
      <w:r>
        <w:t xml:space="preserve">pooling of funds from various sources should be avoided or not form part of the review.</w:t>
      </w:r>
      <w:r>
        <w:t xml:space="preserve"> </w:t>
      </w:r>
      <w:r>
        <w:t xml:space="preserve">Two respondents were of the view that EDIS should not be part of the review.</w:t>
      </w:r>
      <w:r>
        <w:t xml:space="preserve"> </w:t>
      </w:r>
      <w:r>
        <w:t xml:space="preserve">4.</w:t>
      </w:r>
      <w:r>
        <w:t xml:space="preserve"> </w:t>
      </w:r>
      <w:r>
        <w:t xml:space="preserve">PUBLIC AND TARGETED CONSULTATIONS</w:t>
      </w:r>
      <w:r>
        <w:t xml:space="preserve"> </w:t>
      </w:r>
      <w:r>
        <w:t xml:space="preserve">The Commission launched two consultations166 to seek stakeholder feedback on the</w:t>
      </w:r>
      <w:r>
        <w:t xml:space="preserve"> </w:t>
      </w:r>
      <w:r>
        <w:t xml:space="preserve">application of the CMDI framework and views on possible modifications. The targeted</w:t>
      </w:r>
      <w:r>
        <w:t xml:space="preserve"> </w:t>
      </w:r>
      <w:r>
        <w:t xml:space="preserve">consultation, covering 39 general and specific technical questions, was available in</w:t>
      </w:r>
      <w:r>
        <w:t xml:space="preserve"> </w:t>
      </w:r>
      <w:r>
        <w:t xml:space="preserve">English only and open from 26 January to 20 April 2021. The public consultation</w:t>
      </w:r>
      <w:r>
        <w:t xml:space="preserve"> </w:t>
      </w:r>
      <w:r>
        <w:t xml:space="preserve">consisted of 10 general questions167, available in all EU languages and the feedback</w:t>
      </w:r>
      <w:r>
        <w:t xml:space="preserve"> </w:t>
      </w:r>
      <w:r>
        <w:t xml:space="preserve">period ran from 25 February to 20 May 2021. Both consultations were open for 12</w:t>
      </w:r>
      <w:r>
        <w:t xml:space="preserve"> </w:t>
      </w:r>
      <w:r>
        <w:t xml:space="preserve">weeks. In total, the Commission received 188 official responses and three additional</w:t>
      </w:r>
      <w:r>
        <w:t xml:space="preserve"> </w:t>
      </w:r>
      <w:r>
        <w:t xml:space="preserve">replies were submitted informally. All but five respondents were stakeholders from the</w:t>
      </w:r>
      <w:r>
        <w:t xml:space="preserve"> </w:t>
      </w:r>
      <w:r>
        <w:t xml:space="preserve">EU. Responses received were from a variety of stakeholders representing EU citizens</w:t>
      </w:r>
      <w:r>
        <w:t xml:space="preserve"> </w:t>
      </w:r>
      <w:r>
        <w:t xml:space="preserve">(26%), business organisations (24%), business associations (16%), public authorities</w:t>
      </w:r>
      <w:r>
        <w:t xml:space="preserve"> </w:t>
      </w:r>
      <w:r>
        <w:t xml:space="preserve">(19%), consumer organisations (2%) and academia (3%). It is also important to point</w:t>
      </w:r>
      <w:r>
        <w:t xml:space="preserve"> </w:t>
      </w:r>
      <w:r>
        <w:t xml:space="preserve">out that numerous answers provided (in particular to the public consultation) were of the</w:t>
      </w:r>
      <w:r>
        <w:t xml:space="preserve"> </w:t>
      </w:r>
      <w:r>
        <w:t xml:space="preserve">same wording and stance, thereby suggesting that certain respondents cooperated when</w:t>
      </w:r>
      <w:r>
        <w:t xml:space="preserve"> </w:t>
      </w:r>
      <w:r>
        <w:t xml:space="preserve">drafting their response prior to submitting their final answers.</w:t>
      </w:r>
      <w:r>
        <w:t xml:space="preserve"> </w:t>
      </w:r>
      <w:r>
        <w:t xml:space="preserve">The Commission services published a ‘summary report’ on the feedback to both</w:t>
      </w:r>
      <w:r>
        <w:t xml:space="preserve"> </w:t>
      </w:r>
      <w:r>
        <w:t xml:space="preserve">consultations on 7 July 2021 on the respective consultation pages. Below is a summary</w:t>
      </w:r>
      <w:r>
        <w:t xml:space="preserve"> </w:t>
      </w:r>
      <w:r>
        <w:t xml:space="preserve">of the views expressed with regard to the experience with the framework so far and to</w:t>
      </w:r>
      <w:r>
        <w:t xml:space="preserve"> </w:t>
      </w:r>
      <w:r>
        <w:t xml:space="preserve">future action to make the framework more resilient.</w:t>
      </w:r>
    </w:p>
    <w:p>
      <w:pPr>
        <w:pStyle w:val="BodyText"/>
      </w:pPr>
      <w:r>
        <w:t xml:space="preserve">166 See consultation pages of the targeted consultation and the public consultation.</w:t>
      </w:r>
      <w:r>
        <w:br/>
      </w:r>
      <w:r>
        <w:t xml:space="preserve">167 The questions of the public consultation were a subset of the questions of the targeted consultation.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I.</w:t>
      </w:r>
      <w:r>
        <w:t xml:space="preserve"> </w:t>
      </w:r>
      <w:r>
        <w:t xml:space="preserve">General objectives and review focus</w:t>
      </w:r>
      <w:r>
        <w:t xml:space="preserve"> </w:t>
      </w:r>
      <w:r>
        <w:t xml:space="preserve">a. Policy objectives</w:t>
      </w:r>
      <w:r>
        <w:br/>
      </w:r>
      <w:r>
        <w:t xml:space="preserve">Respondents overall agreed that the CMDI framework is an improvement compared to</w:t>
      </w:r>
      <w:r>
        <w:t xml:space="preserve"> </w:t>
      </w:r>
      <w:r>
        <w:t xml:space="preserve">the situation pre-2014/15 and that the objectives of the framework have been achieved</w:t>
      </w:r>
      <w:r>
        <w:t xml:space="preserve"> </w:t>
      </w:r>
      <w:r>
        <w:t xml:space="preserve">to a large extent. Nevertheless, improvements are warranted. While respondents were</w:t>
      </w:r>
      <w:r>
        <w:t xml:space="preserve"> </w:t>
      </w:r>
      <w:r>
        <w:t xml:space="preserve">satisfied with the protection of depositors and the reduced risk for financial stability</w:t>
      </w:r>
      <w:r>
        <w:t xml:space="preserve"> </w:t>
      </w:r>
      <w:r>
        <w:t xml:space="preserve">stemming from bank failures, the framework, however, seemed to have failed in</w:t>
      </w:r>
      <w:r>
        <w:t xml:space="preserve"> </w:t>
      </w:r>
      <w:r>
        <w:t xml:space="preserve">protecting taxpayer money and breaking the bank/sovereign loop. Respondents noted</w:t>
      </w:r>
      <w:r>
        <w:t xml:space="preserve"> </w:t>
      </w:r>
      <w:r>
        <w:t xml:space="preserve">that more could be done with respect to minimising the recourse to taxpayer money and</w:t>
      </w:r>
      <w:r>
        <w:t xml:space="preserve"> </w:t>
      </w:r>
      <w:r>
        <w:t xml:space="preserve">improving the level playing field among banks from different Member States, with</w:t>
      </w:r>
      <w:r>
        <w:t xml:space="preserve"> </w:t>
      </w:r>
      <w:r>
        <w:t xml:space="preserve">certain respondents perceiving EDIS as a missing element to reach this objective.</w:t>
      </w:r>
      <w:r>
        <w:t xml:space="preserve"> </w:t>
      </w:r>
      <w:r>
        <w:t xml:space="preserve">b. Available measures in the CMDI framework</w:t>
      </w:r>
      <w:r>
        <w:br/>
      </w:r>
      <w:r>
        <w:t xml:space="preserve">The majority of respondents who provided a view (88%) believed that some of the</w:t>
      </w:r>
      <w:r>
        <w:t xml:space="preserve"> </w:t>
      </w:r>
      <w:r>
        <w:t xml:space="preserve">measures in the CMDI framework succeeded in fulfilling the intended policy objectives</w:t>
      </w:r>
      <w:r>
        <w:t xml:space="preserve"> </w:t>
      </w:r>
      <w:r>
        <w:t xml:space="preserve">and the management of banks’ crisis, notably precautionary measures, provided that the</w:t>
      </w:r>
      <w:r>
        <w:t xml:space="preserve"> </w:t>
      </w:r>
      <w:r>
        <w:t xml:space="preserve">latter remain limited in use. Early Intervention Measures (EIMs), however, were widely</w:t>
      </w:r>
      <w:r>
        <w:t xml:space="preserve"> </w:t>
      </w:r>
      <w:r>
        <w:t xml:space="preserve">criticised by stakeholders pointing out the need to eliminate the overlap between EIMs</w:t>
      </w:r>
      <w:r>
        <w:t xml:space="preserve"> </w:t>
      </w:r>
      <w:r>
        <w:t xml:space="preserve">and supervisory powers, with a significant preference for a merger in order to increase</w:t>
      </w:r>
      <w:r>
        <w:t xml:space="preserve"> </w:t>
      </w:r>
      <w:r>
        <w:t xml:space="preserve">efficiency. The resolution tools were overall described as satisfying with certain</w:t>
      </w:r>
      <w:r>
        <w:t xml:space="preserve"> </w:t>
      </w:r>
      <w:r>
        <w:t xml:space="preserve">institutions calling, however, for a more appropriately tailored mechanism for smaller</w:t>
      </w:r>
      <w:r>
        <w:t xml:space="preserve"> </w:t>
      </w:r>
      <w:r>
        <w:t xml:space="preserve">and medium-sized banks and for an instrument for liquidity in resolution. Opinions on</w:t>
      </w:r>
      <w:r>
        <w:t xml:space="preserve"> </w:t>
      </w:r>
      <w:r>
        <w:t xml:space="preserve">deposit guarantee scheme (DGS) preventive measures were split, with several</w:t>
      </w:r>
      <w:r>
        <w:t xml:space="preserve"> </w:t>
      </w:r>
      <w:r>
        <w:t xml:space="preserve">respondents being in favour, while others demanding further harmonisation and</w:t>
      </w:r>
      <w:r>
        <w:t xml:space="preserve"> </w:t>
      </w:r>
      <w:r>
        <w:t xml:space="preserve">clarifications on the relationship between State aid and DGSs. It was also noted that a</w:t>
      </w:r>
      <w:r>
        <w:t xml:space="preserve"> </w:t>
      </w:r>
      <w:r>
        <w:t xml:space="preserve">harmonised European insolvency framework should be provided.</w:t>
      </w:r>
      <w:r>
        <w:br/>
      </w:r>
      <w:r>
        <w:t xml:space="preserve">c. Exclusivity of the BRRD tools</w:t>
      </w:r>
      <w:r>
        <w:br/>
      </w:r>
      <w:r>
        <w:t xml:space="preserve">Several respondents, including small and medium-sized banks as well as other</w:t>
      </w:r>
      <w:r>
        <w:t xml:space="preserve"> </w:t>
      </w:r>
      <w:r>
        <w:t xml:space="preserve">stakeholders (ministries of finance), expressed caution to mix resolution tools with</w:t>
      </w:r>
      <w:r>
        <w:t xml:space="preserve"> </w:t>
      </w:r>
      <w:r>
        <w:t xml:space="preserve">national insolvency systems, claiming that this would increase complexity and legal</w:t>
      </w:r>
      <w:r>
        <w:t xml:space="preserve"> </w:t>
      </w:r>
      <w:r>
        <w:t xml:space="preserve">uncertainty. They suggested that smaller and medium-sized banks should continue</w:t>
      </w:r>
      <w:r>
        <w:t xml:space="preserve"> </w:t>
      </w:r>
      <w:r>
        <w:t xml:space="preserve">undergoing national insolvency proceedings. Conversely, most respondents in the</w:t>
      </w:r>
      <w:r>
        <w:t xml:space="preserve"> </w:t>
      </w:r>
      <w:r>
        <w:t xml:space="preserve">targeted consultation suggested that the tools and powers in the BRRD should be subject</w:t>
      </w:r>
      <w:r>
        <w:t xml:space="preserve"> </w:t>
      </w:r>
      <w:r>
        <w:t xml:space="preserve">to changes and supported the extension, particularly through a wider use of the PIA to</w:t>
      </w:r>
      <w:r>
        <w:t xml:space="preserve"> </w:t>
      </w:r>
      <w:r>
        <w:t xml:space="preserve">cover smaller and medium-sized banks. In terms of the different funding sources in</w:t>
      </w:r>
      <w:r>
        <w:t xml:space="preserve"> </w:t>
      </w:r>
      <w:r>
        <w:t xml:space="preserve">resolution and insolvency, 55% of respondents were against a potential alignment of the</w:t>
      </w:r>
      <w:r>
        <w:t xml:space="preserve"> </w:t>
      </w:r>
      <w:r>
        <w:t xml:space="preserve">access conditions (i.e. imposing the access condition to the resolution fund everywhere),</w:t>
      </w:r>
      <w:r>
        <w:t xml:space="preserve"> </w:t>
      </w:r>
      <w:r>
        <w:t xml:space="preserve">fearing the creation of additional complexities and the infringement of the</w:t>
      </w:r>
      <w:r>
        <w:t xml:space="preserve"> </w:t>
      </w:r>
      <w:r>
        <w:t xml:space="preserve">proportionality principle. By contrast, those in favour of the introduction of harmonised</w:t>
      </w:r>
      <w:r>
        <w:t xml:space="preserve"> </w:t>
      </w:r>
      <w:r>
        <w:t xml:space="preserve">tools outside resolution strongly highlighted their preference for the creation of a</w:t>
      </w:r>
      <w:r>
        <w:t xml:space="preserve"> </w:t>
      </w:r>
      <w:r>
        <w:t xml:space="preserve">harmonised “orderly liquidation tool”, notably for smaller and medium-sized banks, to</w:t>
      </w:r>
      <w:r>
        <w:t xml:space="preserve"> </w:t>
      </w:r>
      <w:r>
        <w:t xml:space="preserve">prevent divergences in handling failing banks under national insolvency systems.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The need for a reform is generally supported by the industry, which sees merit in targeted</w:t>
      </w:r>
      <w:r>
        <w:t xml:space="preserve"> </w:t>
      </w:r>
      <w:r>
        <w:t xml:space="preserve">amendments aimed at improving its practical application. Respondents from large and</w:t>
      </w:r>
      <w:r>
        <w:t xml:space="preserve"> </w:t>
      </w:r>
      <w:r>
        <w:t xml:space="preserve">small/medium-size banks support an improved transparency and predictability of the PIA</w:t>
      </w:r>
      <w:r>
        <w:t xml:space="preserve"> </w:t>
      </w:r>
      <w:r>
        <w:t xml:space="preserve">and agree to avoid paying additional contributions into industry-funded safety nets.</w:t>
      </w:r>
      <w:r>
        <w:br/>
      </w:r>
      <w:r>
        <w:t xml:space="preserve">In terms of the possible expansion of the scope of resolution, several respondents</w:t>
      </w:r>
      <w:r>
        <w:t xml:space="preserve"> </w:t>
      </w:r>
      <w:r>
        <w:t xml:space="preserve">representing smaller/medium-sized banks, in particular cooperatives and savings banks,</w:t>
      </w:r>
      <w:r>
        <w:t xml:space="preserve"> </w:t>
      </w:r>
      <w:r>
        <w:t xml:space="preserve">may prefer to stay outside the scope of resolution to avoid costs related to additional</w:t>
      </w:r>
      <w:r>
        <w:t xml:space="preserve"> </w:t>
      </w:r>
      <w:r>
        <w:t xml:space="preserve">requirements or possible ex post contributions to the safety nets. By contrast, several</w:t>
      </w:r>
      <w:r>
        <w:t xml:space="preserve"> </w:t>
      </w:r>
      <w:r>
        <w:t xml:space="preserve">respondents representing large banks generally support bringing more smaller/medium</w:t>
      </w:r>
      <w:r>
        <w:t xml:space="preserve"> </w:t>
      </w:r>
      <w:r>
        <w:t xml:space="preserve">sized banks into resolution to ensure a level playing field in the single market and</w:t>
      </w:r>
      <w:r>
        <w:t xml:space="preserve"> </w:t>
      </w:r>
      <w:r>
        <w:t xml:space="preserve">improve the credibility of the framework. In this vein, these respondents also support the</w:t>
      </w:r>
      <w:r>
        <w:t xml:space="preserve"> </w:t>
      </w:r>
      <w:r>
        <w:t xml:space="preserve">need to minimise moral hazard and the risks for public finances through holdings of loss-</w:t>
      </w:r>
      <w:r>
        <w:t xml:space="preserve"> </w:t>
      </w:r>
      <w:r>
        <w:t xml:space="preserve">absorption buffers as a first and main line of defence, calling for caution over an</w:t>
      </w:r>
      <w:r>
        <w:t xml:space="preserve"> </w:t>
      </w:r>
      <w:r>
        <w:t xml:space="preserve">extended use of industry funded safety nets for small/medium-sized banks and the</w:t>
      </w:r>
      <w:r>
        <w:t xml:space="preserve"> </w:t>
      </w:r>
      <w:r>
        <w:t xml:space="preserve">prospect of additional future contributions to address replenishment needs.</w:t>
      </w:r>
      <w:r>
        <w:br/>
      </w:r>
      <w:r>
        <w:t xml:space="preserve">d. Measures available before a bank’s failure</w:t>
      </w:r>
      <w:r>
        <w:br/>
      </w:r>
      <w:r>
        <w:t xml:space="preserve">EIMs: Respondents showed broad support for improving the conditions for EIMs or</w:t>
      </w:r>
      <w:r>
        <w:t xml:space="preserve"> </w:t>
      </w:r>
      <w:r>
        <w:t xml:space="preserve">other features of the framework in order to facilitate their use. However, a few</w:t>
      </w:r>
      <w:r>
        <w:t xml:space="preserve"> </w:t>
      </w:r>
      <w:r>
        <w:t xml:space="preserve">stakeholders (banks) are of the opinion that EIMs should be deleted as supervisory</w:t>
      </w:r>
      <w:r>
        <w:t xml:space="preserve"> </w:t>
      </w:r>
      <w:r>
        <w:t xml:space="preserve">powers are sufficient, while a few stakeholders (IPS, public sector) mentioned that they</w:t>
      </w:r>
      <w:r>
        <w:t xml:space="preserve"> </w:t>
      </w:r>
      <w:r>
        <w:t xml:space="preserve">do not see an overlap between EIMs and supervisory powers.</w:t>
      </w:r>
      <w:r>
        <w:br/>
      </w:r>
      <w:r>
        <w:t xml:space="preserve">Precautionary recapitalisation: Most respondents expressed a wish to maintain</w:t>
      </w:r>
      <w:r>
        <w:t xml:space="preserve"> </w:t>
      </w:r>
      <w:r>
        <w:t xml:space="preserve">precautionary recapitalisation within the crisis management toolbox in order to provide</w:t>
      </w:r>
      <w:r>
        <w:t xml:space="preserve"> </w:t>
      </w:r>
      <w:r>
        <w:t xml:space="preserve">flexibility and address exceptional situations. However, respondents consider that its</w:t>
      </w:r>
      <w:r>
        <w:t xml:space="preserve"> </w:t>
      </w:r>
      <w:r>
        <w:t xml:space="preserve">application should remain limited to specific circumstances and be sufficiently strict.</w:t>
      </w:r>
      <w:r>
        <w:t xml:space="preserve"> </w:t>
      </w:r>
      <w:r>
        <w:t xml:space="preserve">Others considered conditions as too strict. A few respondents called for a phase-out of</w:t>
      </w:r>
      <w:r>
        <w:t xml:space="preserve"> </w:t>
      </w:r>
      <w:r>
        <w:t xml:space="preserve">the provision or refer explicitly to the need to avoid using precautionary recapitalisation.</w:t>
      </w:r>
      <w:r>
        <w:t xml:space="preserve"> </w:t>
      </w:r>
      <w:r>
        <w:t xml:space="preserve">Most respondents are in favour of targeted amendments for clarification.</w:t>
      </w:r>
      <w:r>
        <w:br/>
      </w:r>
      <w:r>
        <w:t xml:space="preserve">Preventive measures: Broad consensus was visible on the necessity to provide</w:t>
      </w:r>
      <w:r>
        <w:t xml:space="preserve"> </w:t>
      </w:r>
      <w:r>
        <w:t xml:space="preserve">clarifications for the application of DGS preventive measures. Most respondents would</w:t>
      </w:r>
      <w:r>
        <w:t xml:space="preserve"> </w:t>
      </w:r>
      <w:r>
        <w:t xml:space="preserve">welcome a more harmonised approach in the least cost test application. Several</w:t>
      </w:r>
      <w:r>
        <w:t xml:space="preserve"> </w:t>
      </w:r>
      <w:r>
        <w:t xml:space="preserve">stakeholders (public sector, banks) highlighted that the conditions for the application of</w:t>
      </w:r>
      <w:r>
        <w:t xml:space="preserve"> </w:t>
      </w:r>
      <w:r>
        <w:t xml:space="preserve">preventive measures should be aligned with the conditions for precautionary</w:t>
      </w:r>
      <w:r>
        <w:t xml:space="preserve"> </w:t>
      </w:r>
      <w:r>
        <w:t xml:space="preserve">recapitalisation, while many respondents underlined the need to clarify that using the</w:t>
      </w:r>
      <w:r>
        <w:t xml:space="preserve"> </w:t>
      </w:r>
      <w:r>
        <w:t xml:space="preserve">measures does not trigger a declaration of failing or likely to fail (FOLF). Regarding the</w:t>
      </w:r>
      <w:r>
        <w:t xml:space="preserve"> </w:t>
      </w:r>
      <w:r>
        <w:t xml:space="preserve">application of State aid rules, DGS respondents supported that minimum burden sharing</w:t>
      </w:r>
      <w:r>
        <w:t xml:space="preserve"> </w:t>
      </w:r>
      <w:r>
        <w:t xml:space="preserve">requirements should apply irrespective of the governance arrangements in place.</w:t>
      </w:r>
      <w:r>
        <w:t xml:space="preserve"> </w:t>
      </w:r>
      <w:r>
        <w:t xml:space="preserve">Conversely, a sizeable number of respondents (mainly banks) believe that State aid rules</w:t>
      </w:r>
      <w:r>
        <w:t xml:space="preserve"> </w:t>
      </w:r>
      <w:r>
        <w:t xml:space="preserve">should not be applicable for the DGS’ use for preventive measures, independently from</w:t>
      </w:r>
      <w:r>
        <w:t xml:space="preserve"> </w:t>
      </w:r>
      <w:r>
        <w:t xml:space="preserve">the DGS private or public legal nature. Respondents from Member States that have IPSs</w:t>
      </w:r>
      <w:r>
        <w:t xml:space="preserve"> </w:t>
      </w:r>
      <w:r>
        <w:t xml:space="preserve">noted the indispensability of preserving the well-proven national discretion for granting</w:t>
      </w:r>
      <w:r>
        <w:t xml:space="preserve"> </w:t>
      </w:r>
      <w:r>
        <w:t xml:space="preserve">preventative measures. Some respondents from these Member States stressed that it is</w:t>
      </w:r>
      <w:r>
        <w:t xml:space="preserve"> </w:t>
      </w:r>
      <w:r>
        <w:t xml:space="preserve">important that the functioning of IPSs recognised under Article 113(7) CRR can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continue unchanged. In view of EDIS, the ring-fencing of losses absorbed by a national</w:t>
      </w:r>
      <w:r>
        <w:t xml:space="preserve"> </w:t>
      </w:r>
      <w:r>
        <w:t xml:space="preserve">DGS within the local Member State to avoid that these losses are borne by other</w:t>
      </w:r>
      <w:r>
        <w:t xml:space="preserve"> </w:t>
      </w:r>
      <w:r>
        <w:t xml:space="preserve">banking sectors is important for stakeholders from the banking industry. Views were</w:t>
      </w:r>
      <w:r>
        <w:t xml:space="preserve"> </w:t>
      </w:r>
      <w:r>
        <w:t xml:space="preserve">split about the need for changing or not the creditor hierarchy (and extending the</w:t>
      </w:r>
      <w:r>
        <w:t xml:space="preserve"> </w:t>
      </w:r>
      <w:r>
        <w:t xml:space="preserve">coverage to all deposits), in order to encourage or mitigate, respectively the use of such</w:t>
      </w:r>
      <w:r>
        <w:t xml:space="preserve"> </w:t>
      </w:r>
      <w:r>
        <w:t xml:space="preserve">measures.</w:t>
      </w:r>
      <w:r>
        <w:br/>
      </w:r>
      <w:r>
        <w:t xml:space="preserve">II.</w:t>
      </w:r>
      <w:r>
        <w:t xml:space="preserve"> </w:t>
      </w:r>
      <w:r>
        <w:t xml:space="preserve">Experience with the framework and lessons learned for the future framework</w:t>
      </w:r>
      <w:r>
        <w:br/>
      </w:r>
      <w:r>
        <w:t xml:space="preserve">a. Resolution, liquidation and other measures to handle banking crisis</w:t>
      </w:r>
      <w:r>
        <w:br/>
      </w:r>
      <w:r>
        <w:t xml:space="preserve">In general, the majority of respondents consider that the resolution toolbox already</w:t>
      </w:r>
      <w:r>
        <w:t xml:space="preserve"> </w:t>
      </w:r>
      <w:r>
        <w:t xml:space="preserve">caters for all types and sizes of banks, provided that the available tools are applied</w:t>
      </w:r>
      <w:r>
        <w:t xml:space="preserve"> </w:t>
      </w:r>
      <w:r>
        <w:t xml:space="preserve">consistently in case of a failure of banks that are of public interest. Insolvency laws are</w:t>
      </w:r>
      <w:r>
        <w:t xml:space="preserve"> </w:t>
      </w:r>
      <w:r>
        <w:t xml:space="preserve">generally seen as providing an appropriate framework for a liquidation of an institution,</w:t>
      </w:r>
      <w:r>
        <w:t xml:space="preserve"> </w:t>
      </w:r>
      <w:r>
        <w:t xml:space="preserve">bearing in mind Member States’ specificities, but possibly at the expense of consistency</w:t>
      </w:r>
      <w:r>
        <w:t xml:space="preserve"> </w:t>
      </w:r>
      <w:r>
        <w:t xml:space="preserve">in public interest assessments or scope of interventions of DGS due to the differing</w:t>
      </w:r>
      <w:r>
        <w:t xml:space="preserve"> </w:t>
      </w:r>
      <w:r>
        <w:t xml:space="preserve">counterfactual insolvency scenarios. Regarding the accessing conditions to funding</w:t>
      </w:r>
      <w:r>
        <w:t xml:space="preserve"> </w:t>
      </w:r>
      <w:r>
        <w:t xml:space="preserve">sources in resolution, the majority noted that DGS and EDIS funds should remain</w:t>
      </w:r>
      <w:r>
        <w:t xml:space="preserve"> </w:t>
      </w:r>
      <w:r>
        <w:t xml:space="preserve">separated from the RF/SRF, with a few stakeholders underlining the necessity to</w:t>
      </w:r>
      <w:r>
        <w:t xml:space="preserve"> </w:t>
      </w:r>
      <w:r>
        <w:t xml:space="preserve">improve the liquidity provision to banks post-resolution. A limited amount of</w:t>
      </w:r>
      <w:r>
        <w:t xml:space="preserve"> </w:t>
      </w:r>
      <w:r>
        <w:t xml:space="preserve">respondents demanded an alignment between the source of funding and governance</w:t>
      </w:r>
      <w:r>
        <w:t xml:space="preserve"> </w:t>
      </w:r>
      <w:r>
        <w:t xml:space="preserve">structures, stating that for national funding sources national authorities should have a</w:t>
      </w:r>
      <w:r>
        <w:t xml:space="preserve"> </w:t>
      </w:r>
      <w:r>
        <w:t xml:space="preserve">prominent role. If funding were to rely mostly on European centralised funds,</w:t>
      </w:r>
      <w:r>
        <w:t xml:space="preserve"> </w:t>
      </w:r>
      <w:r>
        <w:t xml:space="preserve">governance should accordingly be more centralised.</w:t>
      </w:r>
      <w:r>
        <w:t xml:space="preserve"> </w:t>
      </w:r>
      <w:r>
        <w:t xml:space="preserve">PIA: Most respondents acknowledge that the PIA must offer room for interpretation by</w:t>
      </w:r>
      <w:r>
        <w:t xml:space="preserve"> </w:t>
      </w:r>
      <w:r>
        <w:t xml:space="preserve">authorities, but consider that the provision, as regulated now, gives opportunity for</w:t>
      </w:r>
      <w:r>
        <w:t xml:space="preserve"> </w:t>
      </w:r>
      <w:r>
        <w:t xml:space="preserve">many different interpretations, thereby creating level playing field issues and</w:t>
      </w:r>
      <w:r>
        <w:t xml:space="preserve"> </w:t>
      </w:r>
      <w:r>
        <w:t xml:space="preserve">uncertainty. Many respondents argue that the outcome of the PIA in the planning phase</w:t>
      </w:r>
      <w:r>
        <w:t xml:space="preserve"> </w:t>
      </w:r>
      <w:r>
        <w:t xml:space="preserve">should be more predictable.</w:t>
      </w:r>
      <w:r>
        <w:br/>
      </w:r>
      <w:r>
        <w:t xml:space="preserve">Small and medium-sized banks: While the extension of the PIA threshold to facilitate</w:t>
      </w:r>
      <w:r>
        <w:t xml:space="preserve"> </w:t>
      </w:r>
      <w:r>
        <w:t xml:space="preserve">small and medium-sized banks’ access to resolution funds has been partly supported,</w:t>
      </w:r>
      <w:r>
        <w:t xml:space="preserve"> </w:t>
      </w:r>
      <w:r>
        <w:t xml:space="preserve">numerous respondents defined the funding sources for smaller and medium-sized banks</w:t>
      </w:r>
      <w:r>
        <w:t xml:space="preserve"> </w:t>
      </w:r>
      <w:r>
        <w:t xml:space="preserve">as sufficient. Many state that bail-in of shareholders and creditors should remain the</w:t>
      </w:r>
      <w:r>
        <w:t xml:space="preserve"> </w:t>
      </w:r>
      <w:r>
        <w:t xml:space="preserve">main source of financing in resolution and stressing the existence of other relevant tools</w:t>
      </w:r>
      <w:r>
        <w:t xml:space="preserve"> </w:t>
      </w:r>
      <w:r>
        <w:t xml:space="preserve">to help smaller and medium-sized banks (i.e. winding-up under insolvency proceedings</w:t>
      </w:r>
      <w:r>
        <w:t xml:space="preserve"> </w:t>
      </w:r>
      <w:r>
        <w:t xml:space="preserve">sometimes involving State aid). The importance of the minimum requirement for own</w:t>
      </w:r>
      <w:r>
        <w:t xml:space="preserve"> </w:t>
      </w:r>
      <w:r>
        <w:t xml:space="preserve">funds and eligible liabilities (MREL) was emphasised due to its role in preserving</w:t>
      </w:r>
      <w:r>
        <w:t xml:space="preserve"> </w:t>
      </w:r>
      <w:r>
        <w:t xml:space="preserve">financial stability and ensuring depositor protection. Other respondents stressed that</w:t>
      </w:r>
      <w:r>
        <w:t xml:space="preserve"> </w:t>
      </w:r>
      <w:r>
        <w:t xml:space="preserve">small and medium-sized banks should be liquidated and that therefore their MREL</w:t>
      </w:r>
      <w:r>
        <w:t xml:space="preserve"> </w:t>
      </w:r>
      <w:r>
        <w:t xml:space="preserve">should not exceed the loss absorption amount. A few noted the role that retained</w:t>
      </w:r>
      <w:r>
        <w:t xml:space="preserve"> </w:t>
      </w:r>
      <w:r>
        <w:t xml:space="preserve">earnings and other forms of equity could play in ensuring that small and medium-sized</w:t>
      </w:r>
      <w:r>
        <w:t xml:space="preserve"> </w:t>
      </w:r>
      <w:r>
        <w:t xml:space="preserve">banks comply with their MREL.</w:t>
      </w:r>
      <w:r>
        <w:t xml:space="preserve"> </w:t>
      </w:r>
      <w:r>
        <w:t xml:space="preserve">FOLF: Regarding the existing legal provisions and their alignment between the</w:t>
      </w:r>
      <w:r>
        <w:t xml:space="preserve"> </w:t>
      </w:r>
      <w:r>
        <w:t xml:space="preserve">conditions required to declare a bank FOLF and the triggers to initiate insolvency</w:t>
      </w:r>
      <w:r>
        <w:t xml:space="preserve"> </w:t>
      </w:r>
      <w:r>
        <w:t xml:space="preserve">proceedings, the majority supports full or maximum possible alignment, bearing in mind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restrictions in national law. Others raised caution when the FOLF assessment is based</w:t>
      </w:r>
      <w:r>
        <w:t xml:space="preserve"> </w:t>
      </w:r>
      <w:r>
        <w:t xml:space="preserve">on likely infringements of prudential requirements. Furthermore, the vast majority of</w:t>
      </w:r>
      <w:r>
        <w:t xml:space="preserve"> </w:t>
      </w:r>
      <w:r>
        <w:t xml:space="preserve">participants support the possibility of granting power to the supervisor to withdraw a</w:t>
      </w:r>
      <w:r>
        <w:t xml:space="preserve"> </w:t>
      </w:r>
      <w:r>
        <w:t xml:space="preserve">licence, but not in all FOLF cases, typically covering resolution scenarios where such</w:t>
      </w:r>
      <w:r>
        <w:t xml:space="preserve"> </w:t>
      </w:r>
      <w:r>
        <w:t xml:space="preserve">withdrawal would not be appropriate to preserve critical functions. The definition of</w:t>
      </w:r>
      <w:r>
        <w:t xml:space="preserve"> </w:t>
      </w:r>
      <w:r>
        <w:t xml:space="preserve">FOLF was perceived as sufficiently flexible to assess scenarios on a case-by-case basis,</w:t>
      </w:r>
      <w:r>
        <w:t xml:space="preserve"> </w:t>
      </w:r>
      <w:r>
        <w:t xml:space="preserve">while others highlighted the challenge to trigger FOLF based on likely infringements</w:t>
      </w:r>
      <w:r>
        <w:t xml:space="preserve"> </w:t>
      </w:r>
      <w:r>
        <w:t xml:space="preserve">that are not related to the bank’s financial position.</w:t>
      </w:r>
      <w:r>
        <w:br/>
      </w:r>
      <w:r>
        <w:t xml:space="preserve">Potential introduction of an orderly liquidation tool: The introduction of such tool, while</w:t>
      </w:r>
      <w:r>
        <w:t xml:space="preserve"> </w:t>
      </w:r>
      <w:r>
        <w:t xml:space="preserve">welcomed by a few respondents, raised concerns with respect to its implementation.</w:t>
      </w:r>
      <w:r>
        <w:t xml:space="preserve"> </w:t>
      </w:r>
      <w:r>
        <w:t xml:space="preserve">Several respondents insisted on the need to avoid amending/deteriorating existing tools,</w:t>
      </w:r>
      <w:r>
        <w:t xml:space="preserve"> </w:t>
      </w:r>
      <w:r>
        <w:t xml:space="preserve">or considered possible impacts on constitutional features and existing national legal</w:t>
      </w:r>
      <w:r>
        <w:t xml:space="preserve"> </w:t>
      </w:r>
      <w:r>
        <w:t xml:space="preserve">frameworks. In terms of differences between a liquidation tool and the sale of business</w:t>
      </w:r>
      <w:r>
        <w:t xml:space="preserve"> </w:t>
      </w:r>
      <w:r>
        <w:t xml:space="preserve">tool in resolution, some respondents pointed at the fact that the orderly liquidation tool</w:t>
      </w:r>
      <w:r>
        <w:t xml:space="preserve"> </w:t>
      </w:r>
      <w:r>
        <w:t xml:space="preserve">and normal insolvency proceedings pursue different goals, with the former aiming at</w:t>
      </w:r>
      <w:r>
        <w:t xml:space="preserve"> </w:t>
      </w:r>
      <w:r>
        <w:t xml:space="preserve">mitigating effects on financial stability while the latter striving to maximise the proceeds</w:t>
      </w:r>
      <w:r>
        <w:t xml:space="preserve"> </w:t>
      </w:r>
      <w:r>
        <w:t xml:space="preserve">for the creditor.</w:t>
      </w:r>
      <w:r>
        <w:br/>
      </w:r>
      <w:r>
        <w:t xml:space="preserve">b. Level of harmonisation of creditor hierarchy and impact on no creditor</w:t>
      </w:r>
      <w:r>
        <w:t xml:space="preserve"> </w:t>
      </w:r>
      <w:r>
        <w:t xml:space="preserve">worse off (NCWO) principle</w:t>
      </w:r>
      <w:r>
        <w:t xml:space="preserve"> </w:t>
      </w:r>
      <w:r>
        <w:t xml:space="preserve">A large majority of respondents indicated that the differences between bank creditor</w:t>
      </w:r>
      <w:r>
        <w:t xml:space="preserve"> </w:t>
      </w:r>
      <w:r>
        <w:t xml:space="preserve">hierarchies across Members States could complicate the application of resolution action</w:t>
      </w:r>
      <w:r>
        <w:t xml:space="preserve"> </w:t>
      </w:r>
      <w:r>
        <w:t xml:space="preserve">as they viewed these divergences as a source of increased fragmentation in the EU and</w:t>
      </w:r>
      <w:r>
        <w:t xml:space="preserve"> </w:t>
      </w:r>
      <w:r>
        <w:t xml:space="preserve">differentiated treatment amongst creditors. The respondents who did not agree with the</w:t>
      </w:r>
      <w:r>
        <w:t xml:space="preserve"> </w:t>
      </w:r>
      <w:r>
        <w:t xml:space="preserve">need to further harmonise the creditor hierarchy noted that insolvency laws are deeply</w:t>
      </w:r>
      <w:r>
        <w:t xml:space="preserve"> </w:t>
      </w:r>
      <w:r>
        <w:t xml:space="preserve">rooted in national tradition/practices and interlinked with other (non-bank related) fields</w:t>
      </w:r>
      <w:r>
        <w:t xml:space="preserve"> </w:t>
      </w:r>
      <w:r>
        <w:t xml:space="preserve">of law. With regard to the ranking of deposits, some respondents were in favour of a</w:t>
      </w:r>
      <w:r>
        <w:t xml:space="preserve"> </w:t>
      </w:r>
      <w:r>
        <w:t xml:space="preserve">general depositor preference and of removing the super-priority of covered deposits, the</w:t>
      </w:r>
      <w:r>
        <w:t xml:space="preserve"> </w:t>
      </w:r>
      <w:r>
        <w:t xml:space="preserve">latter with the purpose of allowing the effective use of DGS funds. However, a larger</w:t>
      </w:r>
      <w:r>
        <w:t xml:space="preserve"> </w:t>
      </w:r>
      <w:r>
        <w:t xml:space="preserve">number of respondents were against this super-priority elimination, on the basis of</w:t>
      </w:r>
      <w:r>
        <w:t xml:space="preserve"> </w:t>
      </w:r>
      <w:r>
        <w:t xml:space="preserve">minimising DGSs’ costs and liquidity needs, maintaining depositor confidence and</w:t>
      </w:r>
      <w:r>
        <w:t xml:space="preserve"> </w:t>
      </w:r>
      <w:r>
        <w:t xml:space="preserve">financial stability and avoiding moral hazard.</w:t>
      </w:r>
      <w:r>
        <w:br/>
      </w:r>
      <w:r>
        <w:t xml:space="preserve">c. Deposit insurance</w:t>
      </w:r>
      <w:r>
        <w:br/>
      </w:r>
      <w:r>
        <w:t xml:space="preserve">Most respondents noted that deposits of public and local authorities should also be</w:t>
      </w:r>
      <w:r>
        <w:t xml:space="preserve"> </w:t>
      </w:r>
      <w:r>
        <w:t xml:space="preserve">protected by the DGS, given that their exclusion creates additional management</w:t>
      </w:r>
      <w:r>
        <w:t xml:space="preserve"> </w:t>
      </w:r>
      <w:r>
        <w:t xml:space="preserve">difficulties (consumer organisations and saving banks). Conversely, several banks and</w:t>
      </w:r>
      <w:r>
        <w:t xml:space="preserve"> </w:t>
      </w:r>
      <w:r>
        <w:t xml:space="preserve">associations opposed adding additional groups, fearing it would increase their costs</w:t>
      </w:r>
      <w:r>
        <w:t xml:space="preserve"> </w:t>
      </w:r>
      <w:r>
        <w:t xml:space="preserve">since both the target levels of national DGS and SRF would increase. The view of the</w:t>
      </w:r>
      <w:r>
        <w:t xml:space="preserve"> </w:t>
      </w:r>
      <w:r>
        <w:t xml:space="preserve">majority of banks and DGSs is that the current regular information disclosure is</w:t>
      </w:r>
      <w:r>
        <w:t xml:space="preserve"> </w:t>
      </w:r>
      <w:r>
        <w:t xml:space="preserve">sufficient and that no changes were necessary. Digital communication was often</w:t>
      </w:r>
      <w:r>
        <w:t xml:space="preserve"> </w:t>
      </w:r>
      <w:r>
        <w:t xml:space="preserve">considered as the most suitable to save costs. Consumer organisations demanded that</w:t>
      </w:r>
      <w:r>
        <w:t xml:space="preserve"> </w:t>
      </w:r>
      <w:r>
        <w:t xml:space="preserve">Article 16 of the Deposit Guarantee Scheme Directive (DGSD) on depositor</w:t>
      </w:r>
      <w:r>
        <w:t xml:space="preserve"> </w:t>
      </w:r>
      <w:r>
        <w:t xml:space="preserve">information as well as the template in Annex I of the DGSD should be updated, clarified</w:t>
      </w:r>
      <w:r>
        <w:t xml:space="preserve"> </w:t>
      </w:r>
      <w:r>
        <w:t xml:space="preserve">and more consumer friendly. Savings banks from one Member State highlighted that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disclosure should take place only at the beginning of the business relationship, in case of</w:t>
      </w:r>
      <w:r>
        <w:t xml:space="preserve"> </w:t>
      </w:r>
      <w:r>
        <w:t xml:space="preserve">relevant changes and only in digital format.</w:t>
      </w:r>
      <w:r>
        <w:br/>
      </w:r>
      <w:r>
        <w:t xml:space="preserve">Regarding the EDIS, a majority of respondents supported its introduction. Some of them</w:t>
      </w:r>
      <w:r>
        <w:t xml:space="preserve"> </w:t>
      </w:r>
      <w:r>
        <w:t xml:space="preserve">considered that national DGSs are limited in size and firepower and a fully-fledged</w:t>
      </w:r>
      <w:r>
        <w:t xml:space="preserve"> </w:t>
      </w:r>
      <w:r>
        <w:t xml:space="preserve">EDIS would be an essential piece of the Banking Union. Moreover, others underlined</w:t>
      </w:r>
      <w:r>
        <w:t xml:space="preserve"> </w:t>
      </w:r>
      <w:r>
        <w:t xml:space="preserve">that a fully-fledged EDIS would reduce the burden on banks, while minimising the</w:t>
      </w:r>
      <w:r>
        <w:t xml:space="preserve"> </w:t>
      </w:r>
      <w:r>
        <w:t xml:space="preserve">probability of a call for ex post contributions, also avoiding pro-cyclical impacts on</w:t>
      </w:r>
      <w:r>
        <w:t xml:space="preserve"> </w:t>
      </w:r>
      <w:r>
        <w:t xml:space="preserve">banks’ balance sheets. In contrast, other respondents underscored that EDIS would</w:t>
      </w:r>
      <w:r>
        <w:t xml:space="preserve"> </w:t>
      </w:r>
      <w:r>
        <w:t xml:space="preserve">make the European financial system riskier because of contagion effects from one</w:t>
      </w:r>
      <w:r>
        <w:t xml:space="preserve"> </w:t>
      </w:r>
      <w:r>
        <w:t xml:space="preserve">national banking sector to the other. As regards the efficiency of EDIS, some</w:t>
      </w:r>
      <w:r>
        <w:t xml:space="preserve"> </w:t>
      </w:r>
      <w:r>
        <w:t xml:space="preserve">respondents considered that the more resources are shared in a common central pool, the</w:t>
      </w:r>
      <w:r>
        <w:t xml:space="preserve"> </w:t>
      </w:r>
      <w:r>
        <w:t xml:space="preserve">more cost-effective the system would be. In contrast, other respondents believed that</w:t>
      </w:r>
      <w:r>
        <w:t xml:space="preserve"> </w:t>
      </w:r>
      <w:r>
        <w:t xml:space="preserve">EDIS would not be cost efficient and that it would entail higher administrative costs,</w:t>
      </w:r>
      <w:r>
        <w:t xml:space="preserve"> </w:t>
      </w:r>
      <w:r>
        <w:t xml:space="preserve">and more payout cases than under the current framework. Numerous respondents raised</w:t>
      </w:r>
      <w:r>
        <w:t xml:space="preserve"> </w:t>
      </w:r>
      <w:r>
        <w:t xml:space="preserve">different concerns in relation to the transfer of funds from the national DGSs to the</w:t>
      </w:r>
      <w:r>
        <w:t xml:space="preserve"> </w:t>
      </w:r>
      <w:r>
        <w:t xml:space="preserve">central fund of EDIS.</w:t>
      </w:r>
      <w:r>
        <w:br/>
      </w:r>
      <w:r>
        <w:t xml:space="preserve">Some respondents (especially IPSs) highlighted that IPSs recognised as a DGS must be</w:t>
      </w:r>
      <w:r>
        <w:t xml:space="preserve"> </w:t>
      </w:r>
      <w:r>
        <w:t xml:space="preserve">excluded from EDIS. In the event that they were included, being a member of an IPS</w:t>
      </w:r>
      <w:r>
        <w:t xml:space="preserve"> </w:t>
      </w:r>
      <w:r>
        <w:t xml:space="preserve">should be considered as risk reducing factor when calculating the contributions.</w:t>
      </w:r>
      <w:r>
        <w:t xml:space="preserve"> </w:t>
      </w:r>
      <w:r>
        <w:t xml:space="preserve">Conversely, other respondents insisted that IPSs should be included in EDIS in order not</w:t>
      </w:r>
      <w:r>
        <w:t xml:space="preserve"> </w:t>
      </w:r>
      <w:r>
        <w:t xml:space="preserve">to weaken its firepower, to maintain a level playing field and depositor confidence.</w:t>
      </w:r>
      <w:r>
        <w:br/>
      </w:r>
      <w:r>
        <w:t xml:space="preserve">Concerning specific parameters of EDIS, participants raised various views and concerns</w:t>
      </w:r>
      <w:r>
        <w:t xml:space="preserve"> </w:t>
      </w:r>
      <w:r>
        <w:t xml:space="preserve">with the majority of responses underlining the need for caps in order mitigate the first</w:t>
      </w:r>
      <w:r>
        <w:t xml:space="preserve"> </w:t>
      </w:r>
      <w:r>
        <w:t xml:space="preserve">mover advantage while others mentioned the maturity of the loans from EDIS to the</w:t>
      </w:r>
      <w:r>
        <w:t xml:space="preserve"> </w:t>
      </w:r>
      <w:r>
        <w:t xml:space="preserve">national DGS as a crucial parameter. In relation to options and national discretions</w:t>
      </w:r>
      <w:r>
        <w:t xml:space="preserve"> </w:t>
      </w:r>
      <w:r>
        <w:t xml:space="preserve">(ONDs), views were split, with some expressing opposition to the financing of ONDs</w:t>
      </w:r>
      <w:r>
        <w:t xml:space="preserve"> </w:t>
      </w:r>
      <w:r>
        <w:t xml:space="preserve">covered by central financing, others being in favour of expanding the common deposit</w:t>
      </w:r>
      <w:r>
        <w:t xml:space="preserve"> </w:t>
      </w:r>
      <w:r>
        <w:t xml:space="preserve">insurance mechanism to include the coverage of ONDs and some calling for a</w:t>
      </w:r>
      <w:r>
        <w:t xml:space="preserve"> </w:t>
      </w:r>
      <w:r>
        <w:t xml:space="preserve">harmonisation of ONDs. Views were split as regards to whether SRF and EDIS funds</w:t>
      </w:r>
      <w:r>
        <w:t xml:space="preserve"> </w:t>
      </w:r>
      <w:r>
        <w:t xml:space="preserve">should be merged, with those against stressing that the roles of these funds are different.</w:t>
      </w:r>
      <w:r>
        <w:t xml:space="preserve"> </w:t>
      </w:r>
      <w:r>
        <w:t xml:space="preserve">5.</w:t>
      </w:r>
      <w:r>
        <w:t xml:space="preserve"> </w:t>
      </w:r>
      <w:r>
        <w:t xml:space="preserve">TARGETED CONSULTATIONS OF MEMBER STATES</w:t>
      </w:r>
      <w:r>
        <w:t xml:space="preserve"> </w:t>
      </w:r>
      <w:r>
        <w:t xml:space="preserve">From 2019-2021, the Commission discussed topics analysed in this impact assessment</w:t>
      </w:r>
      <w:r>
        <w:t xml:space="preserve"> </w:t>
      </w:r>
      <w:r>
        <w:t xml:space="preserve">with Member States, resolution authorities and designated authorities for the DGS</w:t>
      </w:r>
      <w:r>
        <w:t xml:space="preserve"> </w:t>
      </w:r>
      <w:r>
        <w:t xml:space="preserve">during 11 meetings of the Expert Group on Banking, Payments and Insurance (EGBPI).</w:t>
      </w:r>
      <w:r>
        <w:t xml:space="preserve"> </w:t>
      </w:r>
      <w:r>
        <w:t xml:space="preserve">To this effect, 17 non-papers including questionnaires were prepared:</w:t>
      </w:r>
      <w:r>
        <w:t xml:space="preserve"> </w:t>
      </w:r>
      <w:r>
        <w:t xml:space="preserve">- On 5 December 2019, the two studies commissioned by the Commission to external</w:t>
      </w:r>
      <w:r>
        <w:t xml:space="preserve"> </w:t>
      </w:r>
      <w:r>
        <w:t xml:space="preserve">contractors, with the financial support of the European Parliament, under the Pilot</w:t>
      </w:r>
      <w:r>
        <w:t xml:space="preserve"> </w:t>
      </w:r>
      <w:r>
        <w:t xml:space="preserve">project “Creating a true Banking Union” were presented. The studies covered the</w:t>
      </w:r>
      <w:r>
        <w:t xml:space="preserve"> </w:t>
      </w:r>
      <w:r>
        <w:t xml:space="preserve">national options and discretions under the DGSD and their treatment in the context</w:t>
      </w:r>
      <w:r>
        <w:t xml:space="preserve"> </w:t>
      </w:r>
      <w:r>
        <w:t xml:space="preserve">of EDIS168 and the differences between bank insolvency laws and their potential</w:t>
      </w:r>
    </w:p>
    <w:p>
      <w:pPr>
        <w:pStyle w:val="BodyText"/>
      </w:pPr>
      <w:r>
        <w:t xml:space="preserve">168 See CEPS study.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harmonisation169. There was also a presentation on protection of client funds of</w:t>
      </w:r>
      <w:r>
        <w:t xml:space="preserve"> </w:t>
      </w:r>
      <w:r>
        <w:t xml:space="preserve">payment and e-money institutions.</w:t>
      </w:r>
      <w:r>
        <w:t xml:space="preserve"> </w:t>
      </w:r>
      <w:r>
        <w:t xml:space="preserve">- On 27 January 2020, members were invited to comment on the advice from the</w:t>
      </w:r>
      <w:r>
        <w:t xml:space="preserve"> </w:t>
      </w:r>
      <w:r>
        <w:t xml:space="preserve">EBA regarding the DGSD review, more specifically on the EBA opinions on</w:t>
      </w:r>
      <w:r>
        <w:t xml:space="preserve"> </w:t>
      </w:r>
      <w:r>
        <w:t xml:space="preserve">eligibility of deposits, coverage level and cooperation between DGS, payouts,</w:t>
      </w:r>
      <w:r>
        <w:t xml:space="preserve"> </w:t>
      </w:r>
      <w:r>
        <w:t xml:space="preserve">funding and uses of DGS funds.</w:t>
      </w:r>
      <w:r>
        <w:t xml:space="preserve"> </w:t>
      </w:r>
      <w:r>
        <w:t xml:space="preserve">- On 20 February 2020, the Commission presented possible approaches on further</w:t>
      </w:r>
      <w:r>
        <w:t xml:space="preserve"> </w:t>
      </w:r>
      <w:r>
        <w:t xml:space="preserve">harmonisation of insolvency triggers, clarification of certain aspects of</w:t>
      </w:r>
      <w:r>
        <w:t xml:space="preserve"> </w:t>
      </w:r>
      <w:r>
        <w:t xml:space="preserve">precautionary recapitalisation and improvements to the use of EIM.</w:t>
      </w:r>
      <w:r>
        <w:t xml:space="preserve"> </w:t>
      </w:r>
      <w:r>
        <w:t xml:space="preserve">- On 23 and 24 June 2020, there was an exchange of views with members on the use</w:t>
      </w:r>
      <w:r>
        <w:t xml:space="preserve"> </w:t>
      </w:r>
      <w:r>
        <w:t xml:space="preserve">of DGS funds under DGSD and BRRD and continued the discussion on the EBA</w:t>
      </w:r>
      <w:r>
        <w:t xml:space="preserve"> </w:t>
      </w:r>
      <w:r>
        <w:t xml:space="preserve">opinion regarding the DGSD review.</w:t>
      </w:r>
      <w:r>
        <w:t xml:space="preserve"> </w:t>
      </w:r>
      <w:r>
        <w:t xml:space="preserve">- On 16 July 2020, the Commission invited members to provide their views on the</w:t>
      </w:r>
      <w:r>
        <w:t xml:space="preserve"> </w:t>
      </w:r>
      <w:r>
        <w:t xml:space="preserve">PIA and continued the discussion on the EBA opinion on the DGSD review.</w:t>
      </w:r>
      <w:r>
        <w:t xml:space="preserve"> </w:t>
      </w:r>
      <w:r>
        <w:t xml:space="preserve">- On 28 September 2020, the Commission continued the discussions on resolution</w:t>
      </w:r>
      <w:r>
        <w:t xml:space="preserve"> </w:t>
      </w:r>
      <w:r>
        <w:t xml:space="preserve">and insolvency triggers and on the least cost test methodology for the use of the</w:t>
      </w:r>
      <w:r>
        <w:t xml:space="preserve"> </w:t>
      </w:r>
      <w:r>
        <w:t xml:space="preserve">DGS, and consulted members on the harmonisation of the ranking of deposits in the</w:t>
      </w:r>
      <w:r>
        <w:t xml:space="preserve"> </w:t>
      </w:r>
      <w:r>
        <w:t xml:space="preserve">creditor hierarchy in insolvency.</w:t>
      </w:r>
      <w:r>
        <w:t xml:space="preserve"> </w:t>
      </w:r>
      <w:r>
        <w:t xml:space="preserve">- On 15 October 2020, the Commission presented a preliminary assessment of the</w:t>
      </w:r>
      <w:r>
        <w:t xml:space="preserve"> </w:t>
      </w:r>
      <w:r>
        <w:t xml:space="preserve">funding sources in the EU crisis management framework through stylised examples</w:t>
      </w:r>
      <w:r>
        <w:t xml:space="preserve"> </w:t>
      </w:r>
      <w:r>
        <w:t xml:space="preserve">and gathered views on further elements on the creditor hierarchy harmonisation in</w:t>
      </w:r>
      <w:r>
        <w:t xml:space="preserve"> </w:t>
      </w:r>
      <w:r>
        <w:t xml:space="preserve">insolvency and the protection of client funds of payment and e-money institutions.</w:t>
      </w:r>
      <w:r>
        <w:t xml:space="preserve"> </w:t>
      </w:r>
      <w:r>
        <w:t xml:space="preserve">- On 12 November 2020, members were asked for their views on the use of DGS in</w:t>
      </w:r>
      <w:r>
        <w:t xml:space="preserve"> </w:t>
      </w:r>
      <w:r>
        <w:t xml:space="preserve">resolution and insolvency through stylised examples and on the legal feasibility of a</w:t>
      </w:r>
      <w:r>
        <w:t xml:space="preserve"> </w:t>
      </w:r>
      <w:r>
        <w:t xml:space="preserve">potential harmonised liquidation tool in insolvency.</w:t>
      </w:r>
      <w:r>
        <w:br/>
      </w:r>
      <w:r>
        <w:t xml:space="preserve">- On 14 December 2020, members discussed funding in resolution and enhancement</w:t>
      </w:r>
      <w:r>
        <w:t xml:space="preserve"> </w:t>
      </w:r>
      <w:r>
        <w:t xml:space="preserve">of market integration through the application of existing legal provisions in a home-</w:t>
      </w:r>
      <w:r>
        <w:t xml:space="preserve"> </w:t>
      </w:r>
      <w:r>
        <w:t xml:space="preserve">host balanced manner. One member presented their experience with high recovery</w:t>
      </w:r>
      <w:r>
        <w:t xml:space="preserve"> </w:t>
      </w:r>
      <w:r>
        <w:t xml:space="preserve">rates for subordinated creditors and the impact of NCWO.</w:t>
      </w:r>
      <w:r>
        <w:t xml:space="preserve"> </w:t>
      </w:r>
      <w:r>
        <w:t xml:space="preserve">- On 25 February 2021, the SRB presented its views on the resolution of smaller to</w:t>
      </w:r>
      <w:r>
        <w:t xml:space="preserve"> </w:t>
      </w:r>
      <w:r>
        <w:t xml:space="preserve">medium-sized banks reliant on deposit funding and members were asked to provide</w:t>
      </w:r>
      <w:r>
        <w:t xml:space="preserve"> </w:t>
      </w:r>
      <w:r>
        <w:t xml:space="preserve">feedback on the EBA opinion on the interplay between the DGSD and the anti-</w:t>
      </w:r>
      <w:r>
        <w:t xml:space="preserve"> </w:t>
      </w:r>
      <w:r>
        <w:t xml:space="preserve">money laundering Directive (AMLD).</w:t>
      </w:r>
      <w:r>
        <w:br/>
      </w:r>
      <w:r>
        <w:t xml:space="preserve">On 26 April 2021, the Commission presented the outcome of surveys distributed in</w:t>
      </w:r>
      <w:r>
        <w:t xml:space="preserve"> </w:t>
      </w:r>
      <w:r>
        <w:t xml:space="preserve">previous meetings.</w:t>
      </w:r>
    </w:p>
    <w:p>
      <w:pPr>
        <w:pStyle w:val="BodyText"/>
      </w:pPr>
      <w:r>
        <w:t xml:space="preserve">In addition to the written input provided by the EGBPI members to the questionnaires</w:t>
      </w:r>
      <w:r>
        <w:t xml:space="preserve"> </w:t>
      </w:r>
      <w:r>
        <w:t xml:space="preserve">following each meeting, two detailed surveys were circulated to members: (i) on the</w:t>
      </w:r>
      <w:r>
        <w:t xml:space="preserve"> </w:t>
      </w:r>
      <w:r>
        <w:t xml:space="preserve">harmonisation of insolvency for banks (December 2019) and (ii) on mapping of DGSs</w:t>
      </w:r>
      <w:r>
        <w:t xml:space="preserve"> </w:t>
      </w:r>
      <w:r>
        <w:t xml:space="preserve">in Member States (January 2020).</w:t>
      </w:r>
      <w:r>
        <w:t xml:space="preserve"> </w:t>
      </w:r>
      <w:r>
        <w:t xml:space="preserve">In parallel to the discussions in the Commission’s Expert Group, the issues addressed in</w:t>
      </w:r>
      <w:r>
        <w:t xml:space="preserve"> </w:t>
      </w:r>
      <w:r>
        <w:t xml:space="preserve">this impact assessment were also covered in meetings of the Council’s preparatory</w:t>
      </w:r>
    </w:p>
    <w:p>
      <w:pPr>
        <w:pStyle w:val="BodyText"/>
      </w:pPr>
      <w:r>
        <w:t xml:space="preserve">169 See VVA study.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bodies, namely the Council Working Party on financial stability and the Banking Union</w:t>
      </w:r>
      <w:r>
        <w:t xml:space="preserve"> </w:t>
      </w:r>
      <w:r>
        <w:t xml:space="preserve">(CWP) and the High-Level Working Group on EDIS (HLWG).</w:t>
      </w:r>
      <w:r>
        <w:br/>
      </w:r>
      <w:r>
        <w:t xml:space="preserve">In what concerns the most recent discussions, in the second semester of 2020 the CWP</w:t>
      </w:r>
      <w:r>
        <w:t xml:space="preserve"> </w:t>
      </w:r>
      <w:r>
        <w:t xml:space="preserve">was chaired by the German Presidency. Of relevance for this impact assessment,</w:t>
      </w:r>
      <w:r>
        <w:t xml:space="preserve"> </w:t>
      </w:r>
      <w:r>
        <w:t xml:space="preserve">Member States exchanged views on the following topics: interaction between</w:t>
      </w:r>
      <w:r>
        <w:t xml:space="preserve"> </w:t>
      </w:r>
      <w:r>
        <w:t xml:space="preserve">supervisory powers under the Capital Requirement Directive (CRD) and EIM in BRRD,</w:t>
      </w:r>
      <w:r>
        <w:t xml:space="preserve"> </w:t>
      </w:r>
      <w:r>
        <w:t xml:space="preserve">the resolution triggers and possible alignment with the national bankruptcy triggers, the</w:t>
      </w:r>
      <w:r>
        <w:t xml:space="preserve"> </w:t>
      </w:r>
      <w:r>
        <w:t xml:space="preserve">creditor hierarchy in insolvency, the crisis management framework for smaller banks</w:t>
      </w:r>
      <w:r>
        <w:t xml:space="preserve"> </w:t>
      </w:r>
      <w:r>
        <w:t xml:space="preserve">(with references to the PIA, a possible “EU bank liquidation regime”, the least cost test</w:t>
      </w:r>
      <w:r>
        <w:t xml:space="preserve"> </w:t>
      </w:r>
      <w:r>
        <w:t xml:space="preserve">for the DGS and governance) and furthering market integration. In the CWP, the</w:t>
      </w:r>
      <w:r>
        <w:t xml:space="preserve"> </w:t>
      </w:r>
      <w:r>
        <w:t xml:space="preserve">Commission presented an overview of the data collection exercise carried out to support</w:t>
      </w:r>
      <w:r>
        <w:t xml:space="preserve"> </w:t>
      </w:r>
      <w:r>
        <w:t xml:space="preserve">the development of the methodology for calculating risk-based contributions under</w:t>
      </w:r>
      <w:r>
        <w:t xml:space="preserve"> </w:t>
      </w:r>
      <w:r>
        <w:t xml:space="preserve">EDIS and the results of a survey on the parameters of the hybrid model.170</w:t>
      </w:r>
      <w:r>
        <w:t xml:space="preserve"> </w:t>
      </w:r>
      <w:r>
        <w:t xml:space="preserve">In the first semester of 2021, when the CWP was chaired by the Portuguese Presidency,</w:t>
      </w:r>
      <w:r>
        <w:t xml:space="preserve"> </w:t>
      </w:r>
      <w:r>
        <w:t xml:space="preserve">the discussions focused on the design of the hybrid model for EDIS (with focus on the</w:t>
      </w:r>
      <w:r>
        <w:t xml:space="preserve"> </w:t>
      </w:r>
      <w:r>
        <w:t xml:space="preserve">inclusion of non-CRD/CRR entities, IPS recognised as DGS and third country</w:t>
      </w:r>
      <w:r>
        <w:t xml:space="preserve"> </w:t>
      </w:r>
      <w:r>
        <w:t xml:space="preserve">branches), the treatment of the ONDs in the DGSD (particularly the financing of</w:t>
      </w:r>
      <w:r>
        <w:t xml:space="preserve"> </w:t>
      </w:r>
      <w:r>
        <w:t xml:space="preserve">preventive and alternative measures), the risk-based contributions, the build-up of the</w:t>
      </w:r>
      <w:r>
        <w:t xml:space="preserve"> </w:t>
      </w:r>
      <w:r>
        <w:t xml:space="preserve">central deposit insurance fund, the transition to the steady-state and the articulation</w:t>
      </w:r>
      <w:r>
        <w:t xml:space="preserve"> </w:t>
      </w:r>
      <w:r>
        <w:t xml:space="preserve">between EDIS and the CMDI framework171.</w:t>
      </w:r>
      <w:r>
        <w:br/>
      </w:r>
      <w:r>
        <w:t xml:space="preserve">In what concerns the HLWG, the discussions held at that level were structured around</w:t>
      </w:r>
      <w:r>
        <w:t xml:space="preserve"> </w:t>
      </w:r>
      <w:r>
        <w:t xml:space="preserve">four work streams.172 Of relevance to this impact assessment were the work streams on</w:t>
      </w:r>
      <w:r>
        <w:t xml:space="preserve"> </w:t>
      </w:r>
      <w:r>
        <w:t xml:space="preserve">crisis management (which discussed topics such as early intervention measures, targeted</w:t>
      </w:r>
      <w:r>
        <w:t xml:space="preserve"> </w:t>
      </w:r>
      <w:r>
        <w:t xml:space="preserve">amendments to the insolvency legislation for banks in the EU, handling of the failure of</w:t>
      </w:r>
      <w:r>
        <w:t xml:space="preserve"> </w:t>
      </w:r>
      <w:r>
        <w:t xml:space="preserve">banks whose resolution is not in the public interest and need for expansion of the</w:t>
      </w:r>
      <w:r>
        <w:t xml:space="preserve"> </w:t>
      </w:r>
      <w:r>
        <w:t xml:space="preserve">liquidation toolbox) and on EDIS (parameters and sequencing for the hybrid model,</w:t>
      </w:r>
      <w:r>
        <w:t xml:space="preserve"> </w:t>
      </w:r>
      <w:r>
        <w:t xml:space="preserve">scope of common deposit insurance, conditionality, risk-based contributions,</w:t>
      </w:r>
      <w:r>
        <w:t xml:space="preserve"> </w:t>
      </w:r>
      <w:r>
        <w:t xml:space="preserve">transitional path towards the steady state, articulation with the CMDI framework).</w:t>
      </w:r>
      <w:r>
        <w:t xml:space="preserve"> </w:t>
      </w:r>
      <w:r>
        <w:t xml:space="preserve">Further, 50 bilateral meetings with resolution and competent authorities as well as 58</w:t>
      </w:r>
      <w:r>
        <w:t xml:space="preserve"> </w:t>
      </w:r>
      <w:r>
        <w:t xml:space="preserve">bilateral stakeholder meetings (banks, industry associations, think tanks) took place over</w:t>
      </w:r>
      <w:r>
        <w:t xml:space="preserve"> </w:t>
      </w:r>
      <w:r>
        <w:t xml:space="preserve">the period 2019-2022. In those meetings counterparts explained their country or</w:t>
      </w:r>
      <w:r>
        <w:t xml:space="preserve"> </w:t>
      </w:r>
      <w:r>
        <w:t xml:space="preserve">business model specific situation and/or expressed their views on the CMDI framework</w:t>
      </w:r>
      <w:r>
        <w:t xml:space="preserve"> </w:t>
      </w:r>
      <w:r>
        <w:t xml:space="preserve">orally, as also done through the consultations. More recent meetings in 2021-2022</w:t>
      </w:r>
      <w:r>
        <w:t xml:space="preserve"> </w:t>
      </w:r>
      <w:r>
        <w:t xml:space="preserve">focused on the possible policy options and their calibration possibilities. Requests for</w:t>
      </w:r>
      <w:r>
        <w:t xml:space="preserve"> </w:t>
      </w:r>
      <w:r>
        <w:t xml:space="preserve">bilateral exchanges were accepted to the extent that the overall balance was maintained.</w:t>
      </w:r>
      <w:r>
        <w:t xml:space="preserve"> </w:t>
      </w:r>
      <w:r>
        <w:t xml:space="preserve">The input provided is reflected in the impact assessment.</w:t>
      </w:r>
      <w:r>
        <w:br/>
      </w:r>
      <w:r>
        <w:t xml:space="preserve">The views heard from Member States and industry stakeholders confirmed many of the</w:t>
      </w:r>
      <w:r>
        <w:t xml:space="preserve"> </w:t>
      </w:r>
      <w:r>
        <w:t xml:space="preserve">Commission findings regarding the functioning of the current framework and need for</w:t>
      </w:r>
      <w:r>
        <w:t xml:space="preserve"> </w:t>
      </w:r>
      <w:r>
        <w:t xml:space="preserve">reform. The input provided has been considered throughout the impact assessment.</w:t>
      </w:r>
    </w:p>
    <w:p>
      <w:pPr>
        <w:pStyle w:val="BodyText"/>
      </w:pPr>
      <w:r>
        <w:t xml:space="preserve">170 European Council (23 November 2020), German Council Presidency Progress Report on the</w:t>
      </w:r>
      <w:r>
        <w:t xml:space="preserve"> </w:t>
      </w:r>
      <w:r>
        <w:t xml:space="preserve">Strengthening of the Banking Union.</w:t>
      </w:r>
      <w:r>
        <w:t xml:space="preserve"> </w:t>
      </w:r>
      <w:r>
        <w:t xml:space="preserve">171 European Council (2 June 2021), Portuguese Council Presidency Progress Report on strengthening the</w:t>
      </w:r>
      <w:r>
        <w:t xml:space="preserve"> </w:t>
      </w:r>
      <w:r>
        <w:t xml:space="preserve">Banking Union.</w:t>
      </w:r>
      <w:r>
        <w:br/>
      </w:r>
      <w:r>
        <w:t xml:space="preserve">172 See Letter by the HLWG Chair to the President of the Eurogroup (December 2019).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6.</w:t>
      </w:r>
      <w:r>
        <w:t xml:space="preserve"> </w:t>
      </w:r>
      <w:r>
        <w:t xml:space="preserve">HIGH-LEVEL CONFERENCE</w:t>
      </w:r>
      <w:r>
        <w:t xml:space="preserve"> </w:t>
      </w:r>
      <w:r>
        <w:t xml:space="preserve">On 18 March 2021, the Commission hosted the High-level conference “Strengthening</w:t>
      </w:r>
      <w:r>
        <w:t xml:space="preserve"> </w:t>
      </w:r>
      <w:r>
        <w:t xml:space="preserve">the EU’s bank crisis management and deposit insurance framework: for a more resilient</w:t>
      </w:r>
      <w:r>
        <w:t xml:space="preserve"> </w:t>
      </w:r>
      <w:r>
        <w:t xml:space="preserve">and efficient Banking Union”.173 Amongst keynote speakers and panellists:</w:t>
      </w:r>
      <w:r>
        <w:t xml:space="preserve"> </w:t>
      </w:r>
      <w:r>
        <w:t xml:space="preserve">representatives from the banking industry/associations, Ministries, national resolution</w:t>
      </w:r>
      <w:r>
        <w:t xml:space="preserve"> </w:t>
      </w:r>
      <w:r>
        <w:t xml:space="preserve">authorities, DGSs, the SRB, the ECB, Members of the European Parliament, the EBA</w:t>
      </w:r>
      <w:r>
        <w:t xml:space="preserve"> </w:t>
      </w:r>
      <w:r>
        <w:t xml:space="preserve">and academia. Many speakers confirmed the importance of an effective CMDI</w:t>
      </w:r>
      <w:r>
        <w:t xml:space="preserve"> </w:t>
      </w:r>
      <w:r>
        <w:t xml:space="preserve">framework but also highlighted the current weaknesses. Although views were not fully</w:t>
      </w:r>
      <w:r>
        <w:t xml:space="preserve"> </w:t>
      </w:r>
      <w:r>
        <w:t xml:space="preserve">converging, there was consensus regarding room for improvement to make the</w:t>
      </w:r>
      <w:r>
        <w:t xml:space="preserve"> </w:t>
      </w:r>
      <w:r>
        <w:t xml:space="preserve">framework fit for purpose for all banks while protecting financial stability and</w:t>
      </w:r>
      <w:r>
        <w:t xml:space="preserve"> </w:t>
      </w:r>
      <w:r>
        <w:t xml:space="preserve">preserving depositors’ trust.</w:t>
      </w:r>
      <w:r>
        <w:br/>
      </w:r>
      <w:r>
        <w:t xml:space="preserve">The keynote speakers emphasised as core elements of a robust CMDI framework and</w:t>
      </w:r>
      <w:r>
        <w:t xml:space="preserve"> </w:t>
      </w:r>
      <w:r>
        <w:t xml:space="preserve">Banking Union: (i) setting up EDIS, (ii) a careful calibration of the tools in resolution</w:t>
      </w:r>
      <w:r>
        <w:t xml:space="preserve"> </w:t>
      </w:r>
      <w:r>
        <w:t xml:space="preserve">and insolvency to cater for specificities of smaller banks and (iii) a more effective use of</w:t>
      </w:r>
      <w:r>
        <w:t xml:space="preserve"> </w:t>
      </w:r>
      <w:r>
        <w:t xml:space="preserve">funds in resolution and insolvency, including access to funding for smaller banks.</w:t>
      </w:r>
      <w:r>
        <w:br/>
      </w:r>
      <w:r>
        <w:t xml:space="preserve">In the first panel, dedicated to issues pertaining to the tools in resolution and</w:t>
      </w:r>
      <w:r>
        <w:t xml:space="preserve"> </w:t>
      </w:r>
      <w:r>
        <w:t xml:space="preserve">insolvency, most panellists agreed that changes to the toolbox are warranted. Panellists</w:t>
      </w:r>
      <w:r>
        <w:t xml:space="preserve"> </w:t>
      </w:r>
      <w:r>
        <w:t xml:space="preserve">shared their experience with the framework and stressed the importance of predictability</w:t>
      </w:r>
      <w:r>
        <w:t xml:space="preserve"> </w:t>
      </w:r>
      <w:r>
        <w:t xml:space="preserve">and called for an alignment of the Commission’s Banking Communication with the</w:t>
      </w:r>
      <w:r>
        <w:t xml:space="preserve"> </w:t>
      </w:r>
      <w:r>
        <w:t xml:space="preserve">resolution framework. There was broad agreement on extending resolution to more</w:t>
      </w:r>
      <w:r>
        <w:t xml:space="preserve"> </w:t>
      </w:r>
      <w:r>
        <w:t xml:space="preserve">banks, however on the exact scope views differed. Panellists stressed the importance of</w:t>
      </w:r>
      <w:r>
        <w:t xml:space="preserve"> </w:t>
      </w:r>
      <w:r>
        <w:t xml:space="preserve">a clarification of the PIA. Some also noted the benefits of a harmonisation of insolvency</w:t>
      </w:r>
      <w:r>
        <w:t xml:space="preserve"> </w:t>
      </w:r>
      <w:r>
        <w:t xml:space="preserve">frameworks. One panellist highlighted that the review should not hinder the role of</w:t>
      </w:r>
      <w:r>
        <w:t xml:space="preserve"> </w:t>
      </w:r>
      <w:r>
        <w:t xml:space="preserve">banks to support the real economy and should strengthen financial stability.</w:t>
      </w:r>
      <w:r>
        <w:br/>
      </w:r>
      <w:r>
        <w:t xml:space="preserve">In the second panel, dedicated to the issues of funding in resolution and insolvency,</w:t>
      </w:r>
      <w:r>
        <w:t xml:space="preserve"> </w:t>
      </w:r>
      <w:r>
        <w:t xml:space="preserve">speakers highlighted that the current rules were too constraining and proposed different</w:t>
      </w:r>
      <w:r>
        <w:t xml:space="preserve"> </w:t>
      </w:r>
      <w:r>
        <w:t xml:space="preserve">solutions to overcome the lack of access of smaller and medium-sized banks to</w:t>
      </w:r>
      <w:r>
        <w:t xml:space="preserve"> </w:t>
      </w:r>
      <w:r>
        <w:t xml:space="preserve">financing sources. Panellists shared their experiences and noted that circumventions to</w:t>
      </w:r>
      <w:r>
        <w:t xml:space="preserve"> </w:t>
      </w:r>
      <w:r>
        <w:t xml:space="preserve">resolution and burden sharing should be prevented. Further, the need to review the</w:t>
      </w:r>
      <w:r>
        <w:t xml:space="preserve"> </w:t>
      </w:r>
      <w:r>
        <w:t xml:space="preserve">constraints to the use of the DGS and EDIS, to tailor MREL to the resolution strategy of</w:t>
      </w:r>
      <w:r>
        <w:t xml:space="preserve"> </w:t>
      </w:r>
      <w:r>
        <w:t xml:space="preserve">each bank and to make the 8% requirement more flexible were highlighted. Some</w:t>
      </w:r>
      <w:r>
        <w:t xml:space="preserve"> </w:t>
      </w:r>
      <w:r>
        <w:t xml:space="preserve">harmonisation of bank insolvency laws would also be welcomed.</w:t>
      </w:r>
      <w:r>
        <w:t xml:space="preserve"> </w:t>
      </w:r>
      <w:r>
        <w:t xml:space="preserve">The third panel voiced their views on how the deposit insurance framework could be</w:t>
      </w:r>
      <w:r>
        <w:t xml:space="preserve"> </w:t>
      </w:r>
      <w:r>
        <w:t xml:space="preserve">further enhanced taking into account experiences from anti money-laundering cases or</w:t>
      </w:r>
      <w:r>
        <w:t xml:space="preserve"> </w:t>
      </w:r>
      <w:r>
        <w:t xml:space="preserve">fintech companies. The increase in fintech players and the COVID-19 response</w:t>
      </w:r>
      <w:r>
        <w:t xml:space="preserve"> </w:t>
      </w:r>
      <w:r>
        <w:t xml:space="preserve">measures led to a strong increase in deposits. Panellists noted that the current framework</w:t>
      </w:r>
      <w:r>
        <w:t xml:space="preserve"> </w:t>
      </w:r>
      <w:r>
        <w:t xml:space="preserve">would benefit from further harmonisation and a better interplay of the DGSD with</w:t>
      </w:r>
      <w:r>
        <w:t xml:space="preserve"> </w:t>
      </w:r>
      <w:r>
        <w:t xml:space="preserve">AMLD rules, the Payment Services Directive and State aid rules. Also, consumer</w:t>
      </w:r>
      <w:r>
        <w:t xml:space="preserve"> </w:t>
      </w:r>
      <w:r>
        <w:t xml:space="preserve">confidence and trust should be reflected in the DGSD review (pointing at the Greensill</w:t>
      </w:r>
      <w:r>
        <w:t xml:space="preserve"> </w:t>
      </w:r>
      <w:r>
        <w:t xml:space="preserve">case) as well as the situation of smaller markets. Further, panellists called for EDIS, to</w:t>
      </w:r>
      <w:r>
        <w:t xml:space="preserve"> </w:t>
      </w:r>
      <w:r>
        <w:t xml:space="preserve">strengthen depositor confidence and reduce costs for the banking sector.</w:t>
      </w:r>
    </w:p>
    <w:p>
      <w:pPr>
        <w:pStyle w:val="BodyText"/>
      </w:pPr>
      <w:r>
        <w:t xml:space="preserve">173 See the European Commission’s conference webpage for details on the programme, the speakers and</w:t>
      </w:r>
      <w:r>
        <w:t xml:space="preserve"> </w:t>
      </w:r>
      <w:r>
        <w:t xml:space="preserve">the recoding of the event.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The Commission services invited stakeholders to provide their views through the two</w:t>
      </w:r>
      <w:r>
        <w:t xml:space="preserve"> </w:t>
      </w:r>
      <w:r>
        <w:t xml:space="preserve">open consultations, which would be duly considered in the assessment and proposal.</w:t>
      </w:r>
      <w:r>
        <w:t xml:space="preserve"> </w:t>
      </w:r>
      <w:r>
        <w:t xml:space="preserve">7.</w:t>
      </w:r>
      <w:r>
        <w:t xml:space="preserve"> </w:t>
      </w:r>
      <w:r>
        <w:t xml:space="preserve">EBA OPINIONS</w:t>
      </w:r>
      <w:r>
        <w:t xml:space="preserve"> </w:t>
      </w:r>
      <w:r>
        <w:t xml:space="preserve">The Commission requested advice from the EBA on possible areas where the DGSD</w:t>
      </w:r>
      <w:r>
        <w:t xml:space="preserve"> </w:t>
      </w:r>
      <w:r>
        <w:t xml:space="preserve">could be strengthened. In 2019 and 2020, the EBA issued four opinions under Article</w:t>
      </w:r>
      <w:r>
        <w:t xml:space="preserve"> </w:t>
      </w:r>
      <w:r>
        <w:t xml:space="preserve">19(6) DGSD174. See EBA opinions and Annex 6 for more information on the</w:t>
      </w:r>
      <w:r>
        <w:t xml:space="preserve"> </w:t>
      </w:r>
      <w:r>
        <w:t xml:space="preserve">recommendations and how these were integrated into the impact assessment.</w:t>
      </w:r>
      <w:r>
        <w:t xml:space="preserve"> </w:t>
      </w:r>
      <w:r>
        <w:t xml:space="preserve">8.</w:t>
      </w:r>
      <w:r>
        <w:t xml:space="preserve"> </w:t>
      </w:r>
      <w:r>
        <w:t xml:space="preserve">THE F4F PLATFORM OPINION</w:t>
      </w:r>
      <w:r>
        <w:t xml:space="preserve"> </w:t>
      </w:r>
      <w:r>
        <w:t xml:space="preserve">The Banking Union completion topic and the CMDI review were included in the 2021</w:t>
      </w:r>
      <w:r>
        <w:t xml:space="preserve"> </w:t>
      </w:r>
      <w:r>
        <w:t xml:space="preserve">Annual Work Programme of the F4F Platform. In its final opinion, which was issued on</w:t>
      </w:r>
      <w:r>
        <w:t xml:space="preserve"> </w:t>
      </w:r>
      <w:r>
        <w:t xml:space="preserve">10 December 2021, the F4F Platform considers that there is room for improvement to</w:t>
      </w:r>
      <w:r>
        <w:t xml:space="preserve"> </w:t>
      </w:r>
      <w:r>
        <w:t xml:space="preserve">make the CMDI framework fit for purpose for all banks, in a proportionate manner,</w:t>
      </w:r>
      <w:r>
        <w:t xml:space="preserve"> </w:t>
      </w:r>
      <w:r>
        <w:t xml:space="preserve">taking into consideration potential impact on depositors’ confidence and on financial</w:t>
      </w:r>
      <w:r>
        <w:t xml:space="preserve"> </w:t>
      </w:r>
      <w:r>
        <w:t xml:space="preserve">stability. The Platform also considers important, given the technical complexity and</w:t>
      </w:r>
      <w:r>
        <w:t xml:space="preserve"> </w:t>
      </w:r>
      <w:r>
        <w:t xml:space="preserve">significance of the objectives pursued with the legislation, to factor in a proper time for</w:t>
      </w:r>
      <w:r>
        <w:t xml:space="preserve"> </w:t>
      </w:r>
      <w:r>
        <w:t xml:space="preserve">allowing the markets and the public authorities to deploy the regulation correctly. To</w:t>
      </w:r>
      <w:r>
        <w:t xml:space="preserve"> </w:t>
      </w:r>
      <w:r>
        <w:t xml:space="preserve">this end, the Platform brings forward five concrete suggestions for improvements:</w:t>
      </w:r>
      <w:r>
        <w:br/>
      </w:r>
      <w:r>
        <w:t xml:space="preserve">Suggestion 1: Broadly merging of supervisory powers and EIM</w:t>
      </w:r>
      <w:r>
        <w:br/>
      </w:r>
      <w:r>
        <w:t xml:space="preserve">The Platform calls for broadly merging the supervisory powers under the CRD with the</w:t>
      </w:r>
      <w:r>
        <w:t xml:space="preserve"> </w:t>
      </w:r>
      <w:r>
        <w:t xml:space="preserve">early intervention powers under the BRRD and leaving only the most intrusive measures</w:t>
      </w:r>
      <w:r>
        <w:t xml:space="preserve"> </w:t>
      </w:r>
      <w:r>
        <w:t xml:space="preserve">in the BRRD. According to the F4F Platform, this improvement will help ensuring that</w:t>
      </w:r>
      <w:r>
        <w:t xml:space="preserve"> </w:t>
      </w:r>
      <w:r>
        <w:t xml:space="preserve">measures do not overlap but complement each other, thus increasing the consistency of</w:t>
      </w:r>
      <w:r>
        <w:t xml:space="preserve"> </w:t>
      </w:r>
      <w:r>
        <w:t xml:space="preserve">EIM and its overall usage. The Platform also highlights that it should be ensured that the</w:t>
      </w:r>
      <w:r>
        <w:t xml:space="preserve"> </w:t>
      </w:r>
      <w:r>
        <w:t xml:space="preserve">application of the EIM does not pose legal uncertainties with regard to the application of</w:t>
      </w:r>
      <w:r>
        <w:t xml:space="preserve"> </w:t>
      </w:r>
      <w:r>
        <w:t xml:space="preserve">the Market Abuse Regulation which requires public disclosure.</w:t>
      </w:r>
      <w:r>
        <w:t xml:space="preserve"> </w:t>
      </w:r>
      <w:r>
        <w:t xml:space="preserve">See Annex 5 (evaluation) and section 4 of Annex 8, for more information on how the</w:t>
      </w:r>
      <w:r>
        <w:t xml:space="preserve"> </w:t>
      </w:r>
      <w:r>
        <w:t xml:space="preserve">relevant suggestion of the Platform has been taken into consideration in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Suggestion 2: Clarification of Article 16 DGSD – Periodic information on deposit</w:t>
      </w:r>
      <w:r>
        <w:t xml:space="preserve"> </w:t>
      </w:r>
      <w:r>
        <w:t xml:space="preserve">protection</w:t>
      </w:r>
      <w:r>
        <w:t xml:space="preserve"> </w:t>
      </w:r>
      <w:r>
        <w:t xml:space="preserve">The Platform suggests that the provision of periodic information on deposit protection to</w:t>
      </w:r>
      <w:r>
        <w:t xml:space="preserve"> </w:t>
      </w:r>
      <w:r>
        <w:t xml:space="preserve">depositors, as per Article 16(1) DGSD, should only take place at the beginning of the</w:t>
      </w:r>
      <w:r>
        <w:t xml:space="preserve"> </w:t>
      </w:r>
      <w:r>
        <w:t xml:space="preserve">business relationship, or in case of relevant changes, as this could help in reducing the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Suggestion 2 flags an issue that is analysed in this impact assessment. However, as</w:t>
      </w:r>
      <w:r>
        <w:t xml:space="preserve"> </w:t>
      </w:r>
      <w:r>
        <w:t xml:space="preserve">explained in section 3.2.8 of Annex 6, the approach proposed on this issue is to follow</w:t>
      </w:r>
      <w:r>
        <w:t xml:space="preserve"> </w:t>
      </w:r>
      <w:r>
        <w:t xml:space="preserve">the EBA recommendation, which was supported by the vast majority of the experts in</w:t>
      </w:r>
      <w:r>
        <w:t xml:space="preserve"> </w:t>
      </w:r>
      <w:r>
        <w:t xml:space="preserve">the EGBPI, that the annual information disclosure should not be altered because of its</w:t>
      </w:r>
      <w:r>
        <w:t xml:space="preserve"> </w:t>
      </w:r>
      <w:r>
        <w:t xml:space="preserve">positive impact for depositor awareness.</w:t>
      </w:r>
    </w:p>
    <w:p>
      <w:pPr>
        <w:pStyle w:val="BodyText"/>
      </w:pPr>
      <w:r>
        <w:t xml:space="preserve">174 See Annex 1.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Suggestion 5: Improve the consistency between the DGSD, Payment Services and E-</w:t>
      </w:r>
      <w:r>
        <w:t xml:space="preserve"> </w:t>
      </w:r>
      <w:r>
        <w:t xml:space="preserve">Money Directives and increase the protection of client funds of e-money institutions and</w:t>
      </w:r>
      <w:r>
        <w:t xml:space="preserve"> </w:t>
      </w:r>
      <w:r>
        <w:t xml:space="preserve">payment institutions</w:t>
      </w:r>
      <w:r>
        <w:br/>
      </w:r>
      <w:r>
        <w:t xml:space="preserve">The Platform expresses the view that an improvement in the interaction between the</w:t>
      </w:r>
      <w:r>
        <w:t xml:space="preserve"> </w:t>
      </w:r>
      <w:r>
        <w:t xml:space="preserve">DGSD, the Payment services and E-money Directives is warranted for increasing</w:t>
      </w:r>
      <w:r>
        <w:t xml:space="preserve"> </w:t>
      </w:r>
      <w:r>
        <w:t xml:space="preserve">depositor protection and public trust in digital payment services offered by non-banks.</w:t>
      </w:r>
      <w:r>
        <w:t xml:space="preserve"> </w:t>
      </w:r>
      <w:r>
        <w:t xml:space="preserve">In particularly, the Platform calls for improvements in the DGSD for clarifying the</w:t>
      </w:r>
      <w:r>
        <w:t xml:space="preserve"> </w:t>
      </w:r>
      <w:r>
        <w:t xml:space="preserve">conditions, under which, client funds deposited with a credit institution by payment</w:t>
      </w:r>
      <w:r>
        <w:t xml:space="preserve"> </w:t>
      </w:r>
      <w:r>
        <w:t xml:space="preserve">institutions or e-money institutions would be eligible for depositor protection under the</w:t>
      </w:r>
      <w:r>
        <w:t xml:space="preserve"> </w:t>
      </w:r>
      <w:r>
        <w:t xml:space="preserve">DGSD. See Annex 5 (evaluation) and section 3.2.4 of Annex 6 for more information in</w:t>
      </w:r>
      <w:r>
        <w:t xml:space="preserve"> </w:t>
      </w:r>
      <w:r>
        <w:t xml:space="preserve">how the relevant suggestion was taken into consideration in this impact assessment.</w:t>
      </w:r>
      <w:r>
        <w:t xml:space="preserve"> </w:t>
      </w:r>
      <w:r>
        <w:t xml:space="preserve">Finally, the Platform formulated suggestions for improving the legal clarity in the</w:t>
      </w:r>
      <w:r>
        <w:t xml:space="preserve"> </w:t>
      </w:r>
      <w:r>
        <w:t xml:space="preserve">provisions concerning the FOLF triggers (Suggestion 3) and the assessment of the public</w:t>
      </w:r>
      <w:r>
        <w:t xml:space="preserve"> </w:t>
      </w:r>
      <w:r>
        <w:t xml:space="preserve">interest for resolution (Suggestion 4). According to the Platform, legal changes in these</w:t>
      </w:r>
      <w:r>
        <w:t xml:space="preserve"> </w:t>
      </w:r>
      <w:r>
        <w:t xml:space="preserve">two areas would be helpful for increasing the legal certainty and consistency in the</w:t>
      </w:r>
      <w:r>
        <w:t xml:space="preserve"> </w:t>
      </w:r>
      <w:r>
        <w:t xml:space="preserve">handling of failed banks.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ANNEX 3: WHO IS AFFECTED AND HOW?</w:t>
      </w:r>
    </w:p>
    <w:p>
      <w:pPr>
        <w:pStyle w:val="Compact"/>
        <w:numPr>
          <w:ilvl w:val="0"/>
          <w:numId w:val="1008"/>
        </w:numPr>
      </w:pPr>
      <w:r>
        <w:t xml:space="preserve">PRACTICAL IMPLICATIONS OF THE INITIATIVE</w:t>
      </w:r>
      <w:r>
        <w:t xml:space="preserve"> </w:t>
      </w:r>
      <w:r>
        <w:t xml:space="preserve">The objectives of this Annex are to summarise how option 3 (assessed as technically</w:t>
      </w:r>
      <w:r>
        <w:t xml:space="preserve"> </w:t>
      </w:r>
      <w:r>
        <w:t xml:space="preserve">superior) addresses the identified problems and to set out the practical implications for</w:t>
      </w:r>
      <w:r>
        <w:t xml:space="preserve"> </w:t>
      </w:r>
      <w:r>
        <w:t xml:space="preserve">the main stakeholders affected by this initiative, mainly the banking sector and their</w:t>
      </w:r>
      <w:r>
        <w:t xml:space="preserve"> </w:t>
      </w:r>
      <w:r>
        <w:t xml:space="preserve">shareholders and creditors, resolution and supervisory authorities, as well as depositors</w:t>
      </w:r>
      <w:r>
        <w:t xml:space="preserve"> </w:t>
      </w:r>
      <w:r>
        <w:t xml:space="preserve">and the taxpayers. The initiative aims to simultaneously address the following problems</w:t>
      </w:r>
      <w:r>
        <w:t xml:space="preserve"> </w:t>
      </w:r>
      <w:r>
        <w:t xml:space="preserve">described in Chapter 2:</w:t>
      </w:r>
      <w:r>
        <w:br/>
      </w:r>
      <w:r>
        <w:t xml:space="preserve"> Problem 1: Insufficient legal certainty and predictability in the management of</w:t>
      </w:r>
      <w:r>
        <w:t xml:space="preserve"> </w:t>
      </w:r>
      <w:r>
        <w:t xml:space="preserve">bank failures;</w:t>
      </w:r>
      <w:r>
        <w:t xml:space="preserve"> </w:t>
      </w:r>
      <w:r>
        <w:t xml:space="preserve"> Problem 2: Ineffective funding options and divergent access conditions in</w:t>
      </w:r>
      <w:r>
        <w:t xml:space="preserve"> </w:t>
      </w:r>
      <w:r>
        <w:t xml:space="preserve">resolution and insolvency; and</w:t>
      </w:r>
      <w:r>
        <w:t xml:space="preserve"> </w:t>
      </w:r>
      <w:r>
        <w:t xml:space="preserve"> Problem 3: Uneven and inconsistent depositor protection and lack of robustness</w:t>
      </w:r>
      <w:r>
        <w:t xml:space="preserve"> </w:t>
      </w:r>
      <w:r>
        <w:t xml:space="preserve">in deposit guarantee scheme (DGS) funding.</w:t>
      </w:r>
      <w:r>
        <w:t xml:space="preserve"> </w:t>
      </w:r>
      <w:r>
        <w:t xml:space="preserve">By ensuring a timelier and expanded scope for resolution, which would limit the</w:t>
      </w:r>
      <w:r>
        <w:t xml:space="preserve"> </w:t>
      </w:r>
      <w:r>
        <w:t xml:space="preserve">destruction of banks’ value when compared to liquidation proceedings, option 3 would</w:t>
      </w:r>
      <w:r>
        <w:t xml:space="preserve"> </w:t>
      </w:r>
      <w:r>
        <w:t xml:space="preserve">enhance financial stability and generate net overall gains for taxpayers, depositors,</w:t>
      </w:r>
      <w:r>
        <w:t xml:space="preserve"> </w:t>
      </w:r>
      <w:r>
        <w:t xml:space="preserve">including small and medium enterprises (SMEs), resolution authorities, but also the</w:t>
      </w:r>
      <w:r>
        <w:t xml:space="preserve"> </w:t>
      </w:r>
      <w:r>
        <w:t xml:space="preserve">markets and the society at large. Banks’ costs may increase due to a broader use of DGS</w:t>
      </w:r>
      <w:r>
        <w:t xml:space="preserve"> </w:t>
      </w:r>
      <w:r>
        <w:t xml:space="preserve">funds which would require replenishment through ex post industry contributions, which,</w:t>
      </w:r>
      <w:r>
        <w:t xml:space="preserve"> </w:t>
      </w:r>
      <w:r>
        <w:t xml:space="preserve">in the absence of a European deposit insurance scheme (EDIS) cannot be lowered.</w:t>
      </w:r>
      <w:r>
        <w:t xml:space="preserve"> </w:t>
      </w:r>
      <w:r>
        <w:t xml:space="preserve">Banks’ creditors may lose under these options due to bail-in when resolving more</w:t>
      </w:r>
      <w:r>
        <w:t xml:space="preserve"> </w:t>
      </w:r>
      <w:r>
        <w:t xml:space="preserve">smaller/medium-sized banks, however this would contribute to reducing moral hazard</w:t>
      </w:r>
      <w:r>
        <w:t xml:space="preserve"> </w:t>
      </w:r>
      <w:r>
        <w:t xml:space="preserve">and ensuring that losses are internalised to the bank’s claim holders rather than</w:t>
      </w:r>
      <w:r>
        <w:t xml:space="preserve"> </w:t>
      </w:r>
      <w:r>
        <w:t xml:space="preserve">externalised to the society.</w:t>
      </w:r>
      <w:r>
        <w:br/>
      </w:r>
      <w:r>
        <w:t xml:space="preserve">Option 3 would address the three problems identified by strengthening the legal certainty</w:t>
      </w:r>
      <w:r>
        <w:t xml:space="preserve"> </w:t>
      </w:r>
      <w:r>
        <w:t xml:space="preserve">and clarity of the presumptive path for action in case of failing banks, ensuring more</w:t>
      </w:r>
      <w:r>
        <w:t xml:space="preserve"> </w:t>
      </w:r>
      <w:r>
        <w:t xml:space="preserve">effective funding options and harmonised conditions to access them. Legal certainty and</w:t>
      </w:r>
      <w:r>
        <w:t xml:space="preserve"> </w:t>
      </w:r>
      <w:r>
        <w:t xml:space="preserve">level playing field would be achieved through more standardisation and harmonisation of</w:t>
      </w:r>
      <w:r>
        <w:t xml:space="preserve"> </w:t>
      </w:r>
      <w:r>
        <w:t xml:space="preserve">rules on: the application of the public interest assessment (PIA), use of DGS funds for</w:t>
      </w:r>
      <w:r>
        <w:t xml:space="preserve"> </w:t>
      </w:r>
      <w:r>
        <w:t xml:space="preserve">various interventions, early intervention measures and failing or likely to fail declaration,</w:t>
      </w:r>
      <w:r>
        <w:t xml:space="preserve"> </w:t>
      </w:r>
      <w:r>
        <w:t xml:space="preserve">the requirement to wind-down banks and foster market exit in case of negative PIA (to</w:t>
      </w:r>
      <w:r>
        <w:t xml:space="preserve"> </w:t>
      </w:r>
      <w:r>
        <w:t xml:space="preserve">avoid legal limbo situations) and the harmonisation of depositor preference in the</w:t>
      </w:r>
      <w:r>
        <w:t xml:space="preserve"> </w:t>
      </w:r>
      <w:r>
        <w:t xml:space="preserve">hierarchy of claims175. The revision of the least cost test for DGS interventions would</w:t>
      </w:r>
      <w:r>
        <w:t xml:space="preserve"> </w:t>
      </w:r>
      <w:r>
        <w:t xml:space="preserve">improve the effectiveness and efficiency of the use of DGS funds, ensuring coherent and</w:t>
      </w:r>
      <w:r>
        <w:t xml:space="preserve"> </w:t>
      </w:r>
      <w:r>
        <w:t xml:space="preserve">consistent approaches across Member States.</w:t>
      </w:r>
      <w:r>
        <w:t xml:space="preserve"> </w:t>
      </w:r>
      <w:r>
        <w:t xml:space="preserve">While most of these elements are similar across the option packages presented in</w:t>
      </w:r>
      <w:r>
        <w:t xml:space="preserve"> </w:t>
      </w:r>
      <w:r>
        <w:t xml:space="preserve">Chapters 5 and 6, the changes proposed to the PIA under option 3 deliver a more</w:t>
      </w:r>
    </w:p>
    <w:p>
      <w:pPr>
        <w:pStyle w:val="FirstParagraph"/>
      </w:pPr>
      <w:r>
        <w:t xml:space="preserve">175 As explained in Chapter 2.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significant expansion of the scope for resolution than other options. This goes hand in</w:t>
      </w:r>
      <w:r>
        <w:t xml:space="preserve"> </w:t>
      </w:r>
      <w:r>
        <w:t xml:space="preserve">hand with the ease of accessing funding under the retained option.</w:t>
      </w:r>
      <w:r>
        <w:br/>
      </w:r>
      <w:r>
        <w:t xml:space="preserve">Option 3 would improve the access to the resolution funds (RF) or the Single Resolution</w:t>
      </w:r>
      <w:r>
        <w:t xml:space="preserve"> </w:t>
      </w:r>
      <w:r>
        <w:t xml:space="preserve">Fund (SRF)176 and DGS funds in resolution for an increasing number of smaller and</w:t>
      </w:r>
      <w:r>
        <w:t xml:space="preserve"> </w:t>
      </w:r>
      <w:r>
        <w:t xml:space="preserve">medium-sized banks coming in the scope of resolution through an extended PIA. This</w:t>
      </w:r>
      <w:r>
        <w:t xml:space="preserve"> </w:t>
      </w:r>
      <w:r>
        <w:t xml:space="preserve">implies, in particular, that the restructuring of failing smaller and medium-sized banks,</w:t>
      </w:r>
      <w:r>
        <w:t xml:space="preserve"> </w:t>
      </w:r>
      <w:r>
        <w:t xml:space="preserve">possibly under transfer strategies in resolution or alternative measures in insolvency</w:t>
      </w:r>
      <w:r>
        <w:t xml:space="preserve"> </w:t>
      </w:r>
      <w:r>
        <w:t xml:space="preserve">would be financed more credibly and with more proportionality than under other options.</w:t>
      </w:r>
      <w:r>
        <w:t xml:space="preserve"> </w:t>
      </w:r>
      <w:r>
        <w:t xml:space="preserve">The access to the RF/SRF would be facilitated without compromising the principle of</w:t>
      </w:r>
      <w:r>
        <w:t xml:space="preserve"> </w:t>
      </w:r>
      <w:r>
        <w:t xml:space="preserve">minimum bail-in condition, which safeguards against moral hazard (i.e. making sure the</w:t>
      </w:r>
      <w:r>
        <w:t xml:space="preserve"> </w:t>
      </w:r>
      <w:r>
        <w:t xml:space="preserve">bank’s shareholders and creditors are first in line to bear losses before any industry</w:t>
      </w:r>
      <w:r>
        <w:t xml:space="preserve"> </w:t>
      </w:r>
      <w:r>
        <w:t xml:space="preserve">funded safety nets are employed).</w:t>
      </w:r>
      <w:r>
        <w:br/>
      </w:r>
      <w:r>
        <w:t xml:space="preserve">The implementation of option 3 would largely benefit depositors (i.e. retail clients,</w:t>
      </w:r>
      <w:r>
        <w:t xml:space="preserve"> </w:t>
      </w:r>
      <w:r>
        <w:t xml:space="preserve">SMEs, municipalities, other public institutions, large corporates, financial institutions)</w:t>
      </w:r>
      <w:r>
        <w:t xml:space="preserve"> </w:t>
      </w:r>
      <w:r>
        <w:t xml:space="preserve">and taxpayers by shielding them from losses, which would be covered by the bank’s</w:t>
      </w:r>
      <w:r>
        <w:t xml:space="preserve"> </w:t>
      </w:r>
      <w:r>
        <w:t xml:space="preserve">internal loss absorbing capacity and industry funded safety nets. Depositors would</w:t>
      </w:r>
      <w:r>
        <w:t xml:space="preserve"> </w:t>
      </w:r>
      <w:r>
        <w:t xml:space="preserve">benefit from placing more smaller/medium-sized banks in resolution and having their</w:t>
      </w:r>
      <w:r>
        <w:t xml:space="preserve"> </w:t>
      </w:r>
      <w:r>
        <w:t xml:space="preserve">deposits transferred to a healthy bank with the help of the DGS funds, as they would</w:t>
      </w:r>
      <w:r>
        <w:t xml:space="preserve"> </w:t>
      </w:r>
      <w:r>
        <w:t xml:space="preserve">preserve continued access to their accounts, avoid a run on the bank and benefit from a</w:t>
      </w:r>
      <w:r>
        <w:t xml:space="preserve"> </w:t>
      </w:r>
      <w:r>
        <w:t xml:space="preserve">more efficient use of DGS funds. Taxpayers would benefit as well since handling</w:t>
      </w:r>
      <w:r>
        <w:t xml:space="preserve"> </w:t>
      </w:r>
      <w:r>
        <w:t xml:space="preserve">distressed banks would be more likely financed through industry-funded safety nets</w:t>
      </w:r>
      <w:r>
        <w:t xml:space="preserve"> </w:t>
      </w:r>
      <w:r>
        <w:t xml:space="preserve">rather than public money. The size of available funding to enable transfer transactions is</w:t>
      </w:r>
      <w:r>
        <w:t xml:space="preserve"> </w:t>
      </w:r>
      <w:r>
        <w:t xml:space="preserve">directly proportional with the protection of the respective depositors and taxpayers in the</w:t>
      </w:r>
      <w:r>
        <w:t xml:space="preserve"> </w:t>
      </w:r>
      <w:r>
        <w:t xml:space="preserve">EU.</w:t>
      </w:r>
      <w:r>
        <w:t xml:space="preserve"> </w:t>
      </w:r>
      <w:r>
        <w:t xml:space="preserve">Banks and their shareholders, investors, employees and depositors would also benefit</w:t>
      </w:r>
      <w:r>
        <w:t xml:space="preserve"> </w:t>
      </w:r>
      <w:r>
        <w:t xml:space="preserve">from the retained option from the perspective of enhanced legal clarity and level playing</w:t>
      </w:r>
      <w:r>
        <w:t xml:space="preserve"> </w:t>
      </w:r>
      <w:r>
        <w:t xml:space="preserve">field in the application of rules and enhanced standardisation. While depositors would be</w:t>
      </w:r>
      <w:r>
        <w:t xml:space="preserve"> </w:t>
      </w:r>
      <w:r>
        <w:t xml:space="preserve">more protected from losses under these options, other investors may see their claims</w:t>
      </w:r>
      <w:r>
        <w:t xml:space="preserve"> </w:t>
      </w:r>
      <w:r>
        <w:t xml:space="preserve">written-down or converted into capital by applying bail-in. However, option 3 would</w:t>
      </w:r>
      <w:r>
        <w:t xml:space="preserve"> </w:t>
      </w:r>
      <w:r>
        <w:t xml:space="preserve">benefit most stakeholders through the preservation of banks’ franchise value and the</w:t>
      </w:r>
      <w:r>
        <w:t xml:space="preserve"> </w:t>
      </w:r>
      <w:r>
        <w:t xml:space="preserve">safeguarding of commercial relations through a transfer transaction of parts or all the</w:t>
      </w:r>
      <w:r>
        <w:t xml:space="preserve"> </w:t>
      </w:r>
      <w:r>
        <w:t xml:space="preserve">failing business to a healthy acquirer rather than by applying piece-meal liquidation. This</w:t>
      </w:r>
      <w:r>
        <w:t xml:space="preserve"> </w:t>
      </w:r>
      <w:r>
        <w:t xml:space="preserve">may come at a cost for banks, as the more extensive use of DGS funds would require</w:t>
      </w:r>
      <w:r>
        <w:t xml:space="preserve"> </w:t>
      </w:r>
      <w:r>
        <w:t xml:space="preserve">recouping the funds (possibly) disbursed through ex post industry contributions.</w:t>
      </w:r>
      <w:r>
        <w:t xml:space="preserve"> </w:t>
      </w:r>
      <w:r>
        <w:t xml:space="preserve">However, this tendence would be compensated by a more efficient use of funds in</w:t>
      </w:r>
      <w:r>
        <w:t xml:space="preserve"> </w:t>
      </w:r>
      <w:r>
        <w:t xml:space="preserve">resolution/alternative measures as opposed to a full payout in insolvency.</w:t>
      </w:r>
      <w:r>
        <w:br/>
      </w:r>
      <w:r>
        <w:t xml:space="preserve">Resolution authorities would also benefit from the retained option, by relying on clearer</w:t>
      </w:r>
      <w:r>
        <w:t xml:space="preserve"> </w:t>
      </w:r>
      <w:r>
        <w:t xml:space="preserve">and more harmonised rules when implementing the provisions of the law, reducing legal</w:t>
      </w:r>
      <w:r>
        <w:t xml:space="preserve"> </w:t>
      </w:r>
      <w:r>
        <w:t xml:space="preserve">risks. Their incentives to decide on the application of certain crisis management tools</w:t>
      </w:r>
      <w:r>
        <w:t xml:space="preserve"> </w:t>
      </w:r>
      <w:r>
        <w:t xml:space="preserve">would be more aligned and focused on the preservation of value, effectiveness and</w:t>
      </w:r>
      <w:r>
        <w:t xml:space="preserve"> </w:t>
      </w:r>
      <w:r>
        <w:t xml:space="preserve">efficiency of outcome.</w:t>
      </w:r>
    </w:p>
    <w:p>
      <w:pPr>
        <w:pStyle w:val="BodyText"/>
      </w:pPr>
      <w:r>
        <w:t xml:space="preserve">176 Through the use of DGS funds to bridge the gap towards the minimum access condition to the RF/SRF,</w:t>
      </w:r>
      <w:r>
        <w:t xml:space="preserve"> </w:t>
      </w:r>
      <w:r>
        <w:t xml:space="preserve">as explained in Chapter 6.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The initiative is neutral in terms of impact on administrative costs177, meaning, on</w:t>
      </w:r>
      <w:r>
        <w:t xml:space="preserve"> </w:t>
      </w:r>
      <w:r>
        <w:t xml:space="preserve">aggregate, it neither adds nor removes administrative burden on banks, citizens or</w:t>
      </w:r>
      <w:r>
        <w:t xml:space="preserve"> </w:t>
      </w:r>
      <w:r>
        <w:t xml:space="preserve">resolution authorities. Therefore, the initiative does not have a significant impact on the</w:t>
      </w:r>
      <w:r>
        <w:t xml:space="preserve"> </w:t>
      </w:r>
      <w:r>
        <w:t xml:space="preserve">Commission’s ‘one in, one out’ approach178, seeking to scrutinise and monitor new</w:t>
      </w:r>
      <w:r>
        <w:t xml:space="preserve"> </w:t>
      </w:r>
      <w:r>
        <w:t xml:space="preserve">and/or removed administrative costs (both one-off and recurring) for businesses. This is</w:t>
      </w:r>
      <w:r>
        <w:t xml:space="preserve"> </w:t>
      </w:r>
      <w:r>
        <w:t xml:space="preserve">because, on one hand, banks earmarked for liquidation under the current framework and</w:t>
      </w:r>
      <w:r>
        <w:t xml:space="preserve"> </w:t>
      </w:r>
      <w:r>
        <w:t xml:space="preserve">which would be entering the scope of resolution for the first time under this initiative,</w:t>
      </w:r>
      <w:r>
        <w:t xml:space="preserve"> </w:t>
      </w:r>
      <w:r>
        <w:t xml:space="preserve">would be subject to the obligation to enhance their recovery plans, provide information to</w:t>
      </w:r>
      <w:r>
        <w:t xml:space="preserve"> </w:t>
      </w:r>
      <w:r>
        <w:t xml:space="preserve">resolution authorities on a more frequent basis for the preparation of more extensive</w:t>
      </w:r>
      <w:r>
        <w:t xml:space="preserve"> </w:t>
      </w:r>
      <w:r>
        <w:t xml:space="preserve">resolution plans and ensure they become resolvable. While this would involve some</w:t>
      </w:r>
      <w:r>
        <w:t xml:space="preserve"> </w:t>
      </w:r>
      <w:r>
        <w:t xml:space="preserve">additional costs for banks, these are estimated to be marginal, because banks earmarked</w:t>
      </w:r>
      <w:r>
        <w:t xml:space="preserve"> </w:t>
      </w:r>
      <w:r>
        <w:t xml:space="preserve">for liquidation already report data to resolution authorities who prepare resolution plans</w:t>
      </w:r>
      <w:r>
        <w:t xml:space="preserve"> </w:t>
      </w:r>
      <w:r>
        <w:t xml:space="preserve">albeit on a less frequent basis (under simplified obligations). On the other hand, the</w:t>
      </w:r>
      <w:r>
        <w:t xml:space="preserve"> </w:t>
      </w:r>
      <w:r>
        <w:t xml:space="preserve">initiative offsets these effects by providing some relief through waiving the need to adopt</w:t>
      </w:r>
      <w:r>
        <w:t xml:space="preserve"> </w:t>
      </w:r>
      <w:r>
        <w:t xml:space="preserve">MREL decisions for a scope of banks earmarked for liquidation, where MREL is equal to</w:t>
      </w:r>
      <w:r>
        <w:t xml:space="preserve"> </w:t>
      </w:r>
      <w:r>
        <w:t xml:space="preserve">own funds requirements (see Annex 8, section 8). The impact of this change is more</w:t>
      </w:r>
      <w:r>
        <w:t xml:space="preserve"> </w:t>
      </w:r>
      <w:r>
        <w:t xml:space="preserve">meaningful for resolution authorities than for banks (due to the reduction in MREL</w:t>
      </w:r>
      <w:r>
        <w:t xml:space="preserve"> </w:t>
      </w:r>
      <w:r>
        <w:t xml:space="preserve">decisions to be adopted and communicated to banks) and is rather localised in those</w:t>
      </w:r>
      <w:r>
        <w:t xml:space="preserve"> </w:t>
      </w:r>
      <w:r>
        <w:t xml:space="preserve">Member States with less concentrated banking sectors (many small banks which have</w:t>
      </w:r>
      <w:r>
        <w:t xml:space="preserve"> </w:t>
      </w:r>
      <w:r>
        <w:t xml:space="preserve">liquidation as preferred strategy in case of failure) and where the MREL requirement</w:t>
      </w:r>
      <w:r>
        <w:t xml:space="preserve"> </w:t>
      </w:r>
      <w:r>
        <w:t xml:space="preserve">would not exceed own funds.</w:t>
      </w:r>
      <w:r>
        <w:br/>
      </w:r>
      <w:r>
        <w:t xml:space="preserve">Additionally, the society would benefit from financial stability and the protection and</w:t>
      </w:r>
      <w:r>
        <w:t xml:space="preserve"> </w:t>
      </w:r>
      <w:r>
        <w:t xml:space="preserve">continuation of critical functions that banks deliver to citizens, more convergence and</w:t>
      </w:r>
      <w:r>
        <w:t xml:space="preserve"> </w:t>
      </w:r>
      <w:r>
        <w:t xml:space="preserve">clarity on the presumptive path in the application of the rules and level playing field,</w:t>
      </w:r>
      <w:r>
        <w:t xml:space="preserve"> </w:t>
      </w:r>
      <w:r>
        <w:t xml:space="preserve">fostering more confidence in the banking sector and the single market in banking.</w:t>
      </w:r>
      <w:r>
        <w:br/>
      </w:r>
      <w:r>
        <w:t xml:space="preserve">Tables 2 and 3 summarise the impacts of the preferred option.</w:t>
      </w:r>
    </w:p>
    <w:p>
      <w:pPr>
        <w:pStyle w:val="BodyText"/>
      </w:pPr>
      <w:r>
        <w:t xml:space="preserve">177 According to the Commission’s Better Regulation Toolbox (#58), administrative costs are the costs</w:t>
      </w:r>
      <w:r>
        <w:t xml:space="preserve"> </w:t>
      </w:r>
      <w:r>
        <w:t xml:space="preserve">incurred by enterprises, the voluntary sector, public authorities, and citizens in meeting administrative</w:t>
      </w:r>
      <w:r>
        <w:t xml:space="preserve"> </w:t>
      </w:r>
      <w:r>
        <w:t xml:space="preserve">obligations towards public authorities or private parties. Administrative obligations in a broad sense</w:t>
      </w:r>
      <w:r>
        <w:t xml:space="preserve"> </w:t>
      </w:r>
      <w:r>
        <w:t xml:space="preserve">include labelling, reporting registration, monitoring, and assessment needed to provide the information. In</w:t>
      </w:r>
      <w:r>
        <w:t xml:space="preserve"> </w:t>
      </w:r>
      <w:r>
        <w:t xml:space="preserve">some cases, the information must be transferred to public authorities or private parties. In others, it only</w:t>
      </w:r>
      <w:r>
        <w:t xml:space="preserve"> </w:t>
      </w:r>
      <w:r>
        <w:t xml:space="preserve">must be available for inspection or supply on request.</w:t>
      </w:r>
      <w:r>
        <w:t xml:space="preserve"> </w:t>
      </w:r>
      <w:r>
        <w:t xml:space="preserve">178 The Commission has committed to the ‘one in, one out’ (OIOO) approach (see Political Guidelines of</w:t>
      </w:r>
      <w:r>
        <w:t xml:space="preserve"> </w:t>
      </w:r>
      <w:r>
        <w:t xml:space="preserve">President von der Leyen, ‘better regulation’ Communication of 29 April 2021, COM(2021) 219). This</w:t>
      </w:r>
      <w:r>
        <w:t xml:space="preserve"> </w:t>
      </w:r>
      <w:r>
        <w:t xml:space="preserve">means offsetting new burdens resulting from the Commission’s proposals by reducing existing burdens in</w:t>
      </w:r>
      <w:r>
        <w:t xml:space="preserve"> </w:t>
      </w:r>
      <w:r>
        <w:t xml:space="preserve">the same policy area. The ‘better regulation’ Communication COM(2021) 219, sets out the main principles</w:t>
      </w:r>
      <w:r>
        <w:t xml:space="preserve"> </w:t>
      </w:r>
      <w:r>
        <w:t xml:space="preserve">of the approach (identification through cost estimation methods and reporting for the purpose of OIOO).</w:t>
      </w:r>
      <w:r>
        <w:t xml:space="preserve"> </w:t>
      </w:r>
      <w:r>
        <w:t xml:space="preserve">OIOO only applies to cost implications originating from Commission proposals and covers the impact of</w:t>
      </w:r>
      <w:r>
        <w:t xml:space="preserve"> </w:t>
      </w:r>
      <w:r>
        <w:t xml:space="preserve">new regulatory requirements (not ‘business as usual’ costs). Costs imposed by other parties – co-legislators</w:t>
      </w:r>
      <w:r>
        <w:t xml:space="preserve"> </w:t>
      </w:r>
      <w:r>
        <w:t xml:space="preserve">or by Member States and local, regional authorities – are not included.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Table 2: Overview table depicting winners and losers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Taxpayers</w:t>
      </w:r>
      <w:r>
        <w:t xml:space="preserve"> </w:t>
      </w:r>
      <w:r>
        <w:t xml:space="preserve">Depositors</w:t>
      </w:r>
      <w:r>
        <w:br/>
      </w:r>
      <w:r>
        <w:t xml:space="preserve">Banks</w:t>
      </w:r>
      <w:r>
        <w:t xml:space="preserve"> </w:t>
      </w:r>
      <w:r>
        <w:t xml:space="preserve">Creditors</w:t>
      </w:r>
      <w:r>
        <w:t xml:space="preserve"> </w:t>
      </w:r>
      <w:r>
        <w:t xml:space="preserve">Resolution</w:t>
      </w:r>
      <w:r>
        <w:t xml:space="preserve"> </w:t>
      </w:r>
      <w:r>
        <w:t xml:space="preserve">authorities</w:t>
      </w:r>
      <w:r>
        <w:t xml:space="preserve"> </w:t>
      </w:r>
      <w:r>
        <w:t xml:space="preserve">Problem 1: Insufficient legal certainty and predictability in the management of bank failures</w:t>
      </w:r>
      <w:r>
        <w:t xml:space="preserve"> </w:t>
      </w:r>
      <w:r>
        <w:t xml:space="preserve">Problem 2: Ineffective funding options and divergent access conditions for the financing of resolution and insolvency</w:t>
      </w:r>
      <w:r>
        <w:t xml:space="preserve"> </w:t>
      </w:r>
      <w:r>
        <w:t xml:space="preserve">Problem 3: Uneven and inconsistent depositor protection and lack of robustness in DGS funding</w:t>
      </w:r>
      <w:r>
        <w:t xml:space="preserve"> </w:t>
      </w:r>
      <w:r>
        <w:t xml:space="preserve">Baseline: Do nothing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3: Substantially improved resolution funding</w:t>
      </w:r>
      <w:r>
        <w:t xml:space="preserve"> </w:t>
      </w:r>
      <w:r>
        <w:t xml:space="preserve">and commensurate resolution scope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+/-179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Table 3: Overview table depicting to what extent the options achieve the objectives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Financial stability</w:t>
      </w:r>
      <w:r>
        <w:t xml:space="preserve"> </w:t>
      </w:r>
      <w:r>
        <w:t xml:space="preserve">Minimise recourse</w:t>
      </w:r>
      <w:r>
        <w:t xml:space="preserve"> </w:t>
      </w:r>
      <w:r>
        <w:t xml:space="preserve">to taxpayer money,</w:t>
      </w:r>
      <w:r>
        <w:t xml:space="preserve"> </w:t>
      </w:r>
      <w:r>
        <w:t xml:space="preserve">weaken bank-</w:t>
      </w:r>
      <w:r>
        <w:t xml:space="preserve"> </w:t>
      </w:r>
      <w:r>
        <w:t xml:space="preserve">sovereign loop</w:t>
      </w:r>
      <w:r>
        <w:t xml:space="preserve"> </w:t>
      </w:r>
      <w:r>
        <w:t xml:space="preserve">Level playing field,</w:t>
      </w:r>
      <w:r>
        <w:t xml:space="preserve"> </w:t>
      </w:r>
      <w:r>
        <w:t xml:space="preserve">single market</w:t>
      </w:r>
      <w:r>
        <w:t xml:space="preserve"> </w:t>
      </w:r>
      <w:r>
        <w:t xml:space="preserve">Depositor</w:t>
      </w:r>
      <w:r>
        <w:t xml:space="preserve"> </w:t>
      </w:r>
      <w:r>
        <w:t xml:space="preserve">protection</w:t>
      </w:r>
      <w:r>
        <w:t xml:space="preserve"> </w:t>
      </w:r>
      <w:r>
        <w:t xml:space="preserve">Proportionality</w:t>
      </w:r>
    </w:p>
    <w:p>
      <w:pPr>
        <w:pStyle w:val="BodyText"/>
      </w:pPr>
      <w:r>
        <w:t xml:space="preserve">Problem 1: Insufficient legal certainty and predictability in the management of bank failures</w:t>
      </w:r>
      <w:r>
        <w:t xml:space="preserve"> </w:t>
      </w:r>
      <w:r>
        <w:t xml:space="preserve">Problem 2: Ineffective funding options and divergent access conditions for the financing of resolution and insolvency</w:t>
      </w:r>
      <w:r>
        <w:t xml:space="preserve"> </w:t>
      </w:r>
      <w:r>
        <w:t xml:space="preserve">Problem 3: Uneven and inconsistent depositor protection and lack of robustness in DGS funding</w:t>
      </w:r>
      <w:r>
        <w:t xml:space="preserve"> </w:t>
      </w:r>
      <w:r>
        <w:t xml:space="preserve">Baseline: Do nothing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3: Substantially improved</w:t>
      </w:r>
      <w:r>
        <w:t xml:space="preserve"> </w:t>
      </w:r>
      <w:r>
        <w:t xml:space="preserve">resolution funding and</w:t>
      </w:r>
      <w:r>
        <w:t xml:space="preserve"> </w:t>
      </w:r>
      <w:r>
        <w:t xml:space="preserve">commensurate resolution scope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179 Bank’s creditors would benefit from a higher valuation in resolution than under piecemeal liquidation and preservation of the franchise value of the bank, however, some of them</w:t>
      </w:r>
      <w:r>
        <w:t xml:space="preserve"> </w:t>
      </w:r>
      <w:r>
        <w:t xml:space="preserve">may be bailed-in if the access to the RF/SRF is required to resolve the bank.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Table 4: Overview of the benefits</w:t>
      </w:r>
      <w:r>
        <w:t xml:space="preserve"> </w:t>
      </w:r>
      <w:r>
        <w:t xml:space="preserve">I. Overview of Benefits (total for all provisions) – Retained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Enhanced legal certainty,</w:t>
      </w:r>
      <w:r>
        <w:t xml:space="preserve"> </w:t>
      </w:r>
      <w:r>
        <w:t xml:space="preserve">harmonisation and simplification</w:t>
      </w:r>
      <w:r>
        <w:t xml:space="preserve"> </w:t>
      </w:r>
      <w:r>
        <w:t xml:space="preserve">of certain rules leading to</w:t>
      </w:r>
      <w:r>
        <w:t xml:space="preserve"> </w:t>
      </w:r>
      <w:r>
        <w:t xml:space="preserve">convergence and level playing</w:t>
      </w:r>
      <w:r>
        <w:t xml:space="preserve"> </w:t>
      </w:r>
      <w:r>
        <w:t xml:space="preserve">field.</w:t>
      </w:r>
      <w:r>
        <w:br/>
      </w:r>
      <w:r>
        <w:t xml:space="preserve">No available amount ex ante. Strengthening the single rulebook and harmonising</w:t>
      </w:r>
      <w:r>
        <w:t xml:space="preserve"> </w:t>
      </w:r>
      <w:r>
        <w:t xml:space="preserve">crisis management rules will unify the regulatory environment and increase the</w:t>
      </w:r>
      <w:r>
        <w:t xml:space="preserve"> </w:t>
      </w:r>
      <w:r>
        <w:t xml:space="preserve">level playing field, possibly fostering more integration in the single market,</w:t>
      </w:r>
      <w:r>
        <w:t xml:space="preserve"> </w:t>
      </w:r>
      <w:r>
        <w:t xml:space="preserve">which could be monitored in the future.</w:t>
      </w:r>
      <w:r>
        <w:br/>
      </w:r>
      <w:r>
        <w:t xml:space="preserve">By harmonising the application of the PIA, the depositor preference in the</w:t>
      </w:r>
      <w:r>
        <w:t xml:space="preserve"> </w:t>
      </w:r>
      <w:r>
        <w:t xml:space="preserve">hierarchy of claims, the least cost test to access DGS funding for various</w:t>
      </w:r>
      <w:r>
        <w:t xml:space="preserve"> </w:t>
      </w:r>
      <w:r>
        <w:t xml:space="preserve">interventions, the retained option would enhance legal clarity and achieve a</w:t>
      </w:r>
      <w:r>
        <w:t xml:space="preserve"> </w:t>
      </w:r>
      <w:r>
        <w:t xml:space="preserve">significant simplification of rules.</w:t>
      </w:r>
      <w:r>
        <w:br/>
      </w:r>
      <w:r>
        <w:t xml:space="preserve">Resolution authorities would be the main</w:t>
      </w:r>
      <w:r>
        <w:t xml:space="preserve"> </w:t>
      </w:r>
      <w:r>
        <w:t xml:space="preserve">recipients of these benefits, especially when</w:t>
      </w:r>
      <w:r>
        <w:t xml:space="preserve"> </w:t>
      </w:r>
      <w:r>
        <w:t xml:space="preserve">working on cross-border banking groups, mainly</w:t>
      </w:r>
      <w:r>
        <w:t xml:space="preserve"> </w:t>
      </w:r>
      <w:r>
        <w:t xml:space="preserve">due to increased standardisation, simplification</w:t>
      </w:r>
      <w:r>
        <w:t xml:space="preserve"> </w:t>
      </w:r>
      <w:r>
        <w:t xml:space="preserve">and streamlining of rules. Additional legal</w:t>
      </w:r>
      <w:r>
        <w:t xml:space="preserve"> </w:t>
      </w:r>
      <w:r>
        <w:t xml:space="preserve">clarity would reduce the risk of legal challenge</w:t>
      </w:r>
      <w:r>
        <w:t xml:space="preserve"> </w:t>
      </w:r>
      <w:r>
        <w:t xml:space="preserve">for authorities related to the planning,</w:t>
      </w:r>
      <w:r>
        <w:t xml:space="preserve"> </w:t>
      </w:r>
      <w:r>
        <w:t xml:space="preserve">formulation of requirements to banks and</w:t>
      </w:r>
      <w:r>
        <w:t xml:space="preserve"> </w:t>
      </w:r>
      <w:r>
        <w:t xml:space="preserve">execution of the preferred strategy.</w:t>
      </w:r>
      <w:r>
        <w:br/>
      </w:r>
      <w:r>
        <w:t xml:space="preserve">Market participants would also benefit from</w:t>
      </w:r>
      <w:r>
        <w:t xml:space="preserve"> </w:t>
      </w:r>
      <w:r>
        <w:t xml:space="preserve">standardisation, as they would be in a better</w:t>
      </w:r>
      <w:r>
        <w:t xml:space="preserve"> </w:t>
      </w:r>
      <w:r>
        <w:t xml:space="preserve">position to assess risks related to banks.</w:t>
      </w:r>
      <w:r>
        <w:br/>
      </w:r>
      <w:r>
        <w:t xml:space="preserve">Depositors would also be the recipients of these</w:t>
      </w:r>
      <w:r>
        <w:t xml:space="preserve"> </w:t>
      </w:r>
      <w:r>
        <w:t xml:space="preserve">benefits, as the harmonisation of depositor</w:t>
      </w:r>
      <w:r>
        <w:t xml:space="preserve"> </w:t>
      </w:r>
      <w:r>
        <w:t xml:space="preserve">preference in the hierarchy of claims would</w:t>
      </w:r>
      <w:r>
        <w:t xml:space="preserve"> </w:t>
      </w:r>
      <w:r>
        <w:t xml:space="preserve">ensure their fair their treatment across Member</w:t>
      </w:r>
      <w:r>
        <w:t xml:space="preserve"> </w:t>
      </w:r>
      <w:r>
        <w:t xml:space="preserve">States.</w:t>
      </w:r>
      <w:r>
        <w:br/>
      </w:r>
      <w:r>
        <w:t xml:space="preserve">Reduced recourse to taxpayer</w:t>
      </w:r>
      <w:r>
        <w:t xml:space="preserve"> </w:t>
      </w:r>
      <w:r>
        <w:t xml:space="preserve">money.</w:t>
      </w:r>
      <w:r>
        <w:t xml:space="preserve"> </w:t>
      </w:r>
      <w:r>
        <w:t xml:space="preserve">No amount available ex ante. Taxpayer money would be more protected when</w:t>
      </w:r>
      <w:r>
        <w:t xml:space="preserve"> </w:t>
      </w:r>
      <w:r>
        <w:t xml:space="preserve">handling failing banks by using resolution or alternative measures more</w:t>
      </w:r>
      <w:r>
        <w:t xml:space="preserve"> </w:t>
      </w:r>
      <w:r>
        <w:t xml:space="preserve">consistently, mainly because shareholders, creditors and, if needed, the resolution</w:t>
      </w:r>
      <w:r>
        <w:t xml:space="preserve"> </w:t>
      </w:r>
      <w:r>
        <w:t xml:space="preserve">fund/ DGS would bear losses and support executing the resolution strategy.</w:t>
      </w:r>
      <w:r>
        <w:br/>
      </w:r>
      <w:r>
        <w:t xml:space="preserve">Estimating the amount of taxpayer funds savings that would be enabled by these</w:t>
      </w:r>
      <w:r>
        <w:t xml:space="preserve"> </w:t>
      </w:r>
      <w:r>
        <w:t xml:space="preserve">reform would be bank-specific. As an indication based on the past, when</w:t>
      </w:r>
      <w:r>
        <w:t xml:space="preserve"> </w:t>
      </w:r>
      <w:r>
        <w:t xml:space="preserve">considering the examples of failing banks between 2015 and 2022, taxpayer</w:t>
      </w:r>
      <w:r>
        <w:t xml:space="preserve"> </w:t>
      </w:r>
      <w:r>
        <w:t xml:space="preserve">Taxpayers would be the main recipients of this</w:t>
      </w:r>
      <w:r>
        <w:t xml:space="preserve"> </w:t>
      </w:r>
      <w:r>
        <w:t xml:space="preserve">benefit. A more efficient use of DGS funds</w:t>
      </w:r>
      <w:r>
        <w:t xml:space="preserve"> </w:t>
      </w:r>
      <w:r>
        <w:t xml:space="preserve">would reduce the risk of DGS liquidity shortfall</w:t>
      </w:r>
      <w:r>
        <w:t xml:space="preserve"> </w:t>
      </w:r>
      <w:r>
        <w:t xml:space="preserve">and the need of public intervention as a backstop</w:t>
      </w:r>
      <w:r>
        <w:t xml:space="preserve"> </w:t>
      </w:r>
      <w:r>
        <w:t xml:space="preserve">to the DGS.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exposures to such contingent liabilities reached EUR 58.2 bn (out of which EUR</w:t>
      </w:r>
      <w:r>
        <w:t xml:space="preserve"> </w:t>
      </w:r>
      <w:r>
        <w:t xml:space="preserve">28.1 bn were used for liquidity support). However, future uses of taxpayer money</w:t>
      </w:r>
      <w:r>
        <w:t xml:space="preserve"> </w:t>
      </w:r>
      <w:r>
        <w:t xml:space="preserve">cannot be gauged on past cases.</w:t>
      </w:r>
      <w:r>
        <w:br/>
      </w:r>
      <w:r>
        <w:t xml:space="preserve">Strengthened depositor</w:t>
      </w:r>
      <w:r>
        <w:t xml:space="preserve"> </w:t>
      </w:r>
      <w:r>
        <w:t xml:space="preserve">confidence through continued</w:t>
      </w:r>
      <w:r>
        <w:t xml:space="preserve"> </w:t>
      </w:r>
      <w:r>
        <w:t xml:space="preserve">access to accounts, greater</w:t>
      </w:r>
      <w:r>
        <w:t xml:space="preserve"> </w:t>
      </w:r>
      <w:r>
        <w:t xml:space="preserve">protection of eligible deposits</w:t>
      </w:r>
      <w:r>
        <w:t xml:space="preserve"> </w:t>
      </w:r>
      <w:r>
        <w:t xml:space="preserve">(also non-covered) and avoidance</w:t>
      </w:r>
      <w:r>
        <w:t xml:space="preserve"> </w:t>
      </w:r>
      <w:r>
        <w:t xml:space="preserve">of bank runs.</w:t>
      </w:r>
      <w:r>
        <w:t xml:space="preserve"> </w:t>
      </w:r>
      <w:r>
        <w:t xml:space="preserve">No amount available ex ante. Alternative use of DGS for paying out covered</w:t>
      </w:r>
      <w:r>
        <w:t xml:space="preserve"> </w:t>
      </w:r>
      <w:r>
        <w:t xml:space="preserve">deposits under insolvency would limit the disruption caused by blocked deposit</w:t>
      </w:r>
      <w:r>
        <w:t xml:space="preserve"> </w:t>
      </w:r>
      <w:r>
        <w:t xml:space="preserve">accounts. It would be confidence enhancing and less prone to contagion/bank</w:t>
      </w:r>
      <w:r>
        <w:t xml:space="preserve"> </w:t>
      </w:r>
      <w:r>
        <w:t xml:space="preserve">run. Moreover, non-covered deposits (above EUR 100 000) in the EU (amounts</w:t>
      </w:r>
      <w:r>
        <w:t xml:space="preserve"> </w:t>
      </w:r>
      <w:r>
        <w:t xml:space="preserve">not reported to EBA) would also be more protected from bail-in under transfer</w:t>
      </w:r>
      <w:r>
        <w:t xml:space="preserve"> </w:t>
      </w:r>
      <w:r>
        <w:t xml:space="preserve">strategies as per the retained option, while they are not protected under a payout</w:t>
      </w:r>
      <w:r>
        <w:t xml:space="preserve"> </w:t>
      </w:r>
      <w:r>
        <w:t xml:space="preserve">scenario (only covered deposits are protected in that case). This prospect would</w:t>
      </w:r>
      <w:r>
        <w:t xml:space="preserve"> </w:t>
      </w:r>
      <w:r>
        <w:t xml:space="preserve">potentially deter depositors from running on the bank.</w:t>
      </w:r>
      <w:r>
        <w:br/>
      </w:r>
      <w:r>
        <w:t xml:space="preserve">In a payout event, where depositors must be reimbursed within seven days,</w:t>
      </w:r>
      <w:r>
        <w:t xml:space="preserve"> </w:t>
      </w:r>
      <w:r>
        <w:t xml:space="preserve">interrupted access to accounts, social benefits and credit facilities for even a short</w:t>
      </w:r>
      <w:r>
        <w:t xml:space="preserve"> </w:t>
      </w:r>
      <w:r>
        <w:t xml:space="preserve">period in prevalently cashless societies, using or operating with credit and debit</w:t>
      </w:r>
      <w:r>
        <w:t xml:space="preserve"> </w:t>
      </w:r>
      <w:r>
        <w:t xml:space="preserve">cards and electronic systems, could impact the overall economy. The failure of</w:t>
      </w:r>
      <w:r>
        <w:t xml:space="preserve"> </w:t>
      </w:r>
      <w:r>
        <w:t xml:space="preserve">smaller and medium-sized banks can also create substitutability issues because of</w:t>
      </w:r>
      <w:r>
        <w:t xml:space="preserve"> </w:t>
      </w:r>
      <w:r>
        <w:t xml:space="preserve">challenges for a high number of depositors and banks to simultaneously open</w:t>
      </w:r>
      <w:r>
        <w:t xml:space="preserve"> </w:t>
      </w:r>
      <w:r>
        <w:t xml:space="preserve">new accounts to receive their reimbursement.</w:t>
      </w:r>
      <w:r>
        <w:br/>
      </w:r>
      <w:r>
        <w:t xml:space="preserve">Covered and non-covered eligible depositors are</w:t>
      </w:r>
      <w:r>
        <w:t xml:space="preserve"> </w:t>
      </w:r>
      <w:r>
        <w:t xml:space="preserve">the main recipients of these benefits because</w:t>
      </w:r>
      <w:r>
        <w:t xml:space="preserve"> </w:t>
      </w:r>
      <w:r>
        <w:t xml:space="preserve">their deposits would be less likely to be bailed-</w:t>
      </w:r>
      <w:r>
        <w:t xml:space="preserve"> </w:t>
      </w:r>
      <w:r>
        <w:t xml:space="preserve">in. More generally, depositor confidence in the</w:t>
      </w:r>
      <w:r>
        <w:t xml:space="preserve"> </w:t>
      </w:r>
      <w:r>
        <w:t xml:space="preserve">banking sector would be strengthened by</w:t>
      </w:r>
      <w:r>
        <w:t xml:space="preserve"> </w:t>
      </w:r>
      <w:r>
        <w:t xml:space="preserve">limiting DGS payout events and facilitating the</w:t>
      </w:r>
      <w:r>
        <w:t xml:space="preserve"> </w:t>
      </w:r>
      <w:r>
        <w:t xml:space="preserve">use of DGS funds for measures preserving their</w:t>
      </w:r>
      <w:r>
        <w:t xml:space="preserve"> </w:t>
      </w:r>
      <w:r>
        <w:t xml:space="preserve">continued access to their accounts (e.g. </w:t>
      </w:r>
      <w:r>
        <w:t xml:space="preserve"> </w:t>
      </w:r>
      <w:r>
        <w:t xml:space="preserve">resolution or alternative measures in</w:t>
      </w:r>
      <w:r>
        <w:t xml:space="preserve"> </w:t>
      </w:r>
      <w:r>
        <w:t xml:space="preserve">insolvency).</w:t>
      </w:r>
    </w:p>
    <w:p>
      <w:pPr>
        <w:pStyle w:val="BodyText"/>
      </w:pPr>
      <w:r>
        <w:t xml:space="preserve">More efficient use of DGS funds</w:t>
      </w:r>
      <w:r>
        <w:t xml:space="preserve"> </w:t>
      </w:r>
      <w:r>
        <w:t xml:space="preserve">in managing banks in crises.</w:t>
      </w:r>
      <w:r>
        <w:t xml:space="preserve"> </w:t>
      </w:r>
      <w:r>
        <w:t xml:space="preserve">No amount available ex ante. The cost of a DGS intervention measure either in</w:t>
      </w:r>
      <w:r>
        <w:t xml:space="preserve"> </w:t>
      </w:r>
      <w:r>
        <w:t xml:space="preserve">resolution or under alternative measures in insolvency would be cheaper than the</w:t>
      </w:r>
      <w:r>
        <w:t xml:space="preserve"> </w:t>
      </w:r>
      <w:r>
        <w:t xml:space="preserve">cost of paying out covered depositors under a piecemeal liquidation. A payout of</w:t>
      </w:r>
      <w:r>
        <w:t xml:space="preserve"> </w:t>
      </w:r>
      <w:r>
        <w:t xml:space="preserve">covered depositors is usually cash consuming as the DGS would be required to</w:t>
      </w:r>
      <w:r>
        <w:t xml:space="preserve"> </w:t>
      </w:r>
      <w:r>
        <w:t xml:space="preserve">reimburse the amount of covered deposits to all eligible covered depositors</w:t>
      </w:r>
      <w:r>
        <w:t xml:space="preserve"> </w:t>
      </w:r>
      <w:r>
        <w:t xml:space="preserve">before recovering (part of) this amount during the insolvency proceedings.</w:t>
      </w:r>
      <w:r>
        <w:t xml:space="preserve"> </w:t>
      </w:r>
      <w:r>
        <w:t xml:space="preserve">Moreover, the least cost test ensures that the DGS contributions under resolution</w:t>
      </w:r>
      <w:r>
        <w:t xml:space="preserve"> </w:t>
      </w:r>
      <w:r>
        <w:t xml:space="preserve">or alternative measures in insolvency are always lower than those in a payout</w:t>
      </w:r>
      <w:r>
        <w:t xml:space="preserve"> </w:t>
      </w:r>
      <w:r>
        <w:t xml:space="preserve">event. Therefore, facilitating other measures than payout would better preserve</w:t>
      </w:r>
      <w:r>
        <w:t xml:space="preserve"> </w:t>
      </w:r>
      <w:r>
        <w:t xml:space="preserve">the financial means of the DGS, reducing the amounts of losses that may arise</w:t>
      </w:r>
      <w:r>
        <w:t xml:space="preserve"> </w:t>
      </w:r>
      <w:r>
        <w:t xml:space="preserve">through the DGS intervention.</w:t>
      </w:r>
      <w:r>
        <w:br/>
      </w:r>
      <w:r>
        <w:t xml:space="preserve">However, it is very challenging to provide an amount corresponding to the cost</w:t>
      </w:r>
      <w:r>
        <w:t xml:space="preserve"> </w:t>
      </w:r>
      <w:r>
        <w:t xml:space="preserve">reduction for the DGS as this would be bank-specific.</w:t>
      </w:r>
      <w:r>
        <w:br/>
      </w:r>
      <w:r>
        <w:t xml:space="preserve">Banks contributing to the DGS funds and DGS</w:t>
      </w:r>
      <w:r>
        <w:t xml:space="preserve"> </w:t>
      </w:r>
      <w:r>
        <w:t xml:space="preserve">authorities are the main recipients of this</w:t>
      </w:r>
      <w:r>
        <w:t xml:space="preserve"> </w:t>
      </w:r>
      <w:r>
        <w:t xml:space="preserve">benefit.</w:t>
      </w:r>
      <w:r>
        <w:br/>
      </w:r>
      <w:r>
        <w:t xml:space="preserve">By preserving DGS available financial means,</w:t>
      </w:r>
      <w:r>
        <w:t xml:space="preserve"> </w:t>
      </w:r>
      <w:r>
        <w:t xml:space="preserve">banks would be called on to contribute less to</w:t>
      </w:r>
      <w:r>
        <w:t xml:space="preserve"> </w:t>
      </w:r>
      <w:r>
        <w:t xml:space="preserve">replenish the spent funds. Additionally, DGS</w:t>
      </w:r>
      <w:r>
        <w:t xml:space="preserve"> </w:t>
      </w:r>
      <w:r>
        <w:t xml:space="preserve">authorities would benefit from a more efficient</w:t>
      </w:r>
      <w:r>
        <w:t xml:space="preserve"> </w:t>
      </w:r>
      <w:r>
        <w:t xml:space="preserve">usage of DGS available financial means.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More credible and proportionate</w:t>
      </w:r>
      <w:r>
        <w:t xml:space="preserve"> </w:t>
      </w:r>
      <w:r>
        <w:t xml:space="preserve">access to RF/SRF for smaller and</w:t>
      </w:r>
      <w:r>
        <w:t xml:space="preserve"> </w:t>
      </w:r>
      <w:r>
        <w:t xml:space="preserve">medium-sized banks.</w:t>
      </w:r>
      <w:r>
        <w:t xml:space="preserve"> </w:t>
      </w:r>
      <w:r>
        <w:t xml:space="preserve">No amount available ex ante. A more credible and proportionate access to</w:t>
      </w:r>
      <w:r>
        <w:t xml:space="preserve"> </w:t>
      </w:r>
      <w:r>
        <w:t xml:space="preserve">RF/SRF for smaller and medium-sized banks would lead to a wider application of</w:t>
      </w:r>
      <w:r>
        <w:t xml:space="preserve"> </w:t>
      </w:r>
      <w:r>
        <w:t xml:space="preserve">resolution tools (transfer of deposit book), preserving more value, in particular</w:t>
      </w:r>
      <w:r>
        <w:t xml:space="preserve"> </w:t>
      </w:r>
      <w:r>
        <w:t xml:space="preserve">when compared to a piecemeal liquidation or a procedure under non harmonised</w:t>
      </w:r>
      <w:r>
        <w:t xml:space="preserve"> </w:t>
      </w:r>
      <w:r>
        <w:t xml:space="preserve">national insolvency rules. The use of the industry-funded safety net would</w:t>
      </w:r>
      <w:r>
        <w:t xml:space="preserve"> </w:t>
      </w:r>
      <w:r>
        <w:t xml:space="preserve">replace in many cases the bail-in of non-covered depositors.</w:t>
      </w:r>
      <w:r>
        <w:br/>
      </w:r>
      <w:r>
        <w:t xml:space="preserve">However, estimating the amount of the RF/SRF that would be required is not</w:t>
      </w:r>
      <w:r>
        <w:t xml:space="preserve"> </w:t>
      </w:r>
      <w:r>
        <w:t xml:space="preserve">possible ex ante because it would depend on a case by case analysis and the</w:t>
      </w:r>
      <w:r>
        <w:t xml:space="preserve"> </w:t>
      </w:r>
      <w:r>
        <w:t xml:space="preserve">specific circumstances of each bank at the moment of failure (e.g. level of losses</w:t>
      </w:r>
      <w:r>
        <w:t xml:space="preserve"> </w:t>
      </w:r>
      <w:r>
        <w:t xml:space="preserve">at the point of failure, the financial fundamentals of the bank, the composition of</w:t>
      </w:r>
      <w:r>
        <w:t xml:space="preserve"> </w:t>
      </w:r>
      <w:r>
        <w:t xml:space="preserve">its liabilities, all of which feed into the results of the valuation exercise).</w:t>
      </w:r>
      <w:r>
        <w:t xml:space="preserve"> </w:t>
      </w:r>
      <w:r>
        <w:t xml:space="preserve">Non-covered depositors would be the main</w:t>
      </w:r>
      <w:r>
        <w:t xml:space="preserve"> </w:t>
      </w:r>
      <w:r>
        <w:t xml:space="preserve">recipients of this benefit. They would not see</w:t>
      </w:r>
      <w:r>
        <w:t xml:space="preserve"> </w:t>
      </w:r>
      <w:r>
        <w:t xml:space="preserve">their deposits wiped out in case their bank</w:t>
      </w:r>
      <w:r>
        <w:t xml:space="preserve"> </w:t>
      </w:r>
      <w:r>
        <w:t xml:space="preserve">would be failing and resolved under a transfer</w:t>
      </w:r>
      <w:r>
        <w:t xml:space="preserve"> </w:t>
      </w:r>
      <w:r>
        <w:t xml:space="preserve">strategy. Rather, the DGS and the RF/SRF</w:t>
      </w:r>
      <w:r>
        <w:t xml:space="preserve"> </w:t>
      </w:r>
      <w:r>
        <w:t xml:space="preserve">which are industry-funded safety nets would</w:t>
      </w:r>
      <w:r>
        <w:t xml:space="preserve"> </w:t>
      </w:r>
      <w:r>
        <w:t xml:space="preserve">step in to facilitate the resolution of that</w:t>
      </w:r>
      <w:r>
        <w:t xml:space="preserve"> </w:t>
      </w:r>
      <w:r>
        <w:t xml:space="preserve">respective bank.</w:t>
      </w:r>
      <w:r>
        <w:br/>
      </w:r>
      <w:r>
        <w:t xml:space="preserve">Franchise value of a failing bank</w:t>
      </w:r>
      <w:r>
        <w:t xml:space="preserve"> </w:t>
      </w:r>
      <w:r>
        <w:t xml:space="preserve">preserved when facilitating</w:t>
      </w:r>
      <w:r>
        <w:t xml:space="preserve"> </w:t>
      </w:r>
      <w:r>
        <w:t xml:space="preserve">transfer strategies.</w:t>
      </w:r>
      <w:r>
        <w:t xml:space="preserve"> </w:t>
      </w:r>
      <w:r>
        <w:t xml:space="preserve">No amount available ex ante. The transfer of the (whole or partial) business</w:t>
      </w:r>
      <w:r>
        <w:t xml:space="preserve"> </w:t>
      </w:r>
      <w:r>
        <w:t xml:space="preserve">would preserve the franchise value to a greater extent than under a piecemeal</w:t>
      </w:r>
      <w:r>
        <w:t xml:space="preserve"> </w:t>
      </w:r>
      <w:r>
        <w:t xml:space="preserve">liquidation approach. It would avoid the destruction of the business brand,</w:t>
      </w:r>
      <w:r>
        <w:t xml:space="preserve"> </w:t>
      </w:r>
      <w:r>
        <w:t xml:space="preserve">preserving the commercial relationships with the clients and consequently better</w:t>
      </w:r>
      <w:r>
        <w:t xml:space="preserve"> </w:t>
      </w:r>
      <w:r>
        <w:t xml:space="preserve">maintaining the profitability of, and the return on the assets. Transfer strategies</w:t>
      </w:r>
      <w:r>
        <w:t xml:space="preserve"> </w:t>
      </w:r>
      <w:r>
        <w:t xml:space="preserve">could be applied in resolution. Where resolution is discarded (negative PIA),</w:t>
      </w:r>
      <w:r>
        <w:t xml:space="preserve"> </w:t>
      </w:r>
      <w:r>
        <w:t xml:space="preserve">alternative measures in insolvency maintain an incentive to maximise the</w:t>
      </w:r>
      <w:r>
        <w:t xml:space="preserve"> </w:t>
      </w:r>
      <w:r>
        <w:t xml:space="preserve">franchise value, thereby minimising the cost for the DGS. However, an amount</w:t>
      </w:r>
      <w:r>
        <w:t xml:space="preserve"> </w:t>
      </w:r>
      <w:r>
        <w:t xml:space="preserve">reflecting the preservation of value cannot be estimated. Doing so would be fully</w:t>
      </w:r>
      <w:r>
        <w:t xml:space="preserve"> </w:t>
      </w:r>
      <w:r>
        <w:t xml:space="preserve">case-dependant and specific to the circumstances of each bank at the moment of</w:t>
      </w:r>
      <w:r>
        <w:t xml:space="preserve"> </w:t>
      </w:r>
      <w:r>
        <w:t xml:space="preserve">failure.</w:t>
      </w:r>
      <w:r>
        <w:t xml:space="preserve"> </w:t>
      </w:r>
      <w:r>
        <w:t xml:space="preserve">Stakeholders in a failing bank, the other banks</w:t>
      </w:r>
      <w:r>
        <w:t xml:space="preserve"> </w:t>
      </w:r>
      <w:r>
        <w:t xml:space="preserve">contributing to safety nets, as well as taxpayers</w:t>
      </w:r>
      <w:r>
        <w:t xml:space="preserve"> </w:t>
      </w:r>
      <w:r>
        <w:t xml:space="preserve">are the main recipients of this benefit.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Better aligned incentives to apply</w:t>
      </w:r>
      <w:r>
        <w:t xml:space="preserve"> </w:t>
      </w:r>
      <w:r>
        <w:t xml:space="preserve">resolution tools and benefit from</w:t>
      </w:r>
      <w:r>
        <w:t xml:space="preserve"> </w:t>
      </w:r>
      <w:r>
        <w:t xml:space="preserve">funding solutions to execute the</w:t>
      </w:r>
      <w:r>
        <w:t xml:space="preserve"> </w:t>
      </w:r>
      <w:r>
        <w:t xml:space="preserve">strategy.</w:t>
      </w:r>
      <w:r>
        <w:t xml:space="preserve"> </w:t>
      </w:r>
      <w:r>
        <w:t xml:space="preserve">No amount available. Improving the incentives to apply an improved and</w:t>
      </w:r>
      <w:r>
        <w:t xml:space="preserve"> </w:t>
      </w:r>
      <w:r>
        <w:t xml:space="preserve">more standardised framework would lead to less circumvention in application</w:t>
      </w:r>
      <w:r>
        <w:t xml:space="preserve"> </w:t>
      </w:r>
      <w:r>
        <w:t xml:space="preserve">and more level playing field at EU level.</w:t>
      </w:r>
      <w:r>
        <w:br/>
      </w:r>
      <w:r>
        <w:t xml:space="preserve">However, this cannot be quantified, as it would be the sum of the benefits</w:t>
      </w:r>
      <w:r>
        <w:t xml:space="preserve"> </w:t>
      </w:r>
      <w:r>
        <w:t xml:space="preserve">stemming from the protection of taxpayers and depositors, more efficient use</w:t>
      </w:r>
      <w:r>
        <w:t xml:space="preserve"> </w:t>
      </w:r>
      <w:r>
        <w:t xml:space="preserve">of DGS funds and more legal certainty in using tools for the banks, resolution</w:t>
      </w:r>
      <w:r>
        <w:t xml:space="preserve"> </w:t>
      </w:r>
      <w:r>
        <w:t xml:space="preserve">authorities and markets.</w:t>
      </w:r>
      <w:r>
        <w:br/>
      </w:r>
      <w:r>
        <w:t xml:space="preserve">Taxpayers, depositors, resolution authorities,</w:t>
      </w:r>
      <w:r>
        <w:t xml:space="preserve"> </w:t>
      </w:r>
      <w:r>
        <w:t xml:space="preserve">banks and markets would all be recipients of</w:t>
      </w:r>
      <w:r>
        <w:t xml:space="preserve"> </w:t>
      </w:r>
      <w:r>
        <w:t xml:space="preserve">this benefit.</w:t>
      </w:r>
      <w:r>
        <w:br/>
      </w:r>
      <w:r>
        <w:t xml:space="preserve">Preservation of Europe’s diversity in</w:t>
      </w:r>
      <w:r>
        <w:t xml:space="preserve"> </w:t>
      </w:r>
      <w:r>
        <w:t xml:space="preserve">banking business models.</w:t>
      </w:r>
      <w:r>
        <w:br/>
      </w:r>
      <w:r>
        <w:t xml:space="preserve">No amount available. Fixing the tools and the funding to deal with</w:t>
      </w:r>
      <w:r>
        <w:t xml:space="preserve"> </w:t>
      </w:r>
      <w:r>
        <w:t xml:space="preserve">smaller/medium-sized banks which are predominantly deposit taking would</w:t>
      </w:r>
      <w:r>
        <w:t xml:space="preserve"> </w:t>
      </w:r>
      <w:r>
        <w:t xml:space="preserve">preserve such traditional business models across the EU, on the condition</w:t>
      </w:r>
      <w:r>
        <w:t xml:space="preserve"> </w:t>
      </w:r>
      <w:r>
        <w:t xml:space="preserve">that they remain viable.</w:t>
      </w:r>
      <w:r>
        <w:br/>
      </w:r>
      <w:r>
        <w:t xml:space="preserve">The society at large is the recipient of this</w:t>
      </w:r>
      <w:r>
        <w:t xml:space="preserve"> </w:t>
      </w:r>
      <w:r>
        <w:t xml:space="preserve">benefit.</w:t>
      </w:r>
      <w:r>
        <w:br/>
      </w:r>
      <w:r>
        <w:t xml:space="preserve">Administrative cost savings related to the ‘one in, one out’ approach*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9"/>
        </w:numPr>
      </w:pPr>
      <w:r>
        <w:t xml:space="preserve">Estimates are gross values relative to the baseline for the preferred option as a whole (i.e. the impact of individual actions/obligations of the preferred option are aggregated</w:t>
      </w:r>
      <w:r>
        <w:t xml:space="preserve"> </w:t>
      </w:r>
      <w:r>
        <w:t xml:space="preserve">together); (2) Please indicate which stakeholder group is the main recipient of the benefit in the comment section;(3) For reductions in regulatory costs, please describe details as to how</w:t>
      </w:r>
      <w:r>
        <w:t xml:space="preserve"> </w:t>
      </w:r>
      <w:r>
        <w:t xml:space="preserve">the saving arises (e.g. reductions in adjustment costs, administrative costs, regulatory charges, enforcement costs, etc.); (4) Cost savings related to the ’one in, one out’ approach are</w:t>
      </w:r>
      <w:r>
        <w:t xml:space="preserve"> </w:t>
      </w:r>
      <w:r>
        <w:t xml:space="preserve">detailed in Tool #58 and #59 of the ‘better regulation’ toolbox. * if relevant.</w:t>
      </w:r>
    </w:p>
    <w:p>
      <w:pPr>
        <w:pStyle w:val="FirstParagraph"/>
      </w:pPr>
      <w:r>
        <w:t xml:space="preserve">121</w:t>
      </w:r>
      <w:r>
        <w:t xml:space="preserve"> </w:t>
      </w:r>
      <w:r>
        <w:t xml:space="preserve">Table 5: Overview of costs</w:t>
      </w:r>
      <w:r>
        <w:t xml:space="preserve"> </w:t>
      </w:r>
      <w:r>
        <w:t xml:space="preserve">II. Overview of costs – Retained options</w:t>
      </w:r>
    </w:p>
    <w:p>
      <w:pPr>
        <w:pStyle w:val="BodyText"/>
      </w:pPr>
      <w:r>
        <w:t xml:space="preserve">Citizens/Consumers /Businesses</w:t>
      </w:r>
      <w:r>
        <w:t xml:space="preserve"> </w:t>
      </w:r>
      <w:r>
        <w:t xml:space="preserve">Banks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Expanding the</w:t>
      </w:r>
      <w:r>
        <w:t xml:space="preserve"> </w:t>
      </w:r>
      <w:r>
        <w:t xml:space="preserve">scope of</w:t>
      </w:r>
      <w:r>
        <w:t xml:space="preserve"> </w:t>
      </w:r>
      <w:r>
        <w:t xml:space="preserve">resolution</w:t>
      </w:r>
      <w:r>
        <w:t xml:space="preserve"> </w:t>
      </w:r>
      <w:r>
        <w:t xml:space="preserve">through clarified</w:t>
      </w:r>
      <w:r>
        <w:t xml:space="preserve"> </w:t>
      </w:r>
      <w:r>
        <w:t xml:space="preserve">PIA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More banks coming</w:t>
      </w:r>
      <w:r>
        <w:t xml:space="preserve"> </w:t>
      </w:r>
      <w:r>
        <w:t xml:space="preserve">into the scope of</w:t>
      </w:r>
      <w:r>
        <w:t xml:space="preserve"> </w:t>
      </w:r>
      <w:r>
        <w:t xml:space="preserve">resolution would</w:t>
      </w:r>
      <w:r>
        <w:t xml:space="preserve"> </w:t>
      </w:r>
      <w:r>
        <w:t xml:space="preserve">require investing in</w:t>
      </w:r>
      <w:r>
        <w:t xml:space="preserve"> </w:t>
      </w:r>
      <w:r>
        <w:t xml:space="preserve">projects enhancing</w:t>
      </w:r>
      <w:r>
        <w:t xml:space="preserve"> </w:t>
      </w:r>
      <w:r>
        <w:t xml:space="preserve">their resolvability (e.g. </w:t>
      </w:r>
      <w:r>
        <w:t xml:space="preserve"> </w:t>
      </w:r>
      <w:r>
        <w:t xml:space="preserve">IT systems, timely</w:t>
      </w:r>
      <w:r>
        <w:t xml:space="preserve"> </w:t>
      </w:r>
      <w:r>
        <w:t xml:space="preserve">data reporting, legal</w:t>
      </w:r>
      <w:r>
        <w:t xml:space="preserve"> </w:t>
      </w:r>
      <w:r>
        <w:t xml:space="preserve">structure, review</w:t>
      </w:r>
      <w:r>
        <w:t xml:space="preserve"> </w:t>
      </w:r>
      <w:r>
        <w:t xml:space="preserve">contracts in view 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resolution stays,</w:t>
      </w:r>
      <w:r>
        <w:t xml:space="preserve"> </w:t>
      </w:r>
      <w:r>
        <w:t xml:space="preserve">valuation capabilities,</w:t>
      </w:r>
      <w:r>
        <w:t xml:space="preserve"> </w:t>
      </w:r>
      <w:r>
        <w:t xml:space="preserve">liquidity monitoring,</w:t>
      </w:r>
      <w:r>
        <w:t xml:space="preserve"> </w:t>
      </w:r>
      <w:r>
        <w:t xml:space="preserve">etc.). As resolution</w:t>
      </w:r>
      <w:r>
        <w:t xml:space="preserve"> </w:t>
      </w:r>
      <w:r>
        <w:t xml:space="preserve">authorities continue to</w:t>
      </w:r>
      <w:r>
        <w:t xml:space="preserve"> </w:t>
      </w:r>
      <w:r>
        <w:t xml:space="preserve">retain discretion in</w:t>
      </w:r>
      <w:r>
        <w:t xml:space="preserve"> </w:t>
      </w:r>
      <w:r>
        <w:t xml:space="preserve">their decision to place</w:t>
      </w:r>
      <w:r>
        <w:t xml:space="preserve"> </w:t>
      </w:r>
      <w:r>
        <w:t xml:space="preserve">banks in resolution vs</w:t>
      </w:r>
      <w:r>
        <w:t xml:space="preserve"> </w:t>
      </w:r>
      <w:r>
        <w:t xml:space="preserve">insolvency, the</w:t>
      </w:r>
      <w:r>
        <w:t xml:space="preserve"> </w:t>
      </w:r>
      <w:r>
        <w:t xml:space="preserve">number of banks that</w:t>
      </w:r>
      <w:r>
        <w:t xml:space="preserve"> </w:t>
      </w:r>
      <w:r>
        <w:t xml:space="preserve">Raise MREL eligible</w:t>
      </w:r>
      <w:r>
        <w:t xml:space="preserve"> </w:t>
      </w:r>
      <w:r>
        <w:t xml:space="preserve">instruments in case</w:t>
      </w:r>
      <w:r>
        <w:t xml:space="preserve"> </w:t>
      </w:r>
      <w:r>
        <w:t xml:space="preserve">of shortfalls against</w:t>
      </w:r>
      <w:r>
        <w:t xml:space="preserve"> </w:t>
      </w:r>
      <w:r>
        <w:t xml:space="preserve">the set targets. This</w:t>
      </w:r>
      <w:r>
        <w:t xml:space="preserve"> </w:t>
      </w:r>
      <w:r>
        <w:t xml:space="preserve">cost cannot be</w:t>
      </w:r>
      <w:r>
        <w:t xml:space="preserve"> </w:t>
      </w:r>
      <w:r>
        <w:t xml:space="preserve">estimated upfront</w:t>
      </w:r>
      <w:r>
        <w:t xml:space="preserve"> </w:t>
      </w:r>
      <w:r>
        <w:t xml:space="preserve">because it depends</w:t>
      </w:r>
      <w:r>
        <w:t xml:space="preserve"> </w:t>
      </w:r>
      <w:r>
        <w:t xml:space="preserve">on the features of the</w:t>
      </w:r>
      <w:r>
        <w:t xml:space="preserve"> </w:t>
      </w:r>
      <w:r>
        <w:t xml:space="preserve">bank180, its potential</w:t>
      </w:r>
      <w:r>
        <w:t xml:space="preserve"> </w:t>
      </w:r>
      <w:r>
        <w:t xml:space="preserve">bank-specific MREL</w:t>
      </w:r>
      <w:r>
        <w:t xml:space="preserve"> </w:t>
      </w:r>
      <w:r>
        <w:t xml:space="preserve">target, the</w:t>
      </w:r>
      <w:r>
        <w:t xml:space="preserve"> </w:t>
      </w:r>
      <w:r>
        <w:t xml:space="preserve">outstanding stock of</w:t>
      </w:r>
      <w:r>
        <w:t xml:space="preserve"> </w:t>
      </w:r>
      <w:r>
        <w:t xml:space="preserve">eligible instruments</w:t>
      </w:r>
      <w:r>
        <w:t xml:space="preserve"> </w:t>
      </w:r>
      <w:r>
        <w:t xml:space="preserve">already held and</w:t>
      </w:r>
      <w:r>
        <w:t xml:space="preserve"> </w:t>
      </w:r>
      <w:r>
        <w:t xml:space="preserve">market conditions.</w:t>
      </w:r>
    </w:p>
    <w:p>
      <w:pPr>
        <w:pStyle w:val="BodyText"/>
      </w:pPr>
      <w:r>
        <w:t xml:space="preserve">Applying resolution</w:t>
      </w:r>
      <w:r>
        <w:t xml:space="preserve"> </w:t>
      </w:r>
      <w:r>
        <w:t xml:space="preserve">tools presumably</w:t>
      </w:r>
      <w:r>
        <w:t xml:space="preserve"> </w:t>
      </w:r>
      <w:r>
        <w:t xml:space="preserve">more often, due to</w:t>
      </w:r>
      <w:r>
        <w:t xml:space="preserve"> </w:t>
      </w:r>
      <w:r>
        <w:t xml:space="preserve">the expansion of the</w:t>
      </w:r>
      <w:r>
        <w:t xml:space="preserve"> </w:t>
      </w:r>
      <w:r>
        <w:t xml:space="preserve">resolution scope,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occurrence of failure</w:t>
      </w:r>
      <w:r>
        <w:t xml:space="preserve"> </w:t>
      </w:r>
      <w:r>
        <w:t xml:space="preserve">events.</w:t>
      </w:r>
      <w:r>
        <w:t xml:space="preserve"> </w:t>
      </w:r>
      <w:r>
        <w:t xml:space="preserve">This cost cannot be</w:t>
      </w:r>
      <w:r>
        <w:t xml:space="preserve"> </w:t>
      </w:r>
      <w:r>
        <w:t xml:space="preserve">estimated upfront, as</w:t>
      </w:r>
      <w:r>
        <w:t xml:space="preserve"> </w:t>
      </w:r>
      <w:r>
        <w:t xml:space="preserve">resolution authorities</w:t>
      </w:r>
      <w:r>
        <w:t xml:space="preserve"> </w:t>
      </w:r>
      <w:r>
        <w:t xml:space="preserve">continue to retain</w:t>
      </w:r>
      <w:r>
        <w:t xml:space="preserve"> </w:t>
      </w:r>
      <w:r>
        <w:t xml:space="preserve">discretion in their</w:t>
      </w:r>
      <w:r>
        <w:t xml:space="preserve"> </w:t>
      </w:r>
      <w:r>
        <w:t xml:space="preserve">decision to apply</w:t>
      </w:r>
      <w:r>
        <w:t xml:space="preserve"> </w:t>
      </w:r>
      <w:r>
        <w:t xml:space="preserve">resolution vs</w:t>
      </w:r>
      <w:r>
        <w:t xml:space="preserve"> </w:t>
      </w:r>
      <w:r>
        <w:t xml:space="preserve">insolvency.</w:t>
      </w:r>
      <w:r>
        <w:t xml:space="preserve"> </w:t>
      </w:r>
      <w:r>
        <w:t xml:space="preserve">Preparing more</w:t>
      </w:r>
      <w:r>
        <w:t xml:space="preserve"> </w:t>
      </w:r>
      <w:r>
        <w:t xml:space="preserve">resolution plans,</w:t>
      </w:r>
      <w:r>
        <w:t xml:space="preserve"> </w:t>
      </w:r>
      <w:r>
        <w:t xml:space="preserve">conducting more</w:t>
      </w:r>
      <w:r>
        <w:t xml:space="preserve"> </w:t>
      </w:r>
      <w:r>
        <w:t xml:space="preserve">resolvability</w:t>
      </w:r>
      <w:r>
        <w:t xml:space="preserve"> </w:t>
      </w:r>
      <w:r>
        <w:t xml:space="preserve">assessments and</w:t>
      </w:r>
      <w:r>
        <w:t xml:space="preserve"> </w:t>
      </w:r>
      <w:r>
        <w:t xml:space="preserve">setting MREL</w:t>
      </w:r>
      <w:r>
        <w:t xml:space="preserve"> </w:t>
      </w:r>
      <w:r>
        <w:t xml:space="preserve">requirements for more</w:t>
      </w:r>
      <w:r>
        <w:t xml:space="preserve"> </w:t>
      </w:r>
      <w:r>
        <w:t xml:space="preserve">banks as part of</w:t>
      </w:r>
      <w:r>
        <w:t xml:space="preserve"> </w:t>
      </w:r>
      <w:r>
        <w:t xml:space="preserve">yearly resolution</w:t>
      </w:r>
      <w:r>
        <w:t xml:space="preserve"> </w:t>
      </w:r>
      <w:r>
        <w:t xml:space="preserve">planning cycles. The</w:t>
      </w:r>
      <w:r>
        <w:t xml:space="preserve"> </w:t>
      </w:r>
      <w:r>
        <w:t xml:space="preserve">number of banks</w:t>
      </w:r>
      <w:r>
        <w:t xml:space="preserve"> </w:t>
      </w:r>
      <w:r>
        <w:t xml:space="preserve">which would enter the</w:t>
      </w:r>
      <w:r>
        <w:t xml:space="preserve"> </w:t>
      </w:r>
      <w:r>
        <w:t xml:space="preserve">resolution scope and</w:t>
      </w:r>
      <w:r>
        <w:t xml:space="preserve"> </w:t>
      </w:r>
      <w:r>
        <w:t xml:space="preserve">therefore this cost</w:t>
      </w:r>
      <w:r>
        <w:t xml:space="preserve"> </w:t>
      </w:r>
      <w:r>
        <w:t xml:space="preserve">cannot be estimated</w:t>
      </w:r>
      <w:r>
        <w:t xml:space="preserve"> </w:t>
      </w:r>
      <w:r>
        <w:t xml:space="preserve">upfront, as resolution</w:t>
      </w:r>
      <w:r>
        <w:t xml:space="preserve"> </w:t>
      </w:r>
      <w:r>
        <w:t xml:space="preserve">authorities continue to</w:t>
      </w:r>
      <w:r>
        <w:t xml:space="preserve"> </w:t>
      </w:r>
      <w:r>
        <w:t xml:space="preserve">retain discretion in</w:t>
      </w:r>
      <w:r>
        <w:t xml:space="preserve"> </w:t>
      </w:r>
      <w:r>
        <w:t xml:space="preserve">their decision to apply</w:t>
      </w:r>
      <w:r>
        <w:t xml:space="preserve"> </w:t>
      </w:r>
      <w:r>
        <w:t xml:space="preserve">resolution vs</w:t>
      </w:r>
      <w:r>
        <w:t xml:space="preserve"> </w:t>
      </w:r>
      <w:r>
        <w:t xml:space="preserve">insolvency.</w:t>
      </w:r>
    </w:p>
    <w:p>
      <w:pPr>
        <w:pStyle w:val="BodyText"/>
      </w:pPr>
      <w:r>
        <w:t xml:space="preserve">180 E.g. rating, creditworthiness, financial fundamentals (such as quality of assets, capitalisation, etc.).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II. Overview of costs – Retained options</w:t>
      </w:r>
    </w:p>
    <w:p>
      <w:pPr>
        <w:pStyle w:val="BodyText"/>
      </w:pPr>
      <w:r>
        <w:t xml:space="preserve">Citizens/Consumers /Businesses</w:t>
      </w:r>
      <w:r>
        <w:t xml:space="preserve"> </w:t>
      </w:r>
      <w:r>
        <w:t xml:space="preserve">Banks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would enter the scope</w:t>
      </w:r>
      <w:r>
        <w:t xml:space="preserve"> </w:t>
      </w:r>
      <w:r>
        <w:t xml:space="preserve">of resolution cannot</w:t>
      </w:r>
      <w:r>
        <w:t xml:space="preserve"> </w:t>
      </w:r>
      <w:r>
        <w:t xml:space="preserve">be estimated.</w:t>
      </w:r>
      <w:r>
        <w:t xml:space="preserve"> </w:t>
      </w:r>
      <w:r>
        <w:t xml:space="preserve">Moreover, the</w:t>
      </w:r>
      <w:r>
        <w:t xml:space="preserve"> </w:t>
      </w:r>
      <w:r>
        <w:t xml:space="preserve">additional costs that</w:t>
      </w:r>
      <w:r>
        <w:t xml:space="preserve"> </w:t>
      </w:r>
      <w:r>
        <w:t xml:space="preserve">each bank may incur</w:t>
      </w:r>
      <w:r>
        <w:t xml:space="preserve"> </w:t>
      </w:r>
      <w:r>
        <w:t xml:space="preserve">to become more</w:t>
      </w:r>
      <w:r>
        <w:t xml:space="preserve"> </w:t>
      </w:r>
      <w:r>
        <w:t xml:space="preserve">resolvable depends on</w:t>
      </w:r>
      <w:r>
        <w:t xml:space="preserve"> </w:t>
      </w:r>
      <w:r>
        <w:t xml:space="preserve">the specific situation</w:t>
      </w:r>
      <w:r>
        <w:t xml:space="preserve"> </w:t>
      </w:r>
      <w:r>
        <w:t xml:space="preserve">of each bank (efficacy</w:t>
      </w:r>
      <w:r>
        <w:t xml:space="preserve"> </w:t>
      </w:r>
      <w:r>
        <w:t xml:space="preserve">of management</w:t>
      </w:r>
      <w:r>
        <w:t xml:space="preserve"> </w:t>
      </w:r>
      <w:r>
        <w:t xml:space="preserve">information systems,</w:t>
      </w:r>
      <w:r>
        <w:t xml:space="preserve"> </w:t>
      </w:r>
      <w:r>
        <w:t xml:space="preserve">valuation capabilities,</w:t>
      </w:r>
      <w:r>
        <w:t xml:space="preserve"> </w:t>
      </w:r>
      <w:r>
        <w:t xml:space="preserve">etc.)</w:t>
      </w:r>
    </w:p>
    <w:p>
      <w:pPr>
        <w:pStyle w:val="BodyText"/>
      </w:pPr>
      <w:r>
        <w:t xml:space="preserve">Direct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 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Additional costs</w:t>
      </w:r>
      <w:r>
        <w:t xml:space="preserve"> </w:t>
      </w:r>
      <w:r>
        <w:t xml:space="preserve">for banks may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clients. However,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II. Overview of costs – Retained options</w:t>
      </w:r>
    </w:p>
    <w:p>
      <w:pPr>
        <w:pStyle w:val="BodyText"/>
      </w:pPr>
      <w:r>
        <w:t xml:space="preserve">Citizens/Consumers /Businesses</w:t>
      </w:r>
      <w:r>
        <w:t xml:space="preserve"> </w:t>
      </w:r>
      <w:r>
        <w:t xml:space="preserve">Banks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such costs should</w:t>
      </w:r>
      <w:r>
        <w:t xml:space="preserve"> </w:t>
      </w:r>
      <w:r>
        <w:t xml:space="preserve">be limited.</w:t>
      </w:r>
      <w:r>
        <w:br/>
      </w:r>
      <w:r>
        <w:t xml:space="preserve">Facilitating the</w:t>
      </w:r>
      <w:r>
        <w:t xml:space="preserve"> </w:t>
      </w:r>
      <w:r>
        <w:t xml:space="preserve">use of funds in</w:t>
      </w:r>
      <w:r>
        <w:t xml:space="preserve"> </w:t>
      </w:r>
      <w:r>
        <w:t xml:space="preserve">resolution and</w:t>
      </w:r>
      <w:r>
        <w:t xml:space="preserve"> </w:t>
      </w:r>
      <w:r>
        <w:t xml:space="preserve">alternative</w:t>
      </w:r>
      <w:r>
        <w:t xml:space="preserve"> </w:t>
      </w:r>
      <w:r>
        <w:t xml:space="preserve">insolvency</w:t>
      </w:r>
      <w:r>
        <w:t xml:space="preserve"> </w:t>
      </w:r>
      <w:r>
        <w:t xml:space="preserve">measures</w:t>
      </w:r>
      <w:r>
        <w:br/>
      </w:r>
      <w:r>
        <w:t xml:space="preserve">Direct adjustment costs</w:t>
      </w:r>
    </w:p>
    <w:p>
      <w:pPr>
        <w:pStyle w:val="BodyText"/>
      </w:pPr>
      <w:r>
        <w:t xml:space="preserve">Facilitating the use of</w:t>
      </w:r>
      <w:r>
        <w:t xml:space="preserve"> </w:t>
      </w:r>
      <w:r>
        <w:t xml:space="preserve">DGS funds may</w:t>
      </w:r>
      <w:r>
        <w:t xml:space="preserve"> </w:t>
      </w:r>
      <w:r>
        <w:t xml:space="preserve">increase the costs for</w:t>
      </w:r>
      <w:r>
        <w:t xml:space="preserve"> </w:t>
      </w:r>
      <w:r>
        <w:t xml:space="preserve">the banking sector</w:t>
      </w:r>
      <w:r>
        <w:t xml:space="preserve"> </w:t>
      </w:r>
      <w:r>
        <w:t xml:space="preserve">due to additional</w:t>
      </w:r>
      <w:r>
        <w:t xml:space="preserve"> </w:t>
      </w:r>
      <w:r>
        <w:t xml:space="preserve">contributions to</w:t>
      </w:r>
      <w:r>
        <w:t xml:space="preserve"> </w:t>
      </w:r>
      <w:r>
        <w:t xml:space="preserve">replenish the DGS</w:t>
      </w:r>
      <w:r>
        <w:t xml:space="preserve"> </w:t>
      </w:r>
      <w:r>
        <w:t xml:space="preserve">upon depletion. No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available, as an</w:t>
      </w:r>
      <w:r>
        <w:t xml:space="preserve"> </w:t>
      </w:r>
      <w:r>
        <w:t xml:space="preserve">estimate would</w:t>
      </w:r>
      <w:r>
        <w:t xml:space="preserve"> </w:t>
      </w:r>
      <w:r>
        <w:t xml:space="preserve">strongly depend on</w:t>
      </w:r>
      <w:r>
        <w:t xml:space="preserve"> </w:t>
      </w:r>
      <w:r>
        <w:t xml:space="preserve">the amount of funds</w:t>
      </w:r>
      <w:r>
        <w:t xml:space="preserve"> </w:t>
      </w:r>
      <w:r>
        <w:t xml:space="preserve">the DGS would use</w:t>
      </w:r>
      <w:r>
        <w:t xml:space="preserve"> </w:t>
      </w:r>
      <w:r>
        <w:t xml:space="preserve">which reflects the</w:t>
      </w:r>
      <w:r>
        <w:t xml:space="preserve"> </w:t>
      </w:r>
      <w:r>
        <w:t xml:space="preserve">losses in case of a</w:t>
      </w:r>
      <w:r>
        <w:t xml:space="preserve"> </w:t>
      </w:r>
      <w:r>
        <w:t xml:space="preserve">failure. However,</w:t>
      </w:r>
      <w:r>
        <w:t xml:space="preserve"> </w:t>
      </w:r>
      <w:r>
        <w:t xml:space="preserve">this cost would be</w:t>
      </w:r>
      <w:r>
        <w:t xml:space="preserve"> </w:t>
      </w:r>
      <w:r>
        <w:t xml:space="preserve">compensated through</w:t>
      </w:r>
      <w:r>
        <w:t xml:space="preserve"> </w:t>
      </w:r>
      <w:r>
        <w:t xml:space="preserve">more efficient use of</w:t>
      </w:r>
      <w:r>
        <w:t xml:space="preserve"> </w:t>
      </w:r>
      <w:r>
        <w:t xml:space="preserve">DGS in resolution</w:t>
      </w:r>
      <w:r>
        <w:t xml:space="preserve"> </w:t>
      </w:r>
      <w:r>
        <w:t xml:space="preserve">compared to payout</w:t>
      </w:r>
      <w:r>
        <w:t xml:space="preserve"> </w:t>
      </w:r>
      <w:r>
        <w:t xml:space="preserve">in insolvency.</w:t>
      </w:r>
    </w:p>
    <w:p>
      <w:pPr>
        <w:pStyle w:val="BodyText"/>
      </w:pPr>
      <w:r>
        <w:t xml:space="preserve">More complex</w:t>
      </w:r>
      <w:r>
        <w:t xml:space="preserve"> </w:t>
      </w:r>
      <w:r>
        <w:t xml:space="preserve">processes and</w:t>
      </w:r>
      <w:r>
        <w:t xml:space="preserve"> </w:t>
      </w:r>
      <w:r>
        <w:t xml:space="preserve">additional tasks for</w:t>
      </w:r>
      <w:r>
        <w:t xml:space="preserve"> </w:t>
      </w:r>
      <w:r>
        <w:t xml:space="preserve">resolution authorities</w:t>
      </w:r>
      <w:r>
        <w:t xml:space="preserve"> </w:t>
      </w:r>
      <w:r>
        <w:t xml:space="preserve">when DGS can</w:t>
      </w:r>
      <w:r>
        <w:t xml:space="preserve"> </w:t>
      </w:r>
      <w:r>
        <w:t xml:space="preserve">contribute towards</w:t>
      </w:r>
      <w:r>
        <w:t xml:space="preserve"> </w:t>
      </w:r>
      <w:r>
        <w:t xml:space="preserve">the minimum 8%</w:t>
      </w:r>
      <w:r>
        <w:t xml:space="preserve"> </w:t>
      </w:r>
      <w:r>
        <w:t xml:space="preserve">TLOF bail-in</w:t>
      </w:r>
      <w:r>
        <w:t xml:space="preserve"> </w:t>
      </w:r>
      <w:r>
        <w:t xml:space="preserve">condition to access</w:t>
      </w:r>
      <w:r>
        <w:t xml:space="preserve"> </w:t>
      </w:r>
      <w:r>
        <w:t xml:space="preserve">the RF/SRF.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II. Overview of costs – Retained options</w:t>
      </w:r>
    </w:p>
    <w:p>
      <w:pPr>
        <w:pStyle w:val="BodyText"/>
      </w:pPr>
      <w:r>
        <w:t xml:space="preserve">Citizens/Consumers /Businesses</w:t>
      </w:r>
      <w:r>
        <w:t xml:space="preserve"> </w:t>
      </w:r>
      <w:r>
        <w:t xml:space="preserve">Banks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 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by</w:t>
      </w:r>
      <w:r>
        <w:t xml:space="preserve"> </w:t>
      </w:r>
      <w:r>
        <w:t xml:space="preserve">small/medium-sized</w:t>
      </w:r>
      <w:r>
        <w:t xml:space="preserve"> </w:t>
      </w:r>
      <w:r>
        <w:t xml:space="preserve">banks which have</w:t>
      </w:r>
      <w:r>
        <w:t xml:space="preserve"> </w:t>
      </w:r>
      <w:r>
        <w:t xml:space="preserve">already raised MREL</w:t>
      </w:r>
      <w:r>
        <w:t xml:space="preserve"> </w:t>
      </w:r>
      <w:r>
        <w:t xml:space="preserve">instruments and can</w:t>
      </w:r>
      <w:r>
        <w:t xml:space="preserve"> </w:t>
      </w:r>
      <w:r>
        <w:t xml:space="preserve">access RF/SRF</w:t>
      </w:r>
      <w:r>
        <w:t xml:space="preserve"> </w:t>
      </w:r>
      <w:r>
        <w:t xml:space="preserve">without DGS</w:t>
      </w:r>
      <w:r>
        <w:t xml:space="preserve"> </w:t>
      </w:r>
      <w:r>
        <w:t xml:space="preserve">contribution.</w:t>
      </w:r>
    </w:p>
    <w:p>
      <w:pPr>
        <w:pStyle w:val="BodyText"/>
      </w:pPr>
      <w:r>
        <w:t xml:space="preserve">Costs related to the ‘one in, one out’ approach</w:t>
      </w:r>
    </w:p>
    <w:p>
      <w:pPr>
        <w:pStyle w:val="BodyText"/>
      </w:pPr>
      <w:r>
        <w:t xml:space="preserve">Direct adjustment costs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(for 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0"/>
        </w:numPr>
      </w:pPr>
      <w:r>
        <w:t xml:space="preserve">Estimates (gross values) to be provided with respect to the baseline; (2) costs are provided for each identifiable action/obligation of the preferred option otherwise for all retained</w:t>
      </w:r>
      <w:r>
        <w:t xml:space="preserve"> </w:t>
      </w:r>
      <w:r>
        <w:t xml:space="preserve">options when no preferred option is specified; (3) If relevant and available, please present information on costs according to the standard typology of costs (adjustment costs,</w:t>
      </w:r>
    </w:p>
    <w:p>
      <w:pPr>
        <w:pStyle w:val="FirstParagraph"/>
      </w:pPr>
      <w:r>
        <w:t xml:space="preserve">125</w:t>
      </w:r>
      <w:r>
        <w:t xml:space="preserve"> </w:t>
      </w:r>
      <w:r>
        <w:t xml:space="preserve">administrative costs, regulatory charges, enforcement costs, indirect costs;); (4) Administrative costs for offsetting as explained in Tool #58 and #59 of the ‘better regulation’ toolbox.</w:t>
      </w:r>
      <w:r>
        <w:t xml:space="preserve"> </w:t>
      </w:r>
      <w:r>
        <w:t xml:space="preserve">The total adjustment costs should equal the sum of the adjustment costs presented in the upper part of the table (whenever they are quantifiable and/or can be monetised). Measures</w:t>
      </w:r>
      <w:r>
        <w:t xml:space="preserve"> </w:t>
      </w:r>
      <w:r>
        <w:t xml:space="preserve">taken with a view to compensate adjustment costs to the greatest extent possible are presented in the section of the impact assessment report presenting the preferred option.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(SDGS)</w:t>
      </w:r>
      <w:r>
        <w:t xml:space="preserve"> </w:t>
      </w:r>
      <w:r>
        <w:t xml:space="preserve">III. Overview of relevant Sustainable Development Goals – Retained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8 – decent work and</w:t>
      </w:r>
      <w:r>
        <w:t xml:space="preserve"> </w:t>
      </w:r>
      <w:r>
        <w:t xml:space="preserve">economic growth, nr. 13 – climate</w:t>
      </w:r>
      <w:r>
        <w:t xml:space="preserve"> </w:t>
      </w:r>
      <w:r>
        <w:t xml:space="preserve">action, no. 9 – industry, innovation</w:t>
      </w:r>
      <w:r>
        <w:t xml:space="preserve"> </w:t>
      </w:r>
      <w:r>
        <w:t xml:space="preserve">and infrastructure181</w:t>
      </w:r>
      <w:r>
        <w:t xml:space="preserve"> </w:t>
      </w:r>
      <w:r>
        <w:t xml:space="preserve">Increased financial stability, a more integrated single market and level playing field will</w:t>
      </w:r>
      <w:r>
        <w:t xml:space="preserve"> </w:t>
      </w:r>
      <w:r>
        <w:t xml:space="preserve">lead to increased resilience for the EU banking sector, which in turn, is more likely to</w:t>
      </w:r>
      <w:r>
        <w:t xml:space="preserve"> </w:t>
      </w:r>
      <w:r>
        <w:t xml:space="preserve">finance the economy creating growth and contribute to the sectors’ green and digital</w:t>
      </w:r>
      <w:r>
        <w:t xml:space="preserve"> </w:t>
      </w:r>
      <w:r>
        <w:t xml:space="preserve">transition (‘twin transition’). These contributions to economic growth and the twin</w:t>
      </w:r>
      <w:r>
        <w:t xml:space="preserve"> </w:t>
      </w:r>
      <w:r>
        <w:t xml:space="preserve">transition cannot be quantified in relation to this initiative.</w:t>
      </w:r>
    </w:p>
    <w:p>
      <w:pPr>
        <w:pStyle w:val="BodyText"/>
      </w:pPr>
      <w:r>
        <w:t xml:space="preserve">181 United Nations’ Sustainable Development Goals (2015).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ANNEX 4: ‘ZOOM-IN’ ON CORE ELEMENTS OF THE CRISIS</w:t>
      </w:r>
      <w:r>
        <w:t xml:space="preserve"> </w:t>
      </w:r>
      <w:r>
        <w:t xml:space="preserve">MANAGEMENT AND DEPOSIT INSURANCE FRAMEWORK</w:t>
      </w:r>
    </w:p>
    <w:p>
      <w:pPr>
        <w:pStyle w:val="BodyText"/>
      </w:pPr>
      <w:r>
        <w:t xml:space="preserve">This Annex explains the core elements of the CMDI framework for a deeper</w:t>
      </w:r>
      <w:r>
        <w:t xml:space="preserve"> </w:t>
      </w:r>
      <w:r>
        <w:t xml:space="preserve">understanding of the topic.</w:t>
      </w:r>
      <w:r>
        <w:br/>
      </w:r>
      <w:r>
        <w:t xml:space="preserve">Since 2014, the Bank Recovery and Resolution Directive (BRRD) lays down a</w:t>
      </w:r>
      <w:r>
        <w:t xml:space="preserve"> </w:t>
      </w:r>
      <w:r>
        <w:t xml:space="preserve">comprehensive and harmonised regime for the recovery and resolution of failing banks</w:t>
      </w:r>
      <w:r>
        <w:t xml:space="preserve"> </w:t>
      </w:r>
      <w:r>
        <w:t xml:space="preserve">across the EU. The Single Resolution Mechanism Regulation (SRMR) complements that</w:t>
      </w:r>
      <w:r>
        <w:t xml:space="preserve"> </w:t>
      </w:r>
      <w:r>
        <w:t xml:space="preserve">harmonised framework for the Banking Union. The Deposit Guarantee Scheme Directive</w:t>
      </w:r>
      <w:r>
        <w:t xml:space="preserve"> </w:t>
      </w:r>
      <w:r>
        <w:t xml:space="preserve">(DGSD) lays down a set of harmonised rules for depositor protection. Besides</w:t>
      </w:r>
      <w:r>
        <w:t xml:space="preserve"> </w:t>
      </w:r>
      <w:r>
        <w:t xml:space="preserve">reimbursing depositors in case of a failure of the institution up to EUR 100 000, deposit</w:t>
      </w:r>
      <w:r>
        <w:t xml:space="preserve"> </w:t>
      </w:r>
      <w:r>
        <w:t xml:space="preserve">guarantee schemes (DGS) funds can be used to prevent the failure or to finance measures</w:t>
      </w:r>
      <w:r>
        <w:t xml:space="preserve"> </w:t>
      </w:r>
      <w:r>
        <w:t xml:space="preserve">in insolvency (subject to the national transposition of this option) or in the resolution of</w:t>
      </w:r>
      <w:r>
        <w:t xml:space="preserve"> </w:t>
      </w:r>
      <w:r>
        <w:t xml:space="preserve">credit institutions under certain conditions. On the contrary, insolvency is not harmonised</w:t>
      </w:r>
      <w:r>
        <w:t xml:space="preserve"> </w:t>
      </w:r>
      <w:r>
        <w:t xml:space="preserve">and national bank insolvency proceedings differ substantially across the EU.</w:t>
      </w:r>
      <w:r>
        <w:br/>
      </w:r>
      <w:r>
        <w:t xml:space="preserve">The CMDI framework was designed to avert and manage the failure of credit institutions</w:t>
      </w:r>
      <w:r>
        <w:t xml:space="preserve"> </w:t>
      </w:r>
      <w:r>
        <w:t xml:space="preserve">of any size while protecting depositors and taxpayers. The framework provides for a set</w:t>
      </w:r>
      <w:r>
        <w:t xml:space="preserve"> </w:t>
      </w:r>
      <w:r>
        <w:t xml:space="preserve">of instruments that can be applied in the different stages of the lifecycle of banks in</w:t>
      </w:r>
      <w:r>
        <w:t xml:space="preserve"> </w:t>
      </w:r>
      <w:r>
        <w:t xml:space="preserve">distress. Before a bank is declared failing or likely to fail (FOLF), these instruments</w:t>
      </w:r>
      <w:r>
        <w:t xml:space="preserve"> </w:t>
      </w:r>
      <w:r>
        <w:t xml:space="preserve">allow a timely intervention to address a financial deterioration (early intervention</w:t>
      </w:r>
      <w:r>
        <w:t xml:space="preserve"> </w:t>
      </w:r>
      <w:r>
        <w:t xml:space="preserve">measures), to prevent the failure of a bank (preventive measures with funding from the</w:t>
      </w:r>
      <w:r>
        <w:t xml:space="preserve"> </w:t>
      </w:r>
      <w:r>
        <w:t xml:space="preserve">DGS182) or precautionary recapitalisation measures financed by the public budget under</w:t>
      </w:r>
      <w:r>
        <w:t xml:space="preserve"> </w:t>
      </w:r>
      <w:r>
        <w:t xml:space="preserve">strict conditions. When a bank is considered FOLF and there is a public interest in</w:t>
      </w:r>
      <w:r>
        <w:t xml:space="preserve"> </w:t>
      </w:r>
      <w:r>
        <w:t xml:space="preserve">resolving it183, the resolution authorities will intervene in the bank by using the tools and</w:t>
      </w:r>
      <w:r>
        <w:t xml:space="preserve"> </w:t>
      </w:r>
      <w:r>
        <w:t xml:space="preserve">powers granted by the BRRD184 in absence of a private solution. These include the power</w:t>
      </w:r>
      <w:r>
        <w:t xml:space="preserve"> </w:t>
      </w:r>
      <w:r>
        <w:t xml:space="preserve">to sell the bank or parts of it to one or more buyers, to transfer critical functions to a</w:t>
      </w:r>
      <w:r>
        <w:t xml:space="preserve"> </w:t>
      </w:r>
      <w:r>
        <w:t xml:space="preserve">bridge institution and to transfer non-performing assets to an asset management vehicle.</w:t>
      </w:r>
      <w:r>
        <w:t xml:space="preserve"> </w:t>
      </w:r>
      <w:r>
        <w:t xml:space="preserve">Moreover, it includes the power to bail-in the bank’s shareholders and creditors by</w:t>
      </w:r>
      <w:r>
        <w:t xml:space="preserve"> </w:t>
      </w:r>
      <w:r>
        <w:t xml:space="preserve">reducing their claims or converting them into capital, to provide the bank with loss-</w:t>
      </w:r>
      <w:r>
        <w:t xml:space="preserve"> </w:t>
      </w:r>
      <w:r>
        <w:t xml:space="preserve">absorbing or recapitalisation resources. In the Banking Union, the resolution of systemic</w:t>
      </w:r>
      <w:r>
        <w:t xml:space="preserve"> </w:t>
      </w:r>
      <w:r>
        <w:t xml:space="preserve">banks and cross-border groups is carried out by the Single Resolution Board (SRB). In</w:t>
      </w:r>
      <w:r>
        <w:t xml:space="preserve"> </w:t>
      </w:r>
      <w:r>
        <w:t xml:space="preserve">the absence of a public interest for resolution, the bank failure should be handled through</w:t>
      </w:r>
      <w:r>
        <w:t xml:space="preserve"> </w:t>
      </w:r>
      <w:r>
        <w:t xml:space="preserve">national orderly winding up proceedings, sometimes with financing from the DGS or</w:t>
      </w:r>
      <w:r>
        <w:t xml:space="preserve"> </w:t>
      </w:r>
      <w:r>
        <w:t xml:space="preserve">other sources, carried out by national authorities.</w:t>
      </w:r>
    </w:p>
    <w:p>
      <w:pPr>
        <w:pStyle w:val="BodyText"/>
      </w:pPr>
      <w:r>
        <w:t xml:space="preserve">182 Article 11(3) DGSD.</w:t>
      </w:r>
      <w:r>
        <w:t xml:space="preserve"> </w:t>
      </w:r>
      <w:r>
        <w:t xml:space="preserve">183 Resolution is considered in the public interest when resolution is necessary for the achievement of and</w:t>
      </w:r>
      <w:r>
        <w:t xml:space="preserve"> </w:t>
      </w:r>
      <w:r>
        <w:t xml:space="preserve">proportionate to one or more resolution objectives and normal insolvency proceedings would not achieve</w:t>
      </w:r>
      <w:r>
        <w:t xml:space="preserve"> </w:t>
      </w:r>
      <w:r>
        <w:t xml:space="preserve">the resolution objectives to the same extent (Article 32 BRRD).</w:t>
      </w:r>
      <w:r>
        <w:br/>
      </w:r>
      <w:r>
        <w:t xml:space="preserve">184 In the following, reference to the BRRD should be understood as including also corresponding</w:t>
      </w:r>
      <w:r>
        <w:t xml:space="preserve"> </w:t>
      </w:r>
      <w:r>
        <w:t xml:space="preserve">provisions in the SRMR.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Figure 10: Measures and bodies of the CMDI framework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The framework is intended to provide a combination of funding sources to manage</w:t>
      </w:r>
      <w:r>
        <w:t xml:space="preserve"> </w:t>
      </w:r>
      <w:r>
        <w:t xml:space="preserve">failures in an economically efficient manner, while preserving the bank’s franchise value</w:t>
      </w:r>
      <w:r>
        <w:t xml:space="preserve"> </w:t>
      </w:r>
      <w:r>
        <w:t xml:space="preserve">and reducing recourse to the public budget and ultimately the cost to the taxpayers. The</w:t>
      </w:r>
      <w:r>
        <w:t xml:space="preserve"> </w:t>
      </w:r>
      <w:r>
        <w:t xml:space="preserve">costs of resolving the bank (i.e. the losses) are first allocated to the shareholders and</w:t>
      </w:r>
      <w:r>
        <w:t xml:space="preserve"> </w:t>
      </w:r>
      <w:r>
        <w:t xml:space="preserve">creditors of the bank itself (bank’s internal loss absorbing capacity), which also reduces</w:t>
      </w:r>
      <w:r>
        <w:t xml:space="preserve"> </w:t>
      </w:r>
      <w:r>
        <w:t xml:space="preserve">moral hazard. If needed, resources can be complemented by resolution financing</w:t>
      </w:r>
      <w:r>
        <w:t xml:space="preserve"> </w:t>
      </w:r>
      <w:r>
        <w:t xml:space="preserve">arrangements funded by the industry (through the national resolution funds (RF) or the</w:t>
      </w:r>
      <w:r>
        <w:t xml:space="preserve"> </w:t>
      </w:r>
      <w:r>
        <w:t xml:space="preserve">Single Resolution Fund (SRF) in the Banking Union and the DGSs) to cover the</w:t>
      </w:r>
      <w:r>
        <w:t xml:space="preserve"> </w:t>
      </w:r>
      <w:r>
        <w:t xml:space="preserve">remaining losses. In the Banking Union, these rules were further integrated by entrusting</w:t>
      </w:r>
      <w:r>
        <w:t xml:space="preserve"> </w:t>
      </w:r>
      <w:r>
        <w:t xml:space="preserve">the SRB with the management and oversight of the SRF, which is funded by</w:t>
      </w:r>
      <w:r>
        <w:t xml:space="preserve"> </w:t>
      </w:r>
      <w:r>
        <w:t xml:space="preserve">contributions from credit institutions and certain investment firms in the participating</w:t>
      </w:r>
      <w:r>
        <w:t xml:space="preserve"> </w:t>
      </w:r>
      <w:r>
        <w:t xml:space="preserve">Member States of the Banking Union. Depending on the tool applied to a bank in distress</w:t>
      </w:r>
      <w:r>
        <w:t xml:space="preserve"> </w:t>
      </w:r>
      <w:r>
        <w:t xml:space="preserve">(e.g. preventive, precautionary, resolution or alternative measures) and the specificities of</w:t>
      </w:r>
      <w:r>
        <w:t xml:space="preserve"> </w:t>
      </w:r>
      <w:r>
        <w:t xml:space="preserve">the case, compliance with the State aid rules may be necessary for interventions by a RF,</w:t>
      </w:r>
      <w:r>
        <w:t xml:space="preserve"> </w:t>
      </w:r>
      <w:r>
        <w:t xml:space="preserve">a DGS or public funding from the State budget.</w:t>
      </w:r>
      <w:r>
        <w:br/>
      </w:r>
      <w:r>
        <w:t xml:space="preserve">The State aid rules for banks185 are intrinsically interconnected with, and complementary</w:t>
      </w:r>
      <w:r>
        <w:t xml:space="preserve"> </w:t>
      </w:r>
      <w:r>
        <w:t xml:space="preserve">to the CMDI framework. The two frameworks are applied consistently by the</w:t>
      </w:r>
      <w:r>
        <w:t xml:space="preserve"> </w:t>
      </w:r>
      <w:r>
        <w:t xml:space="preserve">Commission (e.g. the Commission checks if a a public or private support qualified as a</w:t>
      </w:r>
      <w:r>
        <w:t xml:space="preserve"> </w:t>
      </w:r>
      <w:r>
        <w:t xml:space="preserve">State aid measure violates intrinsically linked provisions of the CMDI framework and</w:t>
      </w:r>
      <w:r>
        <w:t xml:space="preserve"> </w:t>
      </w:r>
      <w:r>
        <w:t xml:space="preserve">cannot authorise it, if it does so). Despite their natural interlinkages, the two frameworks</w:t>
      </w:r>
    </w:p>
    <w:p>
      <w:pPr>
        <w:pStyle w:val="BodyText"/>
      </w:pPr>
      <w:r>
        <w:t xml:space="preserve">185 The Commission has direct enforcement powers in relation to EU State aid rules, which derive from the</w:t>
      </w:r>
      <w:r>
        <w:t xml:space="preserve"> </w:t>
      </w:r>
      <w:r>
        <w:t xml:space="preserve">Treaty (Article 107 TFEU). In the context of the global financial crisis, the Commission clarified its</w:t>
      </w:r>
      <w:r>
        <w:t xml:space="preserve"> </w:t>
      </w:r>
      <w:r>
        <w:t xml:space="preserve">assessment of compatibility of State aid measures to banks under Article 107(3)(b) TFEU in several</w:t>
      </w:r>
      <w:r>
        <w:t xml:space="preserve"> </w:t>
      </w:r>
      <w:r>
        <w:t xml:space="preserve">Commission Communications, including the 2013 Banking Communication.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are meant to tackle different issues: State aid rules’ main purpose is to limit competition</w:t>
      </w:r>
      <w:r>
        <w:t xml:space="preserve"> </w:t>
      </w:r>
      <w:r>
        <w:t xml:space="preserve">distortions from such support to banks, while the CMDI framework’s primary objective</w:t>
      </w:r>
      <w:r>
        <w:t xml:space="preserve"> </w:t>
      </w:r>
      <w:r>
        <w:t xml:space="preserve">is to limit risks to financial stability from the disorderly management of bank failures</w:t>
      </w:r>
      <w:r>
        <w:t xml:space="preserve"> </w:t>
      </w:r>
      <w:r>
        <w:t xml:space="preserve">while avoiding or minimising the use of public funds and ensuring depositors’ protection.</w:t>
      </w:r>
      <w:r>
        <w:br/>
      </w:r>
      <w:r>
        <w:t xml:space="preserve">In order to ensure consistency between the two frameworks, in November 2020, the</w:t>
      </w:r>
      <w:r>
        <w:t xml:space="preserve"> </w:t>
      </w:r>
      <w:r>
        <w:t xml:space="preserve">Eurogroup invited the Commission to carry out and finalise its review of the State aid</w:t>
      </w:r>
      <w:r>
        <w:t xml:space="preserve"> </w:t>
      </w:r>
      <w:r>
        <w:t xml:space="preserve">rules for banks, in parallel to the review of the CMDI framework, ensuring its entry into</w:t>
      </w:r>
      <w:r>
        <w:t xml:space="preserve"> </w:t>
      </w:r>
      <w:r>
        <w:t xml:space="preserve">force at the same time as the revised CMDI framework. Such timeline aims at ensuring</w:t>
      </w:r>
      <w:r>
        <w:t xml:space="preserve"> </w:t>
      </w:r>
      <w:r>
        <w:t xml:space="preserve">consistency between the two frameworks, adequate burden sharing of shareholders and</w:t>
      </w:r>
      <w:r>
        <w:t xml:space="preserve"> </w:t>
      </w:r>
      <w:r>
        <w:t xml:space="preserve">creditors to protect taxpayers and depositors, and preserve financial stability186. In June</w:t>
      </w:r>
      <w:r>
        <w:t xml:space="preserve"> </w:t>
      </w:r>
      <w:r>
        <w:t xml:space="preserve">2022, the Eurogroup took note of the intention of the European Commission to finalise</w:t>
      </w:r>
      <w:r>
        <w:t xml:space="preserve"> </w:t>
      </w:r>
      <w:r>
        <w:t xml:space="preserve">the review of the State aid framework for banks, to ensure consistency between the State</w:t>
      </w:r>
      <w:r>
        <w:t xml:space="preserve"> </w:t>
      </w:r>
      <w:r>
        <w:t xml:space="preserve">aid framework and the renewed CMDI framework.</w:t>
      </w:r>
      <w:r>
        <w:t xml:space="preserve"> </w:t>
      </w:r>
      <w:r>
        <w:t xml:space="preserve">Having the objective of coherence in mind, it is important to underline that the CMDI</w:t>
      </w:r>
      <w:r>
        <w:t xml:space="preserve"> </w:t>
      </w:r>
      <w:r>
        <w:t xml:space="preserve">framework is subject to co-legislation, which will require time, and its outcome as</w:t>
      </w:r>
      <w:r>
        <w:t xml:space="preserve"> </w:t>
      </w:r>
      <w:r>
        <w:t xml:space="preserve">compared to the Commission proposal is uncertain, while an update of the State aid rules</w:t>
      </w:r>
      <w:r>
        <w:t xml:space="preserve"> </w:t>
      </w:r>
      <w:r>
        <w:t xml:space="preserve">requires a Commission Communication, which, when decided by the Commission, could</w:t>
      </w:r>
      <w:r>
        <w:t xml:space="preserve"> </w:t>
      </w:r>
      <w:r>
        <w:t xml:space="preserve">take effect immediately.</w:t>
      </w:r>
      <w:r>
        <w:br/>
      </w:r>
      <w:r>
        <w:t xml:space="preserve">Notwithstanding the interactions between the various components of the current</w:t>
      </w:r>
      <w:r>
        <w:t xml:space="preserve"> </w:t>
      </w:r>
      <w:r>
        <w:t xml:space="preserve">legislative framework, the reform of the State aid rules is not part of the present impact</w:t>
      </w:r>
      <w:r>
        <w:t xml:space="preserve"> </w:t>
      </w:r>
      <w:r>
        <w:t xml:space="preserve">assessment nor of the subsequent legislative proposal. A separate process to assess the</w:t>
      </w:r>
      <w:r>
        <w:t xml:space="preserve"> </w:t>
      </w:r>
      <w:r>
        <w:t xml:space="preserve">need for a review of the State aid rules is ongoing, in parallel to the review of the CMDI</w:t>
      </w:r>
      <w:r>
        <w:t xml:space="preserve"> </w:t>
      </w:r>
      <w:r>
        <w:t xml:space="preserve">framework, also in light of different procedures to amend the relevant acts187.</w:t>
      </w:r>
      <w:r>
        <w:br/>
      </w:r>
      <w:r>
        <w:t xml:space="preserve">In terms of deposit protection, deposits are protected up to EUR 100 000 per depositor</w:t>
      </w:r>
      <w:r>
        <w:t xml:space="preserve"> </w:t>
      </w:r>
      <w:r>
        <w:t xml:space="preserve">and per bank, under the DGSD, regardless of whether the bank is put into resolution or</w:t>
      </w:r>
      <w:r>
        <w:t xml:space="preserve"> </w:t>
      </w:r>
      <w:r>
        <w:t xml:space="preserve">insolvency. In insolvency188, the primary function of a DGS is to pay out depositors</w:t>
      </w:r>
      <w:r>
        <w:t xml:space="preserve"> </w:t>
      </w:r>
      <w:r>
        <w:t xml:space="preserve">within seven days of a determination of unavailability of their deposits. Under the</w:t>
      </w:r>
      <w:r>
        <w:t xml:space="preserve"> </w:t>
      </w:r>
      <w:r>
        <w:t xml:space="preserve">DGSD, DGSs may also have other functions (all aimed at preserving depositor</w:t>
      </w:r>
      <w:r>
        <w:t xml:space="preserve"> </w:t>
      </w:r>
      <w:r>
        <w:t xml:space="preserve">confidence) such as financing preventive measures or, financing measures in insolvency</w:t>
      </w:r>
      <w:r>
        <w:t xml:space="preserve"> </w:t>
      </w:r>
      <w:r>
        <w:t xml:space="preserve">other than payout, i.e. a transfer of assets and liabilities to a buyer, to preserve the access</w:t>
      </w:r>
      <w:r>
        <w:t xml:space="preserve"> </w:t>
      </w:r>
      <w:r>
        <w:t xml:space="preserve">to covered deposits (DGS alternative measures). The DGSD provides a limit as regards</w:t>
      </w:r>
      <w:r>
        <w:t xml:space="preserve"> </w:t>
      </w:r>
      <w:r>
        <w:t xml:space="preserve">the costs of such preventive and alternative measures. They can never be more costly</w:t>
      </w:r>
      <w:r>
        <w:t xml:space="preserve"> </w:t>
      </w:r>
      <w:r>
        <w:t xml:space="preserve">than a payout of the covered amount. Moreover, DGSs can contribute financially to a</w:t>
      </w:r>
      <w:r>
        <w:t xml:space="preserve"> </w:t>
      </w:r>
      <w:r>
        <w:t xml:space="preserve">bank’s resolution, under certain conditions.</w:t>
      </w:r>
    </w:p>
    <w:p>
      <w:pPr>
        <w:pStyle w:val="BodyText"/>
      </w:pPr>
      <w:r>
        <w:t xml:space="preserve">186 Eurogroup (November 2020), Statement of the Eurogroup in inclusive format on the ESM reform and</w:t>
      </w:r>
      <w:r>
        <w:t xml:space="preserve"> </w:t>
      </w:r>
      <w:r>
        <w:t xml:space="preserve">the early introduction of the backstop to the Single Resolution Fund. The intention of the Eurogroup is to</w:t>
      </w:r>
      <w:r>
        <w:t xml:space="preserve"> </w:t>
      </w:r>
      <w:r>
        <w:t xml:space="preserve">ensure that the outcome of the State aid rules review is aligned with the outcome of the negotiations of the</w:t>
      </w:r>
      <w:r>
        <w:t xml:space="preserve"> </w:t>
      </w:r>
      <w:r>
        <w:t xml:space="preserve">CMDI review by co-legislators.</w:t>
      </w:r>
      <w:r>
        <w:t xml:space="preserve"> </w:t>
      </w:r>
      <w:r>
        <w:t xml:space="preserve">187 In March 2022, the Commission has launched a Call for Evidence together with a public and targeted</w:t>
      </w:r>
      <w:r>
        <w:t xml:space="preserve"> </w:t>
      </w:r>
      <w:r>
        <w:t xml:space="preserve">consultation to seek stakeholder feedback on the evaluation of State aid rules for banks in difficulty. The</w:t>
      </w:r>
      <w:r>
        <w:t xml:space="preserve"> </w:t>
      </w:r>
      <w:r>
        <w:t xml:space="preserve">input collected and a study will feed into the evaluation that the Commission aims to publish.</w:t>
      </w:r>
      <w:r>
        <w:t xml:space="preserve"> </w:t>
      </w:r>
      <w:r>
        <w:t xml:space="preserve">188 Insolvency proceedings across the EU are unharmonised; some allow for certain transfer tools similar to</w:t>
      </w:r>
      <w:r>
        <w:t xml:space="preserve"> </w:t>
      </w:r>
      <w:r>
        <w:t xml:space="preserve">resolution financed by DGSs, others only allow for piece-meal liquidation proceedings.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The functioning of the DGSs and the use of their funds cannot be seen in isolation from</w:t>
      </w:r>
      <w:r>
        <w:t xml:space="preserve"> </w:t>
      </w:r>
      <w:r>
        <w:t xml:space="preserve">the broader debate on the European deposit insurance scheme (EDIS).</w:t>
      </w:r>
      <w:r>
        <w:br/>
      </w:r>
      <w:r>
        <w:t xml:space="preserve">Notwithstanding the progress achieved, areas for further strengthening and adjustment</w:t>
      </w:r>
      <w:r>
        <w:t xml:space="preserve"> </w:t>
      </w:r>
      <w:r>
        <w:t xml:space="preserve">were identified with regard to both the resolution and depositor insurance framework.</w:t>
      </w:r>
      <w:r>
        <w:t xml:space="preserve"> </w:t>
      </w:r>
      <w:r>
        <w:t xml:space="preserve">The evaluation of the current rules (see Annex 5) has identified issues with the</w:t>
      </w:r>
      <w:r>
        <w:t xml:space="preserve"> </w:t>
      </w:r>
      <w:r>
        <w:t xml:space="preserve">framework’s design, implementation and application. The review of the CMDI</w:t>
      </w:r>
      <w:r>
        <w:t xml:space="preserve"> </w:t>
      </w:r>
      <w:r>
        <w:t xml:space="preserve">framework should provide solutions to address these issues and enable the framework to</w:t>
      </w:r>
      <w:r>
        <w:t xml:space="preserve"> </w:t>
      </w:r>
      <w:r>
        <w:t xml:space="preserve">fully achieve its objectives189 and be fit for its purpose.</w:t>
      </w:r>
      <w:r>
        <w:t xml:space="preserve"> </w:t>
      </w:r>
      <w:r>
        <w:t xml:space="preserve">The revision of the CMDI framework as well as a possible further harmonisation of</w:t>
      </w:r>
      <w:r>
        <w:t xml:space="preserve"> </w:t>
      </w:r>
      <w:r>
        <w:t xml:space="preserve">insolvency laws are foreseen in the respective review clauses of the legislative texts. The</w:t>
      </w:r>
      <w:r>
        <w:t xml:space="preserve"> </w:t>
      </w:r>
      <w:r>
        <w:t xml:space="preserve">review is part of the agenda for the completion of the Banking Union, as emphasised in</w:t>
      </w:r>
      <w:r>
        <w:t xml:space="preserve"> </w:t>
      </w:r>
      <w:r>
        <w:t xml:space="preserve">President von der Leyen’s Political Guidelines. Although the political guidelines</w:t>
      </w:r>
      <w:r>
        <w:t xml:space="preserve"> </w:t>
      </w:r>
      <w:r>
        <w:t xml:space="preserve">included the creation of EDIS, it will not be part of the current initiative because political</w:t>
      </w:r>
      <w:r>
        <w:t xml:space="preserve"> </w:t>
      </w:r>
      <w:r>
        <w:t xml:space="preserve">discussions on EDIS and other workstreams of the Banking Union completion plan have</w:t>
      </w:r>
      <w:r>
        <w:t xml:space="preserve"> </w:t>
      </w:r>
      <w:r>
        <w:t xml:space="preserve">yet to be finalised.</w:t>
      </w:r>
      <w:r>
        <w:t xml:space="preserve"> </w:t>
      </w:r>
      <w:r>
        <w:t xml:space="preserve">Insolvency</w:t>
      </w:r>
      <w:r>
        <w:t xml:space="preserve"> </w:t>
      </w:r>
      <w:r>
        <w:t xml:space="preserve">National insolvency proceedings are not part of the CMDI framework, but they are</w:t>
      </w:r>
      <w:r>
        <w:t xml:space="preserve"> </w:t>
      </w:r>
      <w:r>
        <w:t xml:space="preserve">alternative to it. The resolution authority may conclude that the bank does not need to be</w:t>
      </w:r>
      <w:r>
        <w:t xml:space="preserve"> </w:t>
      </w:r>
      <w:r>
        <w:t xml:space="preserve">put in resolution because its failure would not have a significant impact on financial</w:t>
      </w:r>
      <w:r>
        <w:t xml:space="preserve"> </w:t>
      </w:r>
      <w:r>
        <w:t xml:space="preserve">stability or would not endanger any critical function and that the tools available in the</w:t>
      </w:r>
      <w:r>
        <w:t xml:space="preserve"> </w:t>
      </w:r>
      <w:r>
        <w:t xml:space="preserve">insolvency law of the relevant Member State are adequate to manage the bank’s failure</w:t>
      </w:r>
      <w:r>
        <w:t xml:space="preserve"> </w:t>
      </w:r>
      <w:r>
        <w:t xml:space="preserve">(i.e. the public interest assessment is negative). In this case, the bank is put in insolvency</w:t>
      </w:r>
      <w:r>
        <w:t xml:space="preserve"> </w:t>
      </w:r>
      <w:r>
        <w:t xml:space="preserve">according to national law. Very small banks are likely candidates for being credibly</w:t>
      </w:r>
      <w:r>
        <w:t xml:space="preserve"> </w:t>
      </w:r>
      <w:r>
        <w:t xml:space="preserve">handled when they fail through insolvency proceedings, without creating ripple effects in</w:t>
      </w:r>
      <w:r>
        <w:t xml:space="preserve"> </w:t>
      </w:r>
      <w:r>
        <w:t xml:space="preserve">the financial system or the real economy.</w:t>
      </w:r>
      <w:r>
        <w:br/>
      </w:r>
      <w:r>
        <w:t xml:space="preserve">The procedure and tools available in this case depend on the national legislation. These</w:t>
      </w:r>
      <w:r>
        <w:t xml:space="preserve"> </w:t>
      </w:r>
      <w:r>
        <w:t xml:space="preserve">may vary widely from Member State to Member State. Some foresee a judicial</w:t>
      </w:r>
      <w:r>
        <w:t xml:space="preserve"> </w:t>
      </w:r>
      <w:r>
        <w:t xml:space="preserve">“atomistic” insolvency procedure, leading to the sale of the assets in a piecemeal fashion</w:t>
      </w:r>
      <w:r>
        <w:t xml:space="preserve"> </w:t>
      </w:r>
      <w:r>
        <w:t xml:space="preserve">to repay the creditors in order of their ranking in the hierarchy of claims, similar to the</w:t>
      </w:r>
      <w:r>
        <w:t xml:space="preserve"> </w:t>
      </w:r>
      <w:r>
        <w:t xml:space="preserve">insolvency available for regular corporations (in some countries the insolvency procedure</w:t>
      </w:r>
      <w:r>
        <w:t xml:space="preserve"> </w:t>
      </w:r>
      <w:r>
        <w:t xml:space="preserve">is actually the same for banks and other companies).</w:t>
      </w:r>
      <w:r>
        <w:t xml:space="preserve"> </w:t>
      </w:r>
      <w:r>
        <w:t xml:space="preserve">Certain Member States’ legislations provide for administrative insolvency proceedings</w:t>
      </w:r>
      <w:r>
        <w:t xml:space="preserve"> </w:t>
      </w:r>
      <w:r>
        <w:t xml:space="preserve">for banks. These are generally managed by an administrative authority in cooperation</w:t>
      </w:r>
      <w:r>
        <w:t xml:space="preserve"> </w:t>
      </w:r>
      <w:r>
        <w:t xml:space="preserve">with the relevant court. Concretely, these procedures provide for measures similar to the</w:t>
      </w:r>
      <w:r>
        <w:t xml:space="preserve"> </w:t>
      </w:r>
      <w:r>
        <w:t xml:space="preserve">resolution tools, such as selling the whole business (i.e. also the liabilities) to a buyer</w:t>
      </w:r>
      <w:r>
        <w:t xml:space="preserve"> </w:t>
      </w:r>
      <w:r>
        <w:t xml:space="preserve">without the consent of the failing bank’s creditors.</w:t>
      </w:r>
      <w:r>
        <w:t xml:space="preserve"> </w:t>
      </w:r>
      <w:r>
        <w:t xml:space="preserve">Normally, funding from sources outside of the bank’s assets should not be required in</w:t>
      </w:r>
      <w:r>
        <w:t xml:space="preserve"> </w:t>
      </w:r>
      <w:r>
        <w:t xml:space="preserve">insolvency, as creditors are expected to bear losses and share any value realised through</w:t>
      </w:r>
      <w:r>
        <w:t xml:space="preserve"> </w:t>
      </w:r>
      <w:r>
        <w:t xml:space="preserve">the liquidation (sale) of assets, in order of their ranking in the hierarchy of claims.</w:t>
      </w:r>
    </w:p>
    <w:p>
      <w:pPr>
        <w:pStyle w:val="BodyText"/>
      </w:pPr>
      <w:r>
        <w:t xml:space="preserve">189 See Chapter Error! Reference source not found. on the objectives.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However, for the insolvency of banks, the DGS has the possibility to use an alternative</w:t>
      </w:r>
      <w:r>
        <w:t xml:space="preserve"> </w:t>
      </w:r>
      <w:r>
        <w:t xml:space="preserve">measure to payout, aiming at preserving the depositors’ access to covered deposits, such</w:t>
      </w:r>
      <w:r>
        <w:t xml:space="preserve"> </w:t>
      </w:r>
      <w:r>
        <w:t xml:space="preserve">as a transfer of the assets and liabilities and deposit book to an acquiring bank. This tends</w:t>
      </w:r>
      <w:r>
        <w:t xml:space="preserve"> </w:t>
      </w:r>
      <w:r>
        <w:t xml:space="preserve">to be a more efficient and effective solution than payout, however it is only available in</w:t>
      </w:r>
      <w:r>
        <w:t xml:space="preserve"> </w:t>
      </w:r>
      <w:r>
        <w:t xml:space="preserve">11 Member States (who transposed this national option). Actions under national</w:t>
      </w:r>
      <w:r>
        <w:t xml:space="preserve"> </w:t>
      </w:r>
      <w:r>
        <w:t xml:space="preserve">insolvency law can also be financed with support from the public budget (State aid).</w:t>
      </w:r>
      <w:r>
        <w:t xml:space="preserve"> </w:t>
      </w:r>
      <w:r>
        <w:t xml:space="preserve">Merits of resolution versus insolvency, including for smaller and mid-sized banks in</w:t>
      </w:r>
      <w:r>
        <w:t xml:space="preserve"> </w:t>
      </w:r>
      <w:r>
        <w:t xml:space="preserve">the CMDI framework</w:t>
      </w:r>
      <w:r>
        <w:t xml:space="preserve"> </w:t>
      </w:r>
      <w:r>
        <w:t xml:space="preserve">The fundamental principle of the EU harmonised resolution framework is to provide a</w:t>
      </w:r>
      <w:r>
        <w:t xml:space="preserve"> </w:t>
      </w:r>
      <w:r>
        <w:t xml:space="preserve">common toolbox to deal effectively with any bank failure (irrespective of its</w:t>
      </w:r>
      <w:r>
        <w:t xml:space="preserve"> </w:t>
      </w:r>
      <w:r>
        <w:t xml:space="preserve">geographical location, its size or business model i.e. domestic or operating across the</w:t>
      </w:r>
      <w:r>
        <w:t xml:space="preserve"> </w:t>
      </w:r>
      <w:r>
        <w:t xml:space="preserve">border) in an orderly way, preserving financial stability and protecting depositors without</w:t>
      </w:r>
      <w:r>
        <w:t xml:space="preserve"> </w:t>
      </w:r>
      <w:r>
        <w:t xml:space="preserve">relying on public funds. For many banks, such objectives cannot be met to the same</w:t>
      </w:r>
      <w:r>
        <w:t xml:space="preserve"> </w:t>
      </w:r>
      <w:r>
        <w:t xml:space="preserve">extent under national insolvency frameworks, which, in some cases, are not adapted to</w:t>
      </w:r>
      <w:r>
        <w:t xml:space="preserve"> </w:t>
      </w:r>
      <w:r>
        <w:t xml:space="preserve">the specificities of bank failures.</w:t>
      </w:r>
      <w:r>
        <w:br/>
      </w:r>
      <w:r>
        <w:t xml:space="preserve">The CMDI framework implements in the EU regulatory framework the international</w:t>
      </w:r>
      <w:r>
        <w:t xml:space="preserve"> </w:t>
      </w:r>
      <w:r>
        <w:t xml:space="preserve">consensus emerging after the global financial crisis (G20, Financial Stability Board</w:t>
      </w:r>
      <w:r>
        <w:t xml:space="preserve"> </w:t>
      </w:r>
      <w:r>
        <w:t xml:space="preserve">decisions) that banks should never again be bailed out with public money. The set-up of</w:t>
      </w:r>
      <w:r>
        <w:t xml:space="preserve"> </w:t>
      </w:r>
      <w:r>
        <w:t xml:space="preserve">the resolution frameworks around the world constituted a major paradigm shift from bail-</w:t>
      </w:r>
      <w:r>
        <w:t xml:space="preserve"> </w:t>
      </w:r>
      <w:r>
        <w:t xml:space="preserve">out to bail-in (i.e. banks should pay for their own resolution/liquidation with their own</w:t>
      </w:r>
      <w:r>
        <w:t xml:space="preserve"> </w:t>
      </w:r>
      <w:r>
        <w:t xml:space="preserve">resources as well as with industry-funded resources as opposed to public bail out).</w:t>
      </w:r>
      <w:r>
        <w:t xml:space="preserve"> </w:t>
      </w:r>
      <w:r>
        <w:t xml:space="preserve">This principle of not using taxpayer money for the financial industry is already well</w:t>
      </w:r>
      <w:r>
        <w:t xml:space="preserve"> </w:t>
      </w:r>
      <w:r>
        <w:t xml:space="preserve">rooted in the EU. As an illustration, the Recovery and Resilience Facility190, an</w:t>
      </w:r>
      <w:r>
        <w:t xml:space="preserve"> </w:t>
      </w:r>
      <w:r>
        <w:t xml:space="preserve">instrument part of NextGenerationEU adopted in the context of the COVID-19 pandemic</w:t>
      </w:r>
      <w:r>
        <w:t xml:space="preserve"> </w:t>
      </w:r>
      <w:r>
        <w:t xml:space="preserve">and aimed at helping the EU emerge stronger and more resilient from that crisis</w:t>
      </w:r>
      <w:r>
        <w:t xml:space="preserve"> </w:t>
      </w:r>
      <w:r>
        <w:t xml:space="preserve">explicitly excluded funding to banks and the financial sector. Similarly, the EU state Aid</w:t>
      </w:r>
      <w:r>
        <w:t xml:space="preserve"> </w:t>
      </w:r>
      <w:r>
        <w:t xml:space="preserve">Temporary Framework191 adopted in 2020 to enable Member States to use the full</w:t>
      </w:r>
      <w:r>
        <w:t xml:space="preserve"> </w:t>
      </w:r>
      <w:r>
        <w:t xml:space="preserve">flexibility foreseen under State aid rules to support the economy in the context of the</w:t>
      </w:r>
      <w:r>
        <w:t xml:space="preserve"> </w:t>
      </w:r>
      <w:r>
        <w:t xml:space="preserve">coronavirus outbreak also explicitly excluded State Aid to banks.</w:t>
      </w:r>
      <w:r>
        <w:br/>
      </w:r>
      <w:r>
        <w:t xml:space="preserve">This principle of protecting taxpayer money was also at the heart of the CMDI</w:t>
      </w:r>
      <w:r>
        <w:t xml:space="preserve"> </w:t>
      </w:r>
      <w:r>
        <w:t xml:space="preserve">framework when adopted in 2014. In addition to this objective, a common resolution</w:t>
      </w:r>
      <w:r>
        <w:t xml:space="preserve"> </w:t>
      </w:r>
      <w:r>
        <w:t xml:space="preserve">framework and toolbox has a number of very important benefits compared to national</w:t>
      </w:r>
      <w:r>
        <w:t xml:space="preserve"> </w:t>
      </w:r>
      <w:r>
        <w:t xml:space="preserve">insolvency proceedings:</w:t>
      </w:r>
      <w:r>
        <w:br/>
      </w:r>
      <w:r>
        <w:t xml:space="preserve"> provides predictability and level playing field when handling (any) failing banks,</w:t>
      </w:r>
      <w:r>
        <w:t xml:space="preserve"> </w:t>
      </w:r>
      <w:r>
        <w:t xml:space="preserve">which means that taxpayers, deposits and bank creditors are treated in the same</w:t>
      </w:r>
      <w:r>
        <w:t xml:space="preserve"> </w:t>
      </w:r>
      <w:r>
        <w:t xml:space="preserve">manner across the EU,</w:t>
      </w:r>
      <w:r>
        <w:t xml:space="preserve"> </w:t>
      </w:r>
      <w:r>
        <w:t xml:space="preserve"> enhances preparedness, through recovery and resolution planning for crisis times,</w:t>
      </w:r>
      <w:r>
        <w:t xml:space="preserve"> </w:t>
      </w:r>
      <w:r>
        <w:t xml:space="preserve">including by imposing requirements on banks to become resolvable and absorb</w:t>
      </w:r>
      <w:r>
        <w:t xml:space="preserve"> </w:t>
      </w:r>
      <w:r>
        <w:t xml:space="preserve">possible losses internally or via the safety nets (thereby shifting away losses from</w:t>
      </w:r>
      <w:r>
        <w:t xml:space="preserve"> </w:t>
      </w:r>
      <w:r>
        <w:t xml:space="preserve">taxpayers and internalising losses with the industry),</w:t>
      </w:r>
    </w:p>
    <w:p>
      <w:pPr>
        <w:pStyle w:val="BodyText"/>
      </w:pPr>
      <w:r>
        <w:t xml:space="preserve">190 European Commission (February 2021), The Recovery and Resilience Facility.</w:t>
      </w:r>
      <w:r>
        <w:t xml:space="preserve"> </w:t>
      </w:r>
      <w:r>
        <w:t xml:space="preserve">191 European Commission (2020), The State Aid Temporary Framework.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 increases efficiency in handling bank failures as it facilitates a restructuring/ sale</w:t>
      </w:r>
      <w:r>
        <w:t xml:space="preserve"> </w:t>
      </w:r>
      <w:r>
        <w:t xml:space="preserve">of business to a buyer, preserving the bank’s franchise value without cutting</w:t>
      </w:r>
      <w:r>
        <w:t xml:space="preserve"> </w:t>
      </w:r>
      <w:r>
        <w:t xml:space="preserve">access to client accounts and client relationships,</w:t>
      </w:r>
      <w:r>
        <w:t xml:space="preserve"> </w:t>
      </w:r>
      <w:r>
        <w:t xml:space="preserve"> fosters consumer confidence in the banking sector, significantly reducing the risk</w:t>
      </w:r>
      <w:r>
        <w:t xml:space="preserve"> </w:t>
      </w:r>
      <w:r>
        <w:t xml:space="preserve">of spiralling contagion to other banks and mitigating the risks that bank clients</w:t>
      </w:r>
      <w:r>
        <w:t xml:space="preserve"> </w:t>
      </w:r>
      <w:r>
        <w:t xml:space="preserve">may start questioning the solidity of the system and its safety nets as it could</w:t>
      </w:r>
      <w:r>
        <w:t xml:space="preserve"> </w:t>
      </w:r>
      <w:r>
        <w:t xml:space="preserve">happen under normal insolvency proceedings,</w:t>
      </w:r>
      <w:r>
        <w:br/>
      </w:r>
      <w:r>
        <w:t xml:space="preserve"> ensures losses can be internalised by in the industry, by requiring banks to build</w:t>
      </w:r>
      <w:r>
        <w:t xml:space="preserve"> </w:t>
      </w:r>
      <w:r>
        <w:t xml:space="preserve">resolution buffers and setting up industry-funded safety nets complementing</w:t>
      </w:r>
      <w:r>
        <w:t xml:space="preserve"> </w:t>
      </w:r>
      <w:r>
        <w:t xml:space="preserve">internal bank buffers to absorb losses and avoid recourse to public funds for all</w:t>
      </w:r>
      <w:r>
        <w:t xml:space="preserve"> </w:t>
      </w:r>
      <w:r>
        <w:t xml:space="preserve">banks and not only cross-border ones,</w:t>
      </w:r>
      <w:r>
        <w:t xml:space="preserve"> </w:t>
      </w:r>
      <w:r>
        <w:t xml:space="preserve"> fosters confidence between Member States that banks failures will be addressed</w:t>
      </w:r>
      <w:r>
        <w:t xml:space="preserve"> </w:t>
      </w:r>
      <w:r>
        <w:t xml:space="preserve">in an effective way, thus preserving financial stability in the single market and the</w:t>
      </w:r>
      <w:r>
        <w:t xml:space="preserve"> </w:t>
      </w:r>
      <w:r>
        <w:t xml:space="preserve">Banking Union, and</w:t>
      </w:r>
      <w:r>
        <w:br/>
      </w:r>
      <w:r>
        <w:t xml:space="preserve"> protects Member States’ fiscal capacity which may be limited in crisis times.</w:t>
      </w:r>
    </w:p>
    <w:p>
      <w:pPr>
        <w:pStyle w:val="BodyText"/>
      </w:pPr>
      <w:r>
        <w:t xml:space="preserve">However, despite the widely shared intention of protecting taxpayer money embedded in</w:t>
      </w:r>
      <w:r>
        <w:t xml:space="preserve"> </w:t>
      </w:r>
      <w:r>
        <w:t xml:space="preserve">the CMDI framework since 2014, some Member States have continued to make recourse</w:t>
      </w:r>
      <w:r>
        <w:t xml:space="preserve"> </w:t>
      </w:r>
      <w:r>
        <w:t xml:space="preserve">to taxpayer money when handling failing banks, since the establishment of the</w:t>
      </w:r>
      <w:r>
        <w:t xml:space="preserve"> </w:t>
      </w:r>
      <w:r>
        <w:t xml:space="preserve">framework, as evidenced in Chapter 2 and Annex 5. This is not because they find it</w:t>
      </w:r>
      <w:r>
        <w:t xml:space="preserve"> </w:t>
      </w:r>
      <w:r>
        <w:t xml:space="preserve">acceptable politically or economically to do so, but because they had to choose between</w:t>
      </w:r>
      <w:r>
        <w:t xml:space="preserve"> </w:t>
      </w:r>
      <w:r>
        <w:t xml:space="preserve">protecting financial stability and deposits on one hand and protecting taxpayer money on</w:t>
      </w:r>
      <w:r>
        <w:t xml:space="preserve"> </w:t>
      </w:r>
      <w:r>
        <w:t xml:space="preserve">the other hand. The current framework poses entry barriers for certain small and mid-</w:t>
      </w:r>
      <w:r>
        <w:t xml:space="preserve"> </w:t>
      </w:r>
      <w:r>
        <w:t xml:space="preserve">sized banks through the onerous access condition to resolution funding, which some</w:t>
      </w:r>
      <w:r>
        <w:t xml:space="preserve"> </w:t>
      </w:r>
      <w:r>
        <w:t xml:space="preserve">banks can only attain if deposits bear losses. However, bailing-in depositors would pose</w:t>
      </w:r>
      <w:r>
        <w:t xml:space="preserve"> </w:t>
      </w:r>
      <w:r>
        <w:t xml:space="preserve">a significant risk to financial stability, as depositors would lose confidence in the banking</w:t>
      </w:r>
      <w:r>
        <w:t xml:space="preserve"> </w:t>
      </w:r>
      <w:r>
        <w:t xml:space="preserve">sector and likely provoke bank runs and spiralling contagion, which can reverberate also</w:t>
      </w:r>
      <w:r>
        <w:t xml:space="preserve"> </w:t>
      </w:r>
      <w:r>
        <w:t xml:space="preserve">into the real economy, as seen during the global financial crisis. There is therefore, a</w:t>
      </w:r>
      <w:r>
        <w:t xml:space="preserve"> </w:t>
      </w:r>
      <w:r>
        <w:t xml:space="preserve">political consensus among Member States that the CMDI framework needs to be fixed in</w:t>
      </w:r>
      <w:r>
        <w:t xml:space="preserve"> </w:t>
      </w:r>
      <w:r>
        <w:t xml:space="preserve">a way that resolution can be used for any bank where needed.</w:t>
      </w:r>
      <w:r>
        <w:br/>
      </w:r>
      <w:r>
        <w:t xml:space="preserve">Background on the principle of subsidiarity in the CMDI framework (why should</w:t>
      </w:r>
      <w:r>
        <w:t xml:space="preserve"> </w:t>
      </w:r>
      <w:r>
        <w:t xml:space="preserve">small/mid-sized banks be dealt with under the harmonised resolution framework vs</w:t>
      </w:r>
      <w:r>
        <w:t xml:space="preserve"> </w:t>
      </w:r>
      <w:r>
        <w:t xml:space="preserve">national insolvency proceedings)</w:t>
      </w:r>
      <w:r>
        <w:t xml:space="preserve"> </w:t>
      </w:r>
      <w:r>
        <w:t xml:space="preserve">The resolution framework as it was created in 2014 was meant to be applicable to any</w:t>
      </w:r>
      <w:r>
        <w:t xml:space="preserve"> </w:t>
      </w:r>
      <w:r>
        <w:t xml:space="preserve">bank when it fulfils the objectives of protecting financial stability, taxpayer money and</w:t>
      </w:r>
      <w:r>
        <w:t xml:space="preserve"> </w:t>
      </w:r>
      <w:r>
        <w:t xml:space="preserve">depositors better than national insolvency proceedings192. The merits of resolution vs</w:t>
      </w:r>
      <w:r>
        <w:t xml:space="preserve"> </w:t>
      </w:r>
      <w:r>
        <w:t xml:space="preserve">insolvency are assessed through the PIA, which is a case by case judgement, based on</w:t>
      </w:r>
      <w:r>
        <w:t xml:space="preserve"> </w:t>
      </w:r>
      <w:r>
        <w:t xml:space="preserve">criteria on whether to place a bank in resolution or national insolvency proceedings. The</w:t>
      </w:r>
      <w:r>
        <w:t xml:space="preserve"> </w:t>
      </w:r>
      <w:r>
        <w:t xml:space="preserve">PIA is, de facto, the subsidiarity test in the CMDI framework, as also indicated by recital</w:t>
      </w:r>
      <w:r>
        <w:t xml:space="preserve"> </w:t>
      </w:r>
      <w:r>
        <w:t xml:space="preserve">13 and Article 32(5) of BRRD I193.</w:t>
      </w:r>
    </w:p>
    <w:p>
      <w:pPr>
        <w:pStyle w:val="BodyText"/>
      </w:pPr>
      <w:r>
        <w:t xml:space="preserve">192 Recital 29 BRRD I: “Due to the potentially systemic nature of all institutions, it is crucial, in order to</w:t>
      </w:r>
      <w:r>
        <w:t xml:space="preserve"> </w:t>
      </w:r>
      <w:r>
        <w:t xml:space="preserve">maintain financial stability, that authorities have the possibility to resolve any institution”,</w:t>
      </w:r>
      <w:r>
        <w:br/>
      </w:r>
      <w:r>
        <w:t xml:space="preserve">193 Recital 13 BRRD I: “The use of resolution tools and powers provided for in this Directive may disrupt</w:t>
      </w:r>
      <w:r>
        <w:t xml:space="preserve"> </w:t>
      </w:r>
      <w:r>
        <w:t xml:space="preserve">the rights of shareholders and creditors. In particular, the power of the authorities to transfer the shares or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In the Banking Union, the PIA decisions are made by the SRB for banks under its remit</w:t>
      </w:r>
      <w:r>
        <w:t xml:space="preserve"> </w:t>
      </w:r>
      <w:r>
        <w:t xml:space="preserve">(systemic banks and less systemic cross border banks) and by the national resolution</w:t>
      </w:r>
      <w:r>
        <w:t xml:space="preserve"> </w:t>
      </w:r>
      <w:r>
        <w:t xml:space="preserve">authorities for smaller banks, for which they are responsible (less significant institutions).</w:t>
      </w:r>
      <w:r>
        <w:t xml:space="preserve"> </w:t>
      </w:r>
      <w:r>
        <w:t xml:space="preserve">Outside the Banking Union, national resolution authorities have the role to determine the</w:t>
      </w:r>
      <w:r>
        <w:t xml:space="preserve"> </w:t>
      </w:r>
      <w:r>
        <w:t xml:space="preserve">path for managing a failing bank in all cases (PIA). This governance structure embedded</w:t>
      </w:r>
      <w:r>
        <w:t xml:space="preserve"> </w:t>
      </w:r>
      <w:r>
        <w:t xml:space="preserve">in the CMDI illustrates the flexibility of resolution authorities to decide what is the</w:t>
      </w:r>
      <w:r>
        <w:t xml:space="preserve"> </w:t>
      </w:r>
      <w:r>
        <w:t xml:space="preserve">pathway that best attains the sought objectives. The EU level rules do not impose or</w:t>
      </w:r>
      <w:r>
        <w:t xml:space="preserve"> </w:t>
      </w:r>
      <w:r>
        <w:t xml:space="preserve">prescribe a treatment for any bank of any size, it provides the necessary discretion to</w:t>
      </w:r>
      <w:r>
        <w:t xml:space="preserve"> </w:t>
      </w:r>
      <w:r>
        <w:t xml:space="preserve">resolution authorities to take the best decision. At the same time, to enable such</w:t>
      </w:r>
      <w:r>
        <w:t xml:space="preserve"> </w:t>
      </w:r>
      <w:r>
        <w:t xml:space="preserve">decisions, the continuum of tools, including the harmonised resolution tools and national</w:t>
      </w:r>
      <w:r>
        <w:t xml:space="preserve"> </w:t>
      </w:r>
      <w:r>
        <w:t xml:space="preserve">tools (preventive measures, administrative insolvency measures, piece-meal judicial</w:t>
      </w:r>
      <w:r>
        <w:t xml:space="preserve"> </w:t>
      </w:r>
      <w:r>
        <w:t xml:space="preserve">insolvency measures) to handle failing banks are preserved in the framework.</w:t>
      </w:r>
      <w:r>
        <w:br/>
      </w:r>
      <w:r>
        <w:t xml:space="preserve">In terms of scope of application, the framework applies to all banks. CMDI rules are</w:t>
      </w:r>
      <w:r>
        <w:t xml:space="preserve"> </w:t>
      </w:r>
      <w:r>
        <w:t xml:space="preserve">appropriate for systemic banks, which are “too big to fail” and which will likely go into</w:t>
      </w:r>
      <w:r>
        <w:t xml:space="preserve"> </w:t>
      </w:r>
      <w:r>
        <w:t xml:space="preserve">resolution (in general open-bank bail-in strategy) and be bailed-in if they failed. The</w:t>
      </w:r>
      <w:r>
        <w:t xml:space="preserve"> </w:t>
      </w:r>
      <w:r>
        <w:t xml:space="preserve">framework is also deemed appropriate for very small banks, which are more likely to be</w:t>
      </w:r>
      <w:r>
        <w:t xml:space="preserve"> </w:t>
      </w:r>
      <w:r>
        <w:t xml:space="preserve">placed in insolvency and be liquidated if they failed. However, there is a middle category</w:t>
      </w:r>
      <w:r>
        <w:t xml:space="preserve"> </w:t>
      </w:r>
      <w:r>
        <w:t xml:space="preserve">of banks, which are not “too big to fail” but “too big to liquidate” for which the</w:t>
      </w:r>
      <w:r>
        <w:t xml:space="preserve"> </w:t>
      </w:r>
      <w:r>
        <w:t xml:space="preserve">framework cannot be credibly used in all cases where it would be needed and for which</w:t>
      </w:r>
      <w:r>
        <w:t xml:space="preserve"> </w:t>
      </w:r>
      <w:r>
        <w:t xml:space="preserve">other avenues involving taxpayer money were used in the past (see Chapter 2, the</w:t>
      </w:r>
      <w:r>
        <w:t xml:space="preserve"> </w:t>
      </w:r>
      <w:r>
        <w:t xml:space="preserve">evaluation in Annex 5 and Annex 9 showing past cases of bank failures).</w:t>
      </w:r>
      <w:r>
        <w:t xml:space="preserve"> </w:t>
      </w:r>
      <w:r>
        <w:t xml:space="preserve">The CMDI review aims to improve the rules in a way that the harmonised resolution</w:t>
      </w:r>
      <w:r>
        <w:t xml:space="preserve"> </w:t>
      </w:r>
      <w:r>
        <w:t xml:space="preserve">framework can also be used for this category of small to mid-sized banks, when</w:t>
      </w:r>
      <w:r>
        <w:t xml:space="preserve"> </w:t>
      </w:r>
      <w:r>
        <w:t xml:space="preserve">resolution best achieves the objectives. To do so, the initiative will revisit: the PIA to</w:t>
      </w:r>
      <w:r>
        <w:t xml:space="preserve"> </w:t>
      </w:r>
      <w:r>
        <w:t xml:space="preserve">include additional criteria to help authorities decide on the best avenue, the access to</w:t>
      </w:r>
      <w:r>
        <w:t xml:space="preserve"> </w:t>
      </w:r>
      <w:r>
        <w:t xml:space="preserve">funding in resolution by using the DGS funds in certain framed circumstances, the least</w:t>
      </w:r>
      <w:r>
        <w:t xml:space="preserve"> </w:t>
      </w:r>
      <w:r>
        <w:t xml:space="preserve">cost test for using DGS funds in and outside resolution to make sure it is harmonised</w:t>
      </w:r>
      <w:r>
        <w:t xml:space="preserve"> </w:t>
      </w:r>
      <w:r>
        <w:t xml:space="preserve">among the various DGS funds uses. This would align incentives between choosing</w:t>
      </w:r>
      <w:r>
        <w:t xml:space="preserve"> </w:t>
      </w:r>
      <w:r>
        <w:t xml:space="preserve">resolution and other avenues and ensure the choice is based on merits/objectives and not</w:t>
      </w:r>
      <w:r>
        <w:t xml:space="preserve"> </w:t>
      </w:r>
      <w:r>
        <w:t xml:space="preserve">on cheaper access to funding.</w:t>
      </w:r>
      <w:r>
        <w:br/>
      </w:r>
      <w:r>
        <w:t xml:space="preserve">Box 6: Evidence depicting the systemic impact of failing small/mid-sized banks on</w:t>
      </w:r>
      <w:r>
        <w:t xml:space="preserve"> </w:t>
      </w:r>
      <w:r>
        <w:t xml:space="preserve">financial stability</w:t>
      </w:r>
      <w:r>
        <w:t xml:space="preserve"> </w:t>
      </w:r>
      <w:r>
        <w:t xml:space="preserve">Small and medium-sized banks, whether purely domestic or cross-border, have an impact</w:t>
      </w:r>
      <w:r>
        <w:t xml:space="preserve"> </w:t>
      </w:r>
      <w:r>
        <w:t xml:space="preserve">on financial stability; albeit a commensurately smaller one than that of large global</w:t>
      </w:r>
      <w:r>
        <w:t xml:space="preserve"> </w:t>
      </w:r>
      <w:r>
        <w:t xml:space="preserve">systemic banks. In line with their size, risk footprint, their interconnectedness and their</w:t>
      </w:r>
      <w:r>
        <w:t xml:space="preserve"> </w:t>
      </w:r>
      <w:r>
        <w:t xml:space="preserve">business strategy, the prudential and liquidity requirements that small and mid-sized</w:t>
      </w:r>
      <w:r>
        <w:t xml:space="preserve"> </w:t>
      </w:r>
      <w:r>
        <w:t xml:space="preserve">banks are asked to comply with, are proportionately lower than those of large systemic</w:t>
      </w:r>
      <w:r>
        <w:t xml:space="preserve"> </w:t>
      </w:r>
      <w:r>
        <w:t xml:space="preserve">banks. They may be also granted access to liquidity assistance by central banks (under</w:t>
      </w:r>
    </w:p>
    <w:p>
      <w:pPr>
        <w:pStyle w:val="BodyText"/>
      </w:pPr>
      <w:r>
        <w:t xml:space="preserve">all or part of the assets of an institution to a private purchaser without the consent of shareholders affects</w:t>
      </w:r>
      <w:r>
        <w:t xml:space="preserve"> </w:t>
      </w:r>
      <w:r>
        <w:t xml:space="preserve">the property rights of shareholders. […] Accordingly, resolution action should be taken only where</w:t>
      </w:r>
      <w:r>
        <w:t xml:space="preserve"> </w:t>
      </w:r>
      <w:r>
        <w:t xml:space="preserve">necessary in the public interest and any interference with rights of shareholders and creditors which</w:t>
      </w:r>
      <w:r>
        <w:t xml:space="preserve"> </w:t>
      </w:r>
      <w:r>
        <w:t xml:space="preserve">results from resolution action should be compatible with the Charter of Fundamental Rights of the</w:t>
      </w:r>
      <w:r>
        <w:t xml:space="preserve"> </w:t>
      </w:r>
      <w:r>
        <w:t xml:space="preserve">European Union (the Charter)…”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eligibility conditions) if needed. They should be also able to fail in an orderly manner</w:t>
      </w:r>
      <w:r>
        <w:t xml:space="preserve"> </w:t>
      </w:r>
      <w:r>
        <w:t xml:space="preserve">under the harmonised resolution framework if it best achieves the objectives.</w:t>
      </w:r>
      <w:r>
        <w:t xml:space="preserve"> </w:t>
      </w:r>
      <w:r>
        <w:t xml:space="preserve">This box aims to provide additional references and examples depicting the impact of</w:t>
      </w:r>
      <w:r>
        <w:t xml:space="preserve"> </w:t>
      </w:r>
      <w:r>
        <w:t xml:space="preserve">small and mid-sized banks on financial stability.</w:t>
      </w:r>
      <w:r>
        <w:t xml:space="preserve"> </w:t>
      </w:r>
      <w:r>
        <w:t xml:space="preserve">The Financial Stability Institute (FSI), part of the Bank for International Settlements</w:t>
      </w:r>
      <w:r>
        <w:t xml:space="preserve"> </w:t>
      </w:r>
      <w:r>
        <w:t xml:space="preserve">argues in its paper “How to manage failures of non-systemic banks” from 2018194 that</w:t>
      </w:r>
      <w:r>
        <w:t xml:space="preserve"> </w:t>
      </w:r>
      <w:r>
        <w:t xml:space="preserve">“the social and economic significance of banks’ activities mean that even the failure of</w:t>
      </w:r>
      <w:r>
        <w:t xml:space="preserve"> </w:t>
      </w:r>
      <w:r>
        <w:t xml:space="preserve">small, non-systemic banks may entail public interest concerns”. The paper notes that</w:t>
      </w:r>
      <w:r>
        <w:t xml:space="preserve"> </w:t>
      </w:r>
      <w:r>
        <w:t xml:space="preserve">insolvency regimes may provide a viable alternative to resolution, while respecting the</w:t>
      </w:r>
      <w:r>
        <w:t xml:space="preserve"> </w:t>
      </w:r>
      <w:r>
        <w:t xml:space="preserve">principle of no bailout agreed internationally after the global financial crisis of 2008-</w:t>
      </w:r>
      <w:r>
        <w:t xml:space="preserve"> </w:t>
      </w:r>
      <w:r>
        <w:t xml:space="preserve">2009. The paper also states that “the unique susceptibility of banks to runs and the role of</w:t>
      </w:r>
      <w:r>
        <w:t xml:space="preserve"> </w:t>
      </w:r>
      <w:r>
        <w:t xml:space="preserve">even non-systemic banks in the functioning of the real economy through activities such as</w:t>
      </w:r>
      <w:r>
        <w:t xml:space="preserve"> </w:t>
      </w:r>
      <w:r>
        <w:t xml:space="preserve">deposit-taking and provision of credit and transmission of payments mean that bank</w:t>
      </w:r>
      <w:r>
        <w:t xml:space="preserve"> </w:t>
      </w:r>
      <w:r>
        <w:t xml:space="preserve">failure is significantly more likely to give rise to public policy concerns than ordinary</w:t>
      </w:r>
      <w:r>
        <w:t xml:space="preserve"> </w:t>
      </w:r>
      <w:r>
        <w:t xml:space="preserve">corporate failures”. It analyses the appropriateness of insolvency regimes for dealing</w:t>
      </w:r>
      <w:r>
        <w:t xml:space="preserve"> </w:t>
      </w:r>
      <w:r>
        <w:t xml:space="preserve">with failing banks and finds that these should fulfil four features in order to be</w:t>
      </w:r>
      <w:r>
        <w:t xml:space="preserve"> </w:t>
      </w:r>
      <w:r>
        <w:t xml:space="preserve">considered adequate to deal with bank failures: (i) include depositor protection in the</w:t>
      </w:r>
      <w:r>
        <w:t xml:space="preserve"> </w:t>
      </w:r>
      <w:r>
        <w:t xml:space="preserve">objectives of the insolvency in addition to that of maximising proceeds from asset sales</w:t>
      </w:r>
      <w:r>
        <w:t xml:space="preserve"> </w:t>
      </w:r>
      <w:r>
        <w:t xml:space="preserve">to satisfy creditor claims, (ii) include wider range of grounds for opening insolvency</w:t>
      </w:r>
      <w:r>
        <w:t xml:space="preserve"> </w:t>
      </w:r>
      <w:r>
        <w:t xml:space="preserve">regimes (forward looking criteria and likelihood of failure); (iii) role of administrative</w:t>
      </w:r>
      <w:r>
        <w:t xml:space="preserve"> </w:t>
      </w:r>
      <w:r>
        <w:t xml:space="preserve">authorities and courts; and (iv) more reduced role of creditors in bank versus corporate</w:t>
      </w:r>
      <w:r>
        <w:t xml:space="preserve"> </w:t>
      </w:r>
      <w:r>
        <w:t xml:space="preserve">insolvency regimes. Otherwise, ordinary corporate insolvency regimes are not best suited</w:t>
      </w:r>
      <w:r>
        <w:t xml:space="preserve"> </w:t>
      </w:r>
      <w:r>
        <w:t xml:space="preserve">to the specific characteristics of banking business and particular risks that arise when a</w:t>
      </w:r>
      <w:r>
        <w:t xml:space="preserve"> </w:t>
      </w:r>
      <w:r>
        <w:t xml:space="preserve">bank fails, which motivated the development of resolution regimes.</w:t>
      </w:r>
      <w:r>
        <w:br/>
      </w:r>
      <w:r>
        <w:t xml:space="preserve">In a subsequent occasional paper called “Bank failure management in the European</w:t>
      </w:r>
      <w:r>
        <w:t xml:space="preserve"> </w:t>
      </w:r>
      <w:r>
        <w:t xml:space="preserve">banking union: What’s wrong and how to fix it” from 2020, the FSI195 notes that the</w:t>
      </w:r>
      <w:r>
        <w:t xml:space="preserve"> </w:t>
      </w:r>
      <w:r>
        <w:t xml:space="preserve">EU CMDI framework cannot guarantee the handling of bank failures without taxpayer</w:t>
      </w:r>
      <w:r>
        <w:t xml:space="preserve"> </w:t>
      </w:r>
      <w:r>
        <w:t xml:space="preserve">money, which is deemed unacceptable as per the international consensus which emerged</w:t>
      </w:r>
      <w:r>
        <w:t xml:space="preserve"> </w:t>
      </w:r>
      <w:r>
        <w:t xml:space="preserve">following the global financial crisis of 2008-2009. It suggests focusing the reform on</w:t>
      </w:r>
      <w:r>
        <w:t xml:space="preserve"> </w:t>
      </w:r>
      <w:r>
        <w:t xml:space="preserve">options for dealing with the failures of small and medium-sized banks, by facilitating</w:t>
      </w:r>
      <w:r>
        <w:t xml:space="preserve"> </w:t>
      </w:r>
      <w:r>
        <w:t xml:space="preserve">greater use of resources from deposit guarantee schemes to fund transfer transactions</w:t>
      </w:r>
      <w:r>
        <w:t xml:space="preserve"> </w:t>
      </w:r>
      <w:r>
        <w:t xml:space="preserve">(sale of business) in resolution and insolvency. The paper clarifies that there are no</w:t>
      </w:r>
      <w:r>
        <w:t xml:space="preserve"> </w:t>
      </w:r>
      <w:r>
        <w:t xml:space="preserve">adequate strategies in the Banking Union for dealing with the failure of mid-sized banks</w:t>
      </w:r>
      <w:r>
        <w:t xml:space="preserve"> </w:t>
      </w:r>
      <w:r>
        <w:t xml:space="preserve">that are too large to be liquidated, but too small and too traditional to be resolved using</w:t>
      </w:r>
      <w:r>
        <w:t xml:space="preserve"> </w:t>
      </w:r>
      <w:r>
        <w:t xml:space="preserve">bail-in. It recommends that transfer strategies could be the most suitable strategy for</w:t>
      </w:r>
      <w:r>
        <w:t xml:space="preserve"> </w:t>
      </w:r>
      <w:r>
        <w:t xml:space="preserve">facilitating an orderly exit for failed small and mid-sized banks, but this is hindered by</w:t>
      </w:r>
      <w:r>
        <w:t xml:space="preserve"> </w:t>
      </w:r>
      <w:r>
        <w:t xml:space="preserve">restrictions to access funding to support such transfer tools (industry funded safety nets).</w:t>
      </w:r>
    </w:p>
    <w:p>
      <w:pPr>
        <w:pStyle w:val="BodyText"/>
      </w:pPr>
      <w:r>
        <w:t xml:space="preserve">194 Financial Stability Institute (FSI), (October 2018), How to manage failures of non-systemic banks.</w:t>
      </w:r>
      <w:r>
        <w:t xml:space="preserve"> </w:t>
      </w:r>
      <w:r>
        <w:t xml:space="preserve">195 Financial Stability Institute (FSI), (July 2020), Bank failure management in the European banking</w:t>
      </w:r>
      <w:r>
        <w:t xml:space="preserve"> </w:t>
      </w:r>
      <w:r>
        <w:t xml:space="preserve">union: What’s wrong and how to fix it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A working paper by the European Systemic Risk Board (ESRB) from 2021196 analyses</w:t>
      </w:r>
      <w:r>
        <w:t xml:space="preserve"> </w:t>
      </w:r>
      <w:r>
        <w:t xml:space="preserve">the impacts of bank failures on the real economy by focusing on the credit channel (i.e. </w:t>
      </w:r>
      <w:r>
        <w:t xml:space="preserve"> </w:t>
      </w:r>
      <w:r>
        <w:t xml:space="preserve">interruptions to lending causing a temporary credit shortfall due to a sudden closure of a</w:t>
      </w:r>
      <w:r>
        <w:t xml:space="preserve"> </w:t>
      </w:r>
      <w:r>
        <w:t xml:space="preserve">bank when placed in insolvency proceedings). The paper found that, the application of</w:t>
      </w:r>
      <w:r>
        <w:t xml:space="preserve"> </w:t>
      </w:r>
      <w:r>
        <w:t xml:space="preserve">the harmonized CMDI framework is especially useful for medium-sized banks, which</w:t>
      </w:r>
      <w:r>
        <w:t xml:space="preserve"> </w:t>
      </w:r>
      <w:r>
        <w:t xml:space="preserve">can be considered “grey area” or “middle class” institutions, as defined by Restoy et al. </w:t>
      </w:r>
      <w:r>
        <w:t xml:space="preserve"> </w:t>
      </w:r>
      <w:r>
        <w:t xml:space="preserve">(2020), as it provides insights to reduce the uncertainty on whether their resolution is in</w:t>
      </w:r>
      <w:r>
        <w:t xml:space="preserve"> </w:t>
      </w:r>
      <w:r>
        <w:t xml:space="preserve">the public interest. At the same time, simulations suggest that the failure of similar banks</w:t>
      </w:r>
      <w:r>
        <w:t xml:space="preserve"> </w:t>
      </w:r>
      <w:r>
        <w:t xml:space="preserve">could have effects of heterogeneous severity across jurisdictions.</w:t>
      </w:r>
      <w:r>
        <w:br/>
      </w:r>
      <w:r>
        <w:t xml:space="preserve">The US savings and loan crisis from the 1980s197 refers to very wide-spread contagion</w:t>
      </w:r>
      <w:r>
        <w:t xml:space="preserve"> </w:t>
      </w:r>
      <w:r>
        <w:t xml:space="preserve">among very small financial institutions dealing with mortgage financing (i.e. exposed to</w:t>
      </w:r>
      <w:r>
        <w:t xml:space="preserve"> </w:t>
      </w:r>
      <w:r>
        <w:t xml:space="preserve">similar sector of activity), on the backdrop of high inflation and rising interest rates.</w:t>
      </w:r>
      <w:r>
        <w:t xml:space="preserve"> </w:t>
      </w:r>
      <w:r>
        <w:t xml:space="preserve">There were more than 4,000 such savings and loans institutions in the US in 1980, with</w:t>
      </w:r>
      <w:r>
        <w:t xml:space="preserve"> </w:t>
      </w:r>
      <w:r>
        <w:t xml:space="preserve">assets totalling USD 600 bn. Given the very high costs to taxpayers of paying insured</w:t>
      </w:r>
      <w:r>
        <w:t xml:space="preserve"> </w:t>
      </w:r>
      <w:r>
        <w:t xml:space="preserve">deposits in these institutions (roughly USD 25 bn), regulatory forbearance led to having a</w:t>
      </w:r>
      <w:r>
        <w:t xml:space="preserve"> </w:t>
      </w:r>
      <w:r>
        <w:t xml:space="preserve">large number of insolvent (zombie) institutions still operating on the market, which</w:t>
      </w:r>
      <w:r>
        <w:t xml:space="preserve"> </w:t>
      </w:r>
      <w:r>
        <w:t xml:space="preserve">worsened the situation. In 1989, the Resolution Trust Corporation closed 747 savings and</w:t>
      </w:r>
      <w:r>
        <w:t xml:space="preserve"> </w:t>
      </w:r>
      <w:r>
        <w:t xml:space="preserve">loans institutions with assets over USD 407 bn, with an ultimate cost to taxpayers of</w:t>
      </w:r>
      <w:r>
        <w:t xml:space="preserve"> </w:t>
      </w:r>
      <w:r>
        <w:t xml:space="preserve">USD 124 bn. The use of public money was needed to shield the clients of these</w:t>
      </w:r>
      <w:r>
        <w:t xml:space="preserve"> </w:t>
      </w:r>
      <w:r>
        <w:t xml:space="preserve">institutions from losing their life savings, as it would have happened were they simply</w:t>
      </w:r>
      <w:r>
        <w:t xml:space="preserve"> </w:t>
      </w:r>
      <w:r>
        <w:t xml:space="preserve">put in bankruptcy proceedings.</w:t>
      </w:r>
      <w:r>
        <w:br/>
      </w:r>
      <w:r>
        <w:t xml:space="preserve">A study by the Dutch National Bank conducted in 2018198 looked at the implications of</w:t>
      </w:r>
      <w:r>
        <w:t xml:space="preserve"> </w:t>
      </w:r>
      <w:r>
        <w:t xml:space="preserve">banking sector size on financial stability. Their analysis suggests that the relationship</w:t>
      </w:r>
      <w:r>
        <w:t xml:space="preserve"> </w:t>
      </w:r>
      <w:r>
        <w:t xml:space="preserve">between banking sector size and financial stability is not clear-cut. For example, several</w:t>
      </w:r>
      <w:r>
        <w:t xml:space="preserve"> </w:t>
      </w:r>
      <w:r>
        <w:t xml:space="preserve">countries with a large banking sector relative to GDP, such as Iceland and Ireland, were</w:t>
      </w:r>
      <w:r>
        <w:t xml:space="preserve"> </w:t>
      </w:r>
      <w:r>
        <w:t xml:space="preserve">hit very hard during the crisis, as they bailed-out large banks with significant impact on</w:t>
      </w:r>
      <w:r>
        <w:t xml:space="preserve"> </w:t>
      </w:r>
      <w:r>
        <w:t xml:space="preserve">sovereign debt. At the same time, however, countries with small, domestically oriented</w:t>
      </w:r>
      <w:r>
        <w:t xml:space="preserve"> </w:t>
      </w:r>
      <w:r>
        <w:t xml:space="preserve">banking sectors, such as Greece, Italy and Portugal, also turned out to be very vulnerable.</w:t>
      </w:r>
      <w:r>
        <w:t xml:space="preserve"> </w:t>
      </w:r>
      <w:r>
        <w:t xml:space="preserve">The study finds that, the size of the banking sector relative to GDP is significantly</w:t>
      </w:r>
      <w:r>
        <w:t xml:space="preserve"> </w:t>
      </w:r>
      <w:r>
        <w:t xml:space="preserve">correlated with most systemic risk measures (as defined by the European Systemic Risk</w:t>
      </w:r>
      <w:r>
        <w:t xml:space="preserve"> </w:t>
      </w:r>
      <w:r>
        <w:t xml:space="preserve">Board (ESRB) in 2013). However, indicators like domestic orientation and sovereign</w:t>
      </w:r>
      <w:r>
        <w:t xml:space="preserve"> </w:t>
      </w:r>
      <w:r>
        <w:t xml:space="preserve">exposures are negatively correlated with size, meaning that small banking sectors are less</w:t>
      </w:r>
      <w:r>
        <w:t xml:space="preserve"> </w:t>
      </w:r>
      <w:r>
        <w:t xml:space="preserve">diversified and tend to be more focused on their home country and government, creating</w:t>
      </w:r>
      <w:r>
        <w:t xml:space="preserve"> </w:t>
      </w:r>
      <w:r>
        <w:t xml:space="preserve">high concentration risks. Among the conclusions of the paper is that the large</w:t>
      </w:r>
      <w:r>
        <w:t xml:space="preserve"> </w:t>
      </w:r>
      <w:r>
        <w:t xml:space="preserve">discretionary power of authorities in deciding how to resolve bank failures may also be</w:t>
      </w:r>
      <w:r>
        <w:t xml:space="preserve"> </w:t>
      </w:r>
      <w:r>
        <w:t xml:space="preserve">an issue.</w:t>
      </w:r>
      <w:r>
        <w:t xml:space="preserve"> </w:t>
      </w:r>
      <w:r>
        <w:t xml:space="preserve">A study entitled ‘Too many to fail’ tabled for a seminar on systemic risk and financial</w:t>
      </w:r>
      <w:r>
        <w:t xml:space="preserve"> </w:t>
      </w:r>
      <w:r>
        <w:t xml:space="preserve">regulation seminar199 in 2010 found that it is not only the size that can cause an</w:t>
      </w:r>
    </w:p>
    <w:p>
      <w:pPr>
        <w:pStyle w:val="BodyText"/>
      </w:pPr>
      <w:r>
        <w:t xml:space="preserve">196 ESRB (European Systemic Risk Board) (June, 2021), Measuring the impact of a bank failure on the</w:t>
      </w:r>
      <w:r>
        <w:t xml:space="preserve"> </w:t>
      </w:r>
      <w:r>
        <w:t xml:space="preserve">real economy: an EU wide analytical framework.</w:t>
      </w:r>
      <w:r>
        <w:br/>
      </w:r>
      <w:r>
        <w:t xml:space="preserve">197 Federal Reserve, Federal Reserve History – Savings and Loans crisis 1980 – 1989.</w:t>
      </w:r>
      <w:r>
        <w:br/>
      </w:r>
      <w:r>
        <w:t xml:space="preserve">198 Dutch National Bank (2018), Size of the banking sector: implications of financial stability.</w:t>
      </w:r>
      <w:r>
        <w:br/>
      </w:r>
      <w:r>
        <w:t xml:space="preserve">199 Johannes Gutenberg University Mainz (2010), Too many to fail, thesis in the course of the seminar</w:t>
      </w:r>
      <w:r>
        <w:t xml:space="preserve"> </w:t>
      </w:r>
      <w:r>
        <w:t xml:space="preserve">‘systemic risk and financial regulation’.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individual bank to be of systemic importance. It is the nature of the bank’s strategy and</w:t>
      </w:r>
      <w:r>
        <w:t xml:space="preserve"> </w:t>
      </w:r>
      <w:r>
        <w:t xml:space="preserve">its interconnectedness to other banks that can also make it systemic. Many small banks</w:t>
      </w:r>
      <w:r>
        <w:t xml:space="preserve"> </w:t>
      </w:r>
      <w:r>
        <w:t xml:space="preserve">that are exposed to the same risk factors can be systemic together because they could all</w:t>
      </w:r>
      <w:r>
        <w:t xml:space="preserve"> </w:t>
      </w:r>
      <w:r>
        <w:t xml:space="preserve">fail at the same time, which would in aggregation have a large effect on the financial</w:t>
      </w:r>
      <w:r>
        <w:t xml:space="preserve"> </w:t>
      </w:r>
      <w:r>
        <w:t xml:space="preserve">system (“too many to fail”). Archaya et al (2009) also defines systemic risk as the “joint</w:t>
      </w:r>
      <w:r>
        <w:t xml:space="preserve"> </w:t>
      </w:r>
      <w:r>
        <w:t xml:space="preserve">failure risk arising from the correlation of returns on asset side of bank balance sheets.”</w:t>
      </w:r>
      <w:r>
        <w:t xml:space="preserve"> </w:t>
      </w:r>
      <w:r>
        <w:t xml:space="preserve">The paper also recalls the significant social cost of liquidating insolvent banks, which can</w:t>
      </w:r>
      <w:r>
        <w:t xml:space="preserve"> </w:t>
      </w:r>
      <w:r>
        <w:t xml:space="preserve">increase drastically with the number of such banks.</w:t>
      </w:r>
      <w:r>
        <w:t xml:space="preserve"> </w:t>
      </w:r>
      <w:r>
        <w:t xml:space="preserve">The examples of bank failures shown in Annex 9 clearly illustrate that, in many cases of</w:t>
      </w:r>
      <w:r>
        <w:t xml:space="preserve"> </w:t>
      </w:r>
      <w:r>
        <w:t xml:space="preserve">small/mid-sized banks failing, public money or other forms of financial aid (DGS) were</w:t>
      </w:r>
      <w:r>
        <w:t xml:space="preserve"> </w:t>
      </w:r>
      <w:r>
        <w:t xml:space="preserve">used in the national insolvency proceedings. The reason for using these resources was to</w:t>
      </w:r>
      <w:r>
        <w:t xml:space="preserve"> </w:t>
      </w:r>
      <w:r>
        <w:t xml:space="preserve">protect financial stability and avoid imposing losses on depositors, which proves that</w:t>
      </w:r>
      <w:r>
        <w:t xml:space="preserve"> </w:t>
      </w:r>
      <w:r>
        <w:t xml:space="preserve">even small or mid-sized banks cannot be left to simple liquidation, which would not</w:t>
      </w:r>
      <w:r>
        <w:t xml:space="preserve"> </w:t>
      </w:r>
      <w:r>
        <w:t xml:space="preserve">require additional financial resources.</w:t>
      </w:r>
      <w:r>
        <w:t xml:space="preserve"> </w:t>
      </w:r>
      <w:r>
        <w:t xml:space="preserve">Other main features of the CMDI framework</w:t>
      </w:r>
      <w:r>
        <w:t xml:space="preserve"> </w:t>
      </w:r>
      <w:r>
        <w:t xml:space="preserve">Preparedness and prevention</w:t>
      </w:r>
      <w:r>
        <w:t xml:space="preserve"> </w:t>
      </w:r>
      <w:r>
        <w:t xml:space="preserve">In order to prevent banking crises, all banks in the EU are required to prepare recovery</w:t>
      </w:r>
      <w:r>
        <w:t xml:space="preserve"> </w:t>
      </w:r>
      <w:r>
        <w:t xml:space="preserve">plans under the supervision of competent authorities. Those plans set up a monitoring</w:t>
      </w:r>
      <w:r>
        <w:t xml:space="preserve"> </w:t>
      </w:r>
      <w:r>
        <w:t xml:space="preserve">system integrated in the banks’ risk management, leading to the implementation of</w:t>
      </w:r>
      <w:r>
        <w:t xml:space="preserve"> </w:t>
      </w:r>
      <w:r>
        <w:t xml:space="preserve">recovery options by the banks to restore their financial position at an early stage of</w:t>
      </w:r>
      <w:r>
        <w:t xml:space="preserve"> </w:t>
      </w:r>
      <w:r>
        <w:t xml:space="preserve">distress (before failure). Additionally, resolution authorities draw up resolution plans</w:t>
      </w:r>
      <w:r>
        <w:t xml:space="preserve"> </w:t>
      </w:r>
      <w:r>
        <w:t xml:space="preserve">outlining the preferred strategy and course of action in case of failure and setting a</w:t>
      </w:r>
      <w:r>
        <w:t xml:space="preserve"> </w:t>
      </w:r>
      <w:r>
        <w:t xml:space="preserve">minimum requirement for own funds and eligible liabilities (MREL) with the aim of</w:t>
      </w:r>
      <w:r>
        <w:t xml:space="preserve"> </w:t>
      </w:r>
      <w:r>
        <w:t xml:space="preserve">ensuring that the shareholders and creditors of the bank can absorb its losses and</w:t>
      </w:r>
      <w:r>
        <w:t xml:space="preserve"> </w:t>
      </w:r>
      <w:r>
        <w:t xml:space="preserve">contribute to its recapitalisation200. If, during the planning process, the authorities</w:t>
      </w:r>
      <w:r>
        <w:t xml:space="preserve"> </w:t>
      </w:r>
      <w:r>
        <w:t xml:space="preserve">identify obstacles to recovery or resolvability, such obstacles will be removed by taking</w:t>
      </w:r>
      <w:r>
        <w:t xml:space="preserve"> </w:t>
      </w:r>
      <w:r>
        <w:t xml:space="preserve">appropriate measures201. For significant institutions within the Banking Union, the</w:t>
      </w:r>
      <w:r>
        <w:t xml:space="preserve"> </w:t>
      </w:r>
      <w:r>
        <w:t xml:space="preserve">ECB/SSM is the relevant authority assessing the recovery plans, taking into account the</w:t>
      </w:r>
      <w:r>
        <w:t xml:space="preserve"> </w:t>
      </w:r>
      <w:r>
        <w:t xml:space="preserve">recommendations of the SRB202. The SRB is responsible for the resolution of significant</w:t>
      </w:r>
      <w:r>
        <w:t xml:space="preserve"> </w:t>
      </w:r>
      <w:r>
        <w:t xml:space="preserve">and cross-border institutions, after consulting with the ECB or the national competent</w:t>
      </w:r>
      <w:r>
        <w:t xml:space="preserve"> </w:t>
      </w:r>
      <w:r>
        <w:t xml:space="preserve">authorities. For all other banks, inside and outside the Banking Union, the relevant</w:t>
      </w:r>
      <w:r>
        <w:t xml:space="preserve"> </w:t>
      </w:r>
      <w:r>
        <w:t xml:space="preserve">resolution authorities remain national203.</w:t>
      </w:r>
    </w:p>
    <w:p>
      <w:pPr>
        <w:pStyle w:val="BodyText"/>
      </w:pPr>
      <w:r>
        <w:t xml:space="preserve">200 For and cross-border banking groups, the BRRD requires that resolution colleges of home and host</w:t>
      </w:r>
      <w:r>
        <w:t xml:space="preserve"> </w:t>
      </w:r>
      <w:r>
        <w:t xml:space="preserve">authorities are set up to coordinate group-wide resolution strategies and implementation of resolution</w:t>
      </w:r>
      <w:r>
        <w:t xml:space="preserve"> </w:t>
      </w:r>
      <w:r>
        <w:t xml:space="preserve">action.</w:t>
      </w:r>
      <w:r>
        <w:t xml:space="preserve"> </w:t>
      </w:r>
      <w:r>
        <w:t xml:space="preserve">201 Such measures can be of a structural, organisational, financial or information-related nature.</w:t>
      </w:r>
      <w:r>
        <w:t xml:space="preserve"> </w:t>
      </w:r>
      <w:r>
        <w:t xml:space="preserve">202 Article 6(4) BRRD.</w:t>
      </w:r>
      <w:r>
        <w:t xml:space="preserve"> </w:t>
      </w:r>
      <w:r>
        <w:t xml:space="preserve">203 Nevertheless, within the Banking Union, national competent and resolution authorities carry out their</w:t>
      </w:r>
      <w:r>
        <w:t xml:space="preserve"> </w:t>
      </w:r>
      <w:r>
        <w:t xml:space="preserve">functions within the framework laid down by Single Supervisory Mechanism Regulation (SSMR) and</w:t>
      </w:r>
      <w:r>
        <w:t xml:space="preserve"> </w:t>
      </w:r>
      <w:r>
        <w:t xml:space="preserve">SRMR and under the general guidance of the ECB and the SRB. Moreover, if the implementation of</w:t>
      </w:r>
      <w:r>
        <w:t xml:space="preserve"> </w:t>
      </w:r>
      <w:r>
        <w:t xml:space="preserve">resolution action to a less significant institution requires the use of the SRF, the resolution scheme must be</w:t>
      </w:r>
      <w:r>
        <w:t xml:space="preserve"> </w:t>
      </w:r>
      <w:r>
        <w:t xml:space="preserve">adopted by the SRB.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Before failure – early intervention, preventive and precautionary measures</w:t>
      </w:r>
      <w:r>
        <w:t xml:space="preserve"> </w:t>
      </w:r>
      <w:r>
        <w:t xml:space="preserve">In case of a deteriorating financial position, the BRRD, SRMR and DGSD foresee</w:t>
      </w:r>
      <w:r>
        <w:t xml:space="preserve"> </w:t>
      </w:r>
      <w:r>
        <w:t xml:space="preserve">specific intervention measures at an early stage to prevent a bank from failing. In</w:t>
      </w:r>
      <w:r>
        <w:t xml:space="preserve"> </w:t>
      </w:r>
      <w:r>
        <w:t xml:space="preserve">particular, the supervisors have an expanded set of powers to intervene via so-called</w:t>
      </w:r>
      <w:r>
        <w:t xml:space="preserve"> </w:t>
      </w:r>
      <w:r>
        <w:t xml:space="preserve">early intervention measures204. These powers include, for example, the ability to dismiss</w:t>
      </w:r>
      <w:r>
        <w:t xml:space="preserve"> </w:t>
      </w:r>
      <w:r>
        <w:t xml:space="preserve">the board or management of a bank and appoint a temporary administrator, or to require</w:t>
      </w:r>
      <w:r>
        <w:t xml:space="preserve"> </w:t>
      </w:r>
      <w:r>
        <w:t xml:space="preserve">the bank to draw up a debt restructuring plan with its creditors. Similarly, DGS funds can</w:t>
      </w:r>
      <w:r>
        <w:t xml:space="preserve"> </w:t>
      </w:r>
      <w:r>
        <w:t xml:space="preserve">be used to prevent the failure of a bank under certain conditions (so called preventive</w:t>
      </w:r>
      <w:r>
        <w:t xml:space="preserve"> </w:t>
      </w:r>
      <w:r>
        <w:t xml:space="preserve">measures205). Finally, under certain conditions, the BRRD and SRMR exceptionally</w:t>
      </w:r>
      <w:r>
        <w:t xml:space="preserve"> </w:t>
      </w:r>
      <w:r>
        <w:t xml:space="preserve">allow for the use of State aid without triggering resolution – the so-called precautionary</w:t>
      </w:r>
      <w:r>
        <w:t xml:space="preserve"> </w:t>
      </w:r>
      <w:r>
        <w:t xml:space="preserve">recapitalisation and precautionary liquidity206. Such a public support to solvent banks is</w:t>
      </w:r>
      <w:r>
        <w:t xml:space="preserve"> </w:t>
      </w:r>
      <w:r>
        <w:t xml:space="preserve">allowed to cover capital shortfalls identified during a supervisory stress test.</w:t>
      </w:r>
      <w:r>
        <w:br/>
      </w:r>
      <w:r>
        <w:t xml:space="preserve">Failing or likely to fail</w:t>
      </w:r>
      <w:r>
        <w:br/>
      </w:r>
      <w:r>
        <w:t xml:space="preserve">If a bank’s failure is deemed inevitable, the BRRD and SRMR require the competent207</w:t>
      </w:r>
      <w:r>
        <w:t xml:space="preserve"> </w:t>
      </w:r>
      <w:r>
        <w:t xml:space="preserve">(or the resolution) authority to determine that it is “failing or likely to fail” (FOLF). The</w:t>
      </w:r>
      <w:r>
        <w:t xml:space="preserve"> </w:t>
      </w:r>
      <w:r>
        <w:t xml:space="preserve">resolution authorities assess whether resolution is in the public interest, via a public</w:t>
      </w:r>
      <w:r>
        <w:t xml:space="preserve"> </w:t>
      </w:r>
      <w:r>
        <w:t xml:space="preserve">interest assessment (PIA) on the basis of the need to pursue the resolution objectives,</w:t>
      </w:r>
      <w:r>
        <w:t xml:space="preserve"> </w:t>
      </w:r>
      <w:r>
        <w:t xml:space="preserve">having also in mind the applicable national insolvency proceedings. In case of a positive</w:t>
      </w:r>
      <w:r>
        <w:t xml:space="preserve"> </w:t>
      </w:r>
      <w:r>
        <w:t xml:space="preserve">PIA, the resolution authority will apply resolution tools. These may include selling the</w:t>
      </w:r>
      <w:r>
        <w:t xml:space="preserve"> </w:t>
      </w:r>
      <w:r>
        <w:t xml:space="preserve">business to a private purchaser, setting up a temporary bridge bank to operate critical</w:t>
      </w:r>
      <w:r>
        <w:t xml:space="preserve"> </w:t>
      </w:r>
      <w:r>
        <w:t xml:space="preserve">functions, separating bad assets through the transfer to an asset management vehicle and</w:t>
      </w:r>
      <w:r>
        <w:t xml:space="preserve"> </w:t>
      </w:r>
      <w:r>
        <w:t xml:space="preserve">writing down debt or converting it to equity (bail-in). When the PIA is negative, the</w:t>
      </w:r>
      <w:r>
        <w:t xml:space="preserve"> </w:t>
      </w:r>
      <w:r>
        <w:t xml:space="preserve">failing institution must be orderly wound up under national proceedings. The applicable</w:t>
      </w:r>
      <w:r>
        <w:t xml:space="preserve"> </w:t>
      </w:r>
      <w:r>
        <w:t xml:space="preserve">creditor hierarchy208 plays an important role in this context because it provides the order</w:t>
      </w:r>
      <w:r>
        <w:t xml:space="preserve"> </w:t>
      </w:r>
      <w:r>
        <w:t xml:space="preserve">in which claims bear losses both in resolution and insolvency.</w:t>
      </w:r>
      <w:r>
        <w:br/>
      </w:r>
      <w:r>
        <w:t xml:space="preserve">Financial safety nets</w:t>
      </w:r>
      <w:r>
        <w:t xml:space="preserve"> </w:t>
      </w:r>
      <w:r>
        <w:t xml:space="preserve">The framework sets up industry-funded safety nets that contribute to reducing the risk of</w:t>
      </w:r>
      <w:r>
        <w:t xml:space="preserve"> </w:t>
      </w:r>
      <w:r>
        <w:t xml:space="preserve">bail-out by taxpayers. Resolution and deposit guarantee funds, financed by the industry,</w:t>
      </w:r>
      <w:r>
        <w:t xml:space="preserve"> </w:t>
      </w:r>
      <w:r>
        <w:t xml:space="preserve">can provide financial support to failing banks in resolution if needed to complement the</w:t>
      </w:r>
      <w:r>
        <w:t xml:space="preserve"> </w:t>
      </w:r>
      <w:r>
        <w:t xml:space="preserve">internal loss-absorbing capacity.</w:t>
      </w:r>
      <w:r>
        <w:t xml:space="preserve"> </w:t>
      </w:r>
      <w:r>
        <w:t xml:space="preserve">With the BRRD and SRMR, national resolution funds and the SRF for banks in the</w:t>
      </w:r>
      <w:r>
        <w:t xml:space="preserve"> </w:t>
      </w:r>
      <w:r>
        <w:t xml:space="preserve">Banking Union209 were set-up in 2015 and 2016 respectively. National resolution funds</w:t>
      </w:r>
      <w:r>
        <w:t xml:space="preserve"> </w:t>
      </w:r>
      <w:r>
        <w:t xml:space="preserve">are established in each Member State and managed by the national resolution authorities.</w:t>
      </w:r>
    </w:p>
    <w:p>
      <w:pPr>
        <w:pStyle w:val="BodyText"/>
      </w:pPr>
      <w:r>
        <w:t xml:space="preserve">204 These powers are laid down both in the BRRD as well as in the CRD and SSMR.</w:t>
      </w:r>
      <w:r>
        <w:br/>
      </w:r>
      <w:r>
        <w:t xml:space="preserve">205 Article 11(3) DGSD.</w:t>
      </w:r>
      <w:r>
        <w:t xml:space="preserve"> </w:t>
      </w:r>
      <w:r>
        <w:t xml:space="preserve">206 Article 32(4) BRRD.</w:t>
      </w:r>
      <w:r>
        <w:t xml:space="preserve"> </w:t>
      </w:r>
      <w:r>
        <w:t xml:space="preserve">207 ECB/SSM as the competent authority for all significant banks in the Banking Union and the national</w:t>
      </w:r>
      <w:r>
        <w:t xml:space="preserve"> </w:t>
      </w:r>
      <w:r>
        <w:t xml:space="preserve">competent authority for all other banks.</w:t>
      </w:r>
      <w:r>
        <w:t xml:space="preserve"> </w:t>
      </w:r>
      <w:r>
        <w:t xml:space="preserve">208 Each Member State has a specific insolvency hierarchy of claims. Hence, when a bank goes into normal</w:t>
      </w:r>
      <w:r>
        <w:t xml:space="preserve"> </w:t>
      </w:r>
      <w:r>
        <w:t xml:space="preserve">insolvency proceedings, creditors are allocated to different classes, according to the national ranking of</w:t>
      </w:r>
      <w:r>
        <w:t xml:space="preserve"> </w:t>
      </w:r>
      <w:r>
        <w:t xml:space="preserve">creditors. See VVA, Grimaldi &amp; Bruegel (2019) Study on the differences between bank insolvency laws</w:t>
      </w:r>
      <w:r>
        <w:t xml:space="preserve"> </w:t>
      </w:r>
      <w:r>
        <w:t xml:space="preserve">and on their potential harmonisation</w:t>
      </w:r>
      <w:r>
        <w:t xml:space="preserve"> </w:t>
      </w:r>
      <w:r>
        <w:t xml:space="preserve">209 Further, the Eurogroup agreed in November 2020 to introduce a common backstop to the SRF. It will</w:t>
      </w:r>
      <w:r>
        <w:t xml:space="preserve"> </w:t>
      </w:r>
      <w:r>
        <w:t xml:space="preserve">be provided by the ESM and its size will be aligned to the size of the SRF, up to a nominal cap of</w:t>
      </w:r>
      <w:r>
        <w:t xml:space="preserve"> </w:t>
      </w:r>
      <w:r>
        <w:t xml:space="preserve">EUR 68 bn. The backstop will be introduced by 2022.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The SRF is established in the Banking Union and it is managed by the SRB. The</w:t>
      </w:r>
      <w:r>
        <w:t xml:space="preserve"> </w:t>
      </w:r>
      <w:r>
        <w:t xml:space="preserve">resolution funds are expected to reach their target levels by 2024, which correspond to at</w:t>
      </w:r>
      <w:r>
        <w:t xml:space="preserve"> </w:t>
      </w:r>
      <w:r>
        <w:t xml:space="preserve">least 1% of the covered deposits of all credit institutions operating in their remit.210</w:t>
      </w:r>
      <w:r>
        <w:t xml:space="preserve"> </w:t>
      </w:r>
      <w:r>
        <w:t xml:space="preserve">Banks’ (including certain investment firms) annual contributions to the national</w:t>
      </w:r>
      <w:r>
        <w:t xml:space="preserve"> </w:t>
      </w:r>
      <w:r>
        <w:t xml:space="preserve">resolution funds and the SRF are based on their liabilities and risks. The resolution funds</w:t>
      </w:r>
      <w:r>
        <w:t xml:space="preserve"> </w:t>
      </w:r>
      <w:r>
        <w:t xml:space="preserve">may be used only to the extent necessary to ensure the effective application of the</w:t>
      </w:r>
      <w:r>
        <w:t xml:space="preserve"> </w:t>
      </w:r>
      <w:r>
        <w:t xml:space="preserve">resolution tools and as a last resort. Resolution measures financed by a resolution fund</w:t>
      </w:r>
      <w:r>
        <w:t xml:space="preserve"> </w:t>
      </w:r>
      <w:r>
        <w:t xml:space="preserve">can take the form of contributions in lieu of the bail-in of certain creditors and loans or</w:t>
      </w:r>
      <w:r>
        <w:t xml:space="preserve"> </w:t>
      </w:r>
      <w:r>
        <w:t xml:space="preserve">asset guarantees.</w:t>
      </w:r>
      <w:r>
        <w:br/>
      </w:r>
      <w:r>
        <w:t xml:space="preserve">In order to access the RF/SRF for solvency (loss coverage) support, a minimum bail-in of</w:t>
      </w:r>
      <w:r>
        <w:t xml:space="preserve"> </w:t>
      </w:r>
      <w:r>
        <w:t xml:space="preserve">8% of total liabilities and own funds of shareholders and creditors (which may include</w:t>
      </w:r>
      <w:r>
        <w:t xml:space="preserve"> </w:t>
      </w:r>
      <w:r>
        <w:t xml:space="preserve">depositors) must be carried out beforehand. A series of liabilities in the banks’ balance</w:t>
      </w:r>
      <w:r>
        <w:t xml:space="preserve"> </w:t>
      </w:r>
      <w:r>
        <w:t xml:space="preserve">sheets are mandatorily excluded from bail-in, including covered deposits211. Although</w:t>
      </w:r>
      <w:r>
        <w:t xml:space="preserve"> </w:t>
      </w:r>
      <w:r>
        <w:t xml:space="preserve">not explicitly stated in BRRD and SRMR, a systematic interpretation of the relevant legal</w:t>
      </w:r>
      <w:r>
        <w:t xml:space="preserve"> </w:t>
      </w:r>
      <w:r>
        <w:t xml:space="preserve">provision indicated that the minimum bail-in condition does not apply when accessing</w:t>
      </w:r>
      <w:r>
        <w:t xml:space="preserve"> </w:t>
      </w:r>
      <w:r>
        <w:t xml:space="preserve">the RF/SRF for liquidity support. If the RF/SRF does not have sufficient financial means</w:t>
      </w:r>
      <w:r>
        <w:t xml:space="preserve"> </w:t>
      </w:r>
      <w:r>
        <w:t xml:space="preserve">to fund resolution, ex post contributions are raised to cover the additional amounts212. On</w:t>
      </w:r>
      <w:r>
        <w:t xml:space="preserve"> </w:t>
      </w:r>
      <w:r>
        <w:t xml:space="preserve">an annual basis, the RF/SRF is replenished by ex ante industry contributions to ensure</w:t>
      </w:r>
      <w:r>
        <w:t xml:space="preserve"> </w:t>
      </w:r>
      <w:r>
        <w:t xml:space="preserve">that the level of available funds is not below the target level213.</w:t>
      </w:r>
      <w:r>
        <w:br/>
      </w:r>
      <w:r>
        <w:t xml:space="preserve">In line with the DGSD, national DGSs were established in each Member State and</w:t>
      </w:r>
      <w:r>
        <w:t xml:space="preserve"> </w:t>
      </w:r>
      <w:r>
        <w:t xml:space="preserve">managed by the national DGS authorities. DGS funds are expected to reach a target level</w:t>
      </w:r>
      <w:r>
        <w:t xml:space="preserve"> </w:t>
      </w:r>
      <w:r>
        <w:t xml:space="preserve">equivalent to at least 0.8%214 of covered deposits in the respective Member State by July</w:t>
      </w:r>
      <w:r>
        <w:t xml:space="preserve"> </w:t>
      </w:r>
      <w:r>
        <w:t xml:space="preserve">2024. The primary objective of DGS funds is to ensure a harmonised protection of</w:t>
      </w:r>
      <w:r>
        <w:t xml:space="preserve"> </w:t>
      </w:r>
      <w:r>
        <w:t xml:space="preserve">EUR 100 000 (or equivalent amount in the local currency) across the EU by paying out</w:t>
      </w:r>
      <w:r>
        <w:t xml:space="preserve"> </w:t>
      </w:r>
      <w:r>
        <w:t xml:space="preserve">covered depositors up to that level in case their deposits become unavailable. Beyond the</w:t>
      </w:r>
      <w:r>
        <w:t xml:space="preserve"> </w:t>
      </w:r>
      <w:r>
        <w:t xml:space="preserve">so-called “pay box function”, DGSs can also support, under specific conditions,</w:t>
      </w:r>
      <w:r>
        <w:t xml:space="preserve"> </w:t>
      </w:r>
      <w:r>
        <w:t xml:space="preserve">proceedings in resolution215 and insolvency216, as well as preventive measures to avoid</w:t>
      </w:r>
      <w:r>
        <w:t xml:space="preserve"> </w:t>
      </w:r>
      <w:r>
        <w:t xml:space="preserve">the failure of a credit institution217.</w:t>
      </w:r>
      <w:r>
        <w:t xml:space="preserve"> </w:t>
      </w:r>
      <w:r>
        <w:t xml:space="preserve">The conditions to access DGS funds for resolution, preventive measures and alternative</w:t>
      </w:r>
      <w:r>
        <w:t xml:space="preserve"> </w:t>
      </w:r>
      <w:r>
        <w:t xml:space="preserve">measures diverge218. In resolution, the DGS may be liable for the losses that covered</w:t>
      </w:r>
      <w:r>
        <w:t xml:space="preserve"> </w:t>
      </w:r>
      <w:r>
        <w:t xml:space="preserve">depositors would have borne were they not excluded from loss absorption, up to the limit</w:t>
      </w:r>
      <w:r>
        <w:t xml:space="preserve"> </w:t>
      </w:r>
      <w:r>
        <w:t xml:space="preserve">of the losses the DGS would have suffered in insolvency.</w:t>
      </w:r>
      <w:r>
        <w:t xml:space="preserve"> </w:t>
      </w:r>
      <w:r>
        <w:t xml:space="preserve">In insolvency, the DGS has the possibility to use an alternative measure to payout219</w:t>
      </w:r>
      <w:r>
        <w:t xml:space="preserve"> </w:t>
      </w:r>
      <w:r>
        <w:t xml:space="preserve">aiming at preserving the depositors’ access to covered deposits, such as a transfer of the</w:t>
      </w:r>
    </w:p>
    <w:p>
      <w:pPr>
        <w:pStyle w:val="BodyText"/>
      </w:pPr>
      <w:r>
        <w:t xml:space="preserve">210 As of July 2021, the SRF holds approximately EUR 52 bn, see SRB (2021) Compartments.</w:t>
      </w:r>
      <w:r>
        <w:t xml:space="preserve"> </w:t>
      </w:r>
      <w:r>
        <w:t xml:space="preserve">211 Article 44(2) BRRD listing mandatory exclusions from bail-in. Article 44(3) lists discretionary</w:t>
      </w:r>
      <w:r>
        <w:t xml:space="preserve"> </w:t>
      </w:r>
      <w:r>
        <w:t xml:space="preserve">exclusions from bail-in.</w:t>
      </w:r>
      <w:r>
        <w:t xml:space="preserve"> </w:t>
      </w:r>
      <w:r>
        <w:t xml:space="preserve">212 Articles 71 SRMR and 104 BRRD.</w:t>
      </w:r>
      <w:r>
        <w:t xml:space="preserve"> </w:t>
      </w:r>
      <w:r>
        <w:t xml:space="preserve">213 Articles 70 SRMR and 103 BRRD.</w:t>
      </w:r>
      <w:r>
        <w:t xml:space="preserve"> </w:t>
      </w:r>
      <w:r>
        <w:t xml:space="preserve">214 In certain cases, this level is lowered to 0.5%.</w:t>
      </w:r>
      <w:r>
        <w:br/>
      </w:r>
      <w:r>
        <w:t xml:space="preserve">215 As laid down in Article 109 BRRD.</w:t>
      </w:r>
      <w:r>
        <w:t xml:space="preserve"> </w:t>
      </w:r>
      <w:r>
        <w:t xml:space="preserve">216 As alternative measures laid down in Article 11(6) DGSD.</w:t>
      </w:r>
      <w:r>
        <w:t xml:space="preserve"> </w:t>
      </w:r>
      <w:r>
        <w:t xml:space="preserve">217 As laid down in Article 11(3) DGSD.</w:t>
      </w:r>
      <w:r>
        <w:t xml:space="preserve"> </w:t>
      </w:r>
      <w:r>
        <w:t xml:space="preserve">218 As laid down in Article 109 BRRD, Article 11(3) DGSD and Article 11(6) DGSD respectively.</w:t>
      </w:r>
      <w:r>
        <w:t xml:space="preserve"> </w:t>
      </w:r>
      <w:r>
        <w:t xml:space="preserve">219 Article 11(6) DGSD.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assets and liabilities and deposit book to an acquiring bank. Under Article 11(6) DGSD,</w:t>
      </w:r>
      <w:r>
        <w:t xml:space="preserve"> </w:t>
      </w:r>
      <w:r>
        <w:t xml:space="preserve">the DGS can finance an alternative measure if its cost is limited to the “net amount of</w:t>
      </w:r>
      <w:r>
        <w:t xml:space="preserve"> </w:t>
      </w:r>
      <w:r>
        <w:t xml:space="preserve">compensating covered depositors”. In this context, the DGS has to compare the cost of</w:t>
      </w:r>
      <w:r>
        <w:t xml:space="preserve"> </w:t>
      </w:r>
      <w:r>
        <w:t xml:space="preserve">the payout and the cost of the alternative measure (i.e. the least cost test), and applies the</w:t>
      </w:r>
      <w:r>
        <w:t xml:space="preserve"> </w:t>
      </w:r>
      <w:r>
        <w:t xml:space="preserve">least costly option.</w:t>
      </w:r>
      <w:r>
        <w:t xml:space="preserve"> </w:t>
      </w:r>
      <w:r>
        <w:t xml:space="preserve">For non-failing banks, preventive measures aim to prevent the failure of a bank so that it</w:t>
      </w:r>
      <w:r>
        <w:t xml:space="preserve"> </w:t>
      </w:r>
      <w:r>
        <w:t xml:space="preserve">continues as a going concern. Such intervention is subject to conditions. Under</w:t>
      </w:r>
      <w:r>
        <w:t xml:space="preserve"> </w:t>
      </w:r>
      <w:r>
        <w:t xml:space="preserve">Article 11(3)(c) DGSD, the cost of the measures cannot exceed “the costs of fulfilling the</w:t>
      </w:r>
      <w:r>
        <w:t xml:space="preserve"> </w:t>
      </w:r>
      <w:r>
        <w:t xml:space="preserve">statutory or contractual mandate of the DGS”. The interpretation of this condition varies</w:t>
      </w:r>
      <w:r>
        <w:t xml:space="preserve"> </w:t>
      </w:r>
      <w:r>
        <w:t xml:space="preserve">among Member States. Some apply a least cost test similar for preventive and alternative</w:t>
      </w:r>
      <w:r>
        <w:t xml:space="preserve"> </w:t>
      </w:r>
      <w:r>
        <w:t xml:space="preserve">measures, while others do not apply any least cost assessment for preventive measures.</w:t>
      </w:r>
      <w:r>
        <w:t xml:space="preserve"> </w:t>
      </w:r>
      <w:r>
        <w:t xml:space="preserve">When the financial means of the DGS are not sufficient to fund the necessary measures,</w:t>
      </w:r>
      <w:r>
        <w:t xml:space="preserve"> </w:t>
      </w:r>
      <w:r>
        <w:t xml:space="preserve">the DGS may seek to obtain the missing funds through ex post contributions raised with</w:t>
      </w:r>
      <w:r>
        <w:t xml:space="preserve"> </w:t>
      </w:r>
      <w:r>
        <w:t xml:space="preserve">the industry, through borrowing with other DGSs and/or through a loan from the State</w:t>
      </w:r>
      <w:r>
        <w:t xml:space="preserve"> </w:t>
      </w:r>
      <w:r>
        <w:t xml:space="preserve">budget (which is the backstop of the DGS). Once the DGS funds have been depleted, the</w:t>
      </w:r>
      <w:r>
        <w:t xml:space="preserve"> </w:t>
      </w:r>
      <w:r>
        <w:t xml:space="preserve">fund is replenished through ex ante industry contributions220.</w:t>
      </w:r>
    </w:p>
    <w:p>
      <w:pPr>
        <w:pStyle w:val="BodyText"/>
      </w:pPr>
      <w:r>
        <w:t xml:space="preserve">220 Two requirements have to be met: (i) the target level must be reached by 2024, and (ii) after 2024, if the</w:t>
      </w:r>
      <w:r>
        <w:t xml:space="preserve"> </w:t>
      </w:r>
      <w:r>
        <w:t xml:space="preserve">fund is depleted, it has to be replenished within 6 years (Article 10(2) DGSD).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Figure 11: EU resolution and insolvency framework</w:t>
      </w:r>
      <w:r>
        <w:t xml:space="preserve"> </w:t>
      </w:r>
      <w:r>
        <w:t xml:space="preserve">Timing</w:t>
      </w:r>
    </w:p>
    <w:p>
      <w:pPr>
        <w:pStyle w:val="BodyText"/>
      </w:pPr>
      <w:r>
        <w:t xml:space="preserve">Measure/procedure</w:t>
      </w:r>
      <w:r>
        <w:t xml:space="preserve"> </w:t>
      </w:r>
      <w:r>
        <w:t xml:space="preserve">Responsible</w:t>
      </w:r>
      <w:r>
        <w:t xml:space="preserve"> </w:t>
      </w:r>
      <w:r>
        <w:t xml:space="preserve">authority</w:t>
      </w:r>
      <w:r>
        <w:t xml:space="preserve"> </w:t>
      </w:r>
      <w:r>
        <w:t xml:space="preserve">Planning and early</w:t>
      </w:r>
      <w:r>
        <w:t xml:space="preserve"> </w:t>
      </w:r>
      <w:r>
        <w:t xml:space="preserve">actions</w:t>
      </w:r>
    </w:p>
    <w:p>
      <w:pPr>
        <w:pStyle w:val="BodyText"/>
      </w:pPr>
      <w:r>
        <w:t xml:space="preserve">Stress test (by EBA)</w:t>
      </w:r>
      <w:r>
        <w:t xml:space="preserve"> </w:t>
      </w:r>
      <w:r>
        <w:t xml:space="preserve">Enhanced supervision</w:t>
      </w:r>
      <w:r>
        <w:t xml:space="preserve"> </w:t>
      </w:r>
      <w:r>
        <w:t xml:space="preserve">Recovery plans (to be prepared by banks)</w:t>
      </w:r>
      <w:r>
        <w:t xml:space="preserve"> </w:t>
      </w:r>
      <w:r>
        <w:t xml:space="preserve">Resolution plans*, MREL decision (drawn up by resolution authorities)</w:t>
      </w:r>
      <w:r>
        <w:t xml:space="preserve"> </w:t>
      </w:r>
      <w:r>
        <w:t xml:space="preserve">Supervisory powers (CRD/CRR/SSMR)</w:t>
      </w:r>
      <w:r>
        <w:br/>
      </w:r>
      <w:r>
        <w:t xml:space="preserve">Early intervention measures (BRRD)</w:t>
      </w:r>
    </w:p>
    <w:p>
      <w:pPr>
        <w:pStyle w:val="BodyText"/>
      </w:pPr>
      <w:r>
        <w:t xml:space="preserve">Supervision:</w:t>
      </w:r>
      <w:r>
        <w:t xml:space="preserve"> </w:t>
      </w:r>
      <w:r>
        <w:t xml:space="preserve">For systemic</w:t>
      </w:r>
      <w:r>
        <w:t xml:space="preserve"> </w:t>
      </w:r>
      <w:r>
        <w:t xml:space="preserve">banks in the</w:t>
      </w:r>
      <w:r>
        <w:t xml:space="preserve"> </w:t>
      </w:r>
      <w:r>
        <w:t xml:space="preserve">Banking Union:</w:t>
      </w:r>
      <w:r>
        <w:t xml:space="preserve"> </w:t>
      </w:r>
      <w:r>
        <w:t xml:space="preserve">SSM</w:t>
      </w:r>
    </w:p>
    <w:p>
      <w:pPr>
        <w:pStyle w:val="BodyText"/>
      </w:pPr>
      <w:r>
        <w:t xml:space="preserve">For all others:</w:t>
      </w:r>
      <w:r>
        <w:t xml:space="preserve"> </w:t>
      </w:r>
      <w:r>
        <w:t xml:space="preserve">national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</w:p>
    <w:p>
      <w:pPr>
        <w:pStyle w:val="Compact"/>
        <w:numPr>
          <w:ilvl w:val="0"/>
          <w:numId w:val="1011"/>
        </w:numPr>
      </w:pPr>
      <w:r>
        <w:t xml:space="preserve">See “resolution”</w:t>
      </w:r>
      <w:r>
        <w:t xml:space="preserve"> </w:t>
      </w:r>
      <w:r>
        <w:t xml:space="preserve">below</w:t>
      </w:r>
      <w:r>
        <w:t xml:space="preserve"> </w:t>
      </w:r>
      <w:r>
        <w:t xml:space="preserve">Preventive and pre-FOLF</w:t>
      </w:r>
    </w:p>
    <w:p>
      <w:pPr>
        <w:pStyle w:val="FirstParagraph"/>
      </w:pPr>
      <w:r>
        <w:t xml:space="preserve">Solvency</w:t>
      </w:r>
      <w:r>
        <w:t xml:space="preserve"> </w:t>
      </w:r>
      <w:r>
        <w:t xml:space="preserve">Assessment:</w:t>
      </w:r>
      <w:r>
        <w:t xml:space="preserve"> </w:t>
      </w:r>
      <w:r>
        <w:t xml:space="preserve">ECB/national</w:t>
      </w:r>
      <w:r>
        <w:t xml:space="preserve"> </w:t>
      </w:r>
      <w:r>
        <w:t xml:space="preserve">supervisor</w:t>
      </w:r>
    </w:p>
    <w:p>
      <w:pPr>
        <w:pStyle w:val="BodyText"/>
      </w:pPr>
      <w:r>
        <w:t xml:space="preserve">For BRRD</w:t>
      </w:r>
      <w:r>
        <w:t xml:space="preserve"> </w:t>
      </w:r>
      <w:r>
        <w:t xml:space="preserve">precautionary</w:t>
      </w:r>
      <w:r>
        <w:t xml:space="preserve"> </w:t>
      </w:r>
      <w:r>
        <w:t xml:space="preserve">measures:</w:t>
      </w:r>
      <w:r>
        <w:t xml:space="preserve"> </w:t>
      </w:r>
      <w:r>
        <w:t xml:space="preserve">Member State,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For DGSD</w:t>
      </w:r>
      <w:r>
        <w:t xml:space="preserve"> </w:t>
      </w:r>
      <w:r>
        <w:t xml:space="preserve">preventive</w:t>
      </w:r>
      <w:r>
        <w:t xml:space="preserve"> </w:t>
      </w:r>
      <w:r>
        <w:t xml:space="preserve">measures:</w:t>
      </w:r>
      <w:r>
        <w:t xml:space="preserve"> </w:t>
      </w:r>
      <w:r>
        <w:t xml:space="preserve">DGS authority</w:t>
      </w:r>
      <w:r>
        <w:t xml:space="preserve"> </w:t>
      </w:r>
      <w:r>
        <w:t xml:space="preserve">Failing bank –</w:t>
      </w:r>
      <w:r>
        <w:br/>
      </w:r>
      <w:r>
        <w:t xml:space="preserve">Resolution or insolvency</w:t>
      </w:r>
    </w:p>
    <w:p>
      <w:pPr>
        <w:pStyle w:val="BodyText"/>
      </w:pPr>
      <w:r>
        <w:t xml:space="preserve">Resolution:</w:t>
      </w:r>
      <w:r>
        <w:t xml:space="preserve"> </w:t>
      </w:r>
      <w:r>
        <w:t xml:space="preserve">For Banking</w:t>
      </w:r>
      <w:r>
        <w:t xml:space="preserve"> </w:t>
      </w:r>
      <w:r>
        <w:t xml:space="preserve">Union: SRB as</w:t>
      </w:r>
      <w:r>
        <w:t xml:space="preserve"> </w:t>
      </w:r>
      <w:r>
        <w:t xml:space="preserve">a central</w:t>
      </w:r>
      <w:r>
        <w:t xml:space="preserve"> </w:t>
      </w:r>
      <w:r>
        <w:t xml:space="preserve">authority</w:t>
      </w:r>
    </w:p>
    <w:p>
      <w:pPr>
        <w:pStyle w:val="BodyText"/>
      </w:pPr>
      <w:r>
        <w:t xml:space="preserve">For all others:</w:t>
      </w:r>
      <w:r>
        <w:t xml:space="preserve"> </w:t>
      </w:r>
      <w:r>
        <w:t xml:space="preserve">National</w:t>
      </w:r>
      <w:r>
        <w:t xml:space="preserve"> </w:t>
      </w:r>
      <w:r>
        <w:t xml:space="preserve">resolution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Insolvency: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Source: Commission services</w:t>
      </w:r>
    </w:p>
    <w:p>
      <w:pPr>
        <w:pStyle w:val="BodyText"/>
      </w:pPr>
      <w:r>
        <w:t xml:space="preserve">Is it in the public interest to put the</w:t>
      </w:r>
      <w:r>
        <w:t xml:space="preserve"> </w:t>
      </w:r>
      <w:r>
        <w:t xml:space="preserve">bank into resolution?</w:t>
      </w:r>
      <w:r>
        <w:t xml:space="preserve"> </w:t>
      </w:r>
      <w:r>
        <w:t xml:space="preserve">Resolution under</w:t>
      </w:r>
      <w:r>
        <w:t xml:space="preserve"> </w:t>
      </w:r>
      <w:r>
        <w:t xml:space="preserve">the BRRD</w:t>
      </w:r>
      <w:r>
        <w:t xml:space="preserve"> </w:t>
      </w:r>
      <w:r>
        <w:t xml:space="preserve">Funding through bail-in mechanism and</w:t>
      </w:r>
      <w:r>
        <w:t xml:space="preserve"> </w:t>
      </w:r>
      <w:r>
        <w:t xml:space="preserve">resolution funds</w:t>
      </w:r>
      <w:r>
        <w:t xml:space="preserve"> </w:t>
      </w:r>
      <w:r>
        <w:t xml:space="preserve">Tools and powers: selling (parts of) the</w:t>
      </w:r>
      <w:r>
        <w:t xml:space="preserve"> </w:t>
      </w:r>
      <w:r>
        <w:t xml:space="preserve">bank to an acquirer, transfer critical functions</w:t>
      </w:r>
      <w:r>
        <w:t xml:space="preserve"> </w:t>
      </w:r>
      <w:r>
        <w:t xml:space="preserve">to a bridge bank, transfer bad assets to an</w:t>
      </w:r>
      <w:r>
        <w:t xml:space="preserve"> </w:t>
      </w:r>
      <w:r>
        <w:t xml:space="preserve">asset management vehicle or apply bail-in by</w:t>
      </w:r>
      <w:r>
        <w:t xml:space="preserve"> </w:t>
      </w:r>
      <w:r>
        <w:t xml:space="preserve">reducing creditors’ claims or converting them</w:t>
      </w:r>
      <w:r>
        <w:t xml:space="preserve"> </w:t>
      </w:r>
      <w:r>
        <w:t xml:space="preserve">into capital to recapitalise the bank</w:t>
      </w:r>
      <w:r>
        <w:t xml:space="preserve"> </w:t>
      </w:r>
      <w:r>
        <w:t xml:space="preserve">Is the institution falling or likely to fail?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ANNEX 5: EVALUATION OF THE CMDI FRAMEWORK</w:t>
      </w:r>
    </w:p>
    <w:p>
      <w:pPr>
        <w:pStyle w:val="Compact"/>
        <w:numPr>
          <w:ilvl w:val="0"/>
          <w:numId w:val="1012"/>
        </w:numPr>
      </w:pPr>
      <w:r>
        <w:t xml:space="preserve">EXECUTIVE SUMMARY</w:t>
      </w:r>
      <w:r>
        <w:t xml:space="preserve"> </w:t>
      </w:r>
      <w:r>
        <w:t xml:space="preserve">The EU bank crisis management and deposit insurance framework lays out the rules for</w:t>
      </w:r>
      <w:r>
        <w:t xml:space="preserve"> </w:t>
      </w:r>
      <w:r>
        <w:t xml:space="preserve">handling bank failures and ensuring the protection of depositors. It was built around the</w:t>
      </w:r>
      <w:r>
        <w:t xml:space="preserve"> </w:t>
      </w:r>
      <w:r>
        <w:t xml:space="preserve">objectives of maintaining financial stability, protecting depositors, minimising taxpayer</w:t>
      </w:r>
      <w:r>
        <w:t xml:space="preserve"> </w:t>
      </w:r>
      <w:r>
        <w:t xml:space="preserve">losses, limiting moral hazard and improving the internal market for financial services.</w:t>
      </w:r>
      <w:r>
        <w:t xml:space="preserve"> </w:t>
      </w:r>
      <w:r>
        <w:t xml:space="preserve">The EU CMDI framework implements the commitments by the G20 leaders in</w:t>
      </w:r>
      <w:r>
        <w:t xml:space="preserve"> </w:t>
      </w:r>
      <w:r>
        <w:t xml:space="preserve">September 2009 that bank failures should be managed in an orderly manner through</w:t>
      </w:r>
      <w:r>
        <w:t xml:space="preserve"> </w:t>
      </w:r>
      <w:r>
        <w:t xml:space="preserve">cross-border resolutions and that the moral hazard stemming from banks being</w:t>
      </w:r>
      <w:r>
        <w:t xml:space="preserve"> </w:t>
      </w:r>
      <w:r>
        <w:t xml:space="preserve">considered “too big to fail” should end221. The EU went beyond the recommendations</w:t>
      </w:r>
      <w:r>
        <w:t xml:space="preserve"> </w:t>
      </w:r>
      <w:r>
        <w:t xml:space="preserve">addressed to the global systemically important banks, implementing a crisis management</w:t>
      </w:r>
      <w:r>
        <w:t xml:space="preserve"> </w:t>
      </w:r>
      <w:r>
        <w:t xml:space="preserve">framework for all banks.</w:t>
      </w:r>
      <w:r>
        <w:br/>
      </w:r>
      <w:r>
        <w:t xml:space="preserve">While the CMDI framework applies to all EU Member States, in the Banking Union,</w:t>
      </w:r>
      <w:r>
        <w:t xml:space="preserve"> </w:t>
      </w:r>
      <w:r>
        <w:t xml:space="preserve">further integration is achieved with the Single Supervisory Mechanism (first pillar of the</w:t>
      </w:r>
      <w:r>
        <w:t xml:space="preserve"> </w:t>
      </w:r>
      <w:r>
        <w:t xml:space="preserve">Banking Union), the Single Resolution Mechanism (second pillar of the Banking Union)</w:t>
      </w:r>
      <w:r>
        <w:t xml:space="preserve"> </w:t>
      </w:r>
      <w:r>
        <w:t xml:space="preserve">and the European deposit insurance scheme (EDIS – the still missing third pillar of the</w:t>
      </w:r>
      <w:r>
        <w:t xml:space="preserve"> </w:t>
      </w:r>
      <w:r>
        <w:t xml:space="preserve">Banking Union)222.</w:t>
      </w:r>
      <w:r>
        <w:t xml:space="preserve"> </w:t>
      </w:r>
      <w:r>
        <w:t xml:space="preserve">The framework covers three EU legislative texts which, together with the related</w:t>
      </w:r>
      <w:r>
        <w:t xml:space="preserve"> </w:t>
      </w:r>
      <w:r>
        <w:t xml:space="preserve">implementing and delegated acts and relevant national legislation form the rulebook for</w:t>
      </w:r>
      <w:r>
        <w:t xml:space="preserve"> </w:t>
      </w:r>
      <w:r>
        <w:t xml:space="preserve">handling bank failures: the Bank Recovery and Resolution Directive (BRRD), the Single</w:t>
      </w:r>
      <w:r>
        <w:t xml:space="preserve"> </w:t>
      </w:r>
      <w:r>
        <w:t xml:space="preserve">Resolution Mechanism Regulation (SRMR) and the Deposit Guarantee Schemes</w:t>
      </w:r>
      <w:r>
        <w:t xml:space="preserve"> </w:t>
      </w:r>
      <w:r>
        <w:t xml:space="preserve">Directive (DGSD)223. All three legislative texts have been applicable for over five years</w:t>
      </w:r>
      <w:r>
        <w:t xml:space="preserve"> </w:t>
      </w:r>
      <w:r>
        <w:t xml:space="preserve">at the time of the review and the evaluation will cover the period since their introduction</w:t>
      </w:r>
      <w:r>
        <w:t xml:space="preserve"> </w:t>
      </w:r>
      <w:r>
        <w:t xml:space="preserve">until the present. The three legislative texts contain review clauses anticipating a possible</w:t>
      </w:r>
      <w:r>
        <w:t xml:space="preserve"> </w:t>
      </w:r>
      <w:r>
        <w:t xml:space="preserve">revision of the resolution framework, further harmonisation of insolvency law as well as</w:t>
      </w:r>
      <w:r>
        <w:t xml:space="preserve"> </w:t>
      </w:r>
      <w:r>
        <w:t xml:space="preserve">a report on the progress concerning the implementation of depositor protection rules224.</w:t>
      </w:r>
      <w:r>
        <w:t xml:space="preserve"> </w:t>
      </w:r>
      <w:r>
        <w:t xml:space="preserve">This evaluation also provides a state of play regarding the third pillar of the Banking</w:t>
      </w:r>
    </w:p>
    <w:p>
      <w:pPr>
        <w:pStyle w:val="FirstParagraph"/>
      </w:pPr>
      <w:r>
        <w:t xml:space="preserve">221 G20 Pittsburgh Summit (September 2009), Leaders Statement, paragraph 13, last bullet point.</w:t>
      </w:r>
      <w:r>
        <w:br/>
      </w:r>
      <w:r>
        <w:t xml:space="preserve">222 In its Communication of 12 September 2012, “A Roadmap towards a Banking Union”, COM</w:t>
      </w:r>
      <w:r>
        <w:t xml:space="preserve"> </w:t>
      </w:r>
      <w:r>
        <w:t xml:space="preserve">(2012)0510 final, the Commission called for a Banking Union that would place the banking sector on a</w:t>
      </w:r>
      <w:r>
        <w:t xml:space="preserve"> </w:t>
      </w:r>
      <w:r>
        <w:t xml:space="preserve">more sound footing and restore confidence in the euro as part of a longer term vision for economic and</w:t>
      </w:r>
      <w:r>
        <w:t xml:space="preserve"> </w:t>
      </w:r>
      <w:r>
        <w:t xml:space="preserve">fiscal integration. The report by the Presidents of the European Council, the Commission, the Eurogroup</w:t>
      </w:r>
      <w:r>
        <w:t xml:space="preserve"> </w:t>
      </w:r>
      <w:r>
        <w:t xml:space="preserve">and the European Central Bank of 26 June 2012 “Towards a genuine Economic and Monetary Union”</w:t>
      </w:r>
      <w:r>
        <w:t xml:space="preserve"> </w:t>
      </w:r>
      <w:r>
        <w:t xml:space="preserve">endorsed this vision.</w:t>
      </w:r>
      <w:r>
        <w:t xml:space="preserve"> </w:t>
      </w:r>
      <w:r>
        <w:t xml:space="preserve">223 Provisions complementing the crisis management framework are also present in the Capital</w:t>
      </w:r>
      <w:r>
        <w:t xml:space="preserve"> </w:t>
      </w:r>
      <w:r>
        <w:t xml:space="preserve">Requirements Regulation (CRR – Regulation (EU) 575/2013) and the Capital Requirements Directive</w:t>
      </w:r>
      <w:r>
        <w:t xml:space="preserve"> </w:t>
      </w:r>
      <w:r>
        <w:t xml:space="preserve">(CRD – Directive 2013/36/EU). The winding up Directive (2001/24/EC) is also relevant to the framework.</w:t>
      </w:r>
      <w:r>
        <w:t xml:space="preserve"> </w:t>
      </w:r>
      <w:r>
        <w:t xml:space="preserve">224 Under Article 19(6) DGSD, the Commission, supported by EBA, shall submit to the European</w:t>
      </w:r>
      <w:r>
        <w:t xml:space="preserve"> </w:t>
      </w:r>
      <w:r>
        <w:t xml:space="preserve">Parliament and the Council a report on the progress towards its implementation by 3 July 2019. This report</w:t>
      </w:r>
      <w:r>
        <w:t xml:space="preserve"> </w:t>
      </w:r>
      <w:r>
        <w:t xml:space="preserve">has been postponed due to EBA’s work on the technical advice that was completed in January 2020. In this</w:t>
      </w:r>
      <w:r>
        <w:t xml:space="preserve"> </w:t>
      </w:r>
      <w:r>
        <w:t xml:space="preserve">context, four opinions were submitted by EBA: on eligibility, coverage level and cooperation agreements,</w:t>
      </w:r>
      <w:r>
        <w:t xml:space="preserve"> </w:t>
      </w:r>
      <w:r>
        <w:t xml:space="preserve">on DGS payouts, on DGS funding and use of DGS funds and on the AMLD and DGSD interplay. The</w:t>
      </w:r>
      <w:r>
        <w:t xml:space="preserve"> </w:t>
      </w:r>
      <w:r>
        <w:t xml:space="preserve">evaluation covers the assessment of the progress of the implementation of depositor protection rules based</w:t>
      </w:r>
      <w:r>
        <w:t xml:space="preserve"> </w:t>
      </w:r>
      <w:r>
        <w:t xml:space="preserve">on this work conducted by EBA. Consequently, there will be no other progress report issued.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Union. The Commission put forward a proposal for EDIS in 2015225 which, to date, is</w:t>
      </w:r>
      <w:r>
        <w:t xml:space="preserve"> </w:t>
      </w:r>
      <w:r>
        <w:t xml:space="preserve">still not agreed by the co-legislators, leaving the Banking Union incomplete.</w:t>
      </w:r>
      <w:r>
        <w:br/>
      </w:r>
      <w:r>
        <w:t xml:space="preserve">This evaluation complements the impact assessment of the CMDI review and its</w:t>
      </w:r>
      <w:r>
        <w:t xml:space="preserve"> </w:t>
      </w:r>
      <w:r>
        <w:t xml:space="preserve">conclusions feed into the problem definition. It is based primarily on the results of</w:t>
      </w:r>
      <w:r>
        <w:t xml:space="preserve"> </w:t>
      </w:r>
      <w:r>
        <w:t xml:space="preserve">consultations with stakeholders, regular exchanges with experts from the Member States</w:t>
      </w:r>
      <w:r>
        <w:t xml:space="preserve"> </w:t>
      </w:r>
      <w:r>
        <w:t xml:space="preserve">(Ministries of Finance, resolution authorities, deposit guarantee schemes authorities),</w:t>
      </w:r>
      <w:r>
        <w:t xml:space="preserve"> </w:t>
      </w:r>
      <w:r>
        <w:t xml:space="preserve">reports from the EBA, studies commissioned by the European Parliament and exchanges</w:t>
      </w:r>
      <w:r>
        <w:t xml:space="preserve"> </w:t>
      </w:r>
      <w:r>
        <w:t xml:space="preserve">with Members of the European Parliament, discussions with the European Central Bank</w:t>
      </w:r>
      <w:r>
        <w:t xml:space="preserve"> </w:t>
      </w:r>
      <w:r>
        <w:t xml:space="preserve">ECB and the SRB – the central supervisory and resolution authorities in the Banking</w:t>
      </w:r>
      <w:r>
        <w:t xml:space="preserve"> </w:t>
      </w:r>
      <w:r>
        <w:t xml:space="preserve">Union and additional desk research of the Commission services. A detailed description of</w:t>
      </w:r>
      <w:r>
        <w:t xml:space="preserve"> </w:t>
      </w:r>
      <w:r>
        <w:t xml:space="preserve">the methods used to conduct this evaluation and inform the impact assessment for the</w:t>
      </w:r>
      <w:r>
        <w:t xml:space="preserve"> </w:t>
      </w:r>
      <w:r>
        <w:t xml:space="preserve">review of the framework are provided in Section 5.</w:t>
      </w:r>
      <w:r>
        <w:br/>
      </w:r>
      <w:r>
        <w:t xml:space="preserve">On the basis of the evidence and in line with better regulation principles, the framework</w:t>
      </w:r>
      <w:r>
        <w:t xml:space="preserve"> </w:t>
      </w:r>
      <w:r>
        <w:t xml:space="preserve">was evaluated against five criteria: efficiency, effectiveness, relevance, coherence and</w:t>
      </w:r>
      <w:r>
        <w:t xml:space="preserve"> </w:t>
      </w:r>
      <w:r>
        <w:t xml:space="preserve">added-value of EU action.</w:t>
      </w:r>
      <w:r>
        <w:br/>
      </w:r>
      <w:r>
        <w:t xml:space="preserve">This evaluation concludes that the application of the framework brought important</w:t>
      </w:r>
      <w:r>
        <w:t xml:space="preserve"> </w:t>
      </w:r>
      <w:r>
        <w:t xml:space="preserve">benefits in terms of maintaining financial stability, mainly through more robust crisis</w:t>
      </w:r>
      <w:r>
        <w:t xml:space="preserve"> </w:t>
      </w:r>
      <w:r>
        <w:t xml:space="preserve">preparedness and contingency planning, enhanced banks’ resolvability, including through</w:t>
      </w:r>
      <w:r>
        <w:t xml:space="preserve"> </w:t>
      </w:r>
      <w:r>
        <w:t xml:space="preserve">the build-up of resolution buffers and pre-funded deposit guarantee and resolution funds,</w:t>
      </w:r>
      <w:r>
        <w:t xml:space="preserve"> </w:t>
      </w:r>
      <w:r>
        <w:t xml:space="preserve">improved market discipline and curbed moral hazard. The implementation of the</w:t>
      </w:r>
      <w:r>
        <w:t xml:space="preserve"> </w:t>
      </w:r>
      <w:r>
        <w:t xml:space="preserve">framework significantly improved depositor protection and contributed to boosting,</w:t>
      </w:r>
      <w:r>
        <w:t xml:space="preserve"> </w:t>
      </w:r>
      <w:r>
        <w:t xml:space="preserve">overall, consumer confidence in the EU banking sector.</w:t>
      </w:r>
      <w:r>
        <w:br/>
      </w:r>
      <w:r>
        <w:t xml:space="preserve">Yet, the practical application failed to achieve some important objectives or achieved</w:t>
      </w:r>
      <w:r>
        <w:t xml:space="preserve"> </w:t>
      </w:r>
      <w:r>
        <w:t xml:space="preserve">them only partially. Experience with the application of the CMDI framework from 2015</w:t>
      </w:r>
      <w:r>
        <w:t xml:space="preserve"> </w:t>
      </w:r>
      <w:r>
        <w:t xml:space="preserve">until now reveals that, while it can be a very effective tool in addressing problems of</w:t>
      </w:r>
      <w:r>
        <w:t xml:space="preserve"> </w:t>
      </w:r>
      <w:r>
        <w:t xml:space="preserve">bank failures, in some areas, there is scope to improve its functioning. The Commission</w:t>
      </w:r>
      <w:r>
        <w:t xml:space="preserve"> </w:t>
      </w:r>
      <w:r>
        <w:t xml:space="preserve">is therefore reviewing it as part of the work on completing the Banking Union. This</w:t>
      </w:r>
      <w:r>
        <w:t xml:space="preserve"> </w:t>
      </w:r>
      <w:r>
        <w:t xml:space="preserve">review represents an opportunity to improve the functioning of the second pillar of the</w:t>
      </w:r>
      <w:r>
        <w:t xml:space="preserve"> </w:t>
      </w:r>
      <w:r>
        <w:t xml:space="preserve">Banking Union (the Single Resolution Mechanism) to revisit areas of risks related to its</w:t>
      </w:r>
      <w:r>
        <w:t xml:space="preserve"> </w:t>
      </w:r>
      <w:r>
        <w:t xml:space="preserve">application and ensure it is fit for purpose. It also aims to evaluate the need for and make</w:t>
      </w:r>
      <w:r>
        <w:t xml:space="preserve"> </w:t>
      </w:r>
      <w:r>
        <w:t xml:space="preserve">progress on EDIS, the third and still missing pillar of the Banking Union.</w:t>
      </w:r>
      <w:r>
        <w:t xml:space="preserve"> </w:t>
      </w:r>
      <w:r>
        <w:t xml:space="preserve">The four opinions and reports226 from the EBA on the implementation of the depositor</w:t>
      </w:r>
      <w:r>
        <w:t xml:space="preserve"> </w:t>
      </w:r>
      <w:r>
        <w:t xml:space="preserve">protection rules also substantiate the need for clarifying a number of DGSD provisions</w:t>
      </w:r>
      <w:r>
        <w:t xml:space="preserve"> </w:t>
      </w:r>
      <w:r>
        <w:t xml:space="preserve">and improving depositor protection and payout processes in the context of this review.</w:t>
      </w:r>
      <w:r>
        <w:br/>
      </w:r>
      <w:r>
        <w:t xml:space="preserve">Considering the effectiveness criterion, two out of the four objectives of the framework</w:t>
      </w:r>
      <w:r>
        <w:t xml:space="preserve"> </w:t>
      </w:r>
      <w:r>
        <w:t xml:space="preserve">have been evaluated as being partially achieved, while the others have not been achieved</w:t>
      </w:r>
      <w:r>
        <w:t xml:space="preserve"> </w:t>
      </w:r>
      <w:r>
        <w:t xml:space="preserve">in a satisfactory manner, except in a limited number of cases. More specifically, the</w:t>
      </w:r>
      <w:r>
        <w:t xml:space="preserve"> </w:t>
      </w:r>
      <w:r>
        <w:t xml:space="preserve">framework partially achieved its objective of containing risks to financial stability and</w:t>
      </w:r>
      <w:r>
        <w:t xml:space="preserve"> </w:t>
      </w:r>
      <w:r>
        <w:t xml:space="preserve">protecting depositors, but it failed to achieve other key overarching objectives, notably</w:t>
      </w:r>
    </w:p>
    <w:p>
      <w:pPr>
        <w:pStyle w:val="BodyText"/>
      </w:pPr>
      <w:r>
        <w:t xml:space="preserve">225 European Commission (November 2015) Commission proposal for a Regulation of the European</w:t>
      </w:r>
      <w:r>
        <w:t xml:space="preserve"> </w:t>
      </w:r>
      <w:r>
        <w:t xml:space="preserve">Parliament and of the Council amending Regulation (EU) 806/2014 in order to establish a European</w:t>
      </w:r>
      <w:r>
        <w:t xml:space="preserve"> </w:t>
      </w:r>
      <w:r>
        <w:t xml:space="preserve">Deposit Insurance Scheme ( “the 2015 EDIS proposal”).</w:t>
      </w:r>
      <w:r>
        <w:t xml:space="preserve"> </w:t>
      </w:r>
      <w:r>
        <w:t xml:space="preserve">226 See Annex 1.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enhancing the functioning of the single market and minimising recourse to taxpayer</w:t>
      </w:r>
      <w:r>
        <w:t xml:space="preserve"> </w:t>
      </w:r>
      <w:r>
        <w:t xml:space="preserve">money. In a significant number of cases, the fulfilment of objectives cannot be directly</w:t>
      </w:r>
      <w:r>
        <w:t xml:space="preserve"> </w:t>
      </w:r>
      <w:r>
        <w:t xml:space="preserve">attributed to the European framework, but to the application of tools at national level,</w:t>
      </w:r>
      <w:r>
        <w:t xml:space="preserve"> </w:t>
      </w:r>
      <w:r>
        <w:t xml:space="preserve">outside of resolution and with recourse to public budgets and taxpayers’ funds. The</w:t>
      </w:r>
      <w:r>
        <w:t xml:space="preserve"> </w:t>
      </w:r>
      <w:r>
        <w:t xml:space="preserve">management of bank failures differed across Member States, depending on the existing</w:t>
      </w:r>
      <w:r>
        <w:t xml:space="preserve"> </w:t>
      </w:r>
      <w:r>
        <w:t xml:space="preserve">national regime, which raises questions about the coherence of the framework, resulting</w:t>
      </w:r>
      <w:r>
        <w:t xml:space="preserve"> </w:t>
      </w:r>
      <w:r>
        <w:t xml:space="preserve">in sub-optimal outcomes for level playing field and the single market in banking.</w:t>
      </w:r>
      <w:r>
        <w:t xml:space="preserve"> </w:t>
      </w:r>
      <w:r>
        <w:t xml:space="preserve">Figure 12: Overview of effectiveness – traffic light analysis</w:t>
      </w:r>
    </w:p>
    <w:p>
      <w:pPr>
        <w:pStyle w:val="BodyText"/>
      </w:pPr>
      <w:r>
        <w:t xml:space="preserve">Source: Commission services assessment.</w:t>
      </w:r>
      <w:r>
        <w:t xml:space="preserve"> </w:t>
      </w:r>
      <w:r>
        <w:t xml:space="preserve">Under the efficiency criterion, the evaluation found that the CMDI framework is not</w:t>
      </w:r>
      <w:r>
        <w:t xml:space="preserve"> </w:t>
      </w:r>
      <w:r>
        <w:t xml:space="preserve">sufficiently cost-effective. On one hand, the main benefits of the framework include</w:t>
      </w:r>
      <w:r>
        <w:t xml:space="preserve"> </w:t>
      </w:r>
      <w:r>
        <w:t xml:space="preserve">enhanced crisis preparedness, contingency planning, increased loss-absorption capacity in</w:t>
      </w:r>
      <w:r>
        <w:t xml:space="preserve"> </w:t>
      </w:r>
      <w:r>
        <w:t xml:space="preserve">banks and the disciplining influence that the existence of the framework exerts on banks</w:t>
      </w:r>
      <w:r>
        <w:t xml:space="preserve"> </w:t>
      </w:r>
      <w:r>
        <w:t xml:space="preserve">and markets. On the other hand, the operationalisation of the CMDI framework came</w:t>
      </w:r>
      <w:r>
        <w:t xml:space="preserve"> </w:t>
      </w:r>
      <w:r>
        <w:t xml:space="preserve">with costs for the banking industry, Member States and resolution authorities. Yet,</w:t>
      </w:r>
      <w:r>
        <w:t xml:space="preserve"> </w:t>
      </w:r>
      <w:r>
        <w:t xml:space="preserve">despite the costs, the framework and its tools and powers have been scarcely used in</w:t>
      </w:r>
      <w:r>
        <w:t xml:space="preserve"> </w:t>
      </w:r>
      <w:r>
        <w:t xml:space="preserve">practice, especially in the Banking Union under the SRMR. The Single Resolution Fund</w:t>
      </w:r>
      <w:r>
        <w:t xml:space="preserve"> </w:t>
      </w:r>
      <w:r>
        <w:t xml:space="preserve">(SRF) has remained idle so far and beyond the losses absorbed by the banks, deposit</w:t>
      </w:r>
      <w:r>
        <w:t xml:space="preserve"> </w:t>
      </w:r>
      <w:r>
        <w:t xml:space="preserve">guarantee scheme (DGS) have been used often backed by public funds. In addition, the</w:t>
      </w:r>
      <w:r>
        <w:t xml:space="preserve"> </w:t>
      </w:r>
      <w:r>
        <w:t xml:space="preserve">use of public funding in recent cases of bank failures indicates a redistribution of costs</w:t>
      </w:r>
      <w:r>
        <w:t xml:space="preserve"> </w:t>
      </w:r>
      <w:r>
        <w:t xml:space="preserve">from banks’ senior unsecured creditors to the taxpayers, despite scrutiny on such usage of</w:t>
      </w:r>
      <w:r>
        <w:t xml:space="preserve"> </w:t>
      </w:r>
      <w:r>
        <w:t xml:space="preserve">public funds through the EU State aid rules. Furthermore, available evidence suggests</w:t>
      </w:r>
      <w:r>
        <w:t xml:space="preserve"> </w:t>
      </w:r>
      <w:r>
        <w:t xml:space="preserve">that these costs are uneven between Member States, as national requirements and</w:t>
      </w:r>
      <w:r>
        <w:t xml:space="preserve"> </w:t>
      </w:r>
      <w:r>
        <w:t xml:space="preserve">practices diverge widely.</w:t>
      </w:r>
      <w:r>
        <w:br/>
      </w:r>
      <w:r>
        <w:t xml:space="preserve">From a coherence perspective, further improvements are necessary to ensure a better</w:t>
      </w:r>
      <w:r>
        <w:t xml:space="preserve"> </w:t>
      </w:r>
      <w:r>
        <w:t xml:space="preserve">internal interaction and consistency between the various pieces of legislation forming the</w:t>
      </w:r>
      <w:r>
        <w:t xml:space="preserve"> </w:t>
      </w:r>
      <w:r>
        <w:t xml:space="preserve">CMDI framework, in particular the coherence between the CMDI framework and the</w:t>
      </w:r>
      <w:r>
        <w:t xml:space="preserve"> </w:t>
      </w:r>
      <w:r>
        <w:t xml:space="preserve">State aid rules227 most prominently in respect of access to funding requirements to</w:t>
      </w:r>
    </w:p>
    <w:p>
      <w:pPr>
        <w:pStyle w:val="BodyText"/>
      </w:pPr>
      <w:r>
        <w:t xml:space="preserve">227 State aid rules are intrinsically interconnected with and are complementary to the CMDI framework.</w:t>
      </w:r>
      <w:r>
        <w:t xml:space="preserve"> </w:t>
      </w:r>
      <w:r>
        <w:t xml:space="preserve">These rules are not subject to this review and this impact assessment. In order to ensure consistency</w:t>
      </w:r>
      <w:r>
        <w:t xml:space="preserve"> </w:t>
      </w:r>
      <w:r>
        <w:t xml:space="preserve">between the two frameworks, the Eurogroup invited the Commission in November 2020 to conduct a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support tools outside resolution, the Capital Requirements Directive (CRD) and the</w:t>
      </w:r>
      <w:r>
        <w:t xml:space="preserve"> </w:t>
      </w:r>
      <w:r>
        <w:t xml:space="preserve">Single Supervisory Mechanism Regulation (SSMR) in what concerns the early</w:t>
      </w:r>
      <w:r>
        <w:t xml:space="preserve"> </w:t>
      </w:r>
      <w:r>
        <w:t xml:space="preserve">intervention measures, the Anti-Money Laundering Directive (AMLD), the Payment</w:t>
      </w:r>
      <w:r>
        <w:t xml:space="preserve"> </w:t>
      </w:r>
      <w:r>
        <w:t xml:space="preserve">Services and the E-money Directives in what concerns interactions with the DGSD.</w:t>
      </w:r>
      <w:r>
        <w:br/>
      </w:r>
      <w:r>
        <w:t xml:space="preserve">The framework remains very relevant and adds EU value because cross-border crisis</w:t>
      </w:r>
      <w:r>
        <w:t xml:space="preserve"> </w:t>
      </w:r>
      <w:r>
        <w:t xml:space="preserve">management cannot be left to the national level without consequence on public finances,</w:t>
      </w:r>
      <w:r>
        <w:t xml:space="preserve"> </w:t>
      </w:r>
      <w:r>
        <w:t xml:space="preserve">the bank-sovereign nexus, the single market in banking and level playing field for banks,</w:t>
      </w:r>
      <w:r>
        <w:t xml:space="preserve"> </w:t>
      </w:r>
      <w:r>
        <w:t xml:space="preserve">creditors, depositors and taxpayers. The addition of a common safety net such as EDIS</w:t>
      </w:r>
      <w:r>
        <w:t xml:space="preserve"> </w:t>
      </w:r>
      <w:r>
        <w:t xml:space="preserve">would further boost the framework’s relevance and EU-value added.</w:t>
      </w:r>
      <w:r>
        <w:br/>
      </w:r>
      <w:r>
        <w:t xml:space="preserve">Identified problems are grouped as follows:</w:t>
      </w:r>
      <w:r>
        <w:t xml:space="preserve"> </w:t>
      </w:r>
      <w:r>
        <w:t xml:space="preserve"> uneven playing field and uncertainty in the management of bank crisis situations –</w:t>
      </w:r>
      <w:r>
        <w:t xml:space="preserve"> </w:t>
      </w:r>
      <w:r>
        <w:t xml:space="preserve">mainly driven by the lack of legal clarity and framing of the application of DGSD</w:t>
      </w:r>
      <w:r>
        <w:t xml:space="preserve"> </w:t>
      </w:r>
      <w:r>
        <w:t xml:space="preserve">preventive measures and BRRD precautionary measures, broad legal discretion in</w:t>
      </w:r>
      <w:r>
        <w:t xml:space="preserve"> </w:t>
      </w:r>
      <w:r>
        <w:t xml:space="preserve">the PIA when placing banks in resolution (under EU framework) versus</w:t>
      </w:r>
      <w:r>
        <w:t xml:space="preserve"> </w:t>
      </w:r>
      <w:r>
        <w:t xml:space="preserve">insolvency228 (under national rules), divergence in the triggers for national</w:t>
      </w:r>
      <w:r>
        <w:t xml:space="preserve"> </w:t>
      </w:r>
      <w:r>
        <w:t xml:space="preserve">insolvency proceedings, divergence in the hierarchy of claims in national</w:t>
      </w:r>
      <w:r>
        <w:t xml:space="preserve"> </w:t>
      </w:r>
      <w:r>
        <w:t xml:space="preserve">insolvency laws229, an inadequate early intervention framework and timeliness of</w:t>
      </w:r>
      <w:r>
        <w:t xml:space="preserve"> </w:t>
      </w:r>
      <w:r>
        <w:t xml:space="preserve">the FOLF determination;</w:t>
      </w:r>
      <w:r>
        <w:t xml:space="preserve"> </w:t>
      </w:r>
      <w:r>
        <w:t xml:space="preserve"> ineffective funding options and divergent access conditions for the financing of</w:t>
      </w:r>
      <w:r>
        <w:t xml:space="preserve"> </w:t>
      </w:r>
      <w:r>
        <w:t xml:space="preserve">resolution and insolvency – mainly driven by structural challenges for some banks</w:t>
      </w:r>
      <w:r>
        <w:t xml:space="preserve"> </w:t>
      </w:r>
      <w:r>
        <w:t xml:space="preserve">in fulfilling the conditions to gain access to resolution funds/SRF, divergent</w:t>
      </w:r>
      <w:r>
        <w:t xml:space="preserve"> </w:t>
      </w:r>
      <w:r>
        <w:t xml:space="preserve">requirements to access funding from the resolution fund and other sources of</w:t>
      </w:r>
      <w:r>
        <w:t xml:space="preserve"> </w:t>
      </w:r>
      <w:r>
        <w:t xml:space="preserve">funding outside resolution and unclear rules to access DGS funding in resolution</w:t>
      </w:r>
      <w:r>
        <w:t xml:space="preserve"> </w:t>
      </w:r>
      <w:r>
        <w:t xml:space="preserve">and insolvency;</w:t>
      </w:r>
      <w:r>
        <w:t xml:space="preserve"> </w:t>
      </w:r>
      <w:r>
        <w:t xml:space="preserve"> uneven and inconsistent depositor protection and lack of robustness in DGS</w:t>
      </w:r>
      <w:r>
        <w:t xml:space="preserve"> </w:t>
      </w:r>
      <w:r>
        <w:t xml:space="preserve">funding – mainly driven by different national provisions as well as vulnerability</w:t>
      </w:r>
      <w:r>
        <w:t xml:space="preserve"> </w:t>
      </w:r>
      <w:r>
        <w:t xml:space="preserve">to large shocks in national depositor protection in the Banking Union due to the</w:t>
      </w:r>
      <w:r>
        <w:t xml:space="preserve"> </w:t>
      </w:r>
      <w:r>
        <w:t xml:space="preserve">lack of centralised safety nets (e.g. EDIS).</w:t>
      </w:r>
      <w:r>
        <w:br/>
      </w:r>
      <w:r>
        <w:t xml:space="preserve">2.</w:t>
      </w:r>
      <w:r>
        <w:t xml:space="preserve"> </w:t>
      </w:r>
      <w:r>
        <w:t xml:space="preserve">INTRODUCTION</w:t>
      </w:r>
      <w:r>
        <w:t xml:space="preserve"> </w:t>
      </w:r>
      <w:r>
        <w:t xml:space="preserve">Purpose of the evaluation</w:t>
      </w:r>
      <w:r>
        <w:t xml:space="preserve"> </w:t>
      </w:r>
      <w:r>
        <w:t xml:space="preserve">The focus of the evaluation is to assess whether appropriate tools and means exist to</w:t>
      </w:r>
      <w:r>
        <w:t xml:space="preserve"> </w:t>
      </w:r>
      <w:r>
        <w:t xml:space="preserve">manage in an orderly manner the failure of all banks irrespective of their location, size or</w:t>
      </w:r>
      <w:r>
        <w:t xml:space="preserve"> </w:t>
      </w:r>
      <w:r>
        <w:t xml:space="preserve">business model. In addition, it evaluates whether adequate mechanisms are in place to</w:t>
      </w:r>
      <w:r>
        <w:t xml:space="preserve"> </w:t>
      </w:r>
      <w:r>
        <w:t xml:space="preserve">ensure depositor protection, in particular in the Banking Union considering the third</w:t>
      </w:r>
      <w:r>
        <w:t xml:space="preserve"> </w:t>
      </w:r>
      <w:r>
        <w:t xml:space="preserve">missing pillar.</w:t>
      </w:r>
    </w:p>
    <w:p>
      <w:pPr>
        <w:pStyle w:val="BodyText"/>
      </w:pPr>
      <w:r>
        <w:t xml:space="preserve">review of the State aid framework for banks and to complete it, in parallel with, the CMDI review,</w:t>
      </w:r>
      <w:r>
        <w:t xml:space="preserve"> </w:t>
      </w:r>
      <w:r>
        <w:t xml:space="preserve">ensuring its entry into force at the same time with the updated CMDI framework.</w:t>
      </w:r>
      <w:r>
        <w:t xml:space="preserve"> </w:t>
      </w:r>
      <w:r>
        <w:t xml:space="preserve">228 Insolvency proceedings across the EU are unharmonised; some allow for certain transfer tools similar to</w:t>
      </w:r>
      <w:r>
        <w:t xml:space="preserve"> </w:t>
      </w:r>
      <w:r>
        <w:t xml:space="preserve">resolution financed by DGSs, others only allow for piece-meal liquidation proceedings.</w:t>
      </w:r>
      <w:r>
        <w:t xml:space="preserve"> </w:t>
      </w:r>
      <w:r>
        <w:t xml:space="preserve">229 Throughout this document the terms ‘hierarchy of claims in insolvency’, ‘hierarchy of claims’, ‘creditor</w:t>
      </w:r>
      <w:r>
        <w:t xml:space="preserve"> </w:t>
      </w:r>
      <w:r>
        <w:t xml:space="preserve">hierarchy’, ‘ranking of claims’ are used as synonyms and describe the same concept.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In line with better regulation principles, the evaluation of the EU CMDI framework seeks</w:t>
      </w:r>
      <w:r>
        <w:t xml:space="preserve"> </w:t>
      </w:r>
      <w:r>
        <w:t xml:space="preserve">to assess the extent to which the requirements and the application of the framework have</w:t>
      </w:r>
      <w:r>
        <w:t xml:space="preserve"> </w:t>
      </w:r>
      <w:r>
        <w:t xml:space="preserve">fulfilled the principal objectives in an efficient and effective way, while at the same time</w:t>
      </w:r>
      <w:r>
        <w:t xml:space="preserve"> </w:t>
      </w:r>
      <w:r>
        <w:t xml:space="preserve">being coherent, relevant and providing EU added-value. In particular, with regard to</w:t>
      </w:r>
      <w:r>
        <w:t xml:space="preserve"> </w:t>
      </w:r>
      <w:r>
        <w:t xml:space="preserve">effectiveness, the evaluation assesses whether the implementation of the framework has</w:t>
      </w:r>
      <w:r>
        <w:t xml:space="preserve"> </w:t>
      </w:r>
      <w:r>
        <w:t xml:space="preserve">met its objectives and identifies the areas where there is room for improvement.</w:t>
      </w:r>
      <w:r>
        <w:br/>
      </w:r>
      <w:r>
        <w:t xml:space="preserve">This retrospective evaluation was conducted back-to-back with the impact assessment</w:t>
      </w:r>
      <w:r>
        <w:t xml:space="preserve"> </w:t>
      </w:r>
      <w:r>
        <w:t xml:space="preserve">and it feeds into the problem definition chapter. Where the framework fails to fulfil the</w:t>
      </w:r>
      <w:r>
        <w:t xml:space="preserve"> </w:t>
      </w:r>
      <w:r>
        <w:t xml:space="preserve">policy objectives across these criteria, the review initiative aims to propose solutions to</w:t>
      </w:r>
      <w:r>
        <w:t xml:space="preserve"> </w:t>
      </w:r>
      <w:r>
        <w:t xml:space="preserve">address identified issues that would enable the framework to achieve fully its objectives.</w:t>
      </w:r>
      <w:r>
        <w:br/>
      </w:r>
      <w:r>
        <w:t xml:space="preserve">Scope of the evaluation</w:t>
      </w:r>
      <w:r>
        <w:t xml:space="preserve"> </w:t>
      </w:r>
      <w:r>
        <w:t xml:space="preserve">The scope of the evaluation covers all institutions and entities within the scope of the</w:t>
      </w:r>
      <w:r>
        <w:t xml:space="preserve"> </w:t>
      </w:r>
      <w:r>
        <w:t xml:space="preserve">BRRD, SRMR and DGSD. It covers the measures preparing for and preventing bank</w:t>
      </w:r>
      <w:r>
        <w:t xml:space="preserve"> </w:t>
      </w:r>
      <w:r>
        <w:t xml:space="preserve">failures, those applicable once a bank has been declared failing or likely to fail and those</w:t>
      </w:r>
      <w:r>
        <w:t xml:space="preserve"> </w:t>
      </w:r>
      <w:r>
        <w:t xml:space="preserve">concerning depositor protection. In the area of prevention, the evaluation focuses on</w:t>
      </w:r>
      <w:r>
        <w:t xml:space="preserve"> </w:t>
      </w:r>
      <w:r>
        <w:t xml:space="preserve">preventive measures under Article 32 of the BRRD (the so called “precautionary</w:t>
      </w:r>
      <w:r>
        <w:t xml:space="preserve"> </w:t>
      </w:r>
      <w:r>
        <w:t xml:space="preserve">measures”), as well as on measures by the competent authorities (early intervention</w:t>
      </w:r>
      <w:r>
        <w:t xml:space="preserve"> </w:t>
      </w:r>
      <w:r>
        <w:t xml:space="preserve">measures) to address financial deterioration at an early stage or to prevent a bank’s failure</w:t>
      </w:r>
      <w:r>
        <w:t xml:space="preserve"> </w:t>
      </w:r>
      <w:r>
        <w:t xml:space="preserve">using funding from the DGS (preventive measures under Article 11(3) DGSD) subject to</w:t>
      </w:r>
      <w:r>
        <w:t xml:space="preserve"> </w:t>
      </w:r>
      <w:r>
        <w:t xml:space="preserve">the safeguards set out in the DGSD. In the area of execution of resolution, the evaluation</w:t>
      </w:r>
      <w:r>
        <w:t xml:space="preserve"> </w:t>
      </w:r>
      <w:r>
        <w:t xml:space="preserve">looks at the overall incentive set-up in bank crisis management, the determination to</w:t>
      </w:r>
      <w:r>
        <w:t xml:space="preserve"> </w:t>
      </w:r>
      <w:r>
        <w:t xml:space="preserve">place banks in resolution or insolvency, the coherence of various triggers, the application</w:t>
      </w:r>
      <w:r>
        <w:t xml:space="preserve"> </w:t>
      </w:r>
      <w:r>
        <w:t xml:space="preserve">of resolution tools, funding issues, including the use of DGS funding prior to resolution,</w:t>
      </w:r>
      <w:r>
        <w:t xml:space="preserve"> </w:t>
      </w:r>
      <w:r>
        <w:t xml:space="preserve">in resolution and insolvency, the level of depositor protection and its vulnerability to</w:t>
      </w:r>
      <w:r>
        <w:t xml:space="preserve"> </w:t>
      </w:r>
      <w:r>
        <w:t xml:space="preserve">financial shocks from the perspective of financial stability.</w:t>
      </w:r>
      <w:r>
        <w:br/>
      </w:r>
      <w:r>
        <w:t xml:space="preserve">The updates to BRRD/SRMR adopted in 2019230 are out of the scope of this evaluation,</w:t>
      </w:r>
      <w:r>
        <w:t xml:space="preserve"> </w:t>
      </w:r>
      <w:r>
        <w:t xml:space="preserve">as they have only been applicable for a short period of time and the effects of their</w:t>
      </w:r>
      <w:r>
        <w:t xml:space="preserve"> </w:t>
      </w:r>
      <w:r>
        <w:t xml:space="preserve">implementation are still to be observed.</w:t>
      </w:r>
      <w:r>
        <w:t xml:space="preserve"> </w:t>
      </w:r>
      <w:r>
        <w:t xml:space="preserve">3.</w:t>
      </w:r>
      <w:r>
        <w:t xml:space="preserve"> </w:t>
      </w:r>
      <w:r>
        <w:t xml:space="preserve">BACKGROUND TO THE INITIATIVE</w:t>
      </w:r>
      <w:r>
        <w:t xml:space="preserve"> </w:t>
      </w:r>
      <w:r>
        <w:t xml:space="preserve">The global financial crisis revealed structural issues accumulated in our inter-connected</w:t>
      </w:r>
      <w:r>
        <w:t xml:space="preserve"> </w:t>
      </w:r>
      <w:r>
        <w:t xml:space="preserve">global financial system, some of which had wrongly been considered part and parcel of</w:t>
      </w:r>
      <w:r>
        <w:t xml:space="preserve"> </w:t>
      </w:r>
      <w:r>
        <w:t xml:space="preserve">an inter-connected global financial system delivering deep markets and liquidity. Banks</w:t>
      </w:r>
      <w:r>
        <w:t xml:space="preserve"> </w:t>
      </w:r>
      <w:r>
        <w:t xml:space="preserve">were generally undercapitalised and became highly leveraged in search for ever higher</w:t>
      </w:r>
      <w:r>
        <w:t xml:space="preserve"> </w:t>
      </w:r>
      <w:r>
        <w:t xml:space="preserve">yields and return on equity, which the customer deposit funding model could not deliver.</w:t>
      </w:r>
      <w:r>
        <w:t xml:space="preserve"> </w:t>
      </w:r>
      <w:r>
        <w:t xml:space="preserve">The maturity transformation function that banks had historically provided to the real</w:t>
      </w:r>
      <w:r>
        <w:t xml:space="preserve"> </w:t>
      </w:r>
      <w:r>
        <w:t xml:space="preserve">economy became a point of weakness and fragility once short-term funding could not be</w:t>
      </w:r>
      <w:r>
        <w:t xml:space="preserve"> </w:t>
      </w:r>
      <w:r>
        <w:t xml:space="preserve">extended to support long-term assets. Moral hazard and other agency issues were widely</w:t>
      </w:r>
      <w:r>
        <w:t xml:space="preserve"> </w:t>
      </w:r>
      <w:r>
        <w:t xml:space="preserve">spread. When coupled with accelerated financial innovation and securitisation as well as</w:t>
      </w:r>
      <w:r>
        <w:t xml:space="preserve"> </w:t>
      </w:r>
      <w:r>
        <w:t xml:space="preserve">regulatory forbearance, this generated substantial financial misconduct and poor</w:t>
      </w:r>
      <w:r>
        <w:t xml:space="preserve"> </w:t>
      </w:r>
      <w:r>
        <w:t xml:space="preserve">management of risks.</w:t>
      </w:r>
    </w:p>
    <w:p>
      <w:pPr>
        <w:pStyle w:val="BodyText"/>
      </w:pPr>
      <w:r>
        <w:t xml:space="preserve">230 See section 3 of the Evaluation, for further details on the 2019 updates of the BRRD/SRMR.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The supervisory tools available at the time of the crisis did not capture this complexity</w:t>
      </w:r>
      <w:r>
        <w:t xml:space="preserve"> </w:t>
      </w:r>
      <w:r>
        <w:t xml:space="preserve">nor addressed the underlying issues. They did not provide for well-structured action</w:t>
      </w:r>
      <w:r>
        <w:t xml:space="preserve"> </w:t>
      </w:r>
      <w:r>
        <w:t xml:space="preserve">plans to deal with bank failures based on ex ante prepared scenarios. This forced</w:t>
      </w:r>
      <w:r>
        <w:t xml:space="preserve"> </w:t>
      </w:r>
      <w:r>
        <w:t xml:space="preserve">regulators and supervisors into unchartered territory such as: massive bail-outs including</w:t>
      </w:r>
      <w:r>
        <w:t xml:space="preserve"> </w:t>
      </w:r>
      <w:r>
        <w:t xml:space="preserve">through asset relief programs, capital injections, guarantees and provision of liquidity</w:t>
      </w:r>
      <w:r>
        <w:t xml:space="preserve"> </w:t>
      </w:r>
      <w:r>
        <w:t xml:space="preserve">directly into the financial system, unprecedented</w:t>
      </w:r>
      <w:r>
        <w:t xml:space="preserve"> </w:t>
      </w:r>
      <w:r>
        <w:t xml:space="preserve">“lender of last resort”</w:t>
      </w:r>
      <w:r>
        <w:t xml:space="preserve"> </w:t>
      </w:r>
      <w:r>
        <w:t xml:space="preserve">operations,</w:t>
      </w:r>
      <w:r>
        <w:t xml:space="preserve"> </w:t>
      </w:r>
      <w:r>
        <w:t xml:space="preserve">nationalisations as a temporary measure to stabilise systemic banks, or capital controls to</w:t>
      </w:r>
      <w:r>
        <w:t xml:space="preserve"> </w:t>
      </w:r>
      <w:r>
        <w:t xml:space="preserve">reduce the effects of liquidity flight and buy time for devising restructuring and</w:t>
      </w:r>
      <w:r>
        <w:t xml:space="preserve"> </w:t>
      </w:r>
      <w:r>
        <w:t xml:space="preserve">restoration plans.</w:t>
      </w:r>
      <w:r>
        <w:t xml:space="preserve"> </w:t>
      </w:r>
      <w:r>
        <w:t xml:space="preserve">Once the situation was stabilised, albeit with considerable burden for public finances (aid</w:t>
      </w:r>
      <w:r>
        <w:t xml:space="preserve"> </w:t>
      </w:r>
      <w:r>
        <w:t xml:space="preserve">granted by the Member States between 2007 and 2014 amounted to EUR 671 bn in</w:t>
      </w:r>
      <w:r>
        <w:t xml:space="preserve"> </w:t>
      </w:r>
      <w:r>
        <w:t xml:space="preserve">capital and repayable loans and EUR 1 288 bn in guarantees231), significant reforms</w:t>
      </w:r>
      <w:r>
        <w:t xml:space="preserve"> </w:t>
      </w:r>
      <w:r>
        <w:t xml:space="preserve">meant to address the root causes of the crisis were enacted, including to address poor</w:t>
      </w:r>
      <w:r>
        <w:t xml:space="preserve"> </w:t>
      </w:r>
      <w:r>
        <w:t xml:space="preserve">capital adequacy ratios and loopholes in risk management practices, agency issues, the</w:t>
      </w:r>
      <w:r>
        <w:t xml:space="preserve"> </w:t>
      </w:r>
      <w:r>
        <w:t xml:space="preserve">lack of resolution regimes and the insufficient depositor protection in some countries.</w:t>
      </w:r>
      <w:r>
        <w:t xml:space="preserve"> </w:t>
      </w:r>
      <w:r>
        <w:t xml:space="preserve">This wave of measures set the foundation of the Banking Union and its pillars. The first</w:t>
      </w:r>
      <w:r>
        <w:t xml:space="preserve"> </w:t>
      </w:r>
      <w:r>
        <w:t xml:space="preserve">pillar set up a Single Supervisory Mechanism (SSM) and implemented Basel III in</w:t>
      </w:r>
      <w:r>
        <w:t xml:space="preserve"> </w:t>
      </w:r>
      <w:r>
        <w:t xml:space="preserve">Europe through the revised Capital Requirements Regulation and Directive</w:t>
      </w:r>
      <w:r>
        <w:t xml:space="preserve"> </w:t>
      </w:r>
      <w:r>
        <w:t xml:space="preserve">(CRR/CRDIV) finalised in 2013. The second pillar set up a Single Resolution</w:t>
      </w:r>
      <w:r>
        <w:t xml:space="preserve"> </w:t>
      </w:r>
      <w:r>
        <w:t xml:space="preserve">Mechanism (SRM), adopted the first recovery and resolution regime for banks</w:t>
      </w:r>
      <w:r>
        <w:t xml:space="preserve"> </w:t>
      </w:r>
      <w:r>
        <w:t xml:space="preserve">(BRRD/SRMR) and revised the DGSD in 2014. The BRRD established an orderly</w:t>
      </w:r>
      <w:r>
        <w:t xml:space="preserve"> </w:t>
      </w:r>
      <w:r>
        <w:t xml:space="preserve">resolution mechanism for all banks (including those with cross-border operations),</w:t>
      </w:r>
      <w:r>
        <w:t xml:space="preserve"> </w:t>
      </w:r>
      <w:r>
        <w:t xml:space="preserve">requiring banks to build up internal loss-absorbing capacity and providing resolution</w:t>
      </w:r>
      <w:r>
        <w:t xml:space="preserve"> </w:t>
      </w:r>
      <w:r>
        <w:t xml:space="preserve">authorities with comprehensive powers and tools (including a bail-in tool) to intervene</w:t>
      </w:r>
      <w:r>
        <w:t xml:space="preserve"> </w:t>
      </w:r>
      <w:r>
        <w:t xml:space="preserve">when a bank meets the conditions for resolution. A legislative proposal by the</w:t>
      </w:r>
      <w:r>
        <w:t xml:space="preserve"> </w:t>
      </w:r>
      <w:r>
        <w:t xml:space="preserve">Commission in 2015 for an EDIS, and which would constitute the Banking Union’s third</w:t>
      </w:r>
      <w:r>
        <w:t xml:space="preserve"> </w:t>
      </w:r>
      <w:r>
        <w:t xml:space="preserve">pillar, is not yet adopted.</w:t>
      </w:r>
      <w:r>
        <w:br/>
      </w:r>
      <w:r>
        <w:t xml:space="preserve">The BRRD was published in the Official Journal on 12 June 2014 and became applicable</w:t>
      </w:r>
      <w:r>
        <w:t xml:space="preserve"> </w:t>
      </w:r>
      <w:r>
        <w:t xml:space="preserve">starting 1 January 2015. The provisions related to the bail-in tool became applicable from</w:t>
      </w:r>
      <w:r>
        <w:t xml:space="preserve"> </w:t>
      </w:r>
      <w:r>
        <w:t xml:space="preserve">1 January 2016. The SRMR was published in the Official Journal on 30 July 2014 and</w:t>
      </w:r>
      <w:r>
        <w:t xml:space="preserve"> </w:t>
      </w:r>
      <w:r>
        <w:t xml:space="preserve">became applicable starting 1 January 2016 with the exception of some provisions which</w:t>
      </w:r>
      <w:r>
        <w:t xml:space="preserve"> </w:t>
      </w:r>
      <w:r>
        <w:t xml:space="preserve">became applicable earlier. Technical aspects and the phase-in schedule of certain core</w:t>
      </w:r>
      <w:r>
        <w:t xml:space="preserve"> </w:t>
      </w:r>
      <w:r>
        <w:t xml:space="preserve">requirements were further specified via implementing and delegated acts, including rules</w:t>
      </w:r>
      <w:r>
        <w:t xml:space="preserve"> </w:t>
      </w:r>
      <w:r>
        <w:t xml:space="preserve">on: preparation of recovery and resolution plans232, determination of critical functions</w:t>
      </w:r>
      <w:r>
        <w:t xml:space="preserve"> </w:t>
      </w:r>
      <w:r>
        <w:t xml:space="preserve">(contributing to the public interest assessment)233, conduct of the resolvability</w:t>
      </w:r>
    </w:p>
    <w:p>
      <w:pPr>
        <w:pStyle w:val="BodyText"/>
      </w:pPr>
      <w:r>
        <w:t xml:space="preserve">231 European Commission (February 2015) Competition State aid brief- State aid to European banks:</w:t>
      </w:r>
      <w:r>
        <w:t xml:space="preserve"> </w:t>
      </w:r>
      <w:r>
        <w:t xml:space="preserve">returning to viability.</w:t>
      </w:r>
      <w:r>
        <w:t xml:space="preserve"> </w:t>
      </w:r>
      <w:r>
        <w:t xml:space="preserve">232 European Commission (March 2016), Commission delegated regulation (EU) 2016/1075 specifying the</w:t>
      </w:r>
      <w:r>
        <w:t xml:space="preserve"> </w:t>
      </w:r>
      <w:r>
        <w:t xml:space="preserve">content of recovery plans, resolution plans and group resolution plans, […], the conditions for group</w:t>
      </w:r>
      <w:r>
        <w:t xml:space="preserve"> </w:t>
      </w:r>
      <w:r>
        <w:t xml:space="preserve">financial support, the requirements for independent valuers, the contractual recognition of write-down and</w:t>
      </w:r>
      <w:r>
        <w:t xml:space="preserve"> </w:t>
      </w:r>
      <w:r>
        <w:t xml:space="preserve">conversion powers, […] and the operational functioning of the resolution colleges.</w:t>
      </w:r>
      <w:r>
        <w:t xml:space="preserve"> </w:t>
      </w:r>
      <w:r>
        <w:t xml:space="preserve">233 European Commission (February 2016), Commission delegated regulation (EU) 2016/778 with regard</w:t>
      </w:r>
      <w:r>
        <w:t xml:space="preserve"> </w:t>
      </w:r>
      <w:r>
        <w:t xml:space="preserve">to the circumstances and conditions under which the payment of extraordinary ex post contributions may</w:t>
      </w:r>
      <w:r>
        <w:t xml:space="preserve"> </w:t>
      </w:r>
      <w:r>
        <w:t xml:space="preserve">be […] deferred, and on the criteria for the determination of […] critical functions.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assessment, calibration of the MREL requirement234, valuation rules and calculation of</w:t>
      </w:r>
      <w:r>
        <w:t xml:space="preserve"> </w:t>
      </w:r>
      <w:r>
        <w:t xml:space="preserve">contributions to national resolution funds and the SRF235.</w:t>
      </w:r>
      <w:r>
        <w:br/>
      </w:r>
      <w:r>
        <w:t xml:space="preserve">The DGSD was published in the Official Journal on 16 April 2014 and most articles</w:t>
      </w:r>
      <w:r>
        <w:t xml:space="preserve"> </w:t>
      </w:r>
      <w:r>
        <w:t xml:space="preserve">became applicable on 3 July 2015, following transposition, while other parts (depositors’</w:t>
      </w:r>
      <w:r>
        <w:t xml:space="preserve"> </w:t>
      </w:r>
      <w:r>
        <w:t xml:space="preserve">access to funds to cover the cost of living) became applicable on 31 May 2016.</w:t>
      </w:r>
      <w:r>
        <w:br/>
      </w:r>
      <w:r>
        <w:t xml:space="preserve">Yet for all the post-crisis progress achieved, areas for further strengthening and</w:t>
      </w:r>
      <w:r>
        <w:t xml:space="preserve"> </w:t>
      </w:r>
      <w:r>
        <w:t xml:space="preserve">adjustment were identified both with regards to the prudential and resolution</w:t>
      </w:r>
      <w:r>
        <w:t xml:space="preserve"> </w:t>
      </w:r>
      <w:r>
        <w:t xml:space="preserve">frameworks. As a result, the Banking package (also known as the “risk reduction</w:t>
      </w:r>
      <w:r>
        <w:t xml:space="preserve"> </w:t>
      </w:r>
      <w:r>
        <w:t xml:space="preserve">package”) proposed by the Commission in 2016 was adopted in 2019236. The Directive</w:t>
      </w:r>
      <w:r>
        <w:t xml:space="preserve"> </w:t>
      </w:r>
      <w:r>
        <w:t xml:space="preserve">(EU) 2017/2399 (the so-called Bank creditor hierarchy Directive) amending the BRRD</w:t>
      </w:r>
      <w:r>
        <w:t xml:space="preserve"> </w:t>
      </w:r>
      <w:r>
        <w:t xml:space="preserve">was adopted and published earlier in 2017237. Building on the previous prudential and</w:t>
      </w:r>
      <w:r>
        <w:t xml:space="preserve"> </w:t>
      </w:r>
      <w:r>
        <w:t xml:space="preserve">resolution legislation, the 2019 Banking package included measures delivering on</w:t>
      </w:r>
      <w:r>
        <w:t xml:space="preserve"> </w:t>
      </w:r>
      <w:r>
        <w:t xml:space="preserve">Europe’s commitments made in international fora238 and acted on the EU commitment to</w:t>
      </w:r>
      <w:r>
        <w:t xml:space="preserve"> </w:t>
      </w:r>
      <w:r>
        <w:t xml:space="preserve">take further steps towards the completion of the Banking Union by providing credible</w:t>
      </w:r>
      <w:r>
        <w:t xml:space="preserve"> </w:t>
      </w:r>
      <w:r>
        <w:t xml:space="preserve">risk reduction measures to mitigate threats to financial stability, as published in the</w:t>
      </w:r>
      <w:r>
        <w:t xml:space="preserve"> </w:t>
      </w:r>
      <w:r>
        <w:t xml:space="preserve">European Commission’s 2015 Communication239. This targeted update of the CMDI</w:t>
      </w:r>
      <w:r>
        <w:t xml:space="preserve"> </w:t>
      </w:r>
      <w:r>
        <w:t xml:space="preserve">framework through the 2019 Banking package is out of scope of this evaluation due its</w:t>
      </w:r>
      <w:r>
        <w:t xml:space="preserve"> </w:t>
      </w:r>
      <w:r>
        <w:t xml:space="preserve">recent entry into force. The effects of its implementation are still to be observed, in</w:t>
      </w:r>
      <w:r>
        <w:t xml:space="preserve"> </w:t>
      </w:r>
      <w:r>
        <w:t xml:space="preserve">particular where transitional arrangements extend until 2024.</w:t>
      </w:r>
      <w:r>
        <w:br/>
      </w:r>
      <w:r>
        <w:t xml:space="preserve">The general policy objectives of the CMDI framework are to: (i) limit potential risks of</w:t>
      </w:r>
      <w:r>
        <w:t xml:space="preserve"> </w:t>
      </w:r>
      <w:r>
        <w:t xml:space="preserve">adverse effects for financial stability caused by the failure of banks, including by</w:t>
      </w:r>
      <w:r>
        <w:t xml:space="preserve"> </w:t>
      </w:r>
      <w:r>
        <w:t xml:space="preserve">preventing contagion and ensuring market discipline and the continuity of critical</w:t>
      </w:r>
      <w:r>
        <w:t xml:space="preserve"> </w:t>
      </w:r>
      <w:r>
        <w:t xml:space="preserve">functions for society240, (ii) minimise losses for society, in particular mitigate recourse to</w:t>
      </w:r>
      <w:r>
        <w:t xml:space="preserve"> </w:t>
      </w:r>
      <w:r>
        <w:t xml:space="preserve">taxpayers’ money241 and weaken the bank-sovereign nexus, (iii) enhance the functioning</w:t>
      </w:r>
      <w:r>
        <w:t xml:space="preserve"> </w:t>
      </w:r>
      <w:r>
        <w:t xml:space="preserve">of the single market in banking, including by handling of cross-border crises and</w:t>
      </w:r>
      <w:r>
        <w:t xml:space="preserve"> </w:t>
      </w:r>
      <w:r>
        <w:t xml:space="preserve">fostering a level playing field among banks from different Member States, particularly in</w:t>
      </w:r>
    </w:p>
    <w:p>
      <w:pPr>
        <w:pStyle w:val="BodyText"/>
      </w:pPr>
      <w:r>
        <w:t xml:space="preserve">234 European Commission (May 2016), Commission delegated regulation (EU) 2016/1450 specifying the</w:t>
      </w:r>
      <w:r>
        <w:t xml:space="preserve"> </w:t>
      </w:r>
      <w:r>
        <w:t xml:space="preserve">criteria relating to the methodology for setting the MREL.</w:t>
      </w:r>
      <w:r>
        <w:t xml:space="preserve"> </w:t>
      </w:r>
      <w:r>
        <w:t xml:space="preserve">235 European Commission (October 2014), Commission delegated regulation (EU) 2015/63 with regard to</w:t>
      </w:r>
      <w:r>
        <w:t xml:space="preserve"> </w:t>
      </w:r>
      <w:r>
        <w:t xml:space="preserve">ex ante contributions to resolution financing arrangements.</w:t>
      </w:r>
      <w:r>
        <w:br/>
      </w:r>
      <w:r>
        <w:t xml:space="preserve">236 As part of the Banking package (also referred to as the “risk reduction package”) published in the</w:t>
      </w:r>
      <w:r>
        <w:t xml:space="preserve"> </w:t>
      </w:r>
      <w:r>
        <w:t xml:space="preserve">Official Journal of the EU (OJEU) in June 2019, Regulation (EU) 2019/876 (CRR II), Regulation (EU)</w:t>
      </w:r>
      <w:r>
        <w:t xml:space="preserve"> </w:t>
      </w:r>
      <w:r>
        <w:t xml:space="preserve">2019/877 (SRMR II) and Directive (EU) 2019/879 (BRRD II) implement a minimum TLAC requirement</w:t>
      </w:r>
      <w:r>
        <w:t xml:space="preserve"> </w:t>
      </w:r>
      <w:r>
        <w:t xml:space="preserve">for EU G-SIIs applicable as of 27 June 2019 and a revision of the MREL requirement for all banks with</w:t>
      </w:r>
      <w:r>
        <w:t xml:space="preserve"> </w:t>
      </w:r>
      <w:r>
        <w:t xml:space="preserve">strengthened eligibility and subordination criteria (applicable upon transposition, from 28 December 2020).</w:t>
      </w:r>
      <w:r>
        <w:br/>
      </w:r>
      <w:r>
        <w:t xml:space="preserve">237 European Commission (December 2017) Directive (EU) 2017/2399 (Bank Creditor Hierarchy</w:t>
      </w:r>
      <w:r>
        <w:t xml:space="preserve"> </w:t>
      </w:r>
      <w:r>
        <w:t xml:space="preserve">Directive), amending the BRRD as regards the ranking of unsecured debt instruments in insolvency</w:t>
      </w:r>
      <w:r>
        <w:t xml:space="preserve"> </w:t>
      </w:r>
      <w:r>
        <w:t xml:space="preserve">hierarchy.</w:t>
      </w:r>
      <w:r>
        <w:t xml:space="preserve"> </w:t>
      </w:r>
      <w:r>
        <w:t xml:space="preserve">238 International fora refer to the Basel Committee on Banking Supervision and the Financial Stability</w:t>
      </w:r>
      <w:r>
        <w:t xml:space="preserve"> </w:t>
      </w:r>
      <w:r>
        <w:t xml:space="preserve">Board (FSB). EU commitments in these fora refer to incorporating elements of the prudential framework</w:t>
      </w:r>
      <w:r>
        <w:t xml:space="preserve"> </w:t>
      </w:r>
      <w:r>
        <w:t xml:space="preserve">and extending the resolution framework to tackle the</w:t>
      </w:r>
      <w:r>
        <w:t xml:space="preserve"> </w:t>
      </w:r>
      <w:r>
        <w:t xml:space="preserve">“too big to fail”</w:t>
      </w:r>
      <w:r>
        <w:t xml:space="preserve"> </w:t>
      </w:r>
      <w:r>
        <w:t xml:space="preserve">problem by implementing the Total</w:t>
      </w:r>
      <w:r>
        <w:t xml:space="preserve"> </w:t>
      </w:r>
      <w:r>
        <w:t xml:space="preserve">Loss Absorbing Capacity (TLAC) Standard into EU law.</w:t>
      </w:r>
      <w:r>
        <w:br/>
      </w:r>
      <w:r>
        <w:t xml:space="preserve">239 European Commission Communication (November 2015), Towards the completion of the Banking</w:t>
      </w:r>
      <w:r>
        <w:t xml:space="preserve"> </w:t>
      </w:r>
      <w:r>
        <w:t xml:space="preserve">Union.</w:t>
      </w:r>
      <w:r>
        <w:t xml:space="preserve"> </w:t>
      </w:r>
      <w:r>
        <w:t xml:space="preserve">240 The continuation of critical functions is a resolution objective as provided by Article 31 BRRD.</w:t>
      </w:r>
      <w:r>
        <w:t xml:space="preserve"> </w:t>
      </w:r>
      <w:r>
        <w:t xml:space="preserve">241 Overarching objective of the resolution framework as per Article 31 BRRD.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the Banking Union242 and (iv) protect depositors and ensure consumer confidence across</w:t>
      </w:r>
      <w:r>
        <w:t xml:space="preserve"> </w:t>
      </w:r>
      <w:r>
        <w:t xml:space="preserve">the EU irrespective of the place of incorporation of the bank243.</w:t>
      </w:r>
      <w:r>
        <w:t xml:space="preserve"> </w:t>
      </w:r>
      <w:r>
        <w:t xml:space="preserve">Figure 13: General objectives of the CMDI framework</w:t>
      </w:r>
    </w:p>
    <w:p>
      <w:pPr>
        <w:pStyle w:val="BodyText"/>
      </w:pPr>
      <w:r>
        <w:t xml:space="preserve">Source: Commission services.</w:t>
      </w:r>
      <w:r>
        <w:t xml:space="preserve"> </w:t>
      </w:r>
      <w:r>
        <w:t xml:space="preserve">The evaluation assesses the effectiveness of the framework with regard to these</w:t>
      </w:r>
      <w:r>
        <w:t xml:space="preserve"> </w:t>
      </w:r>
      <w:r>
        <w:t xml:space="preserve">overarching general objectives of the BRRD/SRMR/DGSD as provided in the 2014</w:t>
      </w:r>
      <w:r>
        <w:t xml:space="preserve"> </w:t>
      </w:r>
      <w:r>
        <w:t xml:space="preserve">legislative texts.</w:t>
      </w:r>
      <w:r>
        <w:br/>
      </w:r>
      <w:r>
        <w:t xml:space="preserve">The intervention logic (Figure 14) provides a description – in a summarised diagram</w:t>
      </w:r>
      <w:r>
        <w:t xml:space="preserve"> </w:t>
      </w:r>
      <w:r>
        <w:t xml:space="preserve">format – on how the CMDI framework (BRRD/SRMR/DGSD and EDIS (as a third and</w:t>
      </w:r>
      <w:r>
        <w:t xml:space="preserve"> </w:t>
      </w:r>
      <w:r>
        <w:t xml:space="preserve">still missing pillar in the Banking Union) was expected to work. It is also used to carry</w:t>
      </w:r>
      <w:r>
        <w:t xml:space="preserve"> </w:t>
      </w:r>
      <w:r>
        <w:t xml:space="preserve">out the evaluation and answer specific questions.</w:t>
      </w:r>
    </w:p>
    <w:p>
      <w:pPr>
        <w:pStyle w:val="BodyText"/>
      </w:pPr>
      <w:r>
        <w:t xml:space="preserve">242 General objective in both BRRD/SRMR and DGSD. Level playing field and the even treatment of</w:t>
      </w:r>
      <w:r>
        <w:t xml:space="preserve"> </w:t>
      </w:r>
      <w:r>
        <w:t xml:space="preserve">creditors and of banks across Member States is an overarching principle in BRRD/SRMR. In DGSD it is</w:t>
      </w:r>
      <w:r>
        <w:t xml:space="preserve"> </w:t>
      </w:r>
      <w:r>
        <w:t xml:space="preserve">mentioned as an objective in Recitals 3 and 54 as well as in the 2012 impact assessment.</w:t>
      </w:r>
      <w:r>
        <w:br/>
      </w:r>
      <w:r>
        <w:t xml:space="preserve">243 General objective in both BRRD/SRMR and DGSD.</w:t>
      </w:r>
      <w:r>
        <w:t xml:space="preserve"> </w:t>
      </w:r>
      <w:r>
        <w:t xml:space="preserve">CMDI</w:t>
      </w:r>
      <w:r>
        <w:t xml:space="preserve"> </w:t>
      </w:r>
      <w:r>
        <w:t xml:space="preserve">framework</w:t>
      </w:r>
      <w:r>
        <w:t xml:space="preserve"> </w:t>
      </w:r>
      <w:r>
        <w:t xml:space="preserve">4. Protect depositors,</w:t>
      </w:r>
      <w:r>
        <w:t xml:space="preserve"> </w:t>
      </w:r>
      <w:r>
        <w:t xml:space="preserve">ensure consumer</w:t>
      </w:r>
      <w:r>
        <w:t xml:space="preserve"> </w:t>
      </w:r>
      <w:r>
        <w:t xml:space="preserve">confidence</w:t>
      </w:r>
      <w:r>
        <w:t xml:space="preserve"> </w:t>
      </w:r>
      <w:r>
        <w:t xml:space="preserve">1. Financial stability, market</w:t>
      </w:r>
      <w:r>
        <w:t xml:space="preserve"> </w:t>
      </w:r>
      <w:r>
        <w:t xml:space="preserve">discipline, continuity of</w:t>
      </w:r>
      <w:r>
        <w:t xml:space="preserve"> </w:t>
      </w:r>
      <w:r>
        <w:t xml:space="preserve">critical functions for society</w:t>
      </w:r>
      <w:r>
        <w:t xml:space="preserve"> </w:t>
      </w:r>
      <w:r>
        <w:t xml:space="preserve">3. Minimise recourse to</w:t>
      </w:r>
      <w:r>
        <w:t xml:space="preserve"> </w:t>
      </w:r>
      <w:r>
        <w:t xml:space="preserve">taxpayer money, weaken</w:t>
      </w:r>
      <w:r>
        <w:t xml:space="preserve"> </w:t>
      </w:r>
      <w:r>
        <w:t xml:space="preserve">bank-sovereign loop</w:t>
      </w:r>
      <w:r>
        <w:t xml:space="preserve"> </w:t>
      </w:r>
      <w:r>
        <w:t xml:space="preserve">2. Single market</w:t>
      </w:r>
      <w:r>
        <w:t xml:space="preserve"> </w:t>
      </w:r>
      <w:r>
        <w:t xml:space="preserve">functioning, level</w:t>
      </w:r>
      <w:r>
        <w:t xml:space="preserve"> </w:t>
      </w:r>
      <w:r>
        <w:t xml:space="preserve">playing field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Figure 14: Intervention logic</w:t>
      </w:r>
    </w:p>
    <w:p>
      <w:pPr>
        <w:pStyle w:val="BodyText"/>
      </w:pPr>
      <w:r>
        <w:t xml:space="preserve">Source: Commission services</w:t>
      </w:r>
    </w:p>
    <w:bookmarkStart w:id="9" w:name="impacts"/>
    <w:p>
      <w:pPr>
        <w:pStyle w:val="Heading2"/>
      </w:pPr>
      <w:r>
        <w:t xml:space="preserve">Impacts</w:t>
      </w:r>
    </w:p>
    <w:bookmarkEnd w:id="9"/>
    <w:bookmarkStart w:id="10" w:name="X62f133a223cbe40390552815f9afcedc1b457f0"/>
    <w:p>
      <w:pPr>
        <w:pStyle w:val="Heading2"/>
      </w:pPr>
      <w:r>
        <w:t xml:space="preserve">Enhanced level playing field for the banking sector in the EU</w:t>
      </w:r>
    </w:p>
    <w:bookmarkEnd w:id="10"/>
    <w:bookmarkStart w:id="11" w:name="X9b589e980c535a1f7458757c922e7ec97dd6850"/>
    <w:p>
      <w:pPr>
        <w:pStyle w:val="Heading2"/>
      </w:pPr>
      <w:r>
        <w:t xml:space="preserve">Reduced recourse to tax-payer money, weakened bank-sovereign loop</w:t>
      </w:r>
    </w:p>
    <w:bookmarkEnd w:id="11"/>
    <w:bookmarkStart w:id="12" w:name="Xcdbee6d239dfbfb69206a97fb2285b8473f9c2a"/>
    <w:p>
      <w:pPr>
        <w:pStyle w:val="Heading2"/>
      </w:pPr>
      <w:r>
        <w:t xml:space="preserve">Increased depositor confidence, reduced risk of deposit runs</w:t>
      </w:r>
    </w:p>
    <w:bookmarkEnd w:id="12"/>
    <w:bookmarkStart w:id="13" w:name="X157657ef2fc62867f0064e4802e31333dfc4c5f"/>
    <w:p>
      <w:pPr>
        <w:pStyle w:val="Heading2"/>
      </w:pPr>
      <w:r>
        <w:t xml:space="preserve">Reduced moral hazard (shareholders and creditors bearing losses) and better market discipline</w:t>
      </w:r>
    </w:p>
    <w:p>
      <w:pPr>
        <w:pStyle w:val="FirstParagraph"/>
      </w:pPr>
      <w:r>
        <w:t xml:space="preserve">Improved financial stability</w:t>
      </w:r>
      <w:r>
        <w:t xml:space="preserve"> </w:t>
      </w:r>
      <w:r>
        <w:t xml:space="preserve">Need</w:t>
      </w:r>
      <w:r>
        <w:t xml:space="preserve"> </w:t>
      </w:r>
      <w:r>
        <w:t xml:space="preserve">Create a European framework to manage the failure of banks by ensuring level playing field, an effective</w:t>
      </w:r>
      <w:r>
        <w:t xml:space="preserve"> </w:t>
      </w:r>
      <w:r>
        <w:t xml:space="preserve">resolution toolkit and the protection of depositors</w:t>
      </w:r>
      <w:r>
        <w:t xml:space="preserve"> </w:t>
      </w:r>
      <w:r>
        <w:t xml:space="preserve">EU input</w:t>
      </w:r>
      <w:r>
        <w:t xml:space="preserve"> </w:t>
      </w:r>
      <w:r>
        <w:t xml:space="preserve">1. Bank Recovery and Resolution Directive (BRRD)</w:t>
      </w:r>
      <w:r>
        <w:t xml:space="preserve"> </w:t>
      </w:r>
      <w:r>
        <w:t xml:space="preserve">2. Single Resolution Mechanism Regulation (SRMR)</w:t>
      </w:r>
      <w:r>
        <w:t xml:space="preserve"> </w:t>
      </w:r>
      <w:r>
        <w:t xml:space="preserve">3. Deposit Guarantee Scheme Directive (DGSD)</w:t>
      </w:r>
      <w:r>
        <w:t xml:space="preserve"> </w:t>
      </w:r>
      <w:r>
        <w:t xml:space="preserve">4. The 2015 EDIS proposal (not yet agreed by the co-legislators)</w:t>
      </w:r>
      <w:r>
        <w:t xml:space="preserve"> </w:t>
      </w:r>
      <w:r>
        <w:t xml:space="preserve">Output</w:t>
      </w:r>
      <w:r>
        <w:t xml:space="preserve"> </w:t>
      </w:r>
      <w:r>
        <w:t xml:space="preserve">Effective early intervention and</w:t>
      </w:r>
      <w:r>
        <w:t xml:space="preserve"> </w:t>
      </w:r>
      <w:r>
        <w:t xml:space="preserve">resolution toolkit and funding</w:t>
      </w:r>
      <w:r>
        <w:t xml:space="preserve"> </w:t>
      </w:r>
      <w:r>
        <w:t xml:space="preserve">solutions to manage any failed</w:t>
      </w:r>
      <w:r>
        <w:t xml:space="preserve"> </w:t>
      </w:r>
      <w:r>
        <w:t xml:space="preserve">bank with minimised recourse to</w:t>
      </w:r>
      <w:r>
        <w:t xml:space="preserve"> </w:t>
      </w:r>
      <w:r>
        <w:t xml:space="preserve">taxpayer money</w:t>
      </w:r>
      <w:r>
        <w:t xml:space="preserve"> </w:t>
      </w:r>
      <w:r>
        <w:t xml:space="preserve">Output</w:t>
      </w:r>
      <w:r>
        <w:t xml:space="preserve"> </w:t>
      </w:r>
      <w:r>
        <w:t xml:space="preserve">Removed discrepancies,</w:t>
      </w:r>
      <w:r>
        <w:t xml:space="preserve"> </w:t>
      </w:r>
      <w:r>
        <w:t xml:space="preserve">increased robustness and</w:t>
      </w:r>
      <w:r>
        <w:t xml:space="preserve"> </w:t>
      </w:r>
      <w:r>
        <w:t xml:space="preserve">resilience in depositor</w:t>
      </w:r>
      <w:r>
        <w:t xml:space="preserve"> </w:t>
      </w:r>
      <w:r>
        <w:t xml:space="preserve">protection across the EU</w:t>
      </w:r>
    </w:p>
    <w:p>
      <w:pPr>
        <w:pStyle w:val="BodyText"/>
      </w:pPr>
      <w:r>
        <w:t xml:space="preserve">Context</w:t>
      </w:r>
      <w:r>
        <w:t xml:space="preserve"> </w:t>
      </w:r>
      <w:r>
        <w:t xml:space="preserve">1. G20 commitment to reduce risks to financial stability stemming from banking crises (September 2009)</w:t>
      </w:r>
      <w:r>
        <w:t xml:space="preserve"> </w:t>
      </w:r>
      <w:r>
        <w:t xml:space="preserve">2. Communication from the Commission to the European Parliament and the Council ‘A Roadmap</w:t>
      </w:r>
      <w:r>
        <w:t xml:space="preserve"> </w:t>
      </w:r>
      <w:r>
        <w:t xml:space="preserve">towards a Banking Union’ (September 2012)</w:t>
      </w:r>
      <w:r>
        <w:t xml:space="preserve"> </w:t>
      </w:r>
      <w:r>
        <w:t xml:space="preserve">Output</w:t>
      </w:r>
      <w:r>
        <w:t xml:space="preserve"> </w:t>
      </w:r>
      <w:r>
        <w:t xml:space="preserve">Consistent and legally</w:t>
      </w:r>
      <w:r>
        <w:t xml:space="preserve"> </w:t>
      </w:r>
      <w:r>
        <w:t xml:space="preserve">predictable rules for handling</w:t>
      </w:r>
      <w:r>
        <w:t xml:space="preserve"> </w:t>
      </w:r>
      <w:r>
        <w:t xml:space="preserve">failed banks across the EU</w:t>
      </w:r>
    </w:p>
    <w:p>
      <w:pPr>
        <w:pStyle w:val="BodyText"/>
      </w:pPr>
      <w:r>
        <w:t xml:space="preserve">Result</w:t>
      </w:r>
      <w:r>
        <w:t xml:space="preserve"> </w:t>
      </w:r>
      <w:r>
        <w:t xml:space="preserve">Depositors are protected in</w:t>
      </w:r>
      <w:r>
        <w:t xml:space="preserve"> </w:t>
      </w:r>
      <w:r>
        <w:t xml:space="preserve">an even and robust manner</w:t>
      </w:r>
      <w:r>
        <w:t xml:space="preserve"> </w:t>
      </w:r>
      <w:r>
        <w:t xml:space="preserve">across the EU</w:t>
      </w:r>
    </w:p>
    <w:p>
      <w:pPr>
        <w:pStyle w:val="BodyText"/>
      </w:pPr>
      <w:r>
        <w:t xml:space="preserve">Result</w:t>
      </w:r>
      <w:r>
        <w:t xml:space="preserve"> </w:t>
      </w:r>
      <w:r>
        <w:t xml:space="preserve">Access to funding solutions is</w:t>
      </w:r>
      <w:r>
        <w:t xml:space="preserve"> </w:t>
      </w:r>
      <w:r>
        <w:t xml:space="preserve">effective and proportionate for all</w:t>
      </w:r>
      <w:r>
        <w:t xml:space="preserve"> </w:t>
      </w:r>
      <w:r>
        <w:t xml:space="preserve">banks and impact on taxpayers</w:t>
      </w:r>
      <w:r>
        <w:t xml:space="preserve"> </w:t>
      </w:r>
      <w:r>
        <w:t xml:space="preserve">reduced</w:t>
      </w:r>
      <w:r>
        <w:br/>
      </w:r>
      <w:r>
        <w:t xml:space="preserve">Result</w:t>
      </w:r>
      <w:r>
        <w:br/>
      </w:r>
      <w:r>
        <w:t xml:space="preserve">Failed banks treated in consistent</w:t>
      </w:r>
      <w:r>
        <w:t xml:space="preserve"> </w:t>
      </w:r>
      <w:r>
        <w:t xml:space="preserve">manner and with legal certainty</w:t>
      </w:r>
      <w:r>
        <w:t xml:space="preserve"> </w:t>
      </w:r>
      <w:r>
        <w:t xml:space="preserve">across the EU</w:t>
      </w:r>
      <w:r>
        <w:t xml:space="preserve"> </w:t>
      </w:r>
      <w:r>
        <w:t xml:space="preserve">Objectives</w:t>
      </w:r>
      <w:r>
        <w:t xml:space="preserve"> </w:t>
      </w:r>
      <w:r>
        <w:t xml:space="preserve">1. Limit risks to financial stability, reduce moral hazard</w:t>
      </w:r>
      <w:r>
        <w:t xml:space="preserve"> </w:t>
      </w:r>
      <w:r>
        <w:t xml:space="preserve">2. Minimise losses for society, mitigate recourse to taxpayer money, reduce bank-sovereign link</w:t>
      </w:r>
      <w:r>
        <w:t xml:space="preserve"> </w:t>
      </w:r>
      <w:r>
        <w:t xml:space="preserve">3. Enhance single market in banking, fostering level playing field</w:t>
      </w:r>
      <w:r>
        <w:t xml:space="preserve"> </w:t>
      </w:r>
      <w:r>
        <w:t xml:space="preserve">4. Protect depositors and ensure consumer confidence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Description of the situation before the adoption of the CMDI framework</w:t>
      </w:r>
      <w:r>
        <w:t xml:space="preserve"> </w:t>
      </w:r>
      <w:r>
        <w:t xml:space="preserve">The baseline scenario, assuming the CMDI framework had not been adopted, is one in</w:t>
      </w:r>
      <w:r>
        <w:t xml:space="preserve"> </w:t>
      </w:r>
      <w:r>
        <w:t xml:space="preserve">which the EU would continue to rely on the limited (or non-existing) EU legislation244</w:t>
      </w:r>
      <w:r>
        <w:t xml:space="preserve"> </w:t>
      </w:r>
      <w:r>
        <w:t xml:space="preserve">and diverging national legislations and arrangements in situations of bank crises.</w:t>
      </w:r>
      <w:r>
        <w:br/>
      </w:r>
      <w:r>
        <w:t xml:space="preserve">In terms of preparation and prevention, supervisors would continue to rely on previous</w:t>
      </w:r>
      <w:r>
        <w:t xml:space="preserve"> </w:t>
      </w:r>
      <w:r>
        <w:t xml:space="preserve">practices for detecting risks at credit institutions. In the absence of contingency plans,</w:t>
      </w:r>
      <w:r>
        <w:t xml:space="preserve"> </w:t>
      </w:r>
      <w:r>
        <w:t xml:space="preserve">they would lack key information about the possible de-risking strategies of credit</w:t>
      </w:r>
      <w:r>
        <w:t xml:space="preserve"> </w:t>
      </w:r>
      <w:r>
        <w:t xml:space="preserve">institutions or about their recovery or resolution possibilities (including their financing).</w:t>
      </w:r>
      <w:r>
        <w:t xml:space="preserve"> </w:t>
      </w:r>
      <w:r>
        <w:t xml:space="preserve">Authorities would not have any power to ask overly complex, large or interrelated</w:t>
      </w:r>
      <w:r>
        <w:t xml:space="preserve"> </w:t>
      </w:r>
      <w:r>
        <w:t xml:space="preserve">institutions to reorganise or simplify their operations, which could be a major hurdle in a</w:t>
      </w:r>
      <w:r>
        <w:t xml:space="preserve"> </w:t>
      </w:r>
      <w:r>
        <w:t xml:space="preserve">possible resolution. This would entrench moral hazard risk in banks that are too big,</w:t>
      </w:r>
      <w:r>
        <w:t xml:space="preserve"> </w:t>
      </w:r>
      <w:r>
        <w:t xml:space="preserve">complex or interconnected to fail.</w:t>
      </w:r>
      <w:r>
        <w:br/>
      </w:r>
      <w:r>
        <w:t xml:space="preserve">In the case of early intervention by supervisors, the absence of the initiative would mean</w:t>
      </w:r>
      <w:r>
        <w:t xml:space="preserve"> </w:t>
      </w:r>
      <w:r>
        <w:t xml:space="preserve">that supervisors in different Member States would have different powers and intervention</w:t>
      </w:r>
      <w:r>
        <w:t xml:space="preserve"> </w:t>
      </w:r>
      <w:r>
        <w:t xml:space="preserve">tools for different members of the same cross-border banking group. They would be</w:t>
      </w:r>
      <w:r>
        <w:t xml:space="preserve"> </w:t>
      </w:r>
      <w:r>
        <w:t xml:space="preserve">required to intervene at different times, under different conditions and implement</w:t>
      </w:r>
      <w:r>
        <w:t xml:space="preserve"> </w:t>
      </w:r>
      <w:r>
        <w:t xml:space="preserve">different measures, leading to uneven playing field, ring fencing of resources and highly</w:t>
      </w:r>
      <w:r>
        <w:t xml:space="preserve"> </w:t>
      </w:r>
      <w:r>
        <w:t xml:space="preserve">inconsistent outcomes, likely triggering contagion to other members of the group located</w:t>
      </w:r>
      <w:r>
        <w:t xml:space="preserve"> </w:t>
      </w:r>
      <w:r>
        <w:t xml:space="preserve">in different Member States.</w:t>
      </w:r>
      <w:r>
        <w:br/>
      </w:r>
      <w:r>
        <w:t xml:space="preserve">If no special bank resolution tools and powers were granted to authorities, the resolution</w:t>
      </w:r>
      <w:r>
        <w:t xml:space="preserve"> </w:t>
      </w:r>
      <w:r>
        <w:t xml:space="preserve">of banks (i.e. allocating losses and preserving the critical functions in the bank under an</w:t>
      </w:r>
      <w:r>
        <w:t xml:space="preserve"> </w:t>
      </w:r>
      <w:r>
        <w:t xml:space="preserve">administrative procedure) would be impossible to execute and bail-out would remain the</w:t>
      </w:r>
      <w:r>
        <w:t xml:space="preserve"> </w:t>
      </w:r>
      <w:r>
        <w:t xml:space="preserve">only alternative. If authorities could intervene in certain countries only when banks are</w:t>
      </w:r>
      <w:r>
        <w:t xml:space="preserve"> </w:t>
      </w:r>
      <w:r>
        <w:t xml:space="preserve">formally insolvent, those countries would bear much higher social cost stemming from</w:t>
      </w:r>
      <w:r>
        <w:t xml:space="preserve"> </w:t>
      </w:r>
      <w:r>
        <w:t xml:space="preserve">banks’ failure.</w:t>
      </w:r>
      <w:r>
        <w:br/>
      </w:r>
      <w:r>
        <w:t xml:space="preserve">The lack of an EU framework would also represent a source of distortion in the internal</w:t>
      </w:r>
      <w:r>
        <w:t xml:space="preserve"> </w:t>
      </w:r>
      <w:r>
        <w:t xml:space="preserve">market. Faced with a cross-border bank insolvency, different national authorities would</w:t>
      </w:r>
      <w:r>
        <w:t xml:space="preserve"> </w:t>
      </w:r>
      <w:r>
        <w:t xml:space="preserve">continue to focus only on the respective legal entity located in their territory. Conflicting</w:t>
      </w:r>
      <w:r>
        <w:t xml:space="preserve"> </w:t>
      </w:r>
      <w:r>
        <w:t xml:space="preserve">interests would likely impede a more optimal reorganisation solution for the group as a</w:t>
      </w:r>
      <w:r>
        <w:t xml:space="preserve"> </w:t>
      </w:r>
      <w:r>
        <w:t xml:space="preserve">whole, taking into consideration the interest of all Member States. National solutions with</w:t>
      </w:r>
      <w:r>
        <w:t xml:space="preserve"> </w:t>
      </w:r>
      <w:r>
        <w:t xml:space="preserve">divergent and inadequate resolution tools would likely be costlier for citizens and</w:t>
      </w:r>
      <w:r>
        <w:t xml:space="preserve"> </w:t>
      </w:r>
      <w:r>
        <w:t xml:space="preserve">taxpayers than if the failure of banking groups was governed by comprehensive rules and</w:t>
      </w:r>
      <w:r>
        <w:t xml:space="preserve"> </w:t>
      </w:r>
      <w:r>
        <w:t xml:space="preserve">arrangements and, in the case of the Banking Union a central authority (SRB). There</w:t>
      </w:r>
      <w:r>
        <w:t xml:space="preserve"> </w:t>
      </w:r>
      <w:r>
        <w:t xml:space="preserve">would be no private resources (resolution funds) raised from the industry to finance</w:t>
      </w:r>
      <w:r>
        <w:t xml:space="preserve"> </w:t>
      </w:r>
      <w:r>
        <w:t xml:space="preserve">resolution. This accordingly means continuing to rely on prudential capital buffers at the</w:t>
      </w:r>
    </w:p>
    <w:p>
      <w:pPr>
        <w:pStyle w:val="BodyText"/>
      </w:pPr>
      <w:r>
        <w:t xml:space="preserve">244 Before the BRRD/SRMR, there were no comprehensive arrangements, at EU level, governing the</w:t>
      </w:r>
      <w:r>
        <w:t xml:space="preserve"> </w:t>
      </w:r>
      <w:r>
        <w:t xml:space="preserve">orderly resolution of failing banks at national level or for tackling cross-border banking failures. Beyond a</w:t>
      </w:r>
      <w:r>
        <w:t xml:space="preserve"> </w:t>
      </w:r>
      <w:r>
        <w:t xml:space="preserve">minimum set of arrangements for the winding-up and reorganisation of credit institutions with cross border</w:t>
      </w:r>
      <w:r>
        <w:t xml:space="preserve"> </w:t>
      </w:r>
      <w:r>
        <w:t xml:space="preserve">branches (Directive 2001/24/EC on the reorganisation and winding up of credit institutions), no EU</w:t>
      </w:r>
      <w:r>
        <w:t xml:space="preserve"> </w:t>
      </w:r>
      <w:r>
        <w:t xml:space="preserve">framework existed which set out how and under which conditions authorities should act in the event of a</w:t>
      </w:r>
      <w:r>
        <w:t xml:space="preserve"> </w:t>
      </w:r>
      <w:r>
        <w:t xml:space="preserve">crisis arising in a bank. Before DGSD, Directive 94/19/EC on Deposit Guarantee Schemes set out a</w:t>
      </w:r>
      <w:r>
        <w:t xml:space="preserve"> </w:t>
      </w:r>
      <w:r>
        <w:t xml:space="preserve">minimum harmonisation of national guarantee systems in the EU Member States for the protection of</w:t>
      </w:r>
      <w:r>
        <w:t xml:space="preserve"> </w:t>
      </w:r>
      <w:r>
        <w:t xml:space="preserve">depositors, which however, had to be comprehensively revised to restore and maintain depositors’</w:t>
      </w:r>
      <w:r>
        <w:t xml:space="preserve"> </w:t>
      </w:r>
      <w:r>
        <w:t xml:space="preserve">confidence in the aftermath of the global financial crisis.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level of individual institutions and DGS to the extent that these are able to finance</w:t>
      </w:r>
      <w:r>
        <w:t xml:space="preserve"> </w:t>
      </w:r>
      <w:r>
        <w:t xml:space="preserve">resolution measures. If losses would not be covered by those means and in view of</w:t>
      </w:r>
      <w:r>
        <w:t xml:space="preserve"> </w:t>
      </w:r>
      <w:r>
        <w:t xml:space="preserve">possible DGS shortfalls, recourse to public funds may continue to be the only option for</w:t>
      </w:r>
      <w:r>
        <w:t xml:space="preserve"> </w:t>
      </w:r>
      <w:r>
        <w:t xml:space="preserve">governments to safeguard financial stability and protect depositors.</w:t>
      </w:r>
      <w:r>
        <w:t xml:space="preserve"> </w:t>
      </w:r>
      <w:r>
        <w:t xml:space="preserve">From a DGSD perspective, in the baseline scenario, the objectives of protecting</w:t>
      </w:r>
      <w:r>
        <w:t xml:space="preserve"> </w:t>
      </w:r>
      <w:r>
        <w:t xml:space="preserve">depositors, preventing bank runs and contributing to financial stability would not be fully</w:t>
      </w:r>
      <w:r>
        <w:t xml:space="preserve"> </w:t>
      </w:r>
      <w:r>
        <w:t xml:space="preserve">met. While the coverage level was already fixed at EUR 100 000, the risk of bank runs</w:t>
      </w:r>
      <w:r>
        <w:t xml:space="preserve"> </w:t>
      </w:r>
      <w:r>
        <w:t xml:space="preserve">and its economic consequences would not be avoided or reduced, because of the long</w:t>
      </w:r>
      <w:r>
        <w:t xml:space="preserve"> </w:t>
      </w:r>
      <w:r>
        <w:t xml:space="preserve">payout delays245 by national DGS and the lack of financial capacity of some schemes.</w:t>
      </w:r>
      <w:r>
        <w:t xml:space="preserve"> </w:t>
      </w:r>
      <w:r>
        <w:t xml:space="preserve">Further, the potential of the internal market would be hampered by fragmentation and a</w:t>
      </w:r>
      <w:r>
        <w:t xml:space="preserve"> </w:t>
      </w:r>
      <w:r>
        <w:t xml:space="preserve">lack of coordination. A varying scope of covered products and different eligibility criteria</w:t>
      </w:r>
      <w:r>
        <w:t xml:space="preserve"> </w:t>
      </w:r>
      <w:r>
        <w:t xml:space="preserve">for protected depositors in the EU, combined with the lack of information on whether</w:t>
      </w:r>
      <w:r>
        <w:t xml:space="preserve"> </w:t>
      </w:r>
      <w:r>
        <w:t xml:space="preserve">deposits are covered, would lead to depositors searching for the</w:t>
      </w:r>
      <w:r>
        <w:t xml:space="preserve"> </w:t>
      </w:r>
      <w:r>
        <w:t xml:space="preserve">‘best DGS’</w:t>
      </w:r>
      <w:r>
        <w:t xml:space="preserve"> </w:t>
      </w:r>
      <w:r>
        <w:t xml:space="preserve">when</w:t>
      </w:r>
      <w:r>
        <w:t xml:space="preserve"> </w:t>
      </w:r>
      <w:r>
        <w:t xml:space="preserve">depositing their money instead of looking for the</w:t>
      </w:r>
      <w:r>
        <w:t xml:space="preserve"> </w:t>
      </w:r>
      <w:r>
        <w:t xml:space="preserve">‘best product’</w:t>
      </w:r>
      <w:r>
        <w:t xml:space="preserve"> </w:t>
      </w:r>
      <w:r>
        <w:t xml:space="preserve">or</w:t>
      </w:r>
      <w:r>
        <w:t xml:space="preserve"> </w:t>
      </w:r>
      <w:r>
        <w:t xml:space="preserve">‘best service’</w:t>
      </w:r>
      <w:r>
        <w:t xml:space="preserve">. This and</w:t>
      </w:r>
      <w:r>
        <w:t xml:space="preserve"> </w:t>
      </w:r>
      <w:r>
        <w:t xml:space="preserve">the lack of mutual cooperation between schemes in cross-border situations and the</w:t>
      </w:r>
      <w:r>
        <w:t xml:space="preserve"> </w:t>
      </w:r>
      <w:r>
        <w:t xml:space="preserve">perspective of having to deal with a DGS in another language246 would lead to choosing</w:t>
      </w:r>
      <w:r>
        <w:t xml:space="preserve"> </w:t>
      </w:r>
      <w:r>
        <w:t xml:space="preserve">between domestic banks only.</w:t>
      </w:r>
      <w:r>
        <w:br/>
      </w:r>
      <w:r>
        <w:t xml:space="preserve">Banks, in particular those operating cross-border, would still suffer from an unlevel</w:t>
      </w:r>
      <w:r>
        <w:t xml:space="preserve"> </w:t>
      </w:r>
      <w:r>
        <w:t xml:space="preserve">playing field due to divergent ex post and ex ante contribution systems implying they</w:t>
      </w:r>
      <w:r>
        <w:t xml:space="preserve"> </w:t>
      </w:r>
      <w:r>
        <w:t xml:space="preserve">would have to pay high contributions in one Member State, but none in another one so</w:t>
      </w:r>
      <w:r>
        <w:t xml:space="preserve"> </w:t>
      </w:r>
      <w:r>
        <w:t xml:space="preserve">long as there is no bank failure. In the latter case, they would have to provide funding to</w:t>
      </w:r>
      <w:r>
        <w:t xml:space="preserve"> </w:t>
      </w:r>
      <w:r>
        <w:t xml:space="preserve">the DGS in times of general stress on banks’ liquidity. Banks would also suffer from</w:t>
      </w:r>
      <w:r>
        <w:t xml:space="preserve"> </w:t>
      </w:r>
      <w:r>
        <w:t xml:space="preserve">adverse selection, if a sound and prudent bank had to pay the same contributions as a</w:t>
      </w:r>
      <w:r>
        <w:t xml:space="preserve"> </w:t>
      </w:r>
      <w:r>
        <w:t xml:space="preserve">bank of the same size operating under an aggressive business model at the margin of</w:t>
      </w:r>
      <w:r>
        <w:t xml:space="preserve"> </w:t>
      </w:r>
      <w:r>
        <w:t xml:space="preserve">prudential regulation and incurring higher risks.</w:t>
      </w:r>
      <w:r>
        <w:t xml:space="preserve"> </w:t>
      </w:r>
      <w:r>
        <w:t xml:space="preserve">4.</w:t>
      </w:r>
      <w:r>
        <w:t xml:space="preserve"> </w:t>
      </w:r>
      <w:r>
        <w:t xml:space="preserve">EVALUATION QUESTIONS</w:t>
      </w:r>
      <w:r>
        <w:t xml:space="preserve"> </w:t>
      </w:r>
      <w:r>
        <w:t xml:space="preserve">This section summarises the review questions addressed in this evaluation.</w:t>
      </w:r>
      <w:r>
        <w:br/>
      </w:r>
      <w:r>
        <w:t xml:space="preserve">Question 1 - How effective has the EU intervention been? What have been the</w:t>
      </w:r>
      <w:r>
        <w:t xml:space="preserve"> </w:t>
      </w:r>
      <w:r>
        <w:t xml:space="preserve">effects of the EU intervention?</w:t>
      </w:r>
      <w:r>
        <w:br/>
      </w:r>
      <w:r>
        <w:t xml:space="preserve"> To what extent have the general objectives of the CMDI framework</w:t>
      </w:r>
      <w:r>
        <w:t xml:space="preserve"> </w:t>
      </w:r>
      <w:r>
        <w:t xml:space="preserve">(BRRD/SRMR/DGSD) been achieved and what factors were relevant in that</w:t>
      </w:r>
      <w:r>
        <w:t xml:space="preserve"> </w:t>
      </w:r>
      <w:r>
        <w:t xml:space="preserve">regard?</w:t>
      </w:r>
      <w:r>
        <w:br/>
      </w:r>
      <w:r>
        <w:t xml:space="preserve">Question 2: How efficient has the EU intervention been?</w:t>
      </w:r>
      <w:r>
        <w:br/>
      </w:r>
      <w:r>
        <w:t xml:space="preserve"> To what extent have the rules regarding the recovery and orderly resolution of</w:t>
      </w:r>
      <w:r>
        <w:t xml:space="preserve"> </w:t>
      </w:r>
      <w:r>
        <w:t xml:space="preserve">banks under the BRRD/SRMR and the ones regarding depositor protection under</w:t>
      </w:r>
      <w:r>
        <w:t xml:space="preserve"> </w:t>
      </w:r>
      <w:r>
        <w:t xml:space="preserve">the DGSD been cost-effective? Are there significant differences in costs or</w:t>
      </w:r>
      <w:r>
        <w:t xml:space="preserve"> </w:t>
      </w:r>
      <w:r>
        <w:t xml:space="preserve">benefits between Member States and what is causing them?</w:t>
      </w:r>
    </w:p>
    <w:p>
      <w:pPr>
        <w:pStyle w:val="BodyText"/>
      </w:pPr>
      <w:r>
        <w:t xml:space="preserve">245 The payout delays of DGS were set at 4 to 6 weeks from the moment a bank is declared insolvent.</w:t>
      </w:r>
      <w:r>
        <w:br/>
      </w:r>
      <w:r>
        <w:t xml:space="preserve">246 As it has been the case after the failure of the Icelandic banks.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Question 3: How relevant is the EU intervention?</w:t>
      </w:r>
      <w:r>
        <w:br/>
      </w:r>
      <w:r>
        <w:t xml:space="preserve"> To what extent are the rules still relevant and how well do the original objectives</w:t>
      </w:r>
      <w:r>
        <w:t xml:space="preserve"> </w:t>
      </w:r>
      <w:r>
        <w:t xml:space="preserve">of these legislative initiatives (BRRD/SRMR/DGSD) correspond to the current</w:t>
      </w:r>
      <w:r>
        <w:t xml:space="preserve"> </w:t>
      </w:r>
      <w:r>
        <w:t xml:space="preserve">needs within the EU?</w:t>
      </w:r>
      <w:r>
        <w:t xml:space="preserve"> </w:t>
      </w:r>
      <w:r>
        <w:t xml:space="preserve"> To what extent do the risks to financial stability stemming from bank crises</w:t>
      </w:r>
      <w:r>
        <w:t xml:space="preserve"> </w:t>
      </w:r>
      <w:r>
        <w:t xml:space="preserve">continue to require action at EU level?</w:t>
      </w:r>
      <w:r>
        <w:t xml:space="preserve"> </w:t>
      </w:r>
      <w:r>
        <w:t xml:space="preserve"> Have new challenges arisen which were not existent at the time of introduction of</w:t>
      </w:r>
      <w:r>
        <w:t xml:space="preserve"> </w:t>
      </w:r>
      <w:r>
        <w:t xml:space="preserve">the CMDI framework and which need to be tackled by the framework?</w:t>
      </w:r>
      <w:r>
        <w:t xml:space="preserve"> </w:t>
      </w:r>
      <w:r>
        <w:t xml:space="preserve"> How is the absence of a common depositor guarantee scheme for depositors, in</w:t>
      </w:r>
      <w:r>
        <w:t xml:space="preserve"> </w:t>
      </w:r>
      <w:r>
        <w:t xml:space="preserve">the Banking Union, such as EDIS affect the relevance of the framework?</w:t>
      </w:r>
      <w:r>
        <w:t xml:space="preserve"> </w:t>
      </w:r>
      <w:r>
        <w:t xml:space="preserve">Question 4: How coherent is the EU intervention?</w:t>
      </w:r>
      <w:r>
        <w:br/>
      </w:r>
      <w:r>
        <w:t xml:space="preserve"> To what extent are rules on the recovery and resolution of banks and depositor</w:t>
      </w:r>
      <w:r>
        <w:t xml:space="preserve"> </w:t>
      </w:r>
      <w:r>
        <w:t xml:space="preserve">protection in the BRRD/SRMR/DGSD coherent as a framework, is the framework</w:t>
      </w:r>
      <w:r>
        <w:t xml:space="preserve"> </w:t>
      </w:r>
      <w:r>
        <w:t xml:space="preserve">coherent with provisions in other pieces of relevant legislation or</w:t>
      </w:r>
      <w:r>
        <w:t xml:space="preserve"> </w:t>
      </w:r>
      <w:r>
        <w:t xml:space="preserve">communications, in particular State aid rules, national insolvency regimes, the</w:t>
      </w:r>
      <w:r>
        <w:t xml:space="preserve"> </w:t>
      </w:r>
      <w:r>
        <w:t xml:space="preserve">CRD, AML/e-money, payment services and E-money Directives?</w:t>
      </w:r>
      <w:r>
        <w:t xml:space="preserve"> </w:t>
      </w:r>
      <w:r>
        <w:t xml:space="preserve">Question 5: What is the EU-added value of the intervention?</w:t>
      </w:r>
      <w:r>
        <w:br/>
      </w:r>
      <w:r>
        <w:t xml:space="preserve"> Compared to the previous national approaches, to what extent have the provisions</w:t>
      </w:r>
      <w:r>
        <w:t xml:space="preserve"> </w:t>
      </w:r>
      <w:r>
        <w:t xml:space="preserve">of CMDI framework (BRRD/SRMR/DGSD) helped improve the functioning of</w:t>
      </w:r>
      <w:r>
        <w:t xml:space="preserve"> </w:t>
      </w:r>
      <w:r>
        <w:t xml:space="preserve">the single market in banking, contributed to financial stability and increasing the</w:t>
      </w:r>
      <w:r>
        <w:t xml:space="preserve"> </w:t>
      </w:r>
      <w:r>
        <w:t xml:space="preserve">level playing field among banks, and consumer confidence taking into account the</w:t>
      </w:r>
      <w:r>
        <w:t xml:space="preserve"> </w:t>
      </w:r>
      <w:r>
        <w:t xml:space="preserve">inherent cross-border nature of banking in the EU?</w:t>
      </w:r>
      <w:r>
        <w:br/>
      </w:r>
      <w:r>
        <w:t xml:space="preserve"> How does the gap of the third missing pillar of the Banking Union (common</w:t>
      </w:r>
      <w:r>
        <w:t xml:space="preserve"> </w:t>
      </w:r>
      <w:r>
        <w:t xml:space="preserve">depositor protection) affect the EU-added value of the framework?</w:t>
      </w:r>
      <w:r>
        <w:t xml:space="preserve"> </w:t>
      </w:r>
      <w:r>
        <w:t xml:space="preserve">5.</w:t>
      </w:r>
      <w:r>
        <w:t xml:space="preserve"> </w:t>
      </w:r>
      <w:r>
        <w:t xml:space="preserve">METHOD</w:t>
      </w:r>
      <w:r>
        <w:t xml:space="preserve"> </w:t>
      </w:r>
      <w:r>
        <w:t xml:space="preserve">This evaluation draws on a broad range of information sources such as results of</w:t>
      </w:r>
      <w:r>
        <w:t xml:space="preserve"> </w:t>
      </w:r>
      <w:r>
        <w:t xml:space="preserve">consultations with stakeholders (e.g. two public consultations, high-level conference,</w:t>
      </w:r>
      <w:r>
        <w:t xml:space="preserve"> </w:t>
      </w:r>
      <w:r>
        <w:t xml:space="preserve">bilateral meetings), exchanges with Member States (e.g. expert group meetings, ad-hoc</w:t>
      </w:r>
      <w:r>
        <w:t xml:space="preserve"> </w:t>
      </w:r>
      <w:r>
        <w:t xml:space="preserve">working party meetings, bilateral meetings), pilot studies of the EP, exchanges with</w:t>
      </w:r>
      <w:r>
        <w:t xml:space="preserve"> </w:t>
      </w:r>
      <w:r>
        <w:t xml:space="preserve">relevant authorities (ECB, SRB and EBA), reports from the EBA (e.g. opinions, a call for</w:t>
      </w:r>
      <w:r>
        <w:t xml:space="preserve"> </w:t>
      </w:r>
      <w:r>
        <w:t xml:space="preserve">advice, reports, discussion papers), reports from the JRC and additional desk research of</w:t>
      </w:r>
      <w:r>
        <w:t xml:space="preserve"> </w:t>
      </w:r>
      <w:r>
        <w:t xml:space="preserve">the Commission services. A detailed list of all specific sources can be found in Annex 1</w:t>
      </w:r>
      <w:r>
        <w:t xml:space="preserve"> </w:t>
      </w:r>
      <w:r>
        <w:t xml:space="preserve">of the impact assessment.</w:t>
      </w:r>
      <w:r>
        <w:br/>
      </w:r>
      <w:r>
        <w:t xml:space="preserve">Limitations</w:t>
      </w:r>
      <w:r>
        <w:t xml:space="preserve"> </w:t>
      </w:r>
      <w:r>
        <w:t xml:space="preserve">First, the current evaluation of the effectiveness and efficiency of the CMDI framework</w:t>
      </w:r>
      <w:r>
        <w:t xml:space="preserve"> </w:t>
      </w:r>
      <w:r>
        <w:t xml:space="preserve">is conducted while certain aspects of the framework are still in a transitional period. For</w:t>
      </w:r>
      <w:r>
        <w:t xml:space="preserve"> </w:t>
      </w:r>
      <w:r>
        <w:t xml:space="preserve">instance, banks are still building their resolution buffers (MREL compliance with BRRD</w:t>
      </w:r>
      <w:r>
        <w:t xml:space="preserve"> </w:t>
      </w:r>
      <w:r>
        <w:t xml:space="preserve">II requirements is expected by 2024 for most banks) and the resolution funds/SRF/DGS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will have reached their target level by 2024247. Banks are also making progress in</w:t>
      </w:r>
      <w:r>
        <w:t xml:space="preserve"> </w:t>
      </w:r>
      <w:r>
        <w:t xml:space="preserve">improving their resolvability. Resolution authorities continuously improve resolution</w:t>
      </w:r>
      <w:r>
        <w:t xml:space="preserve"> </w:t>
      </w:r>
      <w:r>
        <w:t xml:space="preserve">planning and monitoring resolvability, updating internal policies, in particular on the</w:t>
      </w:r>
      <w:r>
        <w:t xml:space="preserve"> </w:t>
      </w:r>
      <w:r>
        <w:t xml:space="preserve">rules regarding the MREL, setting requirements for resolution entities and subsidiaries in</w:t>
      </w:r>
      <w:r>
        <w:t xml:space="preserve"> </w:t>
      </w:r>
      <w:r>
        <w:t xml:space="preserve">banking groups, enhancing their preparedness for the application of resolution action,</w:t>
      </w:r>
      <w:r>
        <w:t xml:space="preserve"> </w:t>
      </w:r>
      <w:r>
        <w:t xml:space="preserve">collecting contributions to the resolution funds/SRF and relevant data to conduct their</w:t>
      </w:r>
      <w:r>
        <w:t xml:space="preserve"> </w:t>
      </w:r>
      <w:r>
        <w:t xml:space="preserve">work. In addition, some of the crisis cases that occurred since the entry into force of the</w:t>
      </w:r>
      <w:r>
        <w:t xml:space="preserve"> </w:t>
      </w:r>
      <w:r>
        <w:t xml:space="preserve">framework were legacy situations, with their own particularities. However, these aspects</w:t>
      </w:r>
      <w:r>
        <w:t xml:space="preserve"> </w:t>
      </w:r>
      <w:r>
        <w:t xml:space="preserve">are taken into account, when forming conclusions on the evaluation of the framework.</w:t>
      </w:r>
      <w:r>
        <w:br/>
      </w:r>
      <w:r>
        <w:t xml:space="preserve">Second, it is not always possible to attribute observed outcomes to the CMDI reforms.</w:t>
      </w:r>
      <w:r>
        <w:t xml:space="preserve"> </w:t>
      </w:r>
      <w:r>
        <w:t xml:space="preserve">The evaluation has sought to establish a causal link between the reforms and observed</w:t>
      </w:r>
      <w:r>
        <w:t xml:space="preserve"> </w:t>
      </w:r>
      <w:r>
        <w:t xml:space="preserve">outcomes. However, some CMDI reforms were only recently implemented, other reforms</w:t>
      </w:r>
      <w:r>
        <w:t xml:space="preserve"> </w:t>
      </w:r>
      <w:r>
        <w:t xml:space="preserve">have been implemented in parallel, and the evolution of monetary policy may have</w:t>
      </w:r>
      <w:r>
        <w:t xml:space="preserve"> </w:t>
      </w:r>
      <w:r>
        <w:t xml:space="preserve">affected the evolution of key considerations regarding for instance the preservation of</w:t>
      </w:r>
      <w:r>
        <w:t xml:space="preserve"> </w:t>
      </w:r>
      <w:r>
        <w:t xml:space="preserve">financial stability and depositor confidence.</w:t>
      </w:r>
      <w:r>
        <w:br/>
      </w:r>
      <w:r>
        <w:t xml:space="preserve">Third, certain aspects of this evaluation pertaining to the funding issues of the framework</w:t>
      </w:r>
      <w:r>
        <w:t xml:space="preserve"> </w:t>
      </w:r>
      <w:r>
        <w:t xml:space="preserve">were analysed based on data as of Q4 2019 (banks’ liability structure). A dynamic</w:t>
      </w:r>
      <w:r>
        <w:t xml:space="preserve"> </w:t>
      </w:r>
      <w:r>
        <w:t xml:space="preserve">analysis showing the implementation progress over several reporting periods was not</w:t>
      </w:r>
      <w:r>
        <w:t xml:space="preserve"> </w:t>
      </w:r>
      <w:r>
        <w:t xml:space="preserve">feasible, due to lack of data and a lack of comparability owing to the significant evolution</w:t>
      </w:r>
      <w:r>
        <w:t xml:space="preserve"> </w:t>
      </w:r>
      <w:r>
        <w:t xml:space="preserve">in MREL methodology and sample coverage, over the past years248. The database also</w:t>
      </w:r>
      <w:r>
        <w:t xml:space="preserve"> </w:t>
      </w:r>
      <w:r>
        <w:t xml:space="preserve">did not capture the impact of the COVID-19 pandemic on the banking sector. This was</w:t>
      </w:r>
      <w:r>
        <w:t xml:space="preserve"> </w:t>
      </w:r>
      <w:r>
        <w:t xml:space="preserve">because existing data collection schedules set by resolution authorities and the EBA did</w:t>
      </w:r>
      <w:r>
        <w:t xml:space="preserve"> </w:t>
      </w:r>
      <w:r>
        <w:t xml:space="preserve">not allow for more recent data. However, certain additional information pertaining to the</w:t>
      </w:r>
      <w:r>
        <w:t xml:space="preserve"> </w:t>
      </w:r>
      <w:r>
        <w:t xml:space="preserve">MREL targets, issuances and shortfalls available as of Q3 2022 and more generally,</w:t>
      </w:r>
      <w:r>
        <w:t xml:space="preserve"> </w:t>
      </w:r>
      <w:r>
        <w:t xml:space="preserve">certain qualitative considerations regarding the impact of the COVID-19 crisis have been</w:t>
      </w:r>
      <w:r>
        <w:t xml:space="preserve"> </w:t>
      </w:r>
      <w:r>
        <w:t xml:space="preserve">integrated in the analysis in order to partially mitigate this caveat. Similarly, new</w:t>
      </w:r>
      <w:r>
        <w:t xml:space="preserve"> </w:t>
      </w:r>
      <w:r>
        <w:t xml:space="preserve">supervisory reporting requirements for banks came into force with the adoption of the</w:t>
      </w:r>
      <w:r>
        <w:t xml:space="preserve"> </w:t>
      </w:r>
      <w:r>
        <w:t xml:space="preserve">relevant secondary legislation in 2021, and public disclosure of MREL will be required</w:t>
      </w:r>
      <w:r>
        <w:t xml:space="preserve"> </w:t>
      </w:r>
      <w:r>
        <w:t xml:space="preserve">from 2024 onwards249. Nevertheless, the evaluation draws from the data collected by</w:t>
      </w:r>
      <w:r>
        <w:t xml:space="preserve"> </w:t>
      </w:r>
      <w:r>
        <w:t xml:space="preserve">European public authorities and bodies (i.e. SRB, EBA) on the basis of rules, which were</w:t>
      </w:r>
      <w:r>
        <w:t xml:space="preserve"> </w:t>
      </w:r>
      <w:r>
        <w:t xml:space="preserve">in place when the analysis was conducted, as well as the responses to the public</w:t>
      </w:r>
      <w:r>
        <w:t xml:space="preserve"> </w:t>
      </w:r>
      <w:r>
        <w:t xml:space="preserve">consultations. For a comprehensive view, please refer to Annexes 7 and 13 of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Fourth, the database which informed the quantitative analyses for this evaluation and</w:t>
      </w:r>
      <w:r>
        <w:t xml:space="preserve"> </w:t>
      </w:r>
      <w:r>
        <w:t xml:space="preserve">impact assessment reflects a limited sample of EU banks, while remaining nevertheless a</w:t>
      </w:r>
      <w:r>
        <w:t xml:space="preserve"> </w:t>
      </w:r>
      <w:r>
        <w:t xml:space="preserve">representative subset (see Annex 7 for details). Additionally, some evidence provided in</w:t>
      </w:r>
      <w:r>
        <w:t xml:space="preserve"> </w:t>
      </w:r>
      <w:r>
        <w:t xml:space="preserve">this evaluation is drawn from SRB sources of data only, meaning that it is only limited to</w:t>
      </w:r>
    </w:p>
    <w:p>
      <w:pPr>
        <w:pStyle w:val="BodyText"/>
      </w:pPr>
      <w:r>
        <w:t xml:space="preserve">247 In 2023 as regards the SRF.</w:t>
      </w:r>
      <w:r>
        <w:t xml:space="preserve"> </w:t>
      </w:r>
      <w:r>
        <w:t xml:space="preserve">248 Implementation policies created by resolution authorities evolved between 2017 – 2019 to reflect</w:t>
      </w:r>
      <w:r>
        <w:t xml:space="preserve"> </w:t>
      </w:r>
      <w:r>
        <w:t xml:space="preserve">developments in delegated regulations, new legal interpretations, increase in coverage (number of</w:t>
      </w:r>
      <w:r>
        <w:t xml:space="preserve"> </w:t>
      </w:r>
      <w:r>
        <w:t xml:space="preserve">institutions) of applicability of the rules by resolution authorities as part of their phase-in of the rules and</w:t>
      </w:r>
      <w:r>
        <w:t xml:space="preserve"> </w:t>
      </w:r>
      <w:r>
        <w:t xml:space="preserve">the coming into force of the 2019 Banking package.</w:t>
      </w:r>
      <w:r>
        <w:br/>
      </w:r>
      <w:r>
        <w:t xml:space="preserve">249 Public disclosure is only required from 2024 onwards (or from the date of the transitional period set for</w:t>
      </w:r>
      <w:r>
        <w:t xml:space="preserve"> </w:t>
      </w:r>
      <w:r>
        <w:t xml:space="preserve">each entity, if the period ends after 2024), see Article 3(1), 3rd subparagraph, BRRD II.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banks under its remit and it does not cover less significant institutions in the Banking</w:t>
      </w:r>
      <w:r>
        <w:t xml:space="preserve"> </w:t>
      </w:r>
      <w:r>
        <w:t xml:space="preserve">Union and other non-Banking Union banks.</w:t>
      </w:r>
      <w:r>
        <w:br/>
      </w:r>
      <w:r>
        <w:t xml:space="preserve">6.</w:t>
      </w:r>
      <w:r>
        <w:t xml:space="preserve"> </w:t>
      </w:r>
      <w:r>
        <w:t xml:space="preserve">IMPLEMENTATION STATE OF PLAY (RESULTS)</w:t>
      </w:r>
      <w:r>
        <w:t xml:space="preserve"> </w:t>
      </w:r>
      <w:r>
        <w:t xml:space="preserve">Overview of requirements in place250</w:t>
      </w:r>
      <w:r>
        <w:t xml:space="preserve"> </w:t>
      </w:r>
      <w:r>
        <w:t xml:space="preserve">The CMDI framework is in force since 1 January 2015 for the BRRD (except the bail-in</w:t>
      </w:r>
      <w:r>
        <w:t xml:space="preserve"> </w:t>
      </w:r>
      <w:r>
        <w:t xml:space="preserve">provisions which came into effect one year later), 1 January 2016 for the SRMR and 3</w:t>
      </w:r>
      <w:r>
        <w:t xml:space="preserve"> </w:t>
      </w:r>
      <w:r>
        <w:t xml:space="preserve">July 2015 for the DGSD with the exception of certain provisions, which became</w:t>
      </w:r>
      <w:r>
        <w:t xml:space="preserve"> </w:t>
      </w:r>
      <w:r>
        <w:t xml:space="preserve">applicable on 31 May 2016.</w:t>
      </w:r>
      <w:r>
        <w:br/>
      </w:r>
      <w:r>
        <w:t xml:space="preserve">The framework provides for a set of instruments that can be used before a bank is</w:t>
      </w:r>
      <w:r>
        <w:t xml:space="preserve"> </w:t>
      </w:r>
      <w:r>
        <w:t xml:space="preserve">considered failing or likely to fail (FOLF). These allow a timely intervention to address a</w:t>
      </w:r>
      <w:r>
        <w:t xml:space="preserve"> </w:t>
      </w:r>
      <w:r>
        <w:t xml:space="preserve">financial deterioration (early intervention measures) or to prevent a bank’s failure</w:t>
      </w:r>
      <w:r>
        <w:t xml:space="preserve"> </w:t>
      </w:r>
      <w:r>
        <w:t xml:space="preserve">(preventive measures under the DGSD or precautionary measures under the BRRD). In</w:t>
      </w:r>
      <w:r>
        <w:t xml:space="preserve"> </w:t>
      </w:r>
      <w:r>
        <w:t xml:space="preserve">particular, the CMDI framework includes measures that could be used in exceptional</w:t>
      </w:r>
      <w:r>
        <w:t xml:space="preserve"> </w:t>
      </w:r>
      <w:r>
        <w:t xml:space="preserve">circumstances of serious disturbance to the economy. In these circumstances, it allows</w:t>
      </w:r>
      <w:r>
        <w:t xml:space="preserve"> </w:t>
      </w:r>
      <w:r>
        <w:t xml:space="preserve">external financial support for precautionary purposes (precautionary measures) to be</w:t>
      </w:r>
      <w:r>
        <w:t xml:space="preserve"> </w:t>
      </w:r>
      <w:r>
        <w:t xml:space="preserve">granted.</w:t>
      </w:r>
      <w:r>
        <w:t xml:space="preserve"> </w:t>
      </w:r>
      <w:r>
        <w:t xml:space="preserve">When a bank is considered FOLF and there is a public interest in resolving it,251 the</w:t>
      </w:r>
      <w:r>
        <w:t xml:space="preserve"> </w:t>
      </w:r>
      <w:r>
        <w:t xml:space="preserve">resolution authorities will intervene in the bank, absent of a private solution, by using the</w:t>
      </w:r>
      <w:r>
        <w:t xml:space="preserve"> </w:t>
      </w:r>
      <w:r>
        <w:t xml:space="preserve">specific powers granted by the BRRD252. In the Banking Union, the resolution of</w:t>
      </w:r>
      <w:r>
        <w:t xml:space="preserve"> </w:t>
      </w:r>
      <w:r>
        <w:t xml:space="preserve">significant institutions (or cross-border less significant institutions) with a positive public</w:t>
      </w:r>
      <w:r>
        <w:t xml:space="preserve"> </w:t>
      </w:r>
      <w:r>
        <w:t xml:space="preserve">interest assessment is carried out by the SRB. In the absence of a public interest for</w:t>
      </w:r>
      <w:r>
        <w:t xml:space="preserve"> </w:t>
      </w:r>
      <w:r>
        <w:t xml:space="preserve">resolution, the bank failure should be handled through winding-up under normal</w:t>
      </w:r>
      <w:r>
        <w:t xml:space="preserve"> </w:t>
      </w:r>
      <w:r>
        <w:t xml:space="preserve">insolvency proceedings available at national level.</w:t>
      </w:r>
      <w:r>
        <w:br/>
      </w:r>
      <w:r>
        <w:t xml:space="preserve">The CMDI framework provides for a wide array of tools and powers in the hands of</w:t>
      </w:r>
      <w:r>
        <w:t xml:space="preserve"> </w:t>
      </w:r>
      <w:r>
        <w:t xml:space="preserve">resolution authorities as well as rules on the funding of resolution actions. These include</w:t>
      </w:r>
      <w:r>
        <w:t xml:space="preserve"> </w:t>
      </w:r>
      <w:r>
        <w:t xml:space="preserve">powers to sell the bank or parts of it, to transfer critical functions to a bridge institution</w:t>
      </w:r>
      <w:r>
        <w:t xml:space="preserve"> </w:t>
      </w:r>
      <w:r>
        <w:t xml:space="preserve">and to transfer non-performing assets to an asset management vehicle. Moreover, it</w:t>
      </w:r>
      <w:r>
        <w:t xml:space="preserve"> </w:t>
      </w:r>
      <w:r>
        <w:t xml:space="preserve">includes the power to bail-in creditors by reducing their claims or converting them into</w:t>
      </w:r>
      <w:r>
        <w:t xml:space="preserve"> </w:t>
      </w:r>
      <w:r>
        <w:t xml:space="preserve">equity capital, to absorb the losses of the bank and recapitalise it to the extent required.</w:t>
      </w:r>
      <w:r>
        <w:br/>
      </w:r>
      <w:r>
        <w:t xml:space="preserve">When it comes to funding, in order to reduce moral hazard, the overarching principle is</w:t>
      </w:r>
      <w:r>
        <w:t xml:space="preserve"> </w:t>
      </w:r>
      <w:r>
        <w:t xml:space="preserve">that the bank should first cover losses with private resources (through the reduction of</w:t>
      </w:r>
      <w:r>
        <w:t xml:space="preserve"> </w:t>
      </w:r>
      <w:r>
        <w:t xml:space="preserve">shareholders’ equity and the bail-in of creditors’ claims) and that external financial</w:t>
      </w:r>
      <w:r>
        <w:t xml:space="preserve"> </w:t>
      </w:r>
      <w:r>
        <w:t xml:space="preserve">support can be provided only after certain requirements are met (access requirements to</w:t>
      </w:r>
      <w:r>
        <w:t xml:space="preserve"> </w:t>
      </w:r>
      <w:r>
        <w:t xml:space="preserve">resolution funds and DGS). In line with their resolution strategy and preferred tools (e.g. </w:t>
      </w:r>
      <w:r>
        <w:t xml:space="preserve"> </w:t>
      </w:r>
      <w:r>
        <w:t xml:space="preserve">open bank bail-in, sale of business, bridge banks, asset separation), banks are required by</w:t>
      </w:r>
      <w:r>
        <w:t xml:space="preserve"> </w:t>
      </w:r>
      <w:r>
        <w:t xml:space="preserve">resolution authorities to hold MREL instruments in an amount determined in order to</w:t>
      </w:r>
    </w:p>
    <w:p>
      <w:pPr>
        <w:pStyle w:val="BodyText"/>
      </w:pPr>
      <w:r>
        <w:t xml:space="preserve">250 See also Annex 4 of the impact assessment.</w:t>
      </w:r>
      <w:r>
        <w:t xml:space="preserve"> </w:t>
      </w:r>
      <w:r>
        <w:t xml:space="preserve">251 Resolution is considered in the public interest when resolution is necessary for and proportionate to one</w:t>
      </w:r>
      <w:r>
        <w:t xml:space="preserve"> </w:t>
      </w:r>
      <w:r>
        <w:t xml:space="preserve">or more of the resolution objectives (Article 31 BRRD) and normal insolvency proceedings would not meet</w:t>
      </w:r>
      <w:r>
        <w:t xml:space="preserve"> </w:t>
      </w:r>
      <w:r>
        <w:t xml:space="preserve">those objectives to the same extent.</w:t>
      </w:r>
      <w:r>
        <w:br/>
      </w:r>
      <w:r>
        <w:t xml:space="preserve">252 In the following, reference to the BRRD should be understood as including also corresponding</w:t>
      </w:r>
      <w:r>
        <w:t xml:space="preserve"> </w:t>
      </w:r>
      <w:r>
        <w:t xml:space="preserve">provisions in the SRMR.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facilitate the execution of the selected strategy. The primary sources of external financing</w:t>
      </w:r>
      <w:r>
        <w:t xml:space="preserve"> </w:t>
      </w:r>
      <w:r>
        <w:t xml:space="preserve">of resolution actions (should the bank’s own resources be insufficient) are provided by a</w:t>
      </w:r>
      <w:r>
        <w:t xml:space="preserve"> </w:t>
      </w:r>
      <w:r>
        <w:t xml:space="preserve">resolution fund and the DGS, funded by the banking industry, rather than taxpayers’</w:t>
      </w:r>
      <w:r>
        <w:t xml:space="preserve"> </w:t>
      </w:r>
      <w:r>
        <w:t xml:space="preserve">money. Other (public) sources of external funding are possible under certain conditions.</w:t>
      </w:r>
      <w:r>
        <w:t xml:space="preserve"> </w:t>
      </w:r>
      <w:r>
        <w:t xml:space="preserve">In the context of the Banking Union, for banks under the SRB remit, funding was further</w:t>
      </w:r>
      <w:r>
        <w:t xml:space="preserve"> </w:t>
      </w:r>
      <w:r>
        <w:t xml:space="preserve">integrated by providing for a Single Resolution Fund (SRF) composed of contributions</w:t>
      </w:r>
      <w:r>
        <w:t xml:space="preserve"> </w:t>
      </w:r>
      <w:r>
        <w:t xml:space="preserve">from credit institutions and certain investment firms in the participating Member States</w:t>
      </w:r>
      <w:r>
        <w:t xml:space="preserve"> </w:t>
      </w:r>
      <w:r>
        <w:t xml:space="preserve">of the Banking Union. However, a common deposit guarantee scheme in the Banking</w:t>
      </w:r>
      <w:r>
        <w:t xml:space="preserve"> </w:t>
      </w:r>
      <w:r>
        <w:t xml:space="preserve">Union is still missing.</w:t>
      </w:r>
      <w:r>
        <w:br/>
      </w:r>
      <w:r>
        <w:t xml:space="preserve">Deposits are protected up to EUR 100 000 regardless of whether the bank is put into</w:t>
      </w:r>
      <w:r>
        <w:t xml:space="preserve"> </w:t>
      </w:r>
      <w:r>
        <w:t xml:space="preserve">resolution or insolvency. In insolvency, the primary function of a DGS is to pay out</w:t>
      </w:r>
      <w:r>
        <w:t xml:space="preserve"> </w:t>
      </w:r>
      <w:r>
        <w:t xml:space="preserve">depositors within seven days of a determination of unavailability of their deposits. In line</w:t>
      </w:r>
      <w:r>
        <w:t xml:space="preserve"> </w:t>
      </w:r>
      <w:r>
        <w:t xml:space="preserve">with the law, DGSs may also have functions other than the payout of depositors. As</w:t>
      </w:r>
      <w:r>
        <w:t xml:space="preserve"> </w:t>
      </w:r>
      <w:r>
        <w:t xml:space="preserve">payout may not always be suitable in a crisis scenario due to the risk of disrupting overall</w:t>
      </w:r>
      <w:r>
        <w:t xml:space="preserve"> </w:t>
      </w:r>
      <w:r>
        <w:t xml:space="preserve">depositor confidence253, some Member States allow the DGS’ funds to be used to prevent</w:t>
      </w:r>
      <w:r>
        <w:t xml:space="preserve"> </w:t>
      </w:r>
      <w:r>
        <w:t xml:space="preserve">the failure of a bank (preventive measures) or finance a transfer of assets and liabilities to</w:t>
      </w:r>
      <w:r>
        <w:t xml:space="preserve"> </w:t>
      </w:r>
      <w:r>
        <w:t xml:space="preserve">a buyer in insolvency to preserve the access to covered depositors ( alternative</w:t>
      </w:r>
      <w:r>
        <w:t xml:space="preserve"> </w:t>
      </w:r>
      <w:r>
        <w:t xml:space="preserve">measures). The DGSD provides a limit as regards the amount of funds allowed to be used</w:t>
      </w:r>
      <w:r>
        <w:t xml:space="preserve"> </w:t>
      </w:r>
      <w:r>
        <w:t xml:space="preserve">for such preventive and alternative measures. Moreover, DGSs can contribute financially</w:t>
      </w:r>
      <w:r>
        <w:t xml:space="preserve"> </w:t>
      </w:r>
      <w:r>
        <w:t xml:space="preserve">to a bank’s resolution, under certain circumstances.</w:t>
      </w:r>
      <w:r>
        <w:br/>
      </w:r>
      <w:r>
        <w:t xml:space="preserve">State of play of transposition of the Directives (BRRD/DGSD)</w:t>
      </w:r>
      <w:r>
        <w:t xml:space="preserve"> </w:t>
      </w:r>
      <w:r>
        <w:t xml:space="preserve">Both Directives have been transposed in all Member States.</w:t>
      </w:r>
      <w:r>
        <w:br/>
      </w:r>
      <w:r>
        <w:t xml:space="preserve">The transposition deadline for the BRRD was 31 December 2014. Only two Member</w:t>
      </w:r>
      <w:r>
        <w:t xml:space="preserve"> </w:t>
      </w:r>
      <w:r>
        <w:t xml:space="preserve">States notified complete transposition of the BRRD within that deadline. To date, all</w:t>
      </w:r>
      <w:r>
        <w:t xml:space="preserve"> </w:t>
      </w:r>
      <w:r>
        <w:t xml:space="preserve">Member States have notified complete transposition and the respective infringement</w:t>
      </w:r>
      <w:r>
        <w:t xml:space="preserve"> </w:t>
      </w:r>
      <w:r>
        <w:t xml:space="preserve">cases for non-communication were closed. The deadline for DGSD transposition expired</w:t>
      </w:r>
      <w:r>
        <w:t xml:space="preserve"> </w:t>
      </w:r>
      <w:r>
        <w:t xml:space="preserve">on 3 July 2015 and all Member States notified a complete transposition254. The</w:t>
      </w:r>
      <w:r>
        <w:t xml:space="preserve"> </w:t>
      </w:r>
      <w:r>
        <w:t xml:space="preserve">Commission has verified that the BRRD and the DGSD are fully transposed in all</w:t>
      </w:r>
      <w:r>
        <w:t xml:space="preserve"> </w:t>
      </w:r>
      <w:r>
        <w:t xml:space="preserve">Member States. The Commission is currently concluding its verification of the</w:t>
      </w:r>
      <w:r>
        <w:t xml:space="preserve"> </w:t>
      </w:r>
      <w:r>
        <w:t xml:space="preserve">correctness of national transposition measures, with only a limited number of outstanding</w:t>
      </w:r>
      <w:r>
        <w:t xml:space="preserve"> </w:t>
      </w:r>
      <w:r>
        <w:t xml:space="preserve">issues concerning a small group of Member States needing to be finalised.</w:t>
      </w:r>
      <w:r>
        <w:t xml:space="preserve"> </w:t>
      </w:r>
      <w:r>
        <w:t xml:space="preserve">State of play of implementation of the resolution framework by resolution authorities</w:t>
      </w:r>
      <w:r>
        <w:t xml:space="preserve"> </w:t>
      </w:r>
      <w:r>
        <w:t xml:space="preserve">The implementation of BRRD/SRMR is ongoing in the EU. Since its introduction, a</w:t>
      </w:r>
      <w:r>
        <w:t xml:space="preserve"> </w:t>
      </w:r>
      <w:r>
        <w:t xml:space="preserve">number of resolution colleges were set up with the objective to jointly agree resolution</w:t>
      </w:r>
      <w:r>
        <w:t xml:space="preserve"> </w:t>
      </w:r>
      <w:r>
        <w:t xml:space="preserve">plans, conduct resolvability assessments and set MREL requirements among home and</w:t>
      </w:r>
      <w:r>
        <w:t xml:space="preserve"> </w:t>
      </w:r>
      <w:r>
        <w:t xml:space="preserve">host authorities in charge of resolving banking groups in the EU255. In the Banking</w:t>
      </w:r>
    </w:p>
    <w:p>
      <w:pPr>
        <w:pStyle w:val="BodyText"/>
      </w:pPr>
      <w:r>
        <w:t xml:space="preserve">253 The main challenges are related to (i) the short-term interruption of depositors’ access to their deposits</w:t>
      </w:r>
      <w:r>
        <w:t xml:space="preserve"> </w:t>
      </w:r>
      <w:r>
        <w:t xml:space="preserve">for payouts, (ii) the cost to the DGS and to the economy, and (iii) the inherent risk of destruction of value</w:t>
      </w:r>
      <w:r>
        <w:t xml:space="preserve"> </w:t>
      </w:r>
      <w:r>
        <w:t xml:space="preserve">in insolvency.</w:t>
      </w:r>
      <w:r>
        <w:t xml:space="preserve"> </w:t>
      </w:r>
      <w:r>
        <w:t xml:space="preserve">254 The transposition deadline of Article 13 DGSD was – under specific circumstances laid out by Article</w:t>
      </w:r>
      <w:r>
        <w:t xml:space="preserve"> </w:t>
      </w:r>
      <w:r>
        <w:t xml:space="preserve">20(1) DGSD – delayed to 31 May 2016.</w:t>
      </w:r>
      <w:r>
        <w:t xml:space="preserve"> </w:t>
      </w:r>
      <w:r>
        <w:t xml:space="preserve">255 EBA (17 August 2021), Resolution colleges – Annual report 2020.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Union, the SRB is carrying out the process of preparing resolution plans and, when the</w:t>
      </w:r>
      <w:r>
        <w:t xml:space="preserve"> </w:t>
      </w:r>
      <w:r>
        <w:t xml:space="preserve">need arises, executing resolution actions for banks under its remit.</w:t>
      </w:r>
      <w:r>
        <w:br/>
      </w:r>
      <w:r>
        <w:t xml:space="preserve">In terms of coverage, resolution planning, resolution strategies and MREL targets have</w:t>
      </w:r>
      <w:r>
        <w:t xml:space="preserve"> </w:t>
      </w:r>
      <w:r>
        <w:t xml:space="preserve">been set by resolution authorities for the majority of banks under their remit. This has</w:t>
      </w:r>
      <w:r>
        <w:t xml:space="preserve"> </w:t>
      </w:r>
      <w:r>
        <w:t xml:space="preserve">allowed banks to make progress on removing impediments to resolvability and build-up</w:t>
      </w:r>
      <w:r>
        <w:t xml:space="preserve"> </w:t>
      </w:r>
      <w:r>
        <w:t xml:space="preserve">MREL buffers. While good progress has been achieved to date by authorities in setting</w:t>
      </w:r>
      <w:r>
        <w:t xml:space="preserve"> </w:t>
      </w:r>
      <w:r>
        <w:t xml:space="preserve">external MREL requirements and by resolution entities in issuing eligible instruments on</w:t>
      </w:r>
      <w:r>
        <w:t xml:space="preserve"> </w:t>
      </w:r>
      <w:r>
        <w:t xml:space="preserve">the market, the setting of internal MREL requirements for subsidiaries in groups</w:t>
      </w:r>
      <w:r>
        <w:t xml:space="preserve"> </w:t>
      </w:r>
      <w:r>
        <w:t xml:space="preserve">following a single point of entry (SPE) resolution strategy and the pre-positioning of this</w:t>
      </w:r>
      <w:r>
        <w:t xml:space="preserve"> </w:t>
      </w:r>
      <w:r>
        <w:t xml:space="preserve">capacity within groups is still ongoing, following a phased approach.</w:t>
      </w:r>
      <w:r>
        <w:br/>
      </w:r>
      <w:r>
        <w:t xml:space="preserve">Since its inception in 2015, the SRB prepared resolution plans for most banks under its</w:t>
      </w:r>
      <w:r>
        <w:t xml:space="preserve"> </w:t>
      </w:r>
      <w:r>
        <w:t xml:space="preserve">remit (104 resolution plans for EU banks)256.</w:t>
      </w:r>
      <w:r>
        <w:br/>
      </w:r>
      <w:r>
        <w:t xml:space="preserve">Table 1: Overview of resolution planning for the Banking Union</w:t>
      </w:r>
      <w:r>
        <w:t xml:space="preserve"> </w:t>
      </w:r>
      <w:r>
        <w:t xml:space="preserve">MS</w:t>
      </w:r>
      <w:r>
        <w:t xml:space="preserve"> </w:t>
      </w:r>
      <w:r>
        <w:t xml:space="preserve">Number of SRB</w:t>
      </w:r>
      <w:r>
        <w:t xml:space="preserve"> </w:t>
      </w:r>
      <w:r>
        <w:t xml:space="preserve">banks on 1</w:t>
      </w:r>
      <w:r>
        <w:t xml:space="preserve"> </w:t>
      </w:r>
      <w:r>
        <w:t xml:space="preserve">January 2021</w:t>
      </w:r>
      <w:r>
        <w:t xml:space="preserve"> </w:t>
      </w:r>
      <w:r>
        <w:t xml:space="preserve">Number of SRB</w:t>
      </w:r>
      <w:r>
        <w:t xml:space="preserve"> </w:t>
      </w:r>
      <w:r>
        <w:t xml:space="preserve">banks on 31</w:t>
      </w:r>
      <w:r>
        <w:t xml:space="preserve"> </w:t>
      </w:r>
      <w:r>
        <w:t xml:space="preserve">December 2021</w:t>
      </w:r>
      <w:r>
        <w:t xml:space="preserve"> </w:t>
      </w:r>
      <w:r>
        <w:t xml:space="preserve">Resolution plans expected</w:t>
      </w:r>
      <w:r>
        <w:br/>
      </w:r>
      <w:r>
        <w:t xml:space="preserve">to be adopted in the 2021</w:t>
      </w:r>
      <w:r>
        <w:t xml:space="preserve"> </w:t>
      </w:r>
      <w:r>
        <w:t xml:space="preserve">resolution planning</w:t>
      </w:r>
      <w:r>
        <w:t xml:space="preserve"> </w:t>
      </w:r>
      <w:r>
        <w:t xml:space="preserve">cycle(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MREL decisions</w:t>
      </w:r>
      <w:r>
        <w:rPr>
          <w:i/>
          <w:iCs/>
        </w:rPr>
        <w:t xml:space="preserve"> </w:t>
      </w:r>
      <w:r>
        <w:rPr>
          <w:i/>
          <w:iCs/>
        </w:rPr>
        <w:t xml:space="preserve">expected during the</w:t>
      </w:r>
      <w:r>
        <w:br/>
      </w:r>
      <w:r>
        <w:rPr>
          <w:i/>
          <w:iCs/>
        </w:rPr>
        <w:t xml:space="preserve">2021 resolution planning</w:t>
      </w:r>
      <w:r>
        <w:br/>
      </w:r>
      <w:r>
        <w:rPr>
          <w:i/>
          <w:iCs/>
        </w:rPr>
        <w:t xml:space="preserve">cycle</w:t>
      </w:r>
      <w:r>
        <w:rPr>
          <w:i/>
          <w:iCs/>
        </w:rPr>
        <w:t xml:space="preserve"> </w:t>
      </w:r>
      <w:r>
        <w:rPr>
          <w:i/>
          <w:iCs/>
        </w:rPr>
        <w:t xml:space="preserve">BE</w:t>
      </w:r>
      <w:r>
        <w:rPr>
          <w:i/>
          <w:iCs/>
        </w:rPr>
        <w:t xml:space="preserve"> </w:t>
      </w:r>
      <w:r>
        <w:rPr>
          <w:i/>
          <w:iCs/>
        </w:rPr>
        <w:t xml:space="preserve">BG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7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rPr>
          <w:i/>
          <w:iCs/>
        </w:rPr>
        <w:t xml:space="preserve"> </w:t>
      </w:r>
      <w:r>
        <w:rPr>
          <w:i/>
          <w:iCs/>
        </w:rPr>
        <w:t xml:space="preserve">37</w:t>
      </w:r>
      <w:r>
        <w:rPr>
          <w:i/>
          <w:iCs/>
        </w:rPr>
        <w:t xml:space="preserve"> </w:t>
      </w:r>
      <w:r>
        <w:rPr>
          <w:i/>
          <w:iCs/>
        </w:rPr>
        <w:t xml:space="preserve">EE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IE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15</w:t>
      </w:r>
      <w:r>
        <w:rPr>
          <w:i/>
          <w:iCs/>
        </w:rPr>
        <w:t xml:space="preserve"> </w:t>
      </w:r>
      <w:r>
        <w:rPr>
          <w:i/>
          <w:iCs/>
        </w:rPr>
        <w:t xml:space="preserve">EL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ES</w:t>
      </w:r>
      <w:r>
        <w:rPr>
          <w:i/>
          <w:iCs/>
        </w:rPr>
        <w:t xml:space="preserve"> </w:t>
      </w:r>
      <w:r>
        <w:rPr>
          <w:i/>
          <w:iCs/>
        </w:rPr>
        <w:t xml:space="preserve">13</w:t>
      </w:r>
      <w:r>
        <w:rPr>
          <w:i/>
          <w:iCs/>
        </w:rPr>
        <w:t xml:space="preserve"> </w:t>
      </w:r>
      <w:r>
        <w:rPr>
          <w:i/>
          <w:iCs/>
        </w:rPr>
        <w:t xml:space="preserve">11</w:t>
      </w:r>
      <w:r>
        <w:rPr>
          <w:i/>
          <w:iCs/>
        </w:rPr>
        <w:t xml:space="preserve"> </w:t>
      </w:r>
      <w:r>
        <w:rPr>
          <w:i/>
          <w:iCs/>
        </w:rPr>
        <w:t xml:space="preserve">11</w:t>
      </w:r>
      <w:r>
        <w:rPr>
          <w:i/>
          <w:iCs/>
        </w:rPr>
        <w:t xml:space="preserve"> </w:t>
      </w:r>
      <w:r>
        <w:rPr>
          <w:i/>
          <w:iCs/>
        </w:rPr>
        <w:t xml:space="preserve">15</w:t>
      </w:r>
      <w:r>
        <w:rPr>
          <w:i/>
          <w:iCs/>
        </w:rPr>
        <w:t xml:space="preserve"> </w:t>
      </w:r>
      <w:r>
        <w:rPr>
          <w:i/>
          <w:iCs/>
        </w:rPr>
        <w:t xml:space="preserve">FR</w:t>
      </w:r>
      <w:r>
        <w:rPr>
          <w:i/>
          <w:iCs/>
        </w:rPr>
        <w:t xml:space="preserve"> </w:t>
      </w:r>
      <w:r>
        <w:rPr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13</w:t>
      </w:r>
      <w:r>
        <w:rPr>
          <w:i/>
          <w:iCs/>
        </w:rPr>
        <w:t xml:space="preserve"> </w:t>
      </w:r>
      <w:r>
        <w:rPr>
          <w:i/>
          <w:iCs/>
        </w:rPr>
        <w:t xml:space="preserve">11</w:t>
      </w:r>
      <w:r>
        <w:rPr>
          <w:i/>
          <w:iCs/>
        </w:rPr>
        <w:t xml:space="preserve"> </w:t>
      </w:r>
      <w:r>
        <w:rPr>
          <w:i/>
          <w:iCs/>
        </w:rPr>
        <w:t xml:space="preserve">22</w:t>
      </w:r>
      <w:r>
        <w:rPr>
          <w:i/>
          <w:iCs/>
        </w:rPr>
        <w:t xml:space="preserve"> </w:t>
      </w:r>
      <w:r>
        <w:rPr>
          <w:i/>
          <w:iCs/>
        </w:rPr>
        <w:t xml:space="preserve">HR</w:t>
      </w:r>
      <w:r>
        <w:rPr>
          <w:i/>
          <w:iCs/>
        </w:rPr>
        <w:t xml:space="preserve"> </w:t>
      </w:r>
      <w:r>
        <w:rPr>
          <w:i/>
          <w:iCs/>
        </w:rPr>
        <w:t xml:space="preserve">IT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7</w:t>
      </w:r>
      <w:r>
        <w:rPr>
          <w:i/>
          <w:iCs/>
        </w:rPr>
        <w:t xml:space="preserve"> </w:t>
      </w:r>
      <w:r>
        <w:rPr>
          <w:i/>
          <w:iCs/>
        </w:rPr>
        <w:t xml:space="preserve">41</w:t>
      </w:r>
      <w:r>
        <w:rPr>
          <w:i/>
          <w:iCs/>
        </w:rPr>
        <w:t xml:space="preserve"> </w:t>
      </w:r>
      <w:r>
        <w:rPr>
          <w:i/>
          <w:iCs/>
        </w:rPr>
        <w:t xml:space="preserve">CY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LV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LT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LU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MT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NL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7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23</w:t>
      </w:r>
      <w:r>
        <w:rPr>
          <w:i/>
          <w:iCs/>
        </w:rPr>
        <w:t xml:space="preserve"> </w:t>
      </w:r>
      <w:r>
        <w:rPr>
          <w:i/>
          <w:iCs/>
        </w:rPr>
        <w:t xml:space="preserve">PT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SI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SK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FI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120</w:t>
      </w:r>
      <w:r>
        <w:rPr>
          <w:i/>
          <w:iCs/>
        </w:rPr>
        <w:t xml:space="preserve"> </w:t>
      </w:r>
      <w:r>
        <w:rPr>
          <w:i/>
          <w:iCs/>
        </w:rPr>
        <w:t xml:space="preserve">120</w:t>
      </w:r>
      <w:r>
        <w:rPr>
          <w:i/>
          <w:iCs/>
        </w:rPr>
        <w:t xml:space="preserve"> </w:t>
      </w:r>
      <w:r>
        <w:rPr>
          <w:i/>
          <w:iCs/>
        </w:rPr>
        <w:t xml:space="preserve">104</w:t>
      </w:r>
      <w:r>
        <w:rPr>
          <w:i/>
          <w:iCs/>
        </w:rPr>
        <w:t xml:space="preserve"> </w:t>
      </w:r>
      <w:r>
        <w:rPr>
          <w:i/>
          <w:iCs/>
        </w:rPr>
        <w:t xml:space="preserve">237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t xml:space="preserve">) Resolution Planning Cycle 2021 runs from April 2021 to March 2022 Source: SRB 2021 annual report.</w:t>
      </w:r>
      <w:r>
        <w:br/>
      </w:r>
      <w:r>
        <w:t xml:space="preserve">In addition, over the past years, the SRB developed policy guidance to ensure</w:t>
      </w:r>
      <w:r>
        <w:t xml:space="preserve"> </w:t>
      </w:r>
      <w:r>
        <w:t xml:space="preserve">convergence in the implementation of the framework257. The SRB published operational</w:t>
      </w:r>
      <w:r>
        <w:t xml:space="preserve"> </w:t>
      </w:r>
      <w:r>
        <w:t xml:space="preserve">guidance on bail-in implementation258, critical functions259, the public interest</w:t>
      </w:r>
      <w:r>
        <w:t xml:space="preserve"> </w:t>
      </w:r>
      <w:r>
        <w:t xml:space="preserve">assessment260 as well as on Brexit and mergers and acquisitions expectations. In its</w:t>
      </w:r>
    </w:p>
    <w:p>
      <w:pPr>
        <w:pStyle w:val="BodyText"/>
      </w:pPr>
      <w:r>
        <w:t xml:space="preserve">256 SRB (2022), SRB Annual report 2021.</w:t>
      </w:r>
      <w:r>
        <w:t xml:space="preserve"> </w:t>
      </w:r>
      <w:r>
        <w:t xml:space="preserve">257 SRB policy documents.</w:t>
      </w:r>
      <w:r>
        <w:br/>
      </w:r>
      <w:r>
        <w:t xml:space="preserve">258 SRB (2020), Operational guidance on bail-in implementation.</w:t>
      </w:r>
      <w:r>
        <w:br/>
      </w:r>
      <w:r>
        <w:t xml:space="preserve">259 SRB (2017), Critical functions: SRB approach.</w:t>
      </w:r>
      <w:r>
        <w:t xml:space="preserve"> </w:t>
      </w:r>
      <w:r>
        <w:t xml:space="preserve">260 SRB (2019), Public interest assessment (PIA): SRB approach, and 2021 and 2022 updates on system</w:t>
      </w:r>
      <w:r>
        <w:t xml:space="preserve"> </w:t>
      </w:r>
      <w:r>
        <w:t xml:space="preserve">wide events in the PIA and on deposit guarantee scheme considerations.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expectations for banks261 policy document, the SRB outlines best practice on key aspects</w:t>
      </w:r>
      <w:r>
        <w:t xml:space="preserve"> </w:t>
      </w:r>
      <w:r>
        <w:t xml:space="preserve">of resolvability and sets out a roadmap with general phase-in dates for compliance with</w:t>
      </w:r>
      <w:r>
        <w:t xml:space="preserve"> </w:t>
      </w:r>
      <w:r>
        <w:t xml:space="preserve">the various dimensions. Over the next four years, banks are expected to develop full</w:t>
      </w:r>
      <w:r>
        <w:t xml:space="preserve"> </w:t>
      </w:r>
      <w:r>
        <w:t xml:space="preserve">capabilities in a number of areas, including governance, MREL capacity, development of</w:t>
      </w:r>
      <w:r>
        <w:t xml:space="preserve"> </w:t>
      </w:r>
      <w:r>
        <w:t xml:space="preserve">bail-in playbooks, liquidity and funding in resolution, operational continuity and access</w:t>
      </w:r>
      <w:r>
        <w:t xml:space="preserve"> </w:t>
      </w:r>
      <w:r>
        <w:t xml:space="preserve">to financial market infrastructures262, updating management information systems for bail-</w:t>
      </w:r>
      <w:r>
        <w:t xml:space="preserve"> </w:t>
      </w:r>
      <w:r>
        <w:t xml:space="preserve">in execution and valuation as well as communication plans, separability and</w:t>
      </w:r>
      <w:r>
        <w:t xml:space="preserve"> </w:t>
      </w:r>
      <w:r>
        <w:t xml:space="preserve">restructuring, as appropriate.</w:t>
      </w:r>
      <w:r>
        <w:t xml:space="preserve"> </w:t>
      </w:r>
      <w:r>
        <w:t xml:space="preserve">With respect to the MREL, the SRB’s approach has evolved from being based on</w:t>
      </w:r>
      <w:r>
        <w:t xml:space="preserve"> </w:t>
      </w:r>
      <w:r>
        <w:t xml:space="preserve">informative targets in 2016, to the gradual inclusion since 2017 of binding requirements</w:t>
      </w:r>
      <w:r>
        <w:t xml:space="preserve"> </w:t>
      </w:r>
      <w:r>
        <w:t xml:space="preserve">for the largest and most complex banks and the set-up of internal MREL requirements for</w:t>
      </w:r>
      <w:r>
        <w:t xml:space="preserve"> </w:t>
      </w:r>
      <w:r>
        <w:t xml:space="preserve">subsidiaries, as well as bank-specific adjustments addressing both the quality and</w:t>
      </w:r>
      <w:r>
        <w:t xml:space="preserve"> </w:t>
      </w:r>
      <w:r>
        <w:t xml:space="preserve">quantity of the MREL. In particular, the impact of the introduction of the 2019 risk</w:t>
      </w:r>
      <w:r>
        <w:t xml:space="preserve"> </w:t>
      </w:r>
      <w:r>
        <w:t xml:space="preserve">reduction Banking Package has been factored into the SRB resolution planning cycles:</w:t>
      </w:r>
      <w:r>
        <w:t xml:space="preserve"> </w:t>
      </w:r>
      <w:r>
        <w:t xml:space="preserve">already in 2019 with statutory requirements for global systemically important institutions</w:t>
      </w:r>
      <w:r>
        <w:t xml:space="preserve"> </w:t>
      </w:r>
      <w:r>
        <w:t xml:space="preserve">(G-SIIs), and through the subsequent reviews to the MREL policy in 2020, 2021263 and</w:t>
      </w:r>
      <w:r>
        <w:t xml:space="preserve"> </w:t>
      </w:r>
      <w:r>
        <w:t xml:space="preserve">2022264, taking into account developments in level two legislation and other legal</w:t>
      </w:r>
      <w:r>
        <w:t xml:space="preserve"> </w:t>
      </w:r>
      <w:r>
        <w:t xml:space="preserve">interpretations.</w:t>
      </w:r>
      <w:r>
        <w:br/>
      </w:r>
      <w:r>
        <w:t xml:space="preserve">In addition to implementation measures taken by the SRB, resolution authorities outside</w:t>
      </w:r>
      <w:r>
        <w:t xml:space="preserve"> </w:t>
      </w:r>
      <w:r>
        <w:t xml:space="preserve">the Banking Union have also published policy documents guiding the operational</w:t>
      </w:r>
      <w:r>
        <w:t xml:space="preserve"> </w:t>
      </w:r>
      <w:r>
        <w:t xml:space="preserve">implementation of the framework.</w:t>
      </w:r>
      <w:r>
        <w:br/>
      </w:r>
      <w:r>
        <w:t xml:space="preserve">For the EU as a whole and following the publication of the 2019 Banking package, the</w:t>
      </w:r>
      <w:r>
        <w:t xml:space="preserve"> </w:t>
      </w:r>
      <w:r>
        <w:t xml:space="preserve">Commission services held two transposition seminars (February and July 2020) and</w:t>
      </w:r>
      <w:r>
        <w:t xml:space="preserve"> </w:t>
      </w:r>
      <w:r>
        <w:t xml:space="preserve">published two notices providing answers to transposition questions, which clarify certain</w:t>
      </w:r>
      <w:r>
        <w:t xml:space="preserve"> </w:t>
      </w:r>
      <w:r>
        <w:t xml:space="preserve">legal provisions and are aimed at facilitating implementation.265 More generally, the</w:t>
      </w:r>
      <w:r>
        <w:t xml:space="preserve"> </w:t>
      </w:r>
      <w:r>
        <w:t xml:space="preserve">EBA’s Single Rulebook Questions and Answers tool provides replies to a large number</w:t>
      </w:r>
      <w:r>
        <w:t xml:space="preserve"> </w:t>
      </w:r>
      <w:r>
        <w:t xml:space="preserve">of questions submitted by authorities and industry stakeholders on the interpretation and</w:t>
      </w:r>
      <w:r>
        <w:t xml:space="preserve"> </w:t>
      </w:r>
      <w:r>
        <w:t xml:space="preserve">application of BRRD and DGSD provisions and of related delegated and implementing</w:t>
      </w:r>
      <w:r>
        <w:t xml:space="preserve"> </w:t>
      </w:r>
      <w:r>
        <w:t xml:space="preserve">acts. In complement to level one provisions, seventeen implementing and delegated acts</w:t>
      </w:r>
      <w:r>
        <w:t xml:space="preserve"> </w:t>
      </w:r>
      <w:r>
        <w:t xml:space="preserve">related to the BRRD have been published between 2016 and 2019, providing additional</w:t>
      </w:r>
      <w:r>
        <w:t xml:space="preserve"> </w:t>
      </w:r>
      <w:r>
        <w:t xml:space="preserve">rules on implementation.266 Finally, a legislative proposal specifying the method for</w:t>
      </w:r>
      <w:r>
        <w:t xml:space="preserve"> </w:t>
      </w:r>
      <w:r>
        <w:t xml:space="preserve">indirect issuances of loss absorbing capacity in groups with more than one layer of</w:t>
      </w:r>
      <w:r>
        <w:t xml:space="preserve"> </w:t>
      </w:r>
      <w:r>
        <w:t xml:space="preserve">ownership (so-called “daisy chains”) has been adopted on 27 October 2022267.</w:t>
      </w:r>
    </w:p>
    <w:p>
      <w:pPr>
        <w:pStyle w:val="BodyText"/>
      </w:pPr>
      <w:r>
        <w:t xml:space="preserve">261 SRB (April 2020), Expectations for banks.</w:t>
      </w:r>
      <w:r>
        <w:t xml:space="preserve"> </w:t>
      </w:r>
      <w:r>
        <w:t xml:space="preserve">262 SRB (2020), Operational guidance on operational continuity in resolution and Operational guidance</w:t>
      </w:r>
      <w:r>
        <w:t xml:space="preserve"> </w:t>
      </w:r>
      <w:r>
        <w:t xml:space="preserve">for FMI contingency plans.</w:t>
      </w:r>
      <w:r>
        <w:br/>
      </w:r>
      <w:r>
        <w:t xml:space="preserve">263 SRB (May 2021), 2021 MREL policy</w:t>
      </w:r>
      <w:r>
        <w:t xml:space="preserve"> </w:t>
      </w:r>
      <w:r>
        <w:t xml:space="preserve">264 SRB (June 2022), 2022 MREL policy</w:t>
      </w:r>
      <w:r>
        <w:br/>
      </w:r>
      <w:r>
        <w:t xml:space="preserve">265 European Commission (September and November 2020), (2020/C 321/01) Commission notice relating</w:t>
      </w:r>
      <w:r>
        <w:t xml:space="preserve"> </w:t>
      </w:r>
      <w:r>
        <w:t xml:space="preserve">to the interpretation of certain legal provisions of the revised bank resolution framework in reply to</w:t>
      </w:r>
      <w:r>
        <w:t xml:space="preserve"> </w:t>
      </w:r>
      <w:r>
        <w:t xml:space="preserve">questions raised by Member States’ authorities and (2020/C 417/02) - second Commission Notice.</w:t>
      </w:r>
      <w:r>
        <w:br/>
      </w:r>
      <w:r>
        <w:t xml:space="preserve">266 European Commission (2016 - 2019), Implementing and Delegated Acts on Directive 2014/59/EU</w:t>
      </w:r>
      <w:r>
        <w:t xml:space="preserve"> </w:t>
      </w:r>
      <w:r>
        <w:t xml:space="preserve">267 European Commission (October 2022), Regulation (EU) 2022/2036 of the European Parliament and of</w:t>
      </w:r>
      <w:r>
        <w:t xml:space="preserve"> </w:t>
      </w:r>
      <w:r>
        <w:t xml:space="preserve">the Council of 19 October 2022, as regards the prudential treatment of global systemically important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State of play of the implementation of the deposit insurance framework</w:t>
      </w:r>
      <w:r>
        <w:br/>
      </w:r>
      <w:r>
        <w:t xml:space="preserve">The DGSD has been implemented in all Member States. Nevertheless, the four EBA</w:t>
      </w:r>
      <w:r>
        <w:t xml:space="preserve"> </w:t>
      </w:r>
      <w:r>
        <w:t xml:space="preserve">reports and opinions268, a study contracted by the Commission on national options and</w:t>
      </w:r>
      <w:r>
        <w:t xml:space="preserve"> </w:t>
      </w:r>
      <w:r>
        <w:t xml:space="preserve">discretions269 and the outcome of the transposition check substantiate the need to clarify</w:t>
      </w:r>
      <w:r>
        <w:t xml:space="preserve"> </w:t>
      </w:r>
      <w:r>
        <w:t xml:space="preserve">a number of DGSD provisions in the context of this review270.</w:t>
      </w:r>
      <w:r>
        <w:br/>
      </w:r>
      <w:r>
        <w:t xml:space="preserve">The EBA opinions highlighted the scope for clarification of the current text in many</w:t>
      </w:r>
      <w:r>
        <w:t xml:space="preserve"> </w:t>
      </w:r>
      <w:r>
        <w:t xml:space="preserve">aspects in order to ensure a consistent application of the depositor protection and</w:t>
      </w:r>
      <w:r>
        <w:t xml:space="preserve"> </w:t>
      </w:r>
      <w:r>
        <w:t xml:space="preserve">depositors’ equal treatment, but also to protect financial stability. The EBA</w:t>
      </w:r>
      <w:r>
        <w:t xml:space="preserve"> </w:t>
      </w:r>
      <w:r>
        <w:t xml:space="preserve">recommended that the protection of the client funds safeguarded on accounts by non-</w:t>
      </w:r>
      <w:r>
        <w:t xml:space="preserve"> </w:t>
      </w:r>
      <w:r>
        <w:t xml:space="preserve">bank financial institutions, such as payment and e-money institutions, or investment</w:t>
      </w:r>
      <w:r>
        <w:t xml:space="preserve"> </w:t>
      </w:r>
      <w:r>
        <w:t xml:space="preserve">firms merits clarification. The lack of protection of such client funds in some Member</w:t>
      </w:r>
      <w:r>
        <w:t xml:space="preserve"> </w:t>
      </w:r>
      <w:r>
        <w:t xml:space="preserve">States could be acute for both depositors and Fintech providers if bank failures occur and</w:t>
      </w:r>
      <w:r>
        <w:t xml:space="preserve"> </w:t>
      </w:r>
      <w:r>
        <w:t xml:space="preserve">multiply. In particular, in light of the Brexit context, the treatment of third country</w:t>
      </w:r>
      <w:r>
        <w:t xml:space="preserve"> </w:t>
      </w:r>
      <w:r>
        <w:t xml:space="preserve">branches should be clarified. EBA also identified the need to clarify the interplay</w:t>
      </w:r>
      <w:r>
        <w:t xml:space="preserve"> </w:t>
      </w:r>
      <w:r>
        <w:t xml:space="preserve">between the AMLD and DGSD in a payout situation. In terms of robustness of DGS</w:t>
      </w:r>
      <w:r>
        <w:t xml:space="preserve"> </w:t>
      </w:r>
      <w:r>
        <w:t xml:space="preserve">funding (e.g. alternative funding arrangements and investment strategy), it was</w:t>
      </w:r>
      <w:r>
        <w:t xml:space="preserve"> </w:t>
      </w:r>
      <w:r>
        <w:t xml:space="preserve">highlighted that many national transpositions do not cater for concrete measures,</w:t>
      </w:r>
      <w:r>
        <w:t xml:space="preserve"> </w:t>
      </w:r>
      <w:r>
        <w:t xml:space="preserve">available to obtain funds if DGSs are depleted, at the expense of sufficient crisis</w:t>
      </w:r>
      <w:r>
        <w:t xml:space="preserve"> </w:t>
      </w:r>
      <w:r>
        <w:t xml:space="preserve">preparedness. DGS funds are often invested in sovereign bonds and, in two instances,</w:t>
      </w:r>
      <w:r>
        <w:t xml:space="preserve"> </w:t>
      </w:r>
      <w:r>
        <w:t xml:space="preserve">even integrated in the budget, which may have unpredictable consequences in the current</w:t>
      </w:r>
      <w:r>
        <w:t xml:space="preserve"> </w:t>
      </w:r>
      <w:r>
        <w:t xml:space="preserve">COVID-19 induced circumstances271.</w:t>
      </w:r>
      <w:r>
        <w:br/>
      </w:r>
      <w:r>
        <w:t xml:space="preserve">Further, the DGSD contains more than 22 ONDs. In general, those ONDs allow the EU</w:t>
      </w:r>
      <w:r>
        <w:t xml:space="preserve"> </w:t>
      </w:r>
      <w:r>
        <w:t xml:space="preserve">legislator to demonstrate respect for national legal traditions and regulatory practices as</w:t>
      </w:r>
      <w:r>
        <w:t xml:space="preserve"> </w:t>
      </w:r>
      <w:r>
        <w:t xml:space="preserve">well as to reduce implementation costs, especially in Member States with existing</w:t>
      </w:r>
      <w:r>
        <w:t xml:space="preserve"> </w:t>
      </w:r>
      <w:r>
        <w:t xml:space="preserve">national frameworks. However, ONDs also have the potential to distort the level playing</w:t>
      </w:r>
      <w:r>
        <w:t xml:space="preserve"> </w:t>
      </w:r>
      <w:r>
        <w:t xml:space="preserve">field and lead to fragmentation in the single market. In addition, they can create higher</w:t>
      </w:r>
      <w:r>
        <w:t xml:space="preserve"> </w:t>
      </w:r>
      <w:r>
        <w:t xml:space="preserve">complexity, including higher compliance costs, and reduce transparency.</w:t>
      </w:r>
      <w:r>
        <w:t xml:space="preserve"> </w:t>
      </w:r>
      <w:r>
        <w:t xml:space="preserve">Most notably, the Commission’s conformity assessment of national transpositions</w:t>
      </w:r>
      <w:r>
        <w:t xml:space="preserve"> </w:t>
      </w:r>
      <w:r>
        <w:t xml:space="preserve">revealed different approaches with respect to a number of issues and confirmed the need</w:t>
      </w:r>
    </w:p>
    <w:p>
      <w:pPr>
        <w:pStyle w:val="BodyText"/>
      </w:pPr>
      <w:r>
        <w:t xml:space="preserve">institutions with a multiple point of entry resolution strategy and methods for the indirect subscription of</w:t>
      </w:r>
      <w:r>
        <w:t xml:space="preserve"> </w:t>
      </w:r>
      <w:r>
        <w:t xml:space="preserve">instruments eligible for meeting the minimum requirement for own funds and eligible liabilities.</w:t>
      </w:r>
      <w:r>
        <w:br/>
      </w:r>
      <w:r>
        <w:t xml:space="preserve">268 See also section 1 of the evaluation and Annex 1.</w:t>
      </w:r>
      <w:r>
        <w:t xml:space="preserve"> </w:t>
      </w:r>
      <w:r>
        <w:t xml:space="preserve">269 CEPS study prepared for the Commission on national options and discretions under the DGSD and their</w:t>
      </w:r>
      <w:r>
        <w:t xml:space="preserve"> </w:t>
      </w:r>
      <w:r>
        <w:t xml:space="preserve">treatment under EDIS (November 2019), CEPS study.</w:t>
      </w:r>
      <w:r>
        <w:br/>
      </w:r>
      <w:r>
        <w:t xml:space="preserve">270 See also Annex 6 of the impact assessment for more details on the DGSD review.</w:t>
      </w:r>
      <w:r>
        <w:t xml:space="preserve"> </w:t>
      </w:r>
      <w:r>
        <w:t xml:space="preserve">271 In its opinion of 23 January 2020, on the funding and use of DGSs funds, EBA highlighted that in a</w:t>
      </w:r>
      <w:r>
        <w:t xml:space="preserve"> </w:t>
      </w:r>
      <w:r>
        <w:t xml:space="preserve">number of cases funds are invested exclusively or almost exclusively in national debt, despite the</w:t>
      </w:r>
      <w:r>
        <w:t xml:space="preserve"> </w:t>
      </w:r>
      <w:r>
        <w:t xml:space="preserve">requirement to ensure sufficient diversification, the EBA discussed the rationale for requiring that DGS</w:t>
      </w:r>
      <w:r>
        <w:t xml:space="preserve"> </w:t>
      </w:r>
      <w:r>
        <w:t xml:space="preserve">funds should be invested in a sufficiently diversified manner. In this regard, it should be considered that the</w:t>
      </w:r>
      <w:r>
        <w:t xml:space="preserve"> </w:t>
      </w:r>
      <w:r>
        <w:t xml:space="preserve">funds are available when needed in a crisis, irrespective of the situation in the market for a particular type</w:t>
      </w:r>
      <w:r>
        <w:t xml:space="preserve"> </w:t>
      </w:r>
      <w:r>
        <w:t xml:space="preserve">of instrument; in particular, where funds are invested in national debt, to break the nexus between banking</w:t>
      </w:r>
      <w:r>
        <w:t xml:space="preserve"> </w:t>
      </w:r>
      <w:r>
        <w:t xml:space="preserve">and sovereign crises (p. 106).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to clarify certain provisions within the context of the DGSD review. While several of</w:t>
      </w:r>
      <w:r>
        <w:t xml:space="preserve"> </w:t>
      </w:r>
      <w:r>
        <w:t xml:space="preserve">them could negatively impact either the deposit protection or the equal treatment of</w:t>
      </w:r>
      <w:r>
        <w:t xml:space="preserve"> </w:t>
      </w:r>
      <w:r>
        <w:t xml:space="preserve">depositors, there are also issues which do not seem to give rise to substantial problems</w:t>
      </w:r>
      <w:r>
        <w:t xml:space="preserve"> </w:t>
      </w:r>
      <w:r>
        <w:t xml:space="preserve">(e.g. as there are no third country branches in the respective Member States). The</w:t>
      </w:r>
      <w:r>
        <w:t xml:space="preserve"> </w:t>
      </w:r>
      <w:r>
        <w:t xml:space="preserve">majority of instances identified were divergent approaches i.e. to the determination of</w:t>
      </w:r>
      <w:r>
        <w:t xml:space="preserve"> </w:t>
      </w:r>
      <w:r>
        <w:t xml:space="preserve">unavailable deposits under Article 2(1)(8) and 3(2) DGSD, the transfer of contributions,</w:t>
      </w:r>
      <w:r>
        <w:t xml:space="preserve"> </w:t>
      </w:r>
      <w:r>
        <w:t xml:space="preserve">the protection of temporary high balances, alternative and preventive measures, client</w:t>
      </w:r>
      <w:r>
        <w:t xml:space="preserve"> </w:t>
      </w:r>
      <w:r>
        <w:t xml:space="preserve">funds safeguarded by payment institutions on bank accounts, to the protection of public</w:t>
      </w:r>
      <w:r>
        <w:t xml:space="preserve"> </w:t>
      </w:r>
      <w:r>
        <w:t xml:space="preserve">authorities272 or to the share of payment commitments of the total available financial</w:t>
      </w:r>
      <w:r>
        <w:t xml:space="preserve"> </w:t>
      </w:r>
      <w:r>
        <w:t xml:space="preserve">means under Article 10(3).</w:t>
      </w:r>
      <w:r>
        <w:br/>
      </w:r>
      <w:r>
        <w:t xml:space="preserve">State of play of the common deposit guarantee scheme (EDIS) in the Banking Union</w:t>
      </w:r>
      <w:r>
        <w:t xml:space="preserve"> </w:t>
      </w:r>
      <w:r>
        <w:t xml:space="preserve">The Banking Union from its inception in 2012 was conceived to have three pillars, with</w:t>
      </w:r>
      <w:r>
        <w:t xml:space="preserve"> </w:t>
      </w:r>
      <w:r>
        <w:t xml:space="preserve">the third being a common system for deposit guarantees273. The Commission adopted a</w:t>
      </w:r>
      <w:r>
        <w:t xml:space="preserve"> </w:t>
      </w:r>
      <w:r>
        <w:t xml:space="preserve">legislative proposal to this end on 24 November 2015 on EDIS274, followed by the</w:t>
      </w:r>
      <w:r>
        <w:t xml:space="preserve"> </w:t>
      </w:r>
      <w:r>
        <w:t xml:space="preserve">publication of an effects analysis in 2016275. This proposal was contentious from the start</w:t>
      </w:r>
      <w:r>
        <w:t xml:space="preserve"> </w:t>
      </w:r>
      <w:r>
        <w:t xml:space="preserve">and political discussions have been stalled for some time, though technical work</w:t>
      </w:r>
      <w:r>
        <w:t xml:space="preserve"> </w:t>
      </w:r>
      <w:r>
        <w:t xml:space="preserve">remained ongoing. Discussions on the interaction between risk reduction and risk sharing</w:t>
      </w:r>
      <w:r>
        <w:t xml:space="preserve"> </w:t>
      </w:r>
      <w:r>
        <w:t xml:space="preserve">had an impact on the EDIS negotiations, both within the Council and the European</w:t>
      </w:r>
      <w:r>
        <w:t xml:space="preserve"> </w:t>
      </w:r>
      <w:r>
        <w:t xml:space="preserve">Parliament, despite continued acknowledgment of the importance of EDIS as part of a</w:t>
      </w:r>
      <w:r>
        <w:t xml:space="preserve"> </w:t>
      </w:r>
      <w:r>
        <w:t xml:space="preserve">fully-fledged Banking Union, such as in the Five President’s Report of 2015276. This is</w:t>
      </w:r>
      <w:r>
        <w:t xml:space="preserve"> </w:t>
      </w:r>
      <w:r>
        <w:t xml:space="preserve">also reflected in the 2016 Banking Union roadmap277 by the Council, which signalled that</w:t>
      </w:r>
      <w:r>
        <w:t xml:space="preserve"> </w:t>
      </w:r>
      <w:r>
        <w:t xml:space="preserve">negotiations at political level on EDIS would start as soon as sufficient further progress</w:t>
      </w:r>
      <w:r>
        <w:t xml:space="preserve"> </w:t>
      </w:r>
      <w:r>
        <w:t xml:space="preserve">has been made on the measures on risk reduction.</w:t>
      </w:r>
      <w:r>
        <w:t xml:space="preserve"> </w:t>
      </w:r>
      <w:r>
        <w:t xml:space="preserve">A comprehensive package of risk reduction measures was put forward by the</w:t>
      </w:r>
      <w:r>
        <w:t xml:space="preserve"> </w:t>
      </w:r>
      <w:r>
        <w:t xml:space="preserve">Commission and negotiated by the co-legislators since then. A Communication that set</w:t>
      </w:r>
      <w:r>
        <w:t xml:space="preserve"> </w:t>
      </w:r>
      <w:r>
        <w:t xml:space="preserve">out an ambitious yet realistic path to ensure agreement on all the outstanding elements of</w:t>
      </w:r>
      <w:r>
        <w:t xml:space="preserve"> </w:t>
      </w:r>
      <w:r>
        <w:t xml:space="preserve">the Banking Union, based on existing commitments by the Council, was put forward by</w:t>
      </w:r>
      <w:r>
        <w:t xml:space="preserve"> </w:t>
      </w:r>
      <w:r>
        <w:t xml:space="preserve">the Commission in 2017278. Therein, suggestions were also outlined with regard to the</w:t>
      </w:r>
      <w:r>
        <w:t xml:space="preserve"> </w:t>
      </w:r>
      <w:r>
        <w:t xml:space="preserve">EDIS proposal in order to facilitate progress in the European Parliament and the Council</w:t>
      </w:r>
      <w:r>
        <w:t xml:space="preserve"> </w:t>
      </w:r>
      <w:r>
        <w:t xml:space="preserve">on the file.</w:t>
      </w:r>
    </w:p>
    <w:p>
      <w:pPr>
        <w:pStyle w:val="BodyText"/>
      </w:pPr>
      <w:r>
        <w:t xml:space="preserve">272 In some Member States, public authorities do not fall under the scope of the DGSD. For example, the</w:t>
      </w:r>
      <w:r>
        <w:t xml:space="preserve"> </w:t>
      </w:r>
      <w:r>
        <w:t xml:space="preserve">recent Greensill Bank AG case in Germany showed that public authorities were not protected by the</w:t>
      </w:r>
      <w:r>
        <w:t xml:space="preserve"> </w:t>
      </w:r>
      <w:r>
        <w:t xml:space="preserve">mandatory DGS. According to the German press, some public authorities (with around EUR 340 m) had</w:t>
      </w:r>
      <w:r>
        <w:t xml:space="preserve"> </w:t>
      </w:r>
      <w:r>
        <w:t xml:space="preserve">deposits with Greensill bank. However, it remained unclear if the voluntary top-up scheme reimbursed</w:t>
      </w:r>
      <w:r>
        <w:t xml:space="preserve"> </w:t>
      </w:r>
      <w:r>
        <w:t xml:space="preserve">them.</w:t>
      </w:r>
      <w:r>
        <w:t xml:space="preserve"> </w:t>
      </w:r>
      <w:r>
        <w:t xml:space="preserve">273 Communication from the Commission to the European Parliament and the Council, A Roadmap towards</w:t>
      </w:r>
      <w:r>
        <w:t xml:space="preserve"> </w:t>
      </w:r>
      <w:r>
        <w:t xml:space="preserve">a Banking Union, 12 September 2012, COM(2012)0510 final, and the report by the Presidents of the</w:t>
      </w:r>
      <w:r>
        <w:t xml:space="preserve"> </w:t>
      </w:r>
      <w:r>
        <w:t xml:space="preserve">European Council, the Commission, the Eurogroup and the European Central Bank of 26 June 2012.</w:t>
      </w:r>
      <w:r>
        <w:t xml:space="preserve"> </w:t>
      </w:r>
      <w:r>
        <w:t xml:space="preserve">274 Proposal for a Regulation of the European Parliament and of the Council amending Regulation (EU)</w:t>
      </w:r>
      <w:r>
        <w:t xml:space="preserve"> </w:t>
      </w:r>
      <w:r>
        <w:t xml:space="preserve">806/2014 in order to establish a European Deposit Insurance Scheme, 24 November 2015, COM(2015) 586</w:t>
      </w:r>
      <w:r>
        <w:t xml:space="preserve"> </w:t>
      </w:r>
      <w:r>
        <w:t xml:space="preserve">final. For a more detailed description of the 2015 proposal, please see Annex 10 of the impact assessment.</w:t>
      </w:r>
      <w:r>
        <w:t xml:space="preserve"> </w:t>
      </w:r>
      <w:r>
        <w:t xml:space="preserve">275 Effects analysis on the European Deposit Insurance Scheme, 11 October 2016.</w:t>
      </w:r>
      <w:r>
        <w:t xml:space="preserve"> </w:t>
      </w:r>
      <w:r>
        <w:t xml:space="preserve">276 The Five President’s Report: Completing Europe’s Economic and Monetary Union, 22 June 2015.</w:t>
      </w:r>
      <w:r>
        <w:t xml:space="preserve"> </w:t>
      </w:r>
      <w:r>
        <w:t xml:space="preserve">277 Council Conclusions on a Roadmap to complete the Banking Union, 17 June 2016Error! Bookmark n</w:t>
      </w:r>
      <w:r>
        <w:t xml:space="preserve"> </w:t>
      </w:r>
      <w:r>
        <w:t xml:space="preserve">ot defined..</w:t>
      </w:r>
      <w:r>
        <w:t xml:space="preserve"> </w:t>
      </w:r>
      <w:r>
        <w:t xml:space="preserve">278 Communication to the European Parliament, the Council, the European Central Bank, the European</w:t>
      </w:r>
      <w:r>
        <w:t xml:space="preserve"> </w:t>
      </w:r>
      <w:r>
        <w:t xml:space="preserve">Economic and Social Committee and the Committee of the Regions on completing the Banking Union,</w:t>
      </w:r>
      <w:r>
        <w:t xml:space="preserve"> </w:t>
      </w:r>
      <w:r>
        <w:t xml:space="preserve">11.10.2017, COM(2017) 592 final.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In June 2018, the Euro Summit asked that work would start on a roadmap for beginning</w:t>
      </w:r>
      <w:r>
        <w:t xml:space="preserve"> </w:t>
      </w:r>
      <w:r>
        <w:t xml:space="preserve">political negotiations on EDIS279 and in December 2020, on a stepwise and time-bound</w:t>
      </w:r>
      <w:r>
        <w:t xml:space="preserve"> </w:t>
      </w:r>
      <w:r>
        <w:t xml:space="preserve">work plan on all outstanding elements needed to complete the Banking Union280. This</w:t>
      </w:r>
      <w:r>
        <w:t xml:space="preserve"> </w:t>
      </w:r>
      <w:r>
        <w:t xml:space="preserve">work, which took place in the intergovernmental format within the HLWG on EDIS, was</w:t>
      </w:r>
      <w:r>
        <w:t xml:space="preserve"> </w:t>
      </w:r>
      <w:r>
        <w:t xml:space="preserve">broadened to encompass four files: (i) EDIS, (ii) the review of the CMDI framework, (iii)</w:t>
      </w:r>
      <w:r>
        <w:t xml:space="preserve"> </w:t>
      </w:r>
      <w:r>
        <w:t xml:space="preserve">cross-border integration and (iv) the regulatory treatment of sovereign exposures. Despite</w:t>
      </w:r>
      <w:r>
        <w:t xml:space="preserve"> </w:t>
      </w:r>
      <w:r>
        <w:t xml:space="preserve">intensive discussions among Member States and a major political effort by the Eurogroup</w:t>
      </w:r>
      <w:r>
        <w:t xml:space="preserve"> </w:t>
      </w:r>
      <w:r>
        <w:t xml:space="preserve">president, an agreement for completing the Banking Union in a comprehensive manner</w:t>
      </w:r>
      <w:r>
        <w:t xml:space="preserve"> </w:t>
      </w:r>
      <w:r>
        <w:t xml:space="preserve">did not materialise in the June 2022 Eurogroup281.</w:t>
      </w:r>
      <w:r>
        <w:t xml:space="preserve"> </w:t>
      </w:r>
      <w:r>
        <w:t xml:space="preserve">The technical discussions that took place on EDIS over the last years gave rise to various</w:t>
      </w:r>
      <w:r>
        <w:t xml:space="preserve"> </w:t>
      </w:r>
      <w:r>
        <w:t xml:space="preserve">other models than the model proposed by the Commission in 2015282. The so-called</w:t>
      </w:r>
      <w:r>
        <w:t xml:space="preserve"> </w:t>
      </w:r>
      <w:r>
        <w:t xml:space="preserve">hybrid model283 emerged as a possible compromise284 between those Member States</w:t>
      </w:r>
      <w:r>
        <w:t xml:space="preserve"> </w:t>
      </w:r>
      <w:r>
        <w:t xml:space="preserve">supporting the original proposal and those underlining the pre-condition of risk reduction</w:t>
      </w:r>
      <w:r>
        <w:t xml:space="preserve"> </w:t>
      </w:r>
      <w:r>
        <w:t xml:space="preserve">before agreeing to share risks across the EU banking sector. As outlined in the impact</w:t>
      </w:r>
      <w:r>
        <w:t xml:space="preserve"> </w:t>
      </w:r>
      <w:r>
        <w:t xml:space="preserve">assessment, EDIS and the review of the CMDI framework are closely interlinked. The</w:t>
      </w:r>
      <w:r>
        <w:t xml:space="preserve"> </w:t>
      </w:r>
      <w:r>
        <w:t xml:space="preserve">set-up of EDIS would also unlock further market integration, in particular cross-border</w:t>
      </w:r>
      <w:r>
        <w:t xml:space="preserve"> </w:t>
      </w:r>
      <w:r>
        <w:t xml:space="preserve">consolidation.</w:t>
      </w:r>
      <w:r>
        <w:t xml:space="preserve"> </w:t>
      </w:r>
      <w:r>
        <w:t xml:space="preserve">7.</w:t>
      </w:r>
      <w:r>
        <w:t xml:space="preserve"> </w:t>
      </w:r>
      <w:r>
        <w:t xml:space="preserve">ANSWERS TO THE EVALUATION QUESTIONS</w:t>
      </w:r>
      <w:r>
        <w:t xml:space="preserve"> </w:t>
      </w:r>
      <w:r>
        <w:t xml:space="preserve">This section presents the assessment of the CMDI framework based on the five</w:t>
      </w:r>
      <w:r>
        <w:t xml:space="preserve"> </w:t>
      </w:r>
      <w:r>
        <w:t xml:space="preserve">evaluation criteria (effectiveness, efficiency, relevance, coherence and EU value added)</w:t>
      </w:r>
      <w:r>
        <w:t xml:space="preserve"> </w:t>
      </w:r>
      <w:r>
        <w:t xml:space="preserve">and related evaluation questions set out in section 4. This is complemented by an</w:t>
      </w:r>
      <w:r>
        <w:t xml:space="preserve"> </w:t>
      </w:r>
      <w:r>
        <w:t xml:space="preserve">assessment of the main issues coming from past experiences with the framework or raised</w:t>
      </w:r>
      <w:r>
        <w:t xml:space="preserve"> </w:t>
      </w:r>
      <w:r>
        <w:t xml:space="preserve">by stakeholders during the various consultation activities, as summarised in Annex 2 of</w:t>
      </w:r>
      <w:r>
        <w:t xml:space="preserve"> </w:t>
      </w:r>
      <w:r>
        <w:t xml:space="preserve">the impact assessment.</w:t>
      </w:r>
      <w:r>
        <w:t xml:space="preserve"> </w:t>
      </w:r>
      <w:r>
        <w:t xml:space="preserve">7.1. Effectiveness</w:t>
      </w:r>
      <w:r>
        <w:t xml:space="preserve"> </w:t>
      </w:r>
      <w:r>
        <w:t xml:space="preserve">How effective has the EU intervention been? To what extent have the general</w:t>
      </w:r>
      <w:r>
        <w:t xml:space="preserve"> </w:t>
      </w:r>
      <w:r>
        <w:t xml:space="preserve">objectives of the CMDI framework (BRRD/SRMR/DGSD) been achieved and what</w:t>
      </w:r>
      <w:r>
        <w:t xml:space="preserve"> </w:t>
      </w:r>
      <w:r>
        <w:t xml:space="preserve">factors influenced the achievements observed?</w:t>
      </w:r>
      <w:r>
        <w:br/>
      </w:r>
      <w:r>
        <w:t xml:space="preserve">As depicted in section 3, the general objectives of the CMDI framework are to:</w:t>
      </w:r>
      <w:r>
        <w:t xml:space="preserve"> </w:t>
      </w:r>
      <w:r>
        <w:t xml:space="preserve">1. limit potential risks of adverse effects for financial stability caused by the failure</w:t>
      </w:r>
      <w:r>
        <w:t xml:space="preserve"> </w:t>
      </w:r>
      <w:r>
        <w:t xml:space="preserve">of banks, including by preventing contagion, moral hazard, ensure market</w:t>
      </w:r>
      <w:r>
        <w:t xml:space="preserve"> </w:t>
      </w:r>
      <w:r>
        <w:t xml:space="preserve">discipline and the continuity of critical functions for the society;</w:t>
      </w:r>
      <w:r>
        <w:t xml:space="preserve"> </w:t>
      </w:r>
      <w:r>
        <w:t xml:space="preserve">2. minimise losses for the society, in particular mitigate recourse to taxpayers’</w:t>
      </w:r>
      <w:r>
        <w:t xml:space="preserve"> </w:t>
      </w:r>
      <w:r>
        <w:t xml:space="preserve">money and weaken the bank-sovereign nexus;</w:t>
      </w:r>
    </w:p>
    <w:p>
      <w:pPr>
        <w:pStyle w:val="BodyText"/>
      </w:pPr>
      <w:r>
        <w:t xml:space="preserve">279 Statement of the Euro Summit, 29 June 2018.</w:t>
      </w:r>
      <w:r>
        <w:t xml:space="preserve"> </w:t>
      </w:r>
      <w:r>
        <w:t xml:space="preserve">280 Statement of the Euro Summit, 11 December 2020.</w:t>
      </w:r>
      <w:r>
        <w:t xml:space="preserve"> </w:t>
      </w:r>
      <w:r>
        <w:t xml:space="preserve">281 Eurogroup (16 June 2022), Eurogroup statement on the future of the Banking Union.</w:t>
      </w:r>
      <w:r>
        <w:t xml:space="preserve"> </w:t>
      </w:r>
      <w:r>
        <w:t xml:space="preserve">282 For a more detailed description of the other models, please see Annex 10 of the impact assessment.</w:t>
      </w:r>
      <w:r>
        <w:t xml:space="preserve"> </w:t>
      </w:r>
      <w:r>
        <w:t xml:space="preserve">283 For a more detailed description of the hybrid model, please see Annex 10 of the impact assessment.</w:t>
      </w:r>
      <w:r>
        <w:t xml:space="preserve"> </w:t>
      </w:r>
      <w:r>
        <w:t xml:space="preserve">284 Letter by the High-Level Working Group on EDIS Chair to the President of the Eurogroup, ‘Further</w:t>
      </w:r>
      <w:r>
        <w:t xml:space="preserve"> </w:t>
      </w:r>
      <w:r>
        <w:t xml:space="preserve">strengthening the Banking Union, including EDIS: A roadmap for political negotiations’, 3 December</w:t>
      </w:r>
      <w:r>
        <w:t xml:space="preserve"> </w:t>
      </w:r>
      <w:r>
        <w:t xml:space="preserve">2019.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3. enhancing the functioning of the single market in banking, including by handling</w:t>
      </w:r>
      <w:r>
        <w:t xml:space="preserve"> </w:t>
      </w:r>
      <w:r>
        <w:t xml:space="preserve">of cross-border crises and fostering level playing field among banks from</w:t>
      </w:r>
      <w:r>
        <w:t xml:space="preserve"> </w:t>
      </w:r>
      <w:r>
        <w:t xml:space="preserve">different Member States, particularly in the Banking Union; and</w:t>
      </w:r>
      <w:r>
        <w:t xml:space="preserve"> </w:t>
      </w:r>
      <w:r>
        <w:t xml:space="preserve">4. protect</w:t>
      </w:r>
      <w:r>
        <w:t xml:space="preserve"> </w:t>
      </w:r>
      <w:r>
        <w:t xml:space="preserve">depositors (covered deposits), investors (covered by</w:t>
      </w:r>
      <w:r>
        <w:t xml:space="preserve"> </w:t>
      </w:r>
      <w:r>
        <w:t xml:space="preserve">investor</w:t>
      </w:r>
      <w:r>
        <w:t xml:space="preserve"> </w:t>
      </w:r>
      <w:r>
        <w:t xml:space="preserve">compensation schemes) and client assets and funds, thereby ensuring consumer</w:t>
      </w:r>
      <w:r>
        <w:t xml:space="preserve"> </w:t>
      </w:r>
      <w:r>
        <w:t xml:space="preserve">confidence across the EU, irrespective of the place of incorporation of the bank.</w:t>
      </w:r>
    </w:p>
    <w:p>
      <w:pPr>
        <w:pStyle w:val="BodyText"/>
      </w:pPr>
      <w:r>
        <w:t xml:space="preserve">Summary assessment:</w:t>
      </w:r>
      <w:r>
        <w:t xml:space="preserve"> </w:t>
      </w:r>
      <w:r>
        <w:t xml:space="preserve">Evidence regarding the treatment of bank crisis situations since the adoption of the</w:t>
      </w:r>
      <w:r>
        <w:t xml:space="preserve"> </w:t>
      </w:r>
      <w:r>
        <w:t xml:space="preserve">framework shows that two of the four objectives of the framework have been partially</w:t>
      </w:r>
      <w:r>
        <w:t xml:space="preserve"> </w:t>
      </w:r>
      <w:r>
        <w:t xml:space="preserve">achieved, while the others have not been achieved in a satisfactory manner, except in</w:t>
      </w:r>
      <w:r>
        <w:t xml:space="preserve"> </w:t>
      </w:r>
      <w:r>
        <w:t xml:space="preserve">a limited number of cases.</w:t>
      </w:r>
      <w:r>
        <w:br/>
      </w:r>
      <w:r>
        <w:t xml:space="preserve">More specifically, the framework partially achieved its objectives of containing risks</w:t>
      </w:r>
      <w:r>
        <w:t xml:space="preserve"> </w:t>
      </w:r>
      <w:r>
        <w:t xml:space="preserve">to financial stability and protecting depositors, but it failed to achieve other key</w:t>
      </w:r>
      <w:r>
        <w:t xml:space="preserve"> </w:t>
      </w:r>
      <w:r>
        <w:t xml:space="preserve">overarching objectives, notably facilitating the functioning of the single market when</w:t>
      </w:r>
      <w:r>
        <w:t xml:space="preserve"> </w:t>
      </w:r>
      <w:r>
        <w:t xml:space="preserve">handling cross-border crises, including by ensuring level playing field, and</w:t>
      </w:r>
      <w:r>
        <w:t xml:space="preserve"> </w:t>
      </w:r>
      <w:r>
        <w:t xml:space="preserve">minimising recourse to taxpayer money. In a significant number of cases, the</w:t>
      </w:r>
      <w:r>
        <w:t xml:space="preserve"> </w:t>
      </w:r>
      <w:r>
        <w:t xml:space="preserve">fulfilment of objectives cannot be directly attributed to the framework, but to the</w:t>
      </w:r>
      <w:r>
        <w:t xml:space="preserve"> </w:t>
      </w:r>
      <w:r>
        <w:t xml:space="preserve">application of tools at national level, outside of resolution and with recourse to public</w:t>
      </w:r>
      <w:r>
        <w:t xml:space="preserve"> </w:t>
      </w:r>
      <w:r>
        <w:t xml:space="preserve">budgets (taxpayers’ funds). The management of bank failures differed across Member</w:t>
      </w:r>
      <w:r>
        <w:t xml:space="preserve"> </w:t>
      </w:r>
      <w:r>
        <w:t xml:space="preserve">States, depending on the existing national regime, which raises questions about the</w:t>
      </w:r>
      <w:r>
        <w:t xml:space="preserve"> </w:t>
      </w:r>
      <w:r>
        <w:t xml:space="preserve">coherence of the framework, resulting in sub-optimal outcomes for level playing field</w:t>
      </w:r>
      <w:r>
        <w:t xml:space="preserve"> </w:t>
      </w:r>
      <w:r>
        <w:t xml:space="preserve">and the single market in banking.</w:t>
      </w:r>
    </w:p>
    <w:p>
      <w:pPr>
        <w:pStyle w:val="BodyText"/>
      </w:pPr>
      <w:r>
        <w:t xml:space="preserve">The assessment of the framework’s effectiveness has been done objective by objective.</w:t>
      </w:r>
      <w:r>
        <w:t xml:space="preserve"> </w:t>
      </w:r>
      <w:r>
        <w:t xml:space="preserve">7.1.1. Objective (1): did the framework achieve the objective of limiting risks to</w:t>
      </w:r>
      <w:r>
        <w:t xml:space="preserve"> </w:t>
      </w:r>
      <w:r>
        <w:t xml:space="preserve">financial stability, including by preventing contagion, moral hazard,</w:t>
      </w:r>
      <w:r>
        <w:t xml:space="preserve"> </w:t>
      </w:r>
      <w:r>
        <w:t xml:space="preserve">ensuring market discipline and the continuity of critical functions for the</w:t>
      </w:r>
      <w:r>
        <w:t xml:space="preserve"> </w:t>
      </w:r>
      <w:r>
        <w:t xml:space="preserve">society?</w:t>
      </w:r>
      <w:r>
        <w:t xml:space="preserve"> </w:t>
      </w:r>
      <w:r>
        <w:t xml:space="preserve">Risks to financial stability, contagion and spillover effects from the banking sector to the</w:t>
      </w:r>
      <w:r>
        <w:t xml:space="preserve"> </w:t>
      </w:r>
      <w:r>
        <w:t xml:space="preserve">real economy were significantly reduced after the global financial crisis and the society’s</w:t>
      </w:r>
      <w:r>
        <w:t xml:space="preserve"> </w:t>
      </w:r>
      <w:r>
        <w:t xml:space="preserve">access to critical banking functions285 was preserved. Certain elements of the framework</w:t>
      </w:r>
      <w:r>
        <w:t xml:space="preserve"> </w:t>
      </w:r>
      <w:r>
        <w:t xml:space="preserve">and their application such as pre-resolution preparedness had a positive impact on</w:t>
      </w:r>
      <w:r>
        <w:t xml:space="preserve"> </w:t>
      </w:r>
      <w:r>
        <w:t xml:space="preserve">financial stability, the containment of contagion, reduction of moral hazard and ensuring</w:t>
      </w:r>
      <w:r>
        <w:t xml:space="preserve"> </w:t>
      </w:r>
      <w:r>
        <w:t xml:space="preserve">market discipline. Similarly, the resolution framework introduced strategies, powers and</w:t>
      </w:r>
      <w:r>
        <w:t xml:space="preserve"> </w:t>
      </w:r>
      <w:r>
        <w:t xml:space="preserve">tools to restructure failing banks while protecting depositors, financial stability and tax</w:t>
      </w:r>
      <w:r>
        <w:t xml:space="preserve"> </w:t>
      </w:r>
      <w:r>
        <w:t xml:space="preserve">payers. However, so far resolution has only scarcely been applied, in particular in the</w:t>
      </w:r>
      <w:r>
        <w:t xml:space="preserve"> </w:t>
      </w:r>
      <w:r>
        <w:t xml:space="preserve">Banking Union under the SRMR. A lack of application of those critical elements of the</w:t>
      </w:r>
    </w:p>
    <w:p>
      <w:pPr>
        <w:pStyle w:val="BodyText"/>
      </w:pPr>
      <w:r>
        <w:t xml:space="preserve">285 Examples of critical functions include the continued access to deposits and client funds, to payment and</w:t>
      </w:r>
      <w:r>
        <w:t xml:space="preserve"> </w:t>
      </w:r>
      <w:r>
        <w:t xml:space="preserve">settlement systems, lending or other banking services which cannot be easily and timely substituted in case</w:t>
      </w:r>
      <w:r>
        <w:t xml:space="preserve"> </w:t>
      </w:r>
      <w:r>
        <w:t xml:space="preserve">of a bank failure.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framework in the majority of assessed cases of banks in distress286 was observed. In those</w:t>
      </w:r>
      <w:r>
        <w:t xml:space="preserve"> </w:t>
      </w:r>
      <w:r>
        <w:t xml:space="preserve">cases, the preservation of financial stability was possible, to a great extent, through the</w:t>
      </w:r>
      <w:r>
        <w:t xml:space="preserve"> </w:t>
      </w:r>
      <w:r>
        <w:t xml:space="preserve">application of other tools and funding resources at national level, which were available to</w:t>
      </w:r>
      <w:r>
        <w:t xml:space="preserve"> </w:t>
      </w:r>
      <w:r>
        <w:t xml:space="preserve">manage failing banks or to intervene before failure. The conditions to activate such tools</w:t>
      </w:r>
      <w:r>
        <w:t xml:space="preserve"> </w:t>
      </w:r>
      <w:r>
        <w:t xml:space="preserve">vary substantially across countries, are sometimes not fully framed in the EU legislation</w:t>
      </w:r>
      <w:r>
        <w:t xml:space="preserve"> </w:t>
      </w:r>
      <w:r>
        <w:t xml:space="preserve">or leave room for arbitrage287. In addition, when funding (mostly from public budgets)</w:t>
      </w:r>
      <w:r>
        <w:t xml:space="preserve"> </w:t>
      </w:r>
      <w:r>
        <w:t xml:space="preserve">was used to support such measures, the requirements to access such funding were very</w:t>
      </w:r>
      <w:r>
        <w:t xml:space="preserve"> </w:t>
      </w:r>
      <w:r>
        <w:t xml:space="preserve">different (and more specifically, funding outside resolution is generally more easily</w:t>
      </w:r>
      <w:r>
        <w:t xml:space="preserve"> </w:t>
      </w:r>
      <w:r>
        <w:t xml:space="preserve">accessible than in resolution, in particular for certain banks, as explained in more details</w:t>
      </w:r>
      <w:r>
        <w:t xml:space="preserve"> </w:t>
      </w:r>
      <w:r>
        <w:t xml:space="preserve">in section 7.1.2.3). All in all, despite the good progress made in resolution preparedness</w:t>
      </w:r>
      <w:r>
        <w:t xml:space="preserve"> </w:t>
      </w:r>
      <w:r>
        <w:t xml:space="preserve">and contingency planning, the lack of application of the resolution tools (in many cases),</w:t>
      </w:r>
      <w:r>
        <w:t xml:space="preserve"> </w:t>
      </w:r>
      <w:r>
        <w:t xml:space="preserve">led to a lack of certainty and predictability in the handling of a distressed bank (break in</w:t>
      </w:r>
      <w:r>
        <w:t xml:space="preserve"> </w:t>
      </w:r>
      <w:r>
        <w:t xml:space="preserve">the continuum of outcomes from going to gone concern) while the central principle that</w:t>
      </w:r>
      <w:r>
        <w:t xml:space="preserve"> </w:t>
      </w:r>
      <w:r>
        <w:t xml:space="preserve">taxpayers’ money should not be used in the handling of a bank failure, was not fully</w:t>
      </w:r>
      <w:r>
        <w:t xml:space="preserve"> </w:t>
      </w:r>
      <w:r>
        <w:t xml:space="preserve">respected.</w:t>
      </w:r>
      <w:r>
        <w:t xml:space="preserve"> </w:t>
      </w:r>
      <w:r>
        <w:t xml:space="preserve">In conclusion, the partial achievement of this objective can only be partially credited to</w:t>
      </w:r>
      <w:r>
        <w:t xml:space="preserve"> </w:t>
      </w:r>
      <w:r>
        <w:t xml:space="preserve">the CMDI framework, which was applied in a restricted manner, especially in the</w:t>
      </w:r>
      <w:r>
        <w:t xml:space="preserve"> </w:t>
      </w:r>
      <w:r>
        <w:t xml:space="preserve">Banking Union.</w:t>
      </w:r>
      <w:r>
        <w:br/>
      </w:r>
      <w:r>
        <w:t xml:space="preserve">Main factors influencing the objective’s achievement</w:t>
      </w:r>
      <w:r>
        <w:t xml:space="preserve"> </w:t>
      </w:r>
      <w:r>
        <w:t xml:space="preserve">Factors</w:t>
      </w:r>
      <w:r>
        <w:t xml:space="preserve"> </w:t>
      </w:r>
      <w:r>
        <w:t xml:space="preserve">influencing</w:t>
      </w:r>
      <w:r>
        <w:t xml:space="preserve"> </w:t>
      </w:r>
      <w:r>
        <w:t xml:space="preserve">performance</w:t>
      </w:r>
      <w:r>
        <w:t xml:space="preserve"> </w:t>
      </w:r>
      <w:r>
        <w:t xml:space="preserve">against</w:t>
      </w:r>
      <w:r>
        <w:t xml:space="preserve"> </w:t>
      </w:r>
      <w:r>
        <w:t xml:space="preserve">objective</w:t>
      </w:r>
      <w:r>
        <w:t xml:space="preserve"> </w:t>
      </w:r>
      <w:r>
        <w:t xml:space="preserve">Overall impact on objective</w:t>
      </w:r>
      <w:r>
        <w:t xml:space="preserve"> </w:t>
      </w:r>
      <w:r>
        <w:t xml:space="preserve">1) Level of crisis preparedness and resolvability</w:t>
      </w:r>
      <w:r>
        <w:t xml:space="preserve"> </w:t>
      </w:r>
      <w:r>
        <w:t xml:space="preserve">of banks</w:t>
      </w:r>
      <w:r>
        <w:t xml:space="preserve"> </w:t>
      </w:r>
      <w:r>
        <w:t xml:space="preserve">Positive (ex ante contingency planning</w:t>
      </w:r>
      <w:r>
        <w:t xml:space="preserve"> </w:t>
      </w:r>
      <w:r>
        <w:t xml:space="preserve">in form of recovery and resolution</w:t>
      </w:r>
      <w:r>
        <w:t xml:space="preserve"> </w:t>
      </w:r>
      <w:r>
        <w:t xml:space="preserve">plans, resolution strategies, enhanced</w:t>
      </w:r>
      <w:r>
        <w:t xml:space="preserve"> </w:t>
      </w:r>
      <w:r>
        <w:t xml:space="preserve">coordination,</w:t>
      </w:r>
      <w:r>
        <w:t xml:space="preserve"> </w:t>
      </w:r>
      <w:r>
        <w:t xml:space="preserve">increased</w:t>
      </w:r>
      <w:r>
        <w:t xml:space="preserve"> </w:t>
      </w:r>
      <w:r>
        <w:t xml:space="preserve">banks’</w:t>
      </w:r>
      <w:r>
        <w:t xml:space="preserve"> </w:t>
      </w:r>
      <w:r>
        <w:t xml:space="preserve">resolvability with some aspects still</w:t>
      </w:r>
      <w:r>
        <w:t xml:space="preserve"> </w:t>
      </w:r>
      <w:r>
        <w:t xml:space="preserve">work in progress (MREL compliance,</w:t>
      </w:r>
      <w:r>
        <w:t xml:space="preserve"> </w:t>
      </w:r>
      <w:r>
        <w:t xml:space="preserve">management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systems</w:t>
      </w:r>
      <w:r>
        <w:t xml:space="preserve"> </w:t>
      </w:r>
      <w:r>
        <w:t xml:space="preserve">(MIS), liquidity in resolution)</w:t>
      </w:r>
      <w:r>
        <w:t xml:space="preserve"> </w:t>
      </w:r>
      <w:r>
        <w:t xml:space="preserve">2) Reduction of “too big to fail” and moral</w:t>
      </w:r>
      <w:r>
        <w:t xml:space="preserve"> </w:t>
      </w:r>
      <w:r>
        <w:t xml:space="preserve">hazard problems</w:t>
      </w:r>
      <w:r>
        <w:t xml:space="preserve"> </w:t>
      </w:r>
      <w:r>
        <w:t xml:space="preserve">Mainly positive (reduction of funding</w:t>
      </w:r>
      <w:r>
        <w:t xml:space="preserve"> </w:t>
      </w:r>
      <w:r>
        <w:t xml:space="preserve">cost advantage for G-SIIs, increase in</w:t>
      </w:r>
      <w:r>
        <w:t xml:space="preserve"> </w:t>
      </w:r>
      <w:r>
        <w:t xml:space="preserve">bail-inable</w:t>
      </w:r>
      <w:r>
        <w:t xml:space="preserve"> </w:t>
      </w:r>
      <w:r>
        <w:t xml:space="preserve">own</w:t>
      </w:r>
      <w:r>
        <w:t xml:space="preserve"> </w:t>
      </w:r>
      <w:r>
        <w:t xml:space="preserve">resources,</w:t>
      </w:r>
      <w:r>
        <w:t xml:space="preserve"> </w:t>
      </w:r>
      <w:r>
        <w:t xml:space="preserve">more</w:t>
      </w:r>
      <w:r>
        <w:t xml:space="preserve"> </w:t>
      </w:r>
      <w:r>
        <w:t xml:space="preserve">adequate pricing of risk by investors,</w:t>
      </w:r>
      <w:r>
        <w:t xml:space="preserve"> </w:t>
      </w:r>
      <w:r>
        <w:t xml:space="preserve">however most cases of distressed</w:t>
      </w:r>
      <w:r>
        <w:t xml:space="preserve"> </w:t>
      </w:r>
      <w:r>
        <w:t xml:space="preserve">banks dealt outside resolution, senior</w:t>
      </w:r>
      <w:r>
        <w:t xml:space="preserve"> </w:t>
      </w:r>
      <w:r>
        <w:t xml:space="preserve">unsecured creditors did not bear</w:t>
      </w:r>
      <w:r>
        <w:t xml:space="preserve"> </w:t>
      </w:r>
      <w:r>
        <w:t xml:space="preserve">losses)</w:t>
      </w:r>
      <w:r>
        <w:t xml:space="preserve"> </w:t>
      </w:r>
      <w:r>
        <w:t xml:space="preserve">3) 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early</w:t>
      </w:r>
      <w:r>
        <w:t xml:space="preserve"> </w:t>
      </w:r>
      <w:r>
        <w:t xml:space="preserve">intervention</w:t>
      </w:r>
      <w:r>
        <w:t xml:space="preserve"> </w:t>
      </w:r>
      <w:r>
        <w:t xml:space="preserve">framework</w:t>
      </w:r>
      <w:r>
        <w:t xml:space="preserve"> </w:t>
      </w:r>
      <w:r>
        <w:t xml:space="preserve">Negative (scarcely applied)</w:t>
      </w:r>
      <w:r>
        <w:t xml:space="preserve"> </w:t>
      </w:r>
      <w:r>
        <w:t xml:space="preserve">4) Availability of resolution processes, powers</w:t>
      </w:r>
      <w:r>
        <w:t xml:space="preserve"> </w:t>
      </w:r>
      <w:r>
        <w:t xml:space="preserve">and tools to intervene in failing banks</w:t>
      </w:r>
      <w:r>
        <w:t xml:space="preserve"> </w:t>
      </w:r>
      <w:r>
        <w:t xml:space="preserve">Mainly positive (enhanced market</w:t>
      </w:r>
      <w:r>
        <w:t xml:space="preserve"> </w:t>
      </w:r>
      <w:r>
        <w:t xml:space="preserve">discipline,</w:t>
      </w:r>
      <w:r>
        <w:t xml:space="preserve"> </w:t>
      </w:r>
      <w:r>
        <w:t xml:space="preserve">however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application)</w:t>
      </w:r>
    </w:p>
    <w:p>
      <w:pPr>
        <w:pStyle w:val="BodyText"/>
      </w:pPr>
      <w:r>
        <w:t xml:space="preserve">286 Since 2015, more than 60% of banks in distress in the EU were managed outside of the resolution</w:t>
      </w:r>
      <w:r>
        <w:t xml:space="preserve"> </w:t>
      </w:r>
      <w:r>
        <w:t xml:space="preserve">framework. (See Annex 9 of the impact assessment: “Table of Bank cases since 2015”).</w:t>
      </w:r>
      <w:r>
        <w:t xml:space="preserve"> </w:t>
      </w:r>
      <w:r>
        <w:t xml:space="preserve">287 See also sections 7.1.2.3 and 7.1.3 of the Evaluation for further details on the relevant issue.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7.1.1.1. Level of crisis preparedness and resolvability of banks</w:t>
      </w:r>
      <w:r>
        <w:t xml:space="preserve"> </w:t>
      </w:r>
      <w:r>
        <w:t xml:space="preserve">The BRRD/SRMR requires institutions and authorities to develop ex ante contingency</w:t>
      </w:r>
      <w:r>
        <w:t xml:space="preserve"> </w:t>
      </w:r>
      <w:r>
        <w:t xml:space="preserve">planning (recovery and resolution plans) and update these plans on a yearly basis. It</w:t>
      </w:r>
      <w:r>
        <w:t xml:space="preserve"> </w:t>
      </w:r>
      <w:r>
        <w:t xml:space="preserve">requires banks to prepare recovery plans to overcome financial distress and it grants</w:t>
      </w:r>
      <w:r>
        <w:t xml:space="preserve"> </w:t>
      </w:r>
      <w:r>
        <w:t xml:space="preserve">resolution authorities powers to collect information and prepare resolution plans laying</w:t>
      </w:r>
      <w:r>
        <w:t xml:space="preserve"> </w:t>
      </w:r>
      <w:r>
        <w:t xml:space="preserve">out the resolution strategy and tools aimed at an orderly resolution of the failed bank with</w:t>
      </w:r>
      <w:r>
        <w:t xml:space="preserve"> </w:t>
      </w:r>
      <w:r>
        <w:t xml:space="preserve">minimal costs for taxpayers. The framework requires authorities to conduct regular</w:t>
      </w:r>
      <w:r>
        <w:t xml:space="preserve"> </w:t>
      </w:r>
      <w:r>
        <w:t xml:space="preserve">resolvability assessments to identify and remove any impediments to resolvability.</w:t>
      </w:r>
      <w:r>
        <w:br/>
      </w:r>
      <w:r>
        <w:t xml:space="preserve">As also described in section 6, significant progress was achieved by resolution authorities</w:t>
      </w:r>
      <w:r>
        <w:t xml:space="preserve"> </w:t>
      </w:r>
      <w:r>
        <w:t xml:space="preserve">in drawing up resolution plans, assessing banks’ resolvability and setting MREL</w:t>
      </w:r>
      <w:r>
        <w:t xml:space="preserve"> </w:t>
      </w:r>
      <w:r>
        <w:t xml:space="preserve">requirements and by banks in drawing up recovery plans and, generally, becoming more</w:t>
      </w:r>
      <w:r>
        <w:t xml:space="preserve"> </w:t>
      </w:r>
      <w:r>
        <w:t xml:space="preserve">resolvable than they were before the introduction of the framework. While</w:t>
      </w:r>
      <w:r>
        <w:t xml:space="preserve"> </w:t>
      </w:r>
      <w:r>
        <w:t xml:space="preserve">implementation in certain areas is still ongoing (e.g. setting internal MREL for</w:t>
      </w:r>
      <w:r>
        <w:t xml:space="preserve"> </w:t>
      </w:r>
      <w:r>
        <w:t xml:space="preserve">subsidiaries, overall MREL compliance and enhancement in other areas of resolvability),</w:t>
      </w:r>
      <w:r>
        <w:t xml:space="preserve"> </w:t>
      </w:r>
      <w:r>
        <w:t xml:space="preserve">the enhanced level of preparedness of the financial system contributed to achieving</w:t>
      </w:r>
      <w:r>
        <w:t xml:space="preserve"> </w:t>
      </w:r>
      <w:r>
        <w:t xml:space="preserve">financial stability.</w:t>
      </w:r>
      <w:r>
        <w:t xml:space="preserve"> </w:t>
      </w:r>
      <w:r>
        <w:t xml:space="preserve">7.1.1.2. Reduction of ‘too big to fail’ and moral hazard problems</w:t>
      </w:r>
      <w:r>
        <w:br/>
      </w:r>
      <w:r>
        <w:t xml:space="preserve">Prior to the CMDI reforms, the failure of a vast majority of financial institutions</w:t>
      </w:r>
      <w:r>
        <w:t xml:space="preserve"> </w:t>
      </w:r>
      <w:r>
        <w:t xml:space="preserve">(including in particular the ones deemed too big to fail) was addressed through</w:t>
      </w:r>
      <w:r>
        <w:t xml:space="preserve"> </w:t>
      </w:r>
      <w:r>
        <w:t xml:space="preserve">government bail-outs to prevent contagion and financial instability or to mitigate</w:t>
      </w:r>
      <w:r>
        <w:t xml:space="preserve"> </w:t>
      </w:r>
      <w:r>
        <w:t xml:space="preserve">significant negative consequences for the real economy. The option of placing financial</w:t>
      </w:r>
      <w:r>
        <w:t xml:space="preserve"> </w:t>
      </w:r>
      <w:r>
        <w:t xml:space="preserve">institutions in insolvency was deemed likely to lead to great destruction of value, costly</w:t>
      </w:r>
      <w:r>
        <w:t xml:space="preserve"> </w:t>
      </w:r>
      <w:r>
        <w:t xml:space="preserve">litigation and contagion, threatening financial stability. The expectation that a bank may</w:t>
      </w:r>
      <w:r>
        <w:t xml:space="preserve"> </w:t>
      </w:r>
      <w:r>
        <w:t xml:space="preserve">be bailed-out represented an implicit government subsidy, with implications on the</w:t>
      </w:r>
      <w:r>
        <w:t xml:space="preserve"> </w:t>
      </w:r>
      <w:r>
        <w:t xml:space="preserve">behaviour of banks and markets288. With the granting of public support, such implicit</w:t>
      </w:r>
      <w:r>
        <w:t xml:space="preserve"> </w:t>
      </w:r>
      <w:r>
        <w:t xml:space="preserve">subsidies turned into explicit subsidies, discouraging the banks from bearing the</w:t>
      </w:r>
      <w:r>
        <w:t xml:space="preserve"> </w:t>
      </w:r>
      <w:r>
        <w:t xml:space="preserve">consequences of their decisions. Such resulting moral hazard caused economic</w:t>
      </w:r>
      <w:r>
        <w:t xml:space="preserve"> </w:t>
      </w:r>
      <w:r>
        <w:t xml:space="preserve">distortions by providing funding cost advantages, conducive to insufficient market</w:t>
      </w:r>
      <w:r>
        <w:t xml:space="preserve"> </w:t>
      </w:r>
      <w:r>
        <w:t xml:space="preserve">discipline and excessive risk-taking to the detriment of competition. The latter also</w:t>
      </w:r>
      <w:r>
        <w:t xml:space="preserve"> </w:t>
      </w:r>
      <w:r>
        <w:t xml:space="preserve">weakened the overall resilience of the financial system and the provision of financing to</w:t>
      </w:r>
      <w:r>
        <w:t xml:space="preserve"> </w:t>
      </w:r>
      <w:r>
        <w:t xml:space="preserve">the real economy.</w:t>
      </w:r>
      <w:r>
        <w:br/>
      </w:r>
      <w:r>
        <w:t xml:space="preserve">The Financial Stability Board (FSB) assessed in 2020–2021 the impact of resolution</w:t>
      </w:r>
      <w:r>
        <w:t xml:space="preserve"> </w:t>
      </w:r>
      <w:r>
        <w:t xml:space="preserve">reforms in member jurisdictions on reducing the too big to fail problem.289 In the absence</w:t>
      </w:r>
      <w:r>
        <w:t xml:space="preserve"> </w:t>
      </w:r>
      <w:r>
        <w:t xml:space="preserve">of concrete cases of G-SIIs failing, the FSB report looked at how the reforms, including</w:t>
      </w:r>
      <w:r>
        <w:t xml:space="preserve"> </w:t>
      </w:r>
      <w:r>
        <w:t xml:space="preserve">the CMDI framework in the EU, addressed the observed shortcomings, i.e. reduced the</w:t>
      </w:r>
      <w:r>
        <w:t xml:space="preserve"> </w:t>
      </w:r>
      <w:r>
        <w:t xml:space="preserve">implicit funding subsidies enjoyed by large banks, increased the creditors’ risk</w:t>
      </w:r>
      <w:r>
        <w:t xml:space="preserve"> </w:t>
      </w:r>
      <w:r>
        <w:t xml:space="preserve">sensitivity, the de-risking of balance sheets and corporate/legal changes as a result of</w:t>
      </w:r>
      <w:r>
        <w:t xml:space="preserve"> </w:t>
      </w:r>
      <w:r>
        <w:t xml:space="preserve">resolvability improvements. The FSB’s report concluded that, while the indicators of</w:t>
      </w:r>
    </w:p>
    <w:p>
      <w:pPr>
        <w:pStyle w:val="BodyText"/>
      </w:pPr>
      <w:r>
        <w:t xml:space="preserve">288 E.g. creditors may be more willing to fund banks that are too big to fail at lower rates than other banks</w:t>
      </w:r>
      <w:r>
        <w:t xml:space="preserve"> </w:t>
      </w:r>
      <w:r>
        <w:t xml:space="preserve">and may be insensitive to the credit risk of the borrower.</w:t>
      </w:r>
      <w:r>
        <w:t xml:space="preserve"> </w:t>
      </w:r>
      <w:r>
        <w:t xml:space="preserve">289 Financial Stability Board (April 2021), Report on the Evaluation of the Effects of the Too Big to Fail</w:t>
      </w:r>
      <w:r>
        <w:t xml:space="preserve"> </w:t>
      </w:r>
      <w:r>
        <w:t xml:space="preserve">Reforms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systemic risk and moral hazard have moved in the right direction with potential net</w:t>
      </w:r>
      <w:r>
        <w:t xml:space="preserve"> </w:t>
      </w:r>
      <w:r>
        <w:t xml:space="preserve">benefits to the society, there are still gaps to be addressed. These include: obstacles to</w:t>
      </w:r>
      <w:r>
        <w:t xml:space="preserve"> </w:t>
      </w:r>
      <w:r>
        <w:t xml:space="preserve">resolvability (e.g. resolution funding mechanisms, build-up of buffers, valuation</w:t>
      </w:r>
      <w:r>
        <w:t xml:space="preserve"> </w:t>
      </w:r>
      <w:r>
        <w:t xml:space="preserve">capabilities, cross-border coordination), continued state support for some distressed</w:t>
      </w:r>
      <w:r>
        <w:t xml:space="preserve"> </w:t>
      </w:r>
      <w:r>
        <w:t xml:space="preserve">banks (EU examples290), room to improve on data disclosure and transparency to markets</w:t>
      </w:r>
      <w:r>
        <w:t xml:space="preserve"> </w:t>
      </w:r>
      <w:r>
        <w:t xml:space="preserve">and potential risks arising from a shift of credit intermediation to non-bank financial</w:t>
      </w:r>
      <w:r>
        <w:t xml:space="preserve"> </w:t>
      </w:r>
      <w:r>
        <w:t xml:space="preserve">intermediaries.</w:t>
      </w:r>
      <w:r>
        <w:br/>
      </w:r>
      <w:r>
        <w:t xml:space="preserve">Judging from the practical application of the CMDI framework, the moral hazard</w:t>
      </w:r>
      <w:r>
        <w:t xml:space="preserve"> </w:t>
      </w:r>
      <w:r>
        <w:t xml:space="preserve">problem is not satisfactorily reduced, as senior unsecured creditors continued in some</w:t>
      </w:r>
      <w:r>
        <w:t xml:space="preserve"> </w:t>
      </w:r>
      <w:r>
        <w:t xml:space="preserve">cases to avoid bearing losses, with direct consequence for public finances.</w:t>
      </w:r>
      <w:r>
        <w:t xml:space="preserve"> </w:t>
      </w:r>
      <w:r>
        <w:t xml:space="preserve">7.1.1.3. Effectiveness of the early intervention framework</w:t>
      </w:r>
      <w:r>
        <w:t xml:space="preserve"> </w:t>
      </w:r>
      <w:r>
        <w:t xml:space="preserve">The BRRD provides supervisory authorities with the powers to apply EIMs, which are</w:t>
      </w:r>
      <w:r>
        <w:t xml:space="preserve"> </w:t>
      </w:r>
      <w:r>
        <w:t xml:space="preserve">intended to prevent further deterioration of the financial conditions of an institution and</w:t>
      </w:r>
      <w:r>
        <w:t xml:space="preserve"> </w:t>
      </w:r>
      <w:r>
        <w:t xml:space="preserve">to reduce, to the extent possible, the risk and impact of a possible resolution One of the</w:t>
      </w:r>
      <w:r>
        <w:t xml:space="preserve"> </w:t>
      </w:r>
      <w:r>
        <w:t xml:space="preserve">operational objectives of the EIM framework was to allow the competent authority to</w:t>
      </w:r>
      <w:r>
        <w:t xml:space="preserve"> </w:t>
      </w:r>
      <w:r>
        <w:t xml:space="preserve">intervene rapidly in order to address the financial deterioration of banks in case of</w:t>
      </w:r>
      <w:r>
        <w:t xml:space="preserve"> </w:t>
      </w:r>
      <w:r>
        <w:t xml:space="preserve">breaches/likely breaches of prudential requirements. These powers are activated when</w:t>
      </w:r>
      <w:r>
        <w:t xml:space="preserve"> </w:t>
      </w:r>
      <w:r>
        <w:t xml:space="preserve">specific triggers291 are met, to allow competent authorities to take measures such as</w:t>
      </w:r>
      <w:r>
        <w:t xml:space="preserve"> </w:t>
      </w:r>
      <w:r>
        <w:t xml:space="preserve">requiring the institution’s management to draw up an action programme or to change the</w:t>
      </w:r>
      <w:r>
        <w:t xml:space="preserve"> </w:t>
      </w:r>
      <w:r>
        <w:t xml:space="preserve">institution’s business strategy or its legal and operational structure. Competent authorities</w:t>
      </w:r>
      <w:r>
        <w:t xml:space="preserve"> </w:t>
      </w:r>
      <w:r>
        <w:t xml:space="preserve">can, in this context, also replace the institution’s management292.</w:t>
      </w:r>
      <w:r>
        <w:br/>
      </w:r>
      <w:r>
        <w:t xml:space="preserve">As also pointed out by the Commission’s 2019 report on the application of BRRD, while</w:t>
      </w:r>
      <w:r>
        <w:t xml:space="preserve"> </w:t>
      </w:r>
      <w:r>
        <w:t xml:space="preserve">the policy objectives of the EIMs are to strengthen financial stability, avoid contagion</w:t>
      </w:r>
      <w:r>
        <w:t xml:space="preserve"> </w:t>
      </w:r>
      <w:r>
        <w:t xml:space="preserve">and moral hazard, its application so far has been extremely limited. The EBA indicated</w:t>
      </w:r>
      <w:r>
        <w:t xml:space="preserve"> </w:t>
      </w:r>
      <w:r>
        <w:t xml:space="preserve">that, in most situations where the EIM triggers were met, competent authorities decided</w:t>
      </w:r>
      <w:r>
        <w:t xml:space="preserve"> </w:t>
      </w:r>
      <w:r>
        <w:t xml:space="preserve">to address the situation through the use of supervisory powers (e.g. measures based on</w:t>
      </w:r>
      <w:r>
        <w:t xml:space="preserve"> </w:t>
      </w:r>
      <w:r>
        <w:t xml:space="preserve">Article 104 CRD, which are mirrored in Article 16 of the SSMR)293. The EBA grouped</w:t>
      </w:r>
      <w:r>
        <w:t xml:space="preserve"> </w:t>
      </w:r>
      <w:r>
        <w:t xml:space="preserve">the challenges that competent authorities encountered in the application of the current</w:t>
      </w:r>
      <w:r>
        <w:t xml:space="preserve"> </w:t>
      </w:r>
      <w:r>
        <w:t xml:space="preserve">regulatory framework on EIMs in three categories294.</w:t>
      </w:r>
    </w:p>
    <w:p>
      <w:pPr>
        <w:pStyle w:val="BodyText"/>
      </w:pPr>
      <w:r>
        <w:t xml:space="preserve">290 See Annex 9 of the impact assessment: “Table of Bank cases since 2015”.</w:t>
      </w:r>
      <w:r>
        <w:br/>
      </w:r>
      <w:r>
        <w:t xml:space="preserve">291 Article 27 BRRD provides power to competent authorities to activate early intervention measures when</w:t>
      </w:r>
      <w:r>
        <w:t xml:space="preserve"> </w:t>
      </w:r>
      <w:r>
        <w:t xml:space="preserve">“an institution infringes or due, inter alia, to a rapidly deteriorating financial condition, including</w:t>
      </w:r>
      <w:r>
        <w:t xml:space="preserve"> </w:t>
      </w:r>
      <w:r>
        <w:t xml:space="preserve">deteriorating liquidity situation, increasing level of leverage, non-performing loans or concentration of</w:t>
      </w:r>
      <w:r>
        <w:t xml:space="preserve"> </w:t>
      </w:r>
      <w:r>
        <w:t xml:space="preserve">exposures, as assessed on the basis of a set of triggers, which may include the institution’s own funds</w:t>
      </w:r>
      <w:r>
        <w:t xml:space="preserve"> </w:t>
      </w:r>
      <w:r>
        <w:t xml:space="preserve">requirement plus 1.5 percentage points, is likely in the near future to infringe the requirements of</w:t>
      </w:r>
      <w:r>
        <w:t xml:space="preserve"> </w:t>
      </w:r>
      <w:r>
        <w:t xml:space="preserve">Regulation (EU) No 575/2013, Directive 2013/36/EU, Title II of Directive 2014/65/EU or any of Articles 3</w:t>
      </w:r>
      <w:r>
        <w:t xml:space="preserve"> </w:t>
      </w:r>
      <w:r>
        <w:t xml:space="preserve">to 7, 14 to 17, and 24, 25 and 26 of Regulation (EU) No 600/2014 […]”</w:t>
      </w:r>
      <w:r>
        <w:t xml:space="preserve"> </w:t>
      </w:r>
      <w:r>
        <w:t xml:space="preserve">292 Such a decision was taken in 2019 by the ECB with respect to Carige bank (Cassa di Risparmio di</w:t>
      </w:r>
      <w:r>
        <w:t xml:space="preserve"> </w:t>
      </w:r>
      <w:r>
        <w:t xml:space="preserve">Genova e Liguria). See ECB’s press release (2 January 2019), ECB appoints temporary administrators for</w:t>
      </w:r>
      <w:r>
        <w:t xml:space="preserve"> </w:t>
      </w:r>
      <w:r>
        <w:t xml:space="preserve">Banca Carige.</w:t>
      </w:r>
      <w:r>
        <w:t xml:space="preserve"> </w:t>
      </w:r>
      <w:r>
        <w:t xml:space="preserve">293 See EBA (27 May 2021), Report on the application of early intervention measures in the European</w:t>
      </w:r>
      <w:r>
        <w:t xml:space="preserve"> </w:t>
      </w:r>
      <w:r>
        <w:t xml:space="preserve">Union in accordance with Articles 27-29 of the BRRD, EBA/REP/2021/12 (EBA report) pp 17-19.</w:t>
      </w:r>
      <w:r>
        <w:t xml:space="preserve"> </w:t>
      </w:r>
      <w:r>
        <w:t xml:space="preserve">294 See EBA report, pp 23-25.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The first set of challenges in the application of EIMs, relate to the interaction between,</w:t>
      </w:r>
      <w:r>
        <w:t xml:space="preserve"> </w:t>
      </w:r>
      <w:r>
        <w:t xml:space="preserve">and potential overlap295 of, early intervention powers conferred to competent authorities</w:t>
      </w:r>
      <w:r>
        <w:t xml:space="preserve"> </w:t>
      </w:r>
      <w:r>
        <w:t xml:space="preserve">on the basis of national laws implementing the BRRD and the supervisory powers which</w:t>
      </w:r>
      <w:r>
        <w:t xml:space="preserve"> </w:t>
      </w:r>
      <w:r>
        <w:t xml:space="preserve">they can exercise under CRD. The overlap between these two sets of measures creates</w:t>
      </w:r>
      <w:r>
        <w:t xml:space="preserve"> </w:t>
      </w:r>
      <w:r>
        <w:t xml:space="preserve">legal uncertainty and procedural challenges for competent authorities and merits further</w:t>
      </w:r>
      <w:r>
        <w:t xml:space="preserve"> </w:t>
      </w:r>
      <w:r>
        <w:t xml:space="preserve">analysis. Also, with respect to the Banking Union, the provisions on early intervention</w:t>
      </w:r>
      <w:r>
        <w:t xml:space="preserve"> </w:t>
      </w:r>
      <w:r>
        <w:t xml:space="preserve">powers contained in the BRRD are not replicated in a uniform and directly applicable</w:t>
      </w:r>
      <w:r>
        <w:t xml:space="preserve"> </w:t>
      </w:r>
      <w:r>
        <w:t xml:space="preserve">legal basis, i.e. their application by competent authorities may hinge on potentially</w:t>
      </w:r>
      <w:r>
        <w:t xml:space="preserve"> </w:t>
      </w:r>
      <w:r>
        <w:t xml:space="preserve">diverging national transposition measures.</w:t>
      </w:r>
      <w:r>
        <w:br/>
      </w:r>
      <w:r>
        <w:t xml:space="preserve">A second set of challenges, relates to disclosure requirements and the signalling effect</w:t>
      </w:r>
      <w:r>
        <w:t xml:space="preserve"> </w:t>
      </w:r>
      <w:r>
        <w:t xml:space="preserve">that the EIMs may entail. According to the EBA, there is uncertainty whether institutions</w:t>
      </w:r>
      <w:r>
        <w:t xml:space="preserve"> </w:t>
      </w:r>
      <w:r>
        <w:t xml:space="preserve">are obliged to disclose to market participants the fact that EIMs have been applied to</w:t>
      </w:r>
      <w:r>
        <w:t xml:space="preserve"> </w:t>
      </w:r>
      <w:r>
        <w:t xml:space="preserve">them under the EU market abuse regime. In case the adoption of the EIMs has to be</w:t>
      </w:r>
      <w:r>
        <w:t xml:space="preserve"> </w:t>
      </w:r>
      <w:r>
        <w:t xml:space="preserve">disclosed, there could be a risk of signalling to markets that the bank is in a deteriorating</w:t>
      </w:r>
      <w:r>
        <w:t xml:space="preserve"> </w:t>
      </w:r>
      <w:r>
        <w:t xml:space="preserve">situation, leading to adverse investor reactions and ultimately accelerating instead of</w:t>
      </w:r>
      <w:r>
        <w:t xml:space="preserve"> </w:t>
      </w:r>
      <w:r>
        <w:t xml:space="preserve">mitigating an ongoing crisis.</w:t>
      </w:r>
      <w:r>
        <w:br/>
      </w:r>
      <w:r>
        <w:t xml:space="preserve">A final challenge in the application of the EIMs relates to the specific triggers for their</w:t>
      </w:r>
      <w:r>
        <w:t xml:space="preserve"> </w:t>
      </w:r>
      <w:r>
        <w:t xml:space="preserve">application. Article 27(1) BRRD includes one example of EIM quantitative trigger ‘the</w:t>
      </w:r>
      <w:r>
        <w:t xml:space="preserve"> </w:t>
      </w:r>
      <w:r>
        <w:t xml:space="preserve">institution’s own funds requirement plus 1.5 percentage points’. However, it is not clear</w:t>
      </w:r>
      <w:r>
        <w:t xml:space="preserve"> </w:t>
      </w:r>
      <w:r>
        <w:t xml:space="preserve">from the BRRD text, which “own funds requirement” should be used for the purposes of</w:t>
      </w:r>
      <w:r>
        <w:t xml:space="preserve"> </w:t>
      </w:r>
      <w:r>
        <w:t xml:space="preserve">this provision i.e. the one corresponding to the minimum capital requirement (Pillar 1) or</w:t>
      </w:r>
      <w:r>
        <w:t xml:space="preserve"> </w:t>
      </w:r>
      <w:r>
        <w:t xml:space="preserve">also taking into account additional own fund requirements (Pillar 2).</w:t>
      </w:r>
      <w:r>
        <w:t xml:space="preserve"> </w:t>
      </w:r>
      <w:r>
        <w:t xml:space="preserve">7.1.1.4. Availability of resolution processes, powers and tools to intervene in</w:t>
      </w:r>
      <w:r>
        <w:t xml:space="preserve"> </w:t>
      </w:r>
      <w:r>
        <w:t xml:space="preserve">failing banks</w:t>
      </w:r>
      <w:r>
        <w:t xml:space="preserve"> </w:t>
      </w:r>
      <w:r>
        <w:t xml:space="preserve">The BRRD/SRMR provides extensive processes, powers and tools for resolution</w:t>
      </w:r>
      <w:r>
        <w:t xml:space="preserve"> </w:t>
      </w:r>
      <w:r>
        <w:t xml:space="preserve">authorities to handle failed banks in an orderly manner, while respecting the framework’s</w:t>
      </w:r>
      <w:r>
        <w:t xml:space="preserve"> </w:t>
      </w:r>
      <w:r>
        <w:t xml:space="preserve">objectives. The framework sets comprehensive coordination processes among various</w:t>
      </w:r>
      <w:r>
        <w:t xml:space="preserve"> </w:t>
      </w:r>
      <w:r>
        <w:t xml:space="preserve">authorities to assure the necessary exchange of information underpinning resolution</w:t>
      </w:r>
      <w:r>
        <w:t xml:space="preserve"> </w:t>
      </w:r>
      <w:r>
        <w:t xml:space="preserve">decisions concerning both preparation and execution. It ensures that shareholders and</w:t>
      </w:r>
      <w:r>
        <w:t xml:space="preserve"> </w:t>
      </w:r>
      <w:r>
        <w:t xml:space="preserve">creditors effectively support losses and establishes a number of resolution tools for the</w:t>
      </w:r>
      <w:r>
        <w:t xml:space="preserve"> </w:t>
      </w:r>
      <w:r>
        <w:t xml:space="preserve">authorities to deal with banks in resolution. Depending on the specific case, authorities</w:t>
      </w:r>
      <w:r>
        <w:t xml:space="preserve"> </w:t>
      </w:r>
      <w:r>
        <w:t xml:space="preserve">may decide to use the sale of business tool, to create a bridge bank or an asset</w:t>
      </w:r>
      <w:r>
        <w:t xml:space="preserve"> </w:t>
      </w:r>
      <w:r>
        <w:t xml:space="preserve">management vehicle, and to carry out bail-in296. The framework also provides for rules</w:t>
      </w:r>
      <w:r>
        <w:t xml:space="preserve"> </w:t>
      </w:r>
      <w:r>
        <w:t xml:space="preserve">concerning the provision of external financial support to banks in resolution through the</w:t>
      </w:r>
      <w:r>
        <w:t xml:space="preserve"> </w:t>
      </w:r>
      <w:r>
        <w:t xml:space="preserve">creation of resolution financing arrangements, funded by levies ex ante collected from the</w:t>
      </w:r>
      <w:r>
        <w:t xml:space="preserve"> </w:t>
      </w:r>
      <w:r>
        <w:t xml:space="preserve">banks.</w:t>
      </w:r>
      <w:r>
        <w:br/>
      </w:r>
      <w:r>
        <w:t xml:space="preserve">The set-up and availability of said resolution processes, powers and tools has an overall</w:t>
      </w:r>
      <w:r>
        <w:t xml:space="preserve"> </w:t>
      </w:r>
      <w:r>
        <w:t xml:space="preserve">positive effect on financial stability, potentially reducing moral hazard and ensuring the</w:t>
      </w:r>
    </w:p>
    <w:p>
      <w:pPr>
        <w:pStyle w:val="BodyText"/>
      </w:pPr>
      <w:r>
        <w:t xml:space="preserve">295 This overlap can be verified in what concerns the powers at the disposal of competent authorities under</w:t>
      </w:r>
      <w:r>
        <w:t xml:space="preserve"> </w:t>
      </w:r>
      <w:r>
        <w:t xml:space="preserve">the two different legal bases and also the conditions for the respective use.</w:t>
      </w:r>
      <w:r>
        <w:t xml:space="preserve"> </w:t>
      </w:r>
      <w:r>
        <w:t xml:space="preserve">296 Bail-in is defined in BRRD/SRMR as “the mechanism for effecting the exercise by a resolution</w:t>
      </w:r>
      <w:r>
        <w:t xml:space="preserve"> </w:t>
      </w:r>
      <w:r>
        <w:t xml:space="preserve">authority of the write-down and conversion powers in relation to liabilities of an institution under</w:t>
      </w:r>
      <w:r>
        <w:t xml:space="preserve"> </w:t>
      </w:r>
      <w:r>
        <w:t xml:space="preserve">resolution […]” (Article 2(1)(57) BRRD and Article 3(1)(33) SRMR).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preservation of critical functions. However, existing exogenous and endogenous</w:t>
      </w:r>
      <w:r>
        <w:t xml:space="preserve"> </w:t>
      </w:r>
      <w:r>
        <w:t xml:space="preserve">incentives, not to apply the resolution framework297 cause significant drawbacks in</w:t>
      </w:r>
      <w:r>
        <w:t xml:space="preserve"> </w:t>
      </w:r>
      <w:r>
        <w:t xml:space="preserve">achieving other objectives, i.e. enhancing the functioning of the single market and level</w:t>
      </w:r>
      <w:r>
        <w:t xml:space="preserve"> </w:t>
      </w:r>
      <w:r>
        <w:t xml:space="preserve">playing field, reducing moral hazard and the recourse to taxpayer money (see next</w:t>
      </w:r>
      <w:r>
        <w:t xml:space="preserve"> </w:t>
      </w:r>
      <w:r>
        <w:t xml:space="preserve">Sections), while preserving financial stability.</w:t>
      </w:r>
      <w:r>
        <w:t xml:space="preserve"> </w:t>
      </w:r>
      <w:r>
        <w:t xml:space="preserve">7.1.2. Objective (2): Did the framework achieve the objective of minimising losses</w:t>
      </w:r>
      <w:r>
        <w:t xml:space="preserve"> </w:t>
      </w:r>
      <w:r>
        <w:t xml:space="preserve">for the society, in particular mitigating the recourse to taxpayer money and</w:t>
      </w:r>
      <w:r>
        <w:t xml:space="preserve"> </w:t>
      </w:r>
      <w:r>
        <w:t xml:space="preserve">weakening the bank-sovereign nexus?</w:t>
      </w:r>
      <w:r>
        <w:t xml:space="preserve"> </w:t>
      </w:r>
      <w:r>
        <w:t xml:space="preserve">One of the cornerstones of the current framework is the objective of shielding public</w:t>
      </w:r>
      <w:r>
        <w:t xml:space="preserve"> </w:t>
      </w:r>
      <w:r>
        <w:t xml:space="preserve">money from the effects of bank failures, while protecting depositors and preserving</w:t>
      </w:r>
      <w:r>
        <w:t xml:space="preserve"> </w:t>
      </w:r>
      <w:r>
        <w:t xml:space="preserve">financial stability. In order to limit the extensive use of public funds observed during the</w:t>
      </w:r>
      <w:r>
        <w:t xml:space="preserve"> </w:t>
      </w:r>
      <w:r>
        <w:t xml:space="preserve">global financial crisis, the framework created resolution tools and financing arrangements</w:t>
      </w:r>
      <w:r>
        <w:t xml:space="preserve"> </w:t>
      </w:r>
      <w:r>
        <w:t xml:space="preserve">complementing the internal loss absorption of banks (e.g. RF/SRF, national DGS funds)</w:t>
      </w:r>
      <w:r>
        <w:t xml:space="preserve"> </w:t>
      </w:r>
      <w:r>
        <w:t xml:space="preserve">aimed at shielding national budgets.</w:t>
      </w:r>
      <w:r>
        <w:br/>
      </w:r>
      <w:r>
        <w:t xml:space="preserve">Nevertheless, in the Banking Union, while there were only three cases of a positive</w:t>
      </w:r>
      <w:r>
        <w:t xml:space="preserve"> </w:t>
      </w:r>
      <w:r>
        <w:t xml:space="preserve">PIA298 under the SRMR, SRF resources were not used and the accumulated resources</w:t>
      </w:r>
      <w:r>
        <w:t xml:space="preserve"> </w:t>
      </w:r>
      <w:r>
        <w:t xml:space="preserve">remain idle since 2016. National RFs have been used in ten out of 13 cases of failing</w:t>
      </w:r>
      <w:r>
        <w:t xml:space="preserve"> </w:t>
      </w:r>
      <w:r>
        <w:t xml:space="preserve">banks299 with positive PIA determination, representing less than half of the total number</w:t>
      </w:r>
      <w:r>
        <w:t xml:space="preserve"> </w:t>
      </w:r>
      <w:r>
        <w:t xml:space="preserve">of cases of distressed banks. On the contrary, public funds have provided support in 2 out</w:t>
      </w:r>
      <w:r>
        <w:t xml:space="preserve"> </w:t>
      </w:r>
      <w:r>
        <w:t xml:space="preserve">of 9 of the cases of distressed banks with negative PIA, amounting to over EUR 17 bn,</w:t>
      </w:r>
      <w:r>
        <w:t xml:space="preserve"> </w:t>
      </w:r>
      <w:r>
        <w:t xml:space="preserve">while an additional amount of almost EUR 40 bn of public funds were used for</w:t>
      </w:r>
      <w:r>
        <w:t xml:space="preserve"> </w:t>
      </w:r>
      <w:r>
        <w:t xml:space="preserve">precautionary aid measures (of which around EUR 28 bn was for precautionary liquidity</w:t>
      </w:r>
      <w:r>
        <w:t xml:space="preserve"> </w:t>
      </w:r>
      <w:r>
        <w:t xml:space="preserve">support). This evidence indicates that the framework failed to achieve this objective in a</w:t>
      </w:r>
      <w:r>
        <w:t xml:space="preserve"> </w:t>
      </w:r>
      <w:r>
        <w:t xml:space="preserve">satisfactory manner in all cases.</w:t>
      </w:r>
    </w:p>
    <w:p>
      <w:pPr>
        <w:pStyle w:val="BodyText"/>
      </w:pPr>
      <w:r>
        <w:t xml:space="preserve">297 See for more details section 7.1.2.1 of the Evaluation.</w:t>
      </w:r>
      <w:r>
        <w:t xml:space="preserve"> </w:t>
      </w:r>
      <w:r>
        <w:t xml:space="preserve">298 Two out of these three cases concern the resolution of entities belonging to the Sberbank Europe AG</w:t>
      </w:r>
      <w:r>
        <w:t xml:space="preserve"> </w:t>
      </w:r>
      <w:r>
        <w:t xml:space="preserve">group (see Annex 9 for more details), whereby due to the very special circumstances the group was faced</w:t>
      </w:r>
      <w:r>
        <w:t xml:space="preserve"> </w:t>
      </w:r>
      <w:r>
        <w:t xml:space="preserve">with (experiencing significant deposit outflows due to the reputational impact of geopolitical tensions)</w:t>
      </w:r>
      <w:r>
        <w:t xml:space="preserve"> </w:t>
      </w:r>
      <w:r>
        <w:t xml:space="preserve">there was a deviation from the resolution plan (which provided for the preservation of the group structure)</w:t>
      </w:r>
      <w:r>
        <w:t xml:space="preserve"> </w:t>
      </w:r>
      <w:r>
        <w:t xml:space="preserve">and different solutions (resolution/liquidation) where applied to different banking entities of the group.</w:t>
      </w:r>
      <w:r>
        <w:t xml:space="preserve"> </w:t>
      </w:r>
      <w:r>
        <w:t xml:space="preserve">299 In seven of those cases, the intervention took place before the minimum BRRD bail-in requirement</w:t>
      </w:r>
      <w:r>
        <w:t xml:space="preserve"> </w:t>
      </w:r>
      <w:r>
        <w:t xml:space="preserve">entered into force on 1 January 2016. In addition, four of those cases concerned Banking Union Member</w:t>
      </w:r>
      <w:r>
        <w:t xml:space="preserve"> </w:t>
      </w:r>
      <w:r>
        <w:t xml:space="preserve">States, but they took place before the SRB becoming the responsible resolution authority.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Main factors influencing the objective’s achievement</w:t>
      </w:r>
      <w:r>
        <w:t xml:space="preserve"> </w:t>
      </w:r>
      <w:r>
        <w:t xml:space="preserve">Factors influencing performance against objective</w:t>
      </w:r>
      <w:r>
        <w:t xml:space="preserve"> </w:t>
      </w:r>
      <w:r>
        <w:t xml:space="preserve">Overall impact on objective</w:t>
      </w:r>
      <w:r>
        <w:t xml:space="preserve"> </w:t>
      </w:r>
      <w:r>
        <w:t xml:space="preserve">1) Availability and usage of private financing</w:t>
      </w:r>
      <w:r>
        <w:t xml:space="preserve"> </w:t>
      </w:r>
      <w:r>
        <w:t xml:space="preserve">arrangements for bank resolution</w:t>
      </w:r>
      <w:r>
        <w:t xml:space="preserve"> </w:t>
      </w:r>
      <w:r>
        <w:t xml:space="preserve">Negative (private financing arrangements</w:t>
      </w:r>
      <w:r>
        <w:t xml:space="preserve"> </w:t>
      </w:r>
      <w:r>
        <w:t xml:space="preserve">scarcely used under the SRMR)</w:t>
      </w:r>
      <w:r>
        <w:t xml:space="preserve"> </w:t>
      </w:r>
      <w:r>
        <w:t xml:space="preserve">2) Timeliness of FOLF determination</w:t>
      </w:r>
      <w:r>
        <w:t xml:space="preserve"> </w:t>
      </w:r>
      <w:r>
        <w:t xml:space="preserve">Negative (timing for triggering FOLF can</w:t>
      </w:r>
      <w:r>
        <w:t xml:space="preserve"> </w:t>
      </w:r>
      <w:r>
        <w:t xml:space="preserve">be improved to address the depletion of</w:t>
      </w:r>
      <w:r>
        <w:t xml:space="preserve"> </w:t>
      </w:r>
      <w:r>
        <w:t xml:space="preserve">resources and destruction of value in the</w:t>
      </w:r>
      <w:r>
        <w:t xml:space="preserve"> </w:t>
      </w:r>
      <w:r>
        <w:t xml:space="preserve">run up to resolution, and the related need</w:t>
      </w:r>
      <w:r>
        <w:t xml:space="preserve"> </w:t>
      </w:r>
      <w:r>
        <w:t xml:space="preserve">for more external funding (possibly</w:t>
      </w:r>
      <w:r>
        <w:t xml:space="preserve"> </w:t>
      </w:r>
      <w:r>
        <w:t xml:space="preserve">public))</w:t>
      </w:r>
      <w:r>
        <w:t xml:space="preserve"> </w:t>
      </w:r>
      <w:r>
        <w:t xml:space="preserve">3) Conditions to access external funding</w:t>
      </w:r>
      <w:r>
        <w:t xml:space="preserve"> </w:t>
      </w:r>
      <w:r>
        <w:t xml:space="preserve">Negative (divergent access requirements</w:t>
      </w:r>
      <w:r>
        <w:t xml:space="preserve"> </w:t>
      </w:r>
      <w:r>
        <w:t xml:space="preserve">for the resolution fund versus funding</w:t>
      </w:r>
      <w:r>
        <w:t xml:space="preserve"> </w:t>
      </w:r>
      <w:r>
        <w:t xml:space="preserve">outside resolution, difficulty in accessing</w:t>
      </w:r>
      <w:r>
        <w:t xml:space="preserve"> </w:t>
      </w:r>
      <w:r>
        <w:t xml:space="preserve">resolution funding by certain banks,</w:t>
      </w:r>
      <w:r>
        <w:t xml:space="preserve"> </w:t>
      </w:r>
      <w:r>
        <w:t xml:space="preserve">limited scope to grant DGS funding in</w:t>
      </w:r>
      <w:r>
        <w:t xml:space="preserve"> </w:t>
      </w:r>
      <w:r>
        <w:t xml:space="preserve">resolution and insolvency)</w:t>
      </w:r>
    </w:p>
    <w:p>
      <w:pPr>
        <w:pStyle w:val="BodyText"/>
      </w:pPr>
      <w:r>
        <w:t xml:space="preserve">7.1.2.1. Availability and usage of private financing arrangements for bank</w:t>
      </w:r>
      <w:r>
        <w:t xml:space="preserve"> </w:t>
      </w:r>
      <w:r>
        <w:t xml:space="preserve">resolution</w:t>
      </w:r>
      <w:r>
        <w:br/>
      </w:r>
      <w:r>
        <w:t xml:space="preserve">The framework provides for rules concerning the provision of external financial support</w:t>
      </w:r>
      <w:r>
        <w:t xml:space="preserve"> </w:t>
      </w:r>
      <w:r>
        <w:t xml:space="preserve">to banks in resolution and requires the creation of national resolution financing</w:t>
      </w:r>
      <w:r>
        <w:t xml:space="preserve"> </w:t>
      </w:r>
      <w:r>
        <w:t xml:space="preserve">arrangements (outside the Banking Union) and the SRF (in the Banking Union) – funded</w:t>
      </w:r>
      <w:r>
        <w:t xml:space="preserve"> </w:t>
      </w:r>
      <w:r>
        <w:t xml:space="preserve">by the industry – which, according to the BRRD/SRMR, should be the main sources of</w:t>
      </w:r>
      <w:r>
        <w:t xml:space="preserve"> </w:t>
      </w:r>
      <w:r>
        <w:t xml:space="preserve">external financial support for banks in resolution beyond the own resources of the banks.</w:t>
      </w:r>
      <w:r>
        <w:t xml:space="preserve"> </w:t>
      </w:r>
      <w:r>
        <w:t xml:space="preserve">The SRF was established under the control of the SRB as an essential part of the Single</w:t>
      </w:r>
      <w:r>
        <w:t xml:space="preserve"> </w:t>
      </w:r>
      <w:r>
        <w:t xml:space="preserve">Resolution Mechanism and is governed by a complementary inter-governmental</w:t>
      </w:r>
      <w:r>
        <w:t xml:space="preserve"> </w:t>
      </w:r>
      <w:r>
        <w:t xml:space="preserve">agreement. The total target size of the funds/ SRF will equal at least 1% of the covered</w:t>
      </w:r>
      <w:r>
        <w:t xml:space="preserve"> </w:t>
      </w:r>
      <w:r>
        <w:t xml:space="preserve">deposits of all banks in the respective Member States/ Banking Union. Ex ante</w:t>
      </w:r>
      <w:r>
        <w:t xml:space="preserve"> </w:t>
      </w:r>
      <w:r>
        <w:t xml:space="preserve">contributions to national resolution funds/ SRF are accruing over eight years, beginning</w:t>
      </w:r>
      <w:r>
        <w:t xml:space="preserve"> </w:t>
      </w:r>
      <w:r>
        <w:t xml:space="preserve">in 2016 until the end of 2023 and 2024 for the SRF and national RFs, respectively.</w:t>
      </w:r>
      <w:r>
        <w:t xml:space="preserve"> </w:t>
      </w:r>
      <w:r>
        <w:t xml:space="preserve">Subject to conditions laid out in BRRD/SRMR (a minimum level of bail-in of the bank’s</w:t>
      </w:r>
      <w:r>
        <w:t xml:space="preserve"> </w:t>
      </w:r>
      <w:r>
        <w:t xml:space="preserve">own resources), the national RF/SRF could be accessed, and in that case ex post</w:t>
      </w:r>
      <w:r>
        <w:t xml:space="preserve"> </w:t>
      </w:r>
      <w:r>
        <w:t xml:space="preserve">contributions may be called on to rebuild the funds (in case the ex ante contributions are</w:t>
      </w:r>
      <w:r>
        <w:t xml:space="preserve"> </w:t>
      </w:r>
      <w:r>
        <w:t xml:space="preserve">not sufficient to cover the losses, costs or other expenses incurred).</w:t>
      </w:r>
      <w:r>
        <w:br/>
      </w:r>
      <w:r>
        <w:t xml:space="preserve">Subject to the availability of funds in the national RF/SRF, the legislative intention was</w:t>
      </w:r>
      <w:r>
        <w:t xml:space="preserve"> </w:t>
      </w:r>
      <w:r>
        <w:t xml:space="preserve">for these resources to be used to support resolution action when the private means</w:t>
      </w:r>
      <w:r>
        <w:t xml:space="preserve"> </w:t>
      </w:r>
      <w:r>
        <w:t xml:space="preserve">available in the bank did not suffice to execute the resolution strategy. In the Banking</w:t>
      </w:r>
      <w:r>
        <w:t xml:space="preserve"> </w:t>
      </w:r>
      <w:r>
        <w:t xml:space="preserve">Union, while there were only three cases of a positive PIA300, SRF resources were not</w:t>
      </w:r>
      <w:r>
        <w:t xml:space="preserve"> </w:t>
      </w:r>
      <w:r>
        <w:t xml:space="preserve">used and the accumulated resources remain idle since 2016. National RFs were used in</w:t>
      </w:r>
      <w:r>
        <w:t xml:space="preserve"> </w:t>
      </w:r>
      <w:r>
        <w:t xml:space="preserve">non-Banking Union Member States and in some Banking Union Member States, but</w:t>
      </w:r>
    </w:p>
    <w:p>
      <w:pPr>
        <w:pStyle w:val="BodyText"/>
      </w:pPr>
      <w:r>
        <w:t xml:space="preserve">300 Two out of these three cases concerned the resolution of Sberbank group (see Annex 9 for more details).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before the 8% minimum TLOF bail-in requirement entered into force301, in ten out of 13</w:t>
      </w:r>
      <w:r>
        <w:t xml:space="preserve"> </w:t>
      </w:r>
      <w:r>
        <w:t xml:space="preserve">cases of banks placed in resolution for a total amount of at least EUR 6.9 bn302303.</w:t>
      </w:r>
      <w:r>
        <w:t xml:space="preserve"> </w:t>
      </w:r>
      <w:r>
        <w:t xml:space="preserve">However, when looking at the broader picture, the contribution of the RFs dwarfs in</w:t>
      </w:r>
      <w:r>
        <w:t xml:space="preserve"> </w:t>
      </w:r>
      <w:r>
        <w:t xml:space="preserve">comparison to the amount deriving from other sources of funding (mostly from public</w:t>
      </w:r>
      <w:r>
        <w:t xml:space="preserve"> </w:t>
      </w:r>
      <w:r>
        <w:t xml:space="preserve">budgets) to handle distressed banks, outside of resolution, which exceeded EUR 58 bn (of</w:t>
      </w:r>
      <w:r>
        <w:t xml:space="preserve"> </w:t>
      </w:r>
      <w:r>
        <w:t xml:space="preserve">which EUR 28.1 bn was provided for liquidity purposes)304,305.</w:t>
      </w:r>
      <w:r>
        <w:t xml:space="preserve"> </w:t>
      </w:r>
      <w:r>
        <w:t xml:space="preserve">Figure 15: Sources of complementary external funding in crisis cases (in EUR bn)</w:t>
      </w:r>
    </w:p>
    <w:p>
      <w:pPr>
        <w:pStyle w:val="BodyText"/>
      </w:pPr>
      <w:r>
        <w:t xml:space="preserve">Source: European Commission calculations, based on bank cases between 2015 – 2022.</w:t>
      </w:r>
      <w:r>
        <w:t xml:space="preserve"> </w:t>
      </w:r>
      <w:r>
        <w:t xml:space="preserve">The causes for this situation seem to be twofold. First, certain banks would face structural</w:t>
      </w:r>
      <w:r>
        <w:t xml:space="preserve"> </w:t>
      </w:r>
      <w:r>
        <w:t xml:space="preserve">difficulties in fulfilling the conditions to access resolution funding where the bail-in</w:t>
      </w:r>
      <w:r>
        <w:t xml:space="preserve"> </w:t>
      </w:r>
      <w:r>
        <w:t xml:space="preserve">requirement would entail bailing-in ordinary unsecured creditors, including non-</w:t>
      </w:r>
      <w:r>
        <w:t xml:space="preserve"> </w:t>
      </w:r>
      <w:r>
        <w:t xml:space="preserve">preferred, non-covered deposits306, which could be politically unpalatable and creating</w:t>
      </w:r>
      <w:r>
        <w:t xml:space="preserve"> </w:t>
      </w:r>
      <w:r>
        <w:t xml:space="preserve">financial stability risks. Second, different resolution authorities would seemingly have</w:t>
      </w:r>
      <w:r>
        <w:t xml:space="preserve"> </w:t>
      </w:r>
      <w:r>
        <w:t xml:space="preserve">different propensities to deploy the resolution funds.</w:t>
      </w:r>
    </w:p>
    <w:p>
      <w:pPr>
        <w:pStyle w:val="BodyText"/>
      </w:pPr>
      <w:r>
        <w:t xml:space="preserve">301 On 1 January 2016.</w:t>
      </w:r>
      <w:r>
        <w:t xml:space="preserve"> </w:t>
      </w:r>
      <w:r>
        <w:t xml:space="preserve">302 Includes an amount of EUR 1.4 bn, contributed jointly by the Polish RF and DGS, in the case of</w:t>
      </w:r>
      <w:r>
        <w:t xml:space="preserve"> </w:t>
      </w:r>
      <w:r>
        <w:t xml:space="preserve">resolution of Getin Noble Bank SA (see Annex 9 for more information).</w:t>
      </w:r>
      <w:r>
        <w:t xml:space="preserve"> </w:t>
      </w:r>
      <w:r>
        <w:t xml:space="preserve">303 Information on the amounts of national resolution funds contributed in some of the bank cases are not</w:t>
      </w:r>
      <w:r>
        <w:t xml:space="preserve"> </w:t>
      </w:r>
      <w:r>
        <w:t xml:space="preserve">publicly available.</w:t>
      </w:r>
      <w:r>
        <w:br/>
      </w:r>
      <w:r>
        <w:t xml:space="preserve">304 As also mentioned in section 5, while legacy issues may have played a role in past cases and can be</w:t>
      </w:r>
      <w:r>
        <w:t xml:space="preserve"> </w:t>
      </w:r>
      <w:r>
        <w:t xml:space="preserve">expected to have a lesser impact going forward, this does not impair the validity of the considerations made</w:t>
      </w:r>
      <w:r>
        <w:t xml:space="preserve"> </w:t>
      </w:r>
      <w:r>
        <w:t xml:space="preserve">in this or other Sections of the evaluation, nor it puts into question the need to reform the framework to</w:t>
      </w:r>
      <w:r>
        <w:t xml:space="preserve"> </w:t>
      </w:r>
      <w:r>
        <w:t xml:space="preserve">ensure efficacy in managing potential future crises.</w:t>
      </w:r>
      <w:r>
        <w:t xml:space="preserve"> </w:t>
      </w:r>
      <w:r>
        <w:t xml:space="preserve">305 Without counting support channeled to preventive private or preventive public measures that have been</w:t>
      </w:r>
      <w:r>
        <w:t xml:space="preserve"> </w:t>
      </w:r>
      <w:r>
        <w:t xml:space="preserve">assessed as market conform.</w:t>
      </w:r>
      <w:r>
        <w:t xml:space="preserve"> </w:t>
      </w:r>
      <w:r>
        <w:t xml:space="preserve">306 See section 7.1.2.3 and Annexes 7 and 8 of the impact assessment for further details. As explained in</w:t>
      </w:r>
      <w:r>
        <w:t xml:space="preserve"> </w:t>
      </w:r>
      <w:r>
        <w:t xml:space="preserve">Annex 8, section 2, non-covered, non-preferred deposits rank together with ordinary unsecured claims in</w:t>
      </w:r>
      <w:r>
        <w:t xml:space="preserve"> </w:t>
      </w:r>
      <w:r>
        <w:t xml:space="preserve">19 Member States (no depositor preference). Moreover, as presented in Annex 7, section 3, depending on</w:t>
      </w:r>
      <w:r>
        <w:t xml:space="preserve"> </w:t>
      </w:r>
      <w:r>
        <w:t xml:space="preserve">the equity depletion at the moment of failure and the liability structure, in particular the deposit prevalence</w:t>
      </w:r>
      <w:r>
        <w:t xml:space="preserve"> </w:t>
      </w:r>
      <w:r>
        <w:t xml:space="preserve">of medium-sized banks, preferred and even covered deposits could be impacted when bailing-in 8% TLOF,</w:t>
      </w:r>
      <w:r>
        <w:t xml:space="preserve"> </w:t>
      </w:r>
      <w:r>
        <w:t xml:space="preserve">in order to gain access to the RF/SRF.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Recent cases of distressed banks reveal, therefore, a shift from the intended use of the</w:t>
      </w:r>
      <w:r>
        <w:t xml:space="preserve"> </w:t>
      </w:r>
      <w:r>
        <w:t xml:space="preserve">means of funding available in resolution towards public funds (bail-outs) facilitated by</w:t>
      </w:r>
      <w:r>
        <w:t xml:space="preserve"> </w:t>
      </w:r>
      <w:r>
        <w:t xml:space="preserve">the application of tools outside the resolution framework and with funding accessible</w:t>
      </w:r>
      <w:r>
        <w:t xml:space="preserve"> </w:t>
      </w:r>
      <w:r>
        <w:t xml:space="preserve">under different and often more advantageous conditions from the point of view of the</w:t>
      </w:r>
      <w:r>
        <w:t xml:space="preserve"> </w:t>
      </w:r>
      <w:r>
        <w:t xml:space="preserve">bank’s creditors and very discretionary PIA307. This means, in practice, that national</w:t>
      </w:r>
      <w:r>
        <w:t xml:space="preserve"> </w:t>
      </w:r>
      <w:r>
        <w:t xml:space="preserve">budgets shouldered distressed banks, while private money raised through ex ante industry</w:t>
      </w:r>
      <w:r>
        <w:t xml:space="preserve"> </w:t>
      </w:r>
      <w:r>
        <w:t xml:space="preserve">contributions remained unused, undermining one of the key objectives of the framework.</w:t>
      </w:r>
      <w:r>
        <w:t xml:space="preserve"> </w:t>
      </w:r>
      <w:r>
        <w:t xml:space="preserve">Please refer to Section 7.2.2.2 describing the costs associated with the build-up of</w:t>
      </w:r>
      <w:r>
        <w:t xml:space="preserve"> </w:t>
      </w:r>
      <w:r>
        <w:t xml:space="preserve">resolution funds by the industry.</w:t>
      </w:r>
      <w:r>
        <w:t xml:space="preserve"> </w:t>
      </w:r>
      <w:r>
        <w:t xml:space="preserve">7.1.2.2. Timeliness of FOLF determination</w:t>
      </w:r>
      <w:r>
        <w:br/>
      </w:r>
      <w:r>
        <w:t xml:space="preserve">The timeliness of the FOLF determination is crucial with respect to the amount of private</w:t>
      </w:r>
      <w:r>
        <w:t xml:space="preserve"> </w:t>
      </w:r>
      <w:r>
        <w:t xml:space="preserve">resources left in the bank to execute the resolution strategy. In the current framework, the</w:t>
      </w:r>
      <w:r>
        <w:t xml:space="preserve"> </w:t>
      </w:r>
      <w:r>
        <w:t xml:space="preserve">FOLF determination is usually made by the competent authority308. While the competent</w:t>
      </w:r>
      <w:r>
        <w:t xml:space="preserve"> </w:t>
      </w:r>
      <w:r>
        <w:t xml:space="preserve">authority needs to comply with the conditions laid down in Article 32 BRRD/18 SRMR,</w:t>
      </w:r>
      <w:r>
        <w:t xml:space="preserve"> </w:t>
      </w:r>
      <w:r>
        <w:t xml:space="preserve">in the absence of a hard trigger, the framework allows a certain amount of discretion for</w:t>
      </w:r>
      <w:r>
        <w:t xml:space="preserve"> </w:t>
      </w:r>
      <w:r>
        <w:t xml:space="preserve">the supervisor as to the exact timing of the FOLF determination. Therefore, the</w:t>
      </w:r>
      <w:r>
        <w:t xml:space="preserve"> </w:t>
      </w:r>
      <w:r>
        <w:t xml:space="preserve">supervisor needs to balance out the severity of the deterioration in the banks’ financial</w:t>
      </w:r>
      <w:r>
        <w:t xml:space="preserve"> </w:t>
      </w:r>
      <w:r>
        <w:t xml:space="preserve">fundamentals against a potential recovery by private means and take a timely decision.</w:t>
      </w:r>
      <w:r>
        <w:t xml:space="preserve"> </w:t>
      </w:r>
      <w:r>
        <w:t xml:space="preserve">While it is very challenging to quantify the impact of a late FOLF triggering on the</w:t>
      </w:r>
      <w:r>
        <w:t xml:space="preserve"> </w:t>
      </w:r>
      <w:r>
        <w:t xml:space="preserve">amount of financing required in resolution, it can be ascertained that a relatively “early”</w:t>
      </w:r>
      <w:r>
        <w:t xml:space="preserve"> </w:t>
      </w:r>
      <w:r>
        <w:t xml:space="preserve">FOLF determination may ensure that more financial resources are left in the bank to</w:t>
      </w:r>
      <w:r>
        <w:t xml:space="preserve"> </w:t>
      </w:r>
      <w:r>
        <w:t xml:space="preserve">absorb losses. On the contrary, a “late” FOLF determination results in a more significant</w:t>
      </w:r>
      <w:r>
        <w:t xml:space="preserve"> </w:t>
      </w:r>
      <w:r>
        <w:t xml:space="preserve">depletion before resolution of equity and potentially other instruments that could be</w:t>
      </w:r>
      <w:r>
        <w:t xml:space="preserve"> </w:t>
      </w:r>
      <w:r>
        <w:t xml:space="preserve">triggered in resolution as well as a depletion of liquidity. As the situation of the bank</w:t>
      </w:r>
      <w:r>
        <w:t xml:space="preserve"> </w:t>
      </w:r>
      <w:r>
        <w:t xml:space="preserve">deteriorates further short-term funding providers may refrain from rolling over their</w:t>
      </w:r>
      <w:r>
        <w:t xml:space="preserve"> </w:t>
      </w:r>
      <w:r>
        <w:t xml:space="preserve">commitments and depositors may potentially run on the bank.</w:t>
      </w:r>
      <w:r>
        <w:br/>
      </w:r>
      <w:r>
        <w:t xml:space="preserve">The governance structure and the degree of cooperation between competent and</w:t>
      </w:r>
      <w:r>
        <w:t xml:space="preserve"> </w:t>
      </w:r>
      <w:r>
        <w:t xml:space="preserve">resolution authorities may play a role in the timeliness of the FOLF determination. In</w:t>
      </w:r>
      <w:r>
        <w:t xml:space="preserve"> </w:t>
      </w:r>
      <w:r>
        <w:t xml:space="preserve">Member States outside the Banking Union, where competent and resolution authorities</w:t>
      </w:r>
      <w:r>
        <w:t xml:space="preserve"> </w:t>
      </w:r>
      <w:r>
        <w:t xml:space="preserve">are often part of the same institution, the continuum between going concern, deterioration</w:t>
      </w:r>
      <w:r>
        <w:t xml:space="preserve"> </w:t>
      </w:r>
      <w:r>
        <w:t xml:space="preserve">(FOLF declaration) and resolution may be better served than in the Banking Union,</w:t>
      </w:r>
      <w:r>
        <w:t xml:space="preserve"> </w:t>
      </w:r>
      <w:r>
        <w:t xml:space="preserve">where the governance and hence, the decision-making, in a crisis scenario, are split</w:t>
      </w:r>
      <w:r>
        <w:t xml:space="preserve"> </w:t>
      </w:r>
      <w:r>
        <w:t xml:space="preserve">between the central authorities (ECB and SRB), but possibly also involving national</w:t>
      </w:r>
      <w:r>
        <w:t xml:space="preserve"> </w:t>
      </w:r>
      <w:r>
        <w:t xml:space="preserve">competent authorities and national resolution authorities. Those decisions are, however,</w:t>
      </w:r>
      <w:r>
        <w:t xml:space="preserve"> </w:t>
      </w:r>
      <w:r>
        <w:t xml:space="preserve">interdependent and require the close coordination of the authorities and an alignment of</w:t>
      </w:r>
      <w:r>
        <w:t xml:space="preserve"> </w:t>
      </w:r>
      <w:r>
        <w:t xml:space="preserve">their (sometimes) different incentives for acting early, or waiting for more time to elapse,</w:t>
      </w:r>
      <w:r>
        <w:t xml:space="preserve"> </w:t>
      </w:r>
      <w:r>
        <w:t xml:space="preserve">before taking their respective actions, when faced with a bank crisis situation. On the one</w:t>
      </w:r>
      <w:r>
        <w:t xml:space="preserve"> </w:t>
      </w:r>
      <w:r>
        <w:t xml:space="preserve">hand it is important to ensure that FOLF is declared only when the respective conditions</w:t>
      </w:r>
    </w:p>
    <w:p>
      <w:pPr>
        <w:pStyle w:val="BodyText"/>
      </w:pPr>
      <w:r>
        <w:t xml:space="preserve">307 Paragraphs 40-42 of the 2013 Banking Communication set out the minimum burden-sharing</w:t>
      </w:r>
      <w:r>
        <w:t xml:space="preserve"> </w:t>
      </w:r>
      <w:r>
        <w:t xml:space="preserve">requirement for equity, hybrid capital holders and subordinated debt holders in those cases. See also Box 9</w:t>
      </w:r>
      <w:r>
        <w:t xml:space="preserve"> </w:t>
      </w:r>
      <w:r>
        <w:t xml:space="preserve">in section 7.1.2.3 regarding the “Divergences in conditions to access funding for resolution fund and for</w:t>
      </w:r>
      <w:r>
        <w:t xml:space="preserve"> </w:t>
      </w:r>
      <w:r>
        <w:t xml:space="preserve">funding outside resolution under the State aid framework”.</w:t>
      </w:r>
      <w:r>
        <w:t xml:space="preserve"> </w:t>
      </w:r>
      <w:r>
        <w:t xml:space="preserve">308 In addition to the competent authority, the resolution authority may make the FOLF determination,</w:t>
      </w:r>
      <w:r>
        <w:t xml:space="preserve"> </w:t>
      </w:r>
      <w:r>
        <w:t xml:space="preserve">subject to specific conditions set out in Article 32(2) BRRD.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are fulfilled to ensure that the FOLF determination is legally sound. On the other hand,</w:t>
      </w:r>
      <w:r>
        <w:t xml:space="preserve"> </w:t>
      </w:r>
      <w:r>
        <w:t xml:space="preserve">the practice so far showed a risk of overly cautious approach to FOLF declarations in the</w:t>
      </w:r>
      <w:r>
        <w:t xml:space="preserve"> </w:t>
      </w:r>
      <w:r>
        <w:t xml:space="preserve">Banking Union, which may negatively impact the room for manoeuvre in resolution for</w:t>
      </w:r>
      <w:r>
        <w:t xml:space="preserve"> </w:t>
      </w:r>
      <w:r>
        <w:t xml:space="preserve">the resolution authority. The BRRD takes this into account to a certain degree, by</w:t>
      </w:r>
      <w:r>
        <w:t xml:space="preserve"> </w:t>
      </w:r>
      <w:r>
        <w:t xml:space="preserve">providing Member States with the option to enable also the resolution authority to make a</w:t>
      </w:r>
      <w:r>
        <w:t xml:space="preserve"> </w:t>
      </w:r>
      <w:r>
        <w:t xml:space="preserve">FOLF determination, which the SRMR also foresees for the SRB, subject to certain</w:t>
      </w:r>
      <w:r>
        <w:t xml:space="preserve"> </w:t>
      </w:r>
      <w:r>
        <w:t xml:space="preserve">conditions. This procedure, however, encounters other limitations, mainly related to the</w:t>
      </w:r>
      <w:r>
        <w:t xml:space="preserve"> </w:t>
      </w:r>
      <w:r>
        <w:t xml:space="preserve">fact that the elements necessary for a FOLF determination are generally known by the</w:t>
      </w:r>
      <w:r>
        <w:t xml:space="preserve"> </w:t>
      </w:r>
      <w:r>
        <w:t xml:space="preserve">supervisor, which continuously monitors the bank’s situation.</w:t>
      </w:r>
      <w:r>
        <w:t xml:space="preserve"> </w:t>
      </w:r>
      <w:r>
        <w:t xml:space="preserve">7.1.2.3. Conditions to access external funding</w:t>
      </w:r>
      <w:r>
        <w:br/>
      </w:r>
      <w:r>
        <w:t xml:space="preserve">The availability of sufficient sources of funding in resolution and the provision of</w:t>
      </w:r>
      <w:r>
        <w:t xml:space="preserve"> </w:t>
      </w:r>
      <w:r>
        <w:t xml:space="preserve">proportionate conditions to access them are central to ensuring that the resolution</w:t>
      </w:r>
      <w:r>
        <w:t xml:space="preserve"> </w:t>
      </w:r>
      <w:r>
        <w:t xml:space="preserve">framework is adequate to cater for potentially any bank’s failure. The CMDI framework</w:t>
      </w:r>
      <w:r>
        <w:t xml:space="preserve"> </w:t>
      </w:r>
      <w:r>
        <w:t xml:space="preserve">provides for two sources of funding resolution measures: the national RF/SRF in the</w:t>
      </w:r>
      <w:r>
        <w:t xml:space="preserve"> </w:t>
      </w:r>
      <w:r>
        <w:t xml:space="preserve">Banking Union and the DGS funds, provided that conditions to access these sources are</w:t>
      </w:r>
      <w:r>
        <w:t xml:space="preserve"> </w:t>
      </w:r>
      <w:r>
        <w:t xml:space="preserve">met.</w:t>
      </w:r>
      <w:r>
        <w:br/>
      </w:r>
      <w:r>
        <w:t xml:space="preserve">Outside resolution, past experiences with preventive measures (precautionary measures</w:t>
      </w:r>
      <w:r>
        <w:t xml:space="preserve"> </w:t>
      </w:r>
      <w:r>
        <w:t xml:space="preserve">and DGSD preventive measures have shown the use of either public funds under State</w:t>
      </w:r>
      <w:r>
        <w:t xml:space="preserve"> </w:t>
      </w:r>
      <w:r>
        <w:t xml:space="preserve">aid rules (including in the form of market-conform public measures, the conformity of</w:t>
      </w:r>
      <w:r>
        <w:t xml:space="preserve"> </w:t>
      </w:r>
      <w:r>
        <w:t xml:space="preserve">which with market conditions are also assessed under these rules but do not qualify as</w:t>
      </w:r>
      <w:r>
        <w:t xml:space="preserve"> </w:t>
      </w:r>
      <w:r>
        <w:t xml:space="preserve">State aid309) or private means to avert the further deterioration of a bank in distress. Also,</w:t>
      </w:r>
      <w:r>
        <w:t xml:space="preserve"> </w:t>
      </w:r>
      <w:r>
        <w:t xml:space="preserve">under certain insolvency proceedings in some Member States, which allow for transfer</w:t>
      </w:r>
      <w:r>
        <w:t xml:space="preserve"> </w:t>
      </w:r>
      <w:r>
        <w:t xml:space="preserve">tools (i.e. the sale of a part of the business/ deposits to an acquirer), State aid funding can</w:t>
      </w:r>
      <w:r>
        <w:t xml:space="preserve"> </w:t>
      </w:r>
      <w:r>
        <w:t xml:space="preserve">be used, provided it complies with the required burden sharing conditions.</w:t>
      </w:r>
      <w:r>
        <w:br/>
      </w:r>
      <w:r>
        <w:t xml:space="preserve">The following sub-sections develop: (a) the ineffective funding options for some banks,</w:t>
      </w:r>
      <w:r>
        <w:t xml:space="preserve"> </w:t>
      </w:r>
      <w:r>
        <w:t xml:space="preserve">(b) the divergent conditions for accessing funding from the resolution fund and other</w:t>
      </w:r>
      <w:r>
        <w:t xml:space="preserve"> </w:t>
      </w:r>
      <w:r>
        <w:t xml:space="preserve">sources of funding outside resolution, and (c) the use of DGS funds, which together have</w:t>
      </w:r>
      <w:r>
        <w:t xml:space="preserve"> </w:t>
      </w:r>
      <w:r>
        <w:t xml:space="preserve">contributed to the use of public money (bail-outs) in crisis management.</w:t>
      </w:r>
      <w:r>
        <w:br/>
      </w:r>
      <w:r>
        <w:t xml:space="preserve">a) structural difficulties for some banks in fulfilling the minimum conditions for</w:t>
      </w:r>
      <w:r>
        <w:t xml:space="preserve"> </w:t>
      </w:r>
      <w:r>
        <w:t xml:space="preserve">accessing the RF/SRF under the resolution rules, which may incentivise</w:t>
      </w:r>
      <w:r>
        <w:t xml:space="preserve"> </w:t>
      </w:r>
      <w:r>
        <w:t xml:space="preserve">authorities to find other solutions when such banks enter into distress;</w:t>
      </w:r>
      <w:r>
        <w:t xml:space="preserve"> </w:t>
      </w:r>
      <w:r>
        <w:t xml:space="preserve">b) divergent access requirements for the resolution fund and for funding outside</w:t>
      </w:r>
      <w:r>
        <w:t xml:space="preserve"> </w:t>
      </w:r>
      <w:r>
        <w:t xml:space="preserve">resolution;</w:t>
      </w:r>
      <w:r>
        <w:t xml:space="preserve"> </w:t>
      </w:r>
      <w:r>
        <w:t xml:space="preserve">c) limited scope to grant DGS funding in resolution and insolvency, with the risk of</w:t>
      </w:r>
      <w:r>
        <w:t xml:space="preserve"> </w:t>
      </w:r>
      <w:r>
        <w:t xml:space="preserve">weakening the available funding sources for handling a bank failure.</w:t>
      </w:r>
    </w:p>
    <w:p>
      <w:pPr>
        <w:pStyle w:val="BodyText"/>
      </w:pPr>
      <w:r>
        <w:t xml:space="preserve">309 Refers to measures carried out by a public body, in line with normal market conditions, therefore are not</w:t>
      </w:r>
      <w:r>
        <w:t xml:space="preserve"> </w:t>
      </w:r>
      <w:r>
        <w:t xml:space="preserve">considered to constitute State aid.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a) Challenges for some banks to access the RF/SRF</w:t>
      </w:r>
      <w:r>
        <w:t xml:space="preserve"> </w:t>
      </w:r>
      <w:r>
        <w:t xml:space="preserve">Impact of resolution strategies</w:t>
      </w:r>
      <w:r>
        <w:br/>
      </w:r>
      <w:r>
        <w:t xml:space="preserve">The CMDI framework makes the access to the RF/SRF conditional on bailing-in</w:t>
      </w:r>
      <w:r>
        <w:t xml:space="preserve"> </w:t>
      </w:r>
      <w:r>
        <w:t xml:space="preserve">shareholders and creditors for no less than 8% of total liabilities including own funds</w:t>
      </w:r>
      <w:r>
        <w:t xml:space="preserve"> </w:t>
      </w:r>
      <w:r>
        <w:t xml:space="preserve">(TLOF) and limits the contribution of the fund to 5% TLOF310. The minimum 8% TLOF</w:t>
      </w:r>
      <w:r>
        <w:t xml:space="preserve"> </w:t>
      </w:r>
      <w:r>
        <w:t xml:space="preserve">bail-in requirement and subsequent 5% cap on the use of the RF/SRF do not apply in</w:t>
      </w:r>
      <w:r>
        <w:t xml:space="preserve"> </w:t>
      </w:r>
      <w:r>
        <w:t xml:space="preserve">terms of the use of the RF/SRF for the provision of liquidity in resolution.311</w:t>
      </w:r>
      <w:r>
        <w:t xml:space="preserve"> </w:t>
      </w:r>
      <w:r>
        <w:t xml:space="preserve">As part of resolution planning, resolution authorities are defining the preferred and</w:t>
      </w:r>
      <w:r>
        <w:t xml:space="preserve"> </w:t>
      </w:r>
      <w:r>
        <w:t xml:space="preserve">variant resolution strategies and preparing the application of the relevant tools to ensure</w:t>
      </w:r>
      <w:r>
        <w:t xml:space="preserve"> </w:t>
      </w:r>
      <w:r>
        <w:t xml:space="preserve">their execution312. For large and complex institutions, open-bank bail-in is, in general,</w:t>
      </w:r>
      <w:r>
        <w:t xml:space="preserve"> </w:t>
      </w:r>
      <w:r>
        <w:t xml:space="preserve">expected to be the preferred resolution tool, implying the write-down and conversion of</w:t>
      </w:r>
      <w:r>
        <w:t xml:space="preserve"> </w:t>
      </w:r>
      <w:r>
        <w:t xml:space="preserve">own funds and eligible liabilities to absorb losses and recapitalise the bank emerging</w:t>
      </w:r>
      <w:r>
        <w:t xml:space="preserve"> </w:t>
      </w:r>
      <w:r>
        <w:t xml:space="preserve">from resolution. The successful execution of this strategy comes hand in hand with the</w:t>
      </w:r>
      <w:r>
        <w:t xml:space="preserve"> </w:t>
      </w:r>
      <w:r>
        <w:t xml:space="preserve">minimum requirement to hold sufficient own funds and eligible liabilities (MREL),</w:t>
      </w:r>
      <w:r>
        <w:t xml:space="preserve"> </w:t>
      </w:r>
      <w:r>
        <w:t xml:space="preserve">therefore, the calibration of MREL and the build-up of MREL buffers by banks</w:t>
      </w:r>
      <w:r>
        <w:t xml:space="preserve"> </w:t>
      </w:r>
      <w:r>
        <w:t xml:space="preserve">contribute to ensuring that they can fulfil the condition for accessing resolution funding.</w:t>
      </w:r>
      <w:r>
        <w:t xml:space="preserve"> </w:t>
      </w:r>
      <w:r>
        <w:t xml:space="preserve">In view of this principle, the changes to the calibration of the overall MREL requirement</w:t>
      </w:r>
      <w:r>
        <w:t xml:space="preserve"> </w:t>
      </w:r>
      <w:r>
        <w:t xml:space="preserve">and MREL subordination under the 2019 revision of the rules (BRRD II/SRMR II)</w:t>
      </w:r>
      <w:r>
        <w:t xml:space="preserve"> </w:t>
      </w:r>
      <w:r>
        <w:t xml:space="preserve">sought to increase the certainty of meeting the minimum 8% TLOF requirement,</w:t>
      </w:r>
      <w:r>
        <w:t xml:space="preserve"> </w:t>
      </w:r>
      <w:r>
        <w:t xml:space="preserve">especially for large institutions.</w:t>
      </w:r>
      <w:r>
        <w:br/>
      </w:r>
      <w:r>
        <w:t xml:space="preserve">In parallel, certain smaller and medium-sized institutions with business models based</w:t>
      </w:r>
      <w:r>
        <w:t xml:space="preserve"> </w:t>
      </w:r>
      <w:r>
        <w:t xml:space="preserve">predominantly on funding through equity and deposits may be candidates for transfer</w:t>
      </w:r>
      <w:r>
        <w:t xml:space="preserve"> </w:t>
      </w:r>
      <w:r>
        <w:t xml:space="preserve">tool strategies. Transfer strategies involve selling parts or all of the business to a</w:t>
      </w:r>
      <w:r>
        <w:t xml:space="preserve"> </w:t>
      </w:r>
      <w:r>
        <w:t xml:space="preserve">purchaser, transferring critical functions and related assets and liabilities to a bridge</w:t>
      </w:r>
      <w:r>
        <w:t xml:space="preserve"> </w:t>
      </w:r>
      <w:r>
        <w:t xml:space="preserve">institution and transferring non-performing assets to an asset management vehicle. A mix</w:t>
      </w:r>
      <w:r>
        <w:t xml:space="preserve"> </w:t>
      </w:r>
      <w:r>
        <w:t xml:space="preserve">of tools can also be part of the optimal strategy, depending on a case-by-case assessment</w:t>
      </w:r>
      <w:r>
        <w:t xml:space="preserve"> </w:t>
      </w:r>
      <w:r>
        <w:t xml:space="preserve">by resolution authorities. The potential benefits of transfer tools depend on the</w:t>
      </w:r>
      <w:r>
        <w:t xml:space="preserve"> </w:t>
      </w:r>
      <w:r>
        <w:t xml:space="preserve">characteristics of the banks and their financial situation and on how the specific transfer</w:t>
      </w:r>
      <w:r>
        <w:t xml:space="preserve"> </w:t>
      </w:r>
      <w:r>
        <w:t xml:space="preserve">transaction is structured. Challenges to transfer strategies may be due, among other</w:t>
      </w:r>
      <w:r>
        <w:t xml:space="preserve"> </w:t>
      </w:r>
      <w:r>
        <w:t xml:space="preserve">factors, to “overcapacity” in the EU banking sector, which, on average, struggles to</w:t>
      </w:r>
      <w:r>
        <w:t xml:space="preserve"> </w:t>
      </w:r>
      <w:r>
        <w:t xml:space="preserve">remunerate capital, further diminishing returns on mergers and acquisitions. Therefore,</w:t>
      </w:r>
      <w:r>
        <w:t xml:space="preserve"> </w:t>
      </w:r>
      <w:r>
        <w:t xml:space="preserve">the “franchise value” of some ailing banks may be small and potential buyers would</w:t>
      </w:r>
      <w:r>
        <w:t xml:space="preserve"> </w:t>
      </w:r>
      <w:r>
        <w:t xml:space="preserve">often be willing to enter into a deal only at negative prices. Hence, depending on the</w:t>
      </w:r>
      <w:r>
        <w:t xml:space="preserve"> </w:t>
      </w:r>
      <w:r>
        <w:t xml:space="preserve">valuation of assets and the perimeter of a transfer, there may still be a need to access the</w:t>
      </w:r>
    </w:p>
    <w:p>
      <w:pPr>
        <w:pStyle w:val="BodyText"/>
      </w:pPr>
      <w:r>
        <w:t xml:space="preserve">310 Article 44(5) BRRD requires a minimum bail-in of 8% TLOF and provides for a maximum RF</w:t>
      </w:r>
      <w:r>
        <w:t xml:space="preserve"> </w:t>
      </w:r>
      <w:r>
        <w:t xml:space="preserve">contribution of 5% TLOF (unless all unsecured, non-preferred liabilities, other than eligible deposits, have</w:t>
      </w:r>
      <w:r>
        <w:t xml:space="preserve"> </w:t>
      </w:r>
      <w:r>
        <w:t xml:space="preserve">been written down or converted in full) when a resolution authority decides to exclude or partially exclude</w:t>
      </w:r>
      <w:r>
        <w:t xml:space="preserve"> </w:t>
      </w:r>
      <w:r>
        <w:t xml:space="preserve">an eligible liability or class of eligible liabilities, and the losses that would have been borne by those</w:t>
      </w:r>
      <w:r>
        <w:t xml:space="preserve"> </w:t>
      </w:r>
      <w:r>
        <w:t xml:space="preserve">liabilities have not been passed on fully to other creditors, or when the use of the RF indirectly results in</w:t>
      </w:r>
      <w:r>
        <w:t xml:space="preserve"> </w:t>
      </w:r>
      <w:r>
        <w:t xml:space="preserve">part of the losses being passed on to the RF (Article 101(2) BRRD).</w:t>
      </w:r>
      <w:r>
        <w:br/>
      </w:r>
      <w:r>
        <w:t xml:space="preserve">311 According to the informal interpretation of the Commission’s services of the provisions in</w:t>
      </w:r>
      <w:r>
        <w:t xml:space="preserve"> </w:t>
      </w:r>
      <w:r>
        <w:t xml:space="preserve">Article 101 BRRD, which are replicated in Article 76 in the SRMR and that set out the purposes for the use</w:t>
      </w:r>
      <w:r>
        <w:t xml:space="preserve"> </w:t>
      </w:r>
      <w:r>
        <w:t xml:space="preserve">of the RF/SRF.</w:t>
      </w:r>
      <w:r>
        <w:br/>
      </w:r>
      <w:r>
        <w:t xml:space="preserve">312 In light with recital, 20 of the Commission delegated regulation (EU) 2016/1075, resolution authorities</w:t>
      </w:r>
      <w:r>
        <w:t xml:space="preserve"> </w:t>
      </w:r>
      <w:r>
        <w:t xml:space="preserve">should also assess whether liquidation under normal insolvency proceedings can credibly and feasibly</w:t>
      </w:r>
      <w:r>
        <w:t xml:space="preserve"> </w:t>
      </w:r>
      <w:r>
        <w:t xml:space="preserve">achieve the resolution objectives.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RF/SRF313 by complying with the access conditions, in order to complete the transfer</w:t>
      </w:r>
      <w:r>
        <w:t xml:space="preserve"> </w:t>
      </w:r>
      <w:r>
        <w:t xml:space="preserve">transaction. The level of the MREL requirement reflects the preferred resolution strategy,</w:t>
      </w:r>
      <w:r>
        <w:t xml:space="preserve"> </w:t>
      </w:r>
      <w:r>
        <w:t xml:space="preserve">meaning that banks under a transfer strategy may be allowed lower MREL targets, taking</w:t>
      </w:r>
      <w:r>
        <w:t xml:space="preserve"> </w:t>
      </w:r>
      <w:r>
        <w:t xml:space="preserve">into consideration that the main purpose of these strategies is to facilitate the exit of these</w:t>
      </w:r>
      <w:r>
        <w:t xml:space="preserve"> </w:t>
      </w:r>
      <w:r>
        <w:t xml:space="preserve">banks (in whole or in part) from the market and that MREL will be mainly used, in such</w:t>
      </w:r>
      <w:r>
        <w:t xml:space="preserve"> </w:t>
      </w:r>
      <w:r>
        <w:t xml:space="preserve">cases for loss absorption and only to, a limited degree, for recapitalisation purposes314.</w:t>
      </w:r>
      <w:r>
        <w:t xml:space="preserve"> </w:t>
      </w:r>
      <w:r>
        <w:t xml:space="preserve">Conversely, banks under an open bank bail-in strategy, will continue to operate in the</w:t>
      </w:r>
      <w:r>
        <w:t xml:space="preserve"> </w:t>
      </w:r>
      <w:r>
        <w:t xml:space="preserve">market, on a standalone basis, therefore they would require a higher MREL buffer in</w:t>
      </w:r>
      <w:r>
        <w:t xml:space="preserve"> </w:t>
      </w:r>
      <w:r>
        <w:t xml:space="preserve">order to absorb losses and fully rebuild their capital base.</w:t>
      </w:r>
      <w:r>
        <w:t xml:space="preserve"> </w:t>
      </w:r>
      <w:r>
        <w:t xml:space="preserve">Importantly, the need to access resolution funding may arise for any bank (whether</w:t>
      </w:r>
      <w:r>
        <w:t xml:space="preserve"> </w:t>
      </w:r>
      <w:r>
        <w:t xml:space="preserve">executing an open bank bail-in or a transfer strategy). However, despite differences in</w:t>
      </w:r>
      <w:r>
        <w:t xml:space="preserve"> </w:t>
      </w:r>
      <w:r>
        <w:t xml:space="preserve">MREL requirements reflecting different resolution strategies, in line with the bank’s</w:t>
      </w:r>
      <w:r>
        <w:t xml:space="preserve"> </w:t>
      </w:r>
      <w:r>
        <w:t xml:space="preserve">systemic footprint and complexity, the conditions to access the RF/SRF are the same for</w:t>
      </w:r>
      <w:r>
        <w:t xml:space="preserve"> </w:t>
      </w:r>
      <w:r>
        <w:t xml:space="preserve">any bank, without any distinction on grounds of proportionality based on the planned</w:t>
      </w:r>
      <w:r>
        <w:t xml:space="preserve"> </w:t>
      </w:r>
      <w:r>
        <w:t xml:space="preserve">resolution strategy, size and business model. This means that a large bank with open bank</w:t>
      </w:r>
      <w:r>
        <w:t xml:space="preserve"> </w:t>
      </w:r>
      <w:r>
        <w:t xml:space="preserve">bail-in strategy (expected to build-up MREL buffers to cover its loss absorption and</w:t>
      </w:r>
      <w:r>
        <w:t xml:space="preserve"> </w:t>
      </w:r>
      <w:r>
        <w:t xml:space="preserve">recapitalisation needs), must fulfil the same minimum 8% TLOF bail-in condition to</w:t>
      </w:r>
      <w:r>
        <w:t xml:space="preserve"> </w:t>
      </w:r>
      <w:r>
        <w:t xml:space="preserve">access the fund as a smaller, deposit taking bank under a transfer strategy leading to exit</w:t>
      </w:r>
      <w:r>
        <w:t xml:space="preserve"> </w:t>
      </w:r>
      <w:r>
        <w:t xml:space="preserve">of the market and which would be required to hold a lower amount of MREL resources.</w:t>
      </w:r>
      <w:r>
        <w:br/>
      </w:r>
      <w:r>
        <w:t xml:space="preserve">The ability of banks to fulfil the access conditions to the RF/SRF depends therefore on</w:t>
      </w:r>
      <w:r>
        <w:t xml:space="preserve"> </w:t>
      </w:r>
      <w:r>
        <w:t xml:space="preserve">the stock of bail-inable instruments315 available at the time of the intervention. In order to</w:t>
      </w:r>
      <w:r>
        <w:t xml:space="preserve"> </w:t>
      </w:r>
      <w:r>
        <w:t xml:space="preserve">assess the ability of EU banks to access the fund, quantitative analyses have been carried</w:t>
      </w:r>
      <w:r>
        <w:t xml:space="preserve"> </w:t>
      </w:r>
      <w:r>
        <w:t xml:space="preserve">out on (i) the level of MREL shortfalls as of the most recent reporting date (Q4 2020);</w:t>
      </w:r>
      <w:r>
        <w:t xml:space="preserve"> </w:t>
      </w:r>
      <w:r>
        <w:t xml:space="preserve">and (ii) the structure of banks’ liabilities, in particular assessing whether deposits would</w:t>
      </w:r>
      <w:r>
        <w:t xml:space="preserve"> </w:t>
      </w:r>
      <w:r>
        <w:t xml:space="preserve">be subject to bail-in in order to access the fund.</w:t>
      </w:r>
      <w:r>
        <w:br/>
      </w:r>
      <w:r>
        <w:t xml:space="preserve">MREL shortfalls</w:t>
      </w:r>
      <w:r>
        <w:br/>
      </w:r>
      <w:r>
        <w:t xml:space="preserve">The build-up of MREL buffers by banks is in transitional period, with full compliance</w:t>
      </w:r>
      <w:r>
        <w:t xml:space="preserve"> </w:t>
      </w:r>
      <w:r>
        <w:t xml:space="preserve">required for the majority of banks by 1 January 2024, while intermediary targets were to</w:t>
      </w:r>
      <w:r>
        <w:t xml:space="preserve"> </w:t>
      </w:r>
      <w:r>
        <w:t xml:space="preserve">be met by 1 January 2022.</w:t>
      </w:r>
      <w:r>
        <w:br/>
      </w:r>
      <w:r>
        <w:t xml:space="preserve">According to the most recent EBA 2022 quantitative MREL report316, as of Q4 2021, out</w:t>
      </w:r>
      <w:r>
        <w:t xml:space="preserve"> </w:t>
      </w:r>
      <w:r>
        <w:t xml:space="preserve">of 245 resolution groups in the sample, 70 EU resolution groups (and individual</w:t>
      </w:r>
      <w:r>
        <w:t xml:space="preserve"> </w:t>
      </w:r>
      <w:r>
        <w:t xml:space="preserve">resolution entities) had an MREL shortfall estimated at EUR 33 bn, down by 42%</w:t>
      </w:r>
      <w:r>
        <w:t xml:space="preserve"> </w:t>
      </w:r>
      <w:r>
        <w:t xml:space="preserve">compared to Q4 2020 on a comparable basis. The reduction in shortfalls should be</w:t>
      </w:r>
      <w:r>
        <w:t xml:space="preserve"> </w:t>
      </w:r>
      <w:r>
        <w:t xml:space="preserve">considered against strong issuance levels in 2021 and 2022.</w:t>
      </w:r>
    </w:p>
    <w:p>
      <w:pPr>
        <w:pStyle w:val="BodyText"/>
      </w:pPr>
      <w:r>
        <w:t xml:space="preserve">313 The DGS may also be used in resolution, for ensuring continued access for covered depositors to their</w:t>
      </w:r>
      <w:r>
        <w:t xml:space="preserve"> </w:t>
      </w:r>
      <w:r>
        <w:t xml:space="preserve">deposits in line with the access conditions of Article 109 BRRD.</w:t>
      </w:r>
      <w:r>
        <w:t xml:space="preserve"> </w:t>
      </w:r>
      <w:r>
        <w:t xml:space="preserve">314 In the case of a bridge institution, the smaller perimeter of the assets transferred and the consequent</w:t>
      </w:r>
      <w:r>
        <w:t xml:space="preserve"> </w:t>
      </w:r>
      <w:r>
        <w:t xml:space="preserve">reduction in the risk weighted assets, as well as the non or limited assumption of new activities, implies a</w:t>
      </w:r>
      <w:r>
        <w:t xml:space="preserve"> </w:t>
      </w:r>
      <w:r>
        <w:t xml:space="preserve">smaller amount of recapitalisation needs than if the bank were to continue to operate in the market on a</w:t>
      </w:r>
      <w:r>
        <w:t xml:space="preserve"> </w:t>
      </w:r>
      <w:r>
        <w:t xml:space="preserve">going concern basis.</w:t>
      </w:r>
      <w:r>
        <w:t xml:space="preserve"> </w:t>
      </w:r>
      <w:r>
        <w:t xml:space="preserve">315 These would be instruments that could be bailed-in, without giving rise to a right for exclusions or</w:t>
      </w:r>
      <w:r>
        <w:t xml:space="preserve"> </w:t>
      </w:r>
      <w:r>
        <w:t xml:space="preserve">voluntary exclusions from bail-in, in light of Article 44(3) BRRD (for example for reasons of avoiding</w:t>
      </w:r>
      <w:r>
        <w:t xml:space="preserve"> </w:t>
      </w:r>
      <w:r>
        <w:t xml:space="preserve">widespread contagion, disruption to critical functions, etc.)</w:t>
      </w:r>
      <w:r>
        <w:t xml:space="preserve"> </w:t>
      </w:r>
      <w:r>
        <w:t xml:space="preserve">316 EBA (January 2023), EBA quantitative MREL report and impact assessment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In the Banking Union, as per the SRB’s MREL Dashboard as of Q3 2022317 showing</w:t>
      </w:r>
      <w:r>
        <w:t xml:space="preserve"> </w:t>
      </w:r>
      <w:r>
        <w:t xml:space="preserve">BRRD II/SRMR II data, the average final MREL target represented 23.3% of total risk</w:t>
      </w:r>
      <w:r>
        <w:t xml:space="preserve"> </w:t>
      </w:r>
      <w:r>
        <w:t xml:space="preserve">exposure amount (TREA) (EUR 1 760 bn), and 26.4% TREA (EUR 1 988 bn) when</w:t>
      </w:r>
      <w:r>
        <w:t xml:space="preserve"> </w:t>
      </w:r>
      <w:r>
        <w:t xml:space="preserve">including the combined buffer requirement, growing over the quarter driven by the</w:t>
      </w:r>
      <w:r>
        <w:t xml:space="preserve"> </w:t>
      </w:r>
      <w:r>
        <w:t xml:space="preserve">expansions of banks’ balance sheets. In terms of build-up of eligible instruments, the</w:t>
      </w:r>
      <w:r>
        <w:t xml:space="preserve"> </w:t>
      </w:r>
      <w:r>
        <w:t xml:space="preserve">average stock of MREL eligible liabilities and own funds reached EUR 2 353 bn, up by</w:t>
      </w:r>
      <w:r>
        <w:t xml:space="preserve"> </w:t>
      </w:r>
      <w:r>
        <w:t xml:space="preserve">EUR 134.2 bn (or 6%) year-on-year. This trend was in line with the banks’ funding plans</w:t>
      </w:r>
      <w:r>
        <w:t xml:space="preserve"> </w:t>
      </w:r>
      <w:r>
        <w:t xml:space="preserve">to meet the biding final MREL targets by 1 January 2024. The average MREL shortfalls</w:t>
      </w:r>
      <w:r>
        <w:t xml:space="preserve"> </w:t>
      </w:r>
      <w:r>
        <w:t xml:space="preserve">against the final target (2024) amounted to 0.2% TREA (EUR 18.1 bn) in Q3 2022, and</w:t>
      </w:r>
      <w:r>
        <w:t xml:space="preserve"> </w:t>
      </w:r>
      <w:r>
        <w:t xml:space="preserve">0.4% TREA (EUR 30.5 bn) when including the combined buffer requirement.</w:t>
      </w:r>
      <w:r>
        <w:br/>
      </w:r>
      <w:r>
        <w:t xml:space="preserve">While compliance with MREL targets is a matter of transitional period and most banks</w:t>
      </w:r>
      <w:r>
        <w:t xml:space="preserve"> </w:t>
      </w:r>
      <w:r>
        <w:t xml:space="preserve">are expected to fulfil their requirements once the transitional period expired, certain</w:t>
      </w:r>
      <w:r>
        <w:t xml:space="preserve"> </w:t>
      </w:r>
      <w:r>
        <w:t xml:space="preserve">banks may be facing more structural issues to comply with their requirement.</w:t>
      </w:r>
      <w:r>
        <w:br/>
      </w:r>
      <w:r>
        <w:t xml:space="preserve">See Annex 13, for a full overview of the MREL shortfalls and the build-up of the buffers</w:t>
      </w:r>
      <w:r>
        <w:t xml:space="preserve"> </w:t>
      </w:r>
      <w:r>
        <w:t xml:space="preserve">during the transitional period.</w:t>
      </w:r>
      <w:r>
        <w:t xml:space="preserve"> </w:t>
      </w:r>
      <w:r>
        <w:t xml:space="preserve">Structural issues in issuing MREL eligible instruments and the likelihood of bailing-</w:t>
      </w:r>
      <w:r>
        <w:t xml:space="preserve"> </w:t>
      </w:r>
      <w:r>
        <w:t xml:space="preserve">in deposits</w:t>
      </w:r>
      <w:r>
        <w:t xml:space="preserve"> </w:t>
      </w:r>
      <w:r>
        <w:t xml:space="preserve">Analyses show that certain smaller and medium-sized banks face structural difficulties in</w:t>
      </w:r>
      <w:r>
        <w:t xml:space="preserve"> </w:t>
      </w:r>
      <w:r>
        <w:t xml:space="preserve">fulfilling the minimum 8% TLOF condition to access resolution funding. These</w:t>
      </w:r>
      <w:r>
        <w:t xml:space="preserve"> </w:t>
      </w:r>
      <w:r>
        <w:t xml:space="preserve">challenges are due to the liability structure of these banks, which rely significantly on</w:t>
      </w:r>
      <w:r>
        <w:t xml:space="preserve"> </w:t>
      </w:r>
      <w:r>
        <w:t xml:space="preserve">equity and deposits for their funding and are not into the business of issuing debt to raise</w:t>
      </w:r>
      <w:r>
        <w:t xml:space="preserve"> </w:t>
      </w:r>
      <w:r>
        <w:t xml:space="preserve">(subordinated) resolution buffers. Some of the barriers hindering a switch in business</w:t>
      </w:r>
      <w:r>
        <w:t xml:space="preserve"> </w:t>
      </w:r>
      <w:r>
        <w:t xml:space="preserve">model for such banks include, but are not limited to: (i) increased costs to issue</w:t>
      </w:r>
      <w:r>
        <w:t xml:space="preserve"> </w:t>
      </w:r>
      <w:r>
        <w:t xml:space="preserve">(subordinated) debt in addition to or substituting existing funding due to perceived risks</w:t>
      </w:r>
      <w:r>
        <w:t xml:space="preserve"> </w:t>
      </w:r>
      <w:r>
        <w:t xml:space="preserve">by investors, which would translate into higher spreads318, (ii) lack of, or poor rating, (iii)</w:t>
      </w:r>
      <w:r>
        <w:t xml:space="preserve"> </w:t>
      </w:r>
      <w:r>
        <w:t xml:space="preserve">not being listed and (iv) potential lack of demand by the market. Such challenges in</w:t>
      </w:r>
      <w:r>
        <w:t xml:space="preserve"> </w:t>
      </w:r>
      <w:r>
        <w:t xml:space="preserve">accessing resolution funding may be difficult to eliminate in the short to medium-term, in</w:t>
      </w:r>
      <w:r>
        <w:t xml:space="preserve"> </w:t>
      </w:r>
      <w:r>
        <w:t xml:space="preserve">particular in the current environment of low profitability driven mainly by over-capacity,</w:t>
      </w:r>
      <w:r>
        <w:t xml:space="preserve"> </w:t>
      </w:r>
      <w:r>
        <w:t xml:space="preserve">competition from the fintech sector and upcoming new regulatory requirements which</w:t>
      </w:r>
      <w:r>
        <w:t xml:space="preserve"> </w:t>
      </w:r>
      <w:r>
        <w:t xml:space="preserve">may impact balance sheets (Basel III).</w:t>
      </w:r>
      <w:r>
        <w:br/>
      </w:r>
      <w:r>
        <w:t xml:space="preserve">See also Annex 13 for more information on such structural issues.</w:t>
      </w:r>
    </w:p>
    <w:p>
      <w:pPr>
        <w:pStyle w:val="BodyText"/>
      </w:pPr>
      <w:r>
        <w:t xml:space="preserve">317 SRB (February 2023), SRB MREL Dashboard Q3 2022</w:t>
      </w:r>
      <w:r>
        <w:br/>
      </w:r>
      <w:r>
        <w:t xml:space="preserve">318 Replacing deposit funding and/or secured funding by subordinated or even senior unsecured issuances</w:t>
      </w:r>
      <w:r>
        <w:t xml:space="preserve"> </w:t>
      </w:r>
      <w:r>
        <w:t xml:space="preserve">could be costly.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Box 7: Excerpt speech by Governor Visco at Banca d’Italia conference (15 January</w:t>
      </w:r>
      <w:r>
        <w:t xml:space="preserve"> </w:t>
      </w:r>
      <w:r>
        <w:t xml:space="preserve">2021)319 on the ability of some banks to issue debt</w:t>
      </w:r>
      <w:r>
        <w:t xml:space="preserve"> </w:t>
      </w:r>
      <w:r>
        <w:t xml:space="preserve">“One fundamental question concerns the sources of funding to finance a transfer</w:t>
      </w:r>
      <w:r>
        <w:t xml:space="preserve"> </w:t>
      </w:r>
      <w:r>
        <w:t xml:space="preserve">strategy, be it in resolution or in liquidation. Under the current BRRD framework, a</w:t>
      </w:r>
      <w:r>
        <w:t xml:space="preserve"> </w:t>
      </w:r>
      <w:r>
        <w:t xml:space="preserve">successful resolution strategy premised on the bail-in tool requires adequate levels of</w:t>
      </w:r>
      <w:r>
        <w:t xml:space="preserve"> </w:t>
      </w:r>
      <w:r>
        <w:t xml:space="preserve">eligible liabilities (Minimum Requirement for own funds and Eligible Liabilities, MREL),</w:t>
      </w:r>
      <w:r>
        <w:t xml:space="preserve"> </w:t>
      </w:r>
      <w:r>
        <w:t xml:space="preserve">preferably subordinated, to avoid losses being imposed on depositors and other retail</w:t>
      </w:r>
      <w:r>
        <w:t xml:space="preserve"> </w:t>
      </w:r>
      <w:r>
        <w:t xml:space="preserve">creditors.</w:t>
      </w:r>
      <w:r>
        <w:br/>
      </w:r>
      <w:r>
        <w:t xml:space="preserve">However, most medium-sized banks (not to mention smaller ones) are not equipped to</w:t>
      </w:r>
      <w:r>
        <w:t xml:space="preserve"> </w:t>
      </w:r>
      <w:r>
        <w:t xml:space="preserve">tap capital markets in order to issue MREL instruments. Around 70% of the significant</w:t>
      </w:r>
      <w:r>
        <w:t xml:space="preserve"> </w:t>
      </w:r>
      <w:r>
        <w:t xml:space="preserve">banks under the direct supervision of the ECB are not listed, 60% have never issued</w:t>
      </w:r>
      <w:r>
        <w:t xml:space="preserve"> </w:t>
      </w:r>
      <w:r>
        <w:t xml:space="preserve">convertible instruments, and 25% have not even issued subordinated debt. These shares</w:t>
      </w:r>
      <w:r>
        <w:t xml:space="preserve"> </w:t>
      </w:r>
      <w:r>
        <w:t xml:space="preserve">rise sharply, of course, for smaller institutions. Requiring these banks to issue MREL</w:t>
      </w:r>
      <w:r>
        <w:t xml:space="preserve"> </w:t>
      </w:r>
      <w:r>
        <w:t xml:space="preserve">eligible liabilities to non-retail investors would therefore force them to resort to the</w:t>
      </w:r>
      <w:r>
        <w:t xml:space="preserve"> </w:t>
      </w:r>
      <w:r>
        <w:t xml:space="preserve">wholesale market, obtain a credit rating and change their funding structure significantly.</w:t>
      </w:r>
      <w:r>
        <w:t xml:space="preserve"> </w:t>
      </w:r>
      <w:r>
        <w:t xml:space="preserve">It could therefore have a strong impact on banks’ margins and even force some of them</w:t>
      </w:r>
      <w:r>
        <w:t xml:space="preserve"> </w:t>
      </w:r>
      <w:r>
        <w:t xml:space="preserve">out of the market, since issuance costs could prove too high to bear.”</w:t>
      </w:r>
      <w:r>
        <w:t xml:space="preserve"> </w:t>
      </w:r>
      <w:r>
        <w:t xml:space="preserve">Analysed data shows that for some banks, the stock of bail-inable liabilities excluding</w:t>
      </w:r>
      <w:r>
        <w:t xml:space="preserve"> </w:t>
      </w:r>
      <w:r>
        <w:t xml:space="preserve">deposits is lower than the minimum requirement for bail-in in order to access the</w:t>
      </w:r>
      <w:r>
        <w:t xml:space="preserve"> </w:t>
      </w:r>
      <w:r>
        <w:t xml:space="preserve">RF/SRF. This means that, in order for these banks to gain access to resolution funding</w:t>
      </w:r>
      <w:r>
        <w:t xml:space="preserve"> </w:t>
      </w:r>
      <w:r>
        <w:t xml:space="preserve">(i.e. minimum 8% TLOF bail-in condition), some deposits320 would need to be bailed-in.</w:t>
      </w:r>
      <w:r>
        <w:t xml:space="preserve"> </w:t>
      </w:r>
      <w:r>
        <w:t xml:space="preserve">While in some Member States this is feasible and has been done in the past, in the</w:t>
      </w:r>
      <w:r>
        <w:t xml:space="preserve"> </w:t>
      </w:r>
      <w:r>
        <w:t xml:space="preserve">majority of Member States bailing-in deposits may not be socially acceptable, since</w:t>
      </w:r>
      <w:r>
        <w:t xml:space="preserve"> </w:t>
      </w:r>
      <w:r>
        <w:t xml:space="preserve">depositors are considered differently from investors. Depositors use banks, primarily, as</w:t>
      </w:r>
      <w:r>
        <w:t xml:space="preserve"> </w:t>
      </w:r>
      <w:r>
        <w:t xml:space="preserve">a secure place for placing their savings, for meeting future needs, while the investors take</w:t>
      </w:r>
      <w:r>
        <w:t xml:space="preserve"> </w:t>
      </w:r>
      <w:r>
        <w:t xml:space="preserve">a claim in the bank after having analysed the related risks and rewards. Moreover,</w:t>
      </w:r>
      <w:r>
        <w:t xml:space="preserve"> </w:t>
      </w:r>
      <w:r>
        <w:t xml:space="preserve">bailing-in deposits would negatively impact the franchise value, which would impair the</w:t>
      </w:r>
      <w:r>
        <w:t xml:space="preserve"> </w:t>
      </w:r>
      <w:r>
        <w:t xml:space="preserve">success of a transfer transaction to a purchaser, who may be interested in acquiring the</w:t>
      </w:r>
      <w:r>
        <w:t xml:space="preserve"> </w:t>
      </w:r>
      <w:r>
        <w:t xml:space="preserve">entire deposit book. In the majority of Member States, maintaining the integrity of</w:t>
      </w:r>
      <w:r>
        <w:t xml:space="preserve"> </w:t>
      </w:r>
      <w:r>
        <w:t xml:space="preserve">deposits is considered by the national authorities, instrumental to bank intermediation in</w:t>
      </w:r>
      <w:r>
        <w:t xml:space="preserve"> </w:t>
      </w:r>
      <w:r>
        <w:t xml:space="preserve">the economy (i.e. channelling savings into investments and lending) and an important</w:t>
      </w:r>
      <w:r>
        <w:t xml:space="preserve"> </w:t>
      </w:r>
      <w:r>
        <w:t xml:space="preserve">element to financial stability and the functioning of the payment system. 321</w:t>
      </w:r>
    </w:p>
    <w:p>
      <w:pPr>
        <w:pStyle w:val="BodyText"/>
      </w:pPr>
      <w:r>
        <w:t xml:space="preserve">319 Banca d’Italia (15 January 2021), Welcome address by Governor Ignazio Visco.</w:t>
      </w:r>
      <w:r>
        <w:t xml:space="preserve"> </w:t>
      </w:r>
      <w:r>
        <w:t xml:space="preserve">320 Such as deposits not covered and not preferred, i.e. deposits to corporates, governments, other financial</w:t>
      </w:r>
      <w:r>
        <w:t xml:space="preserve"> </w:t>
      </w:r>
      <w:r>
        <w:t xml:space="preserve">institutions, other institutions.</w:t>
      </w:r>
      <w:r>
        <w:br/>
      </w:r>
      <w:r>
        <w:t xml:space="preserve">321 The significance of deposits for the banking systems is recognised in the BRRD. Article 108 BRRD</w:t>
      </w:r>
      <w:r>
        <w:t xml:space="preserve"> </w:t>
      </w:r>
      <w:r>
        <w:t xml:space="preserve">requires from Member States to give deposits of individuals and SMEs a higher ranking in national</w:t>
      </w:r>
      <w:r>
        <w:t xml:space="preserve"> </w:t>
      </w:r>
      <w:r>
        <w:t xml:space="preserve">insolvency than the claims of ordinary unsecured, non-preferred creditors.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Box 8: Case illustrating issues regarding funding options - the Getin Noble Bank S.A.</w:t>
      </w:r>
      <w:r>
        <w:t xml:space="preserve"> </w:t>
      </w:r>
      <w:r>
        <w:t xml:space="preserve">case</w:t>
      </w:r>
      <w:r>
        <w:t xml:space="preserve"> </w:t>
      </w:r>
      <w:r>
        <w:t xml:space="preserve">Getin Noble Bank S.A. was among the ten largest Polish banks with total assets of</w:t>
      </w:r>
      <w:r>
        <w:t xml:space="preserve"> </w:t>
      </w:r>
      <w:r>
        <w:t xml:space="preserve">approximately EUR 9.2 bn (PLN 44 bn). On 30 September 2022, based on the opinion of</w:t>
      </w:r>
      <w:r>
        <w:t xml:space="preserve"> </w:t>
      </w:r>
      <w:r>
        <w:t xml:space="preserve">the Polish Financial Supervision Authority (Komisja Nadzoru Finansowego, ‘KNF’), the</w:t>
      </w:r>
      <w:r>
        <w:t xml:space="preserve"> </w:t>
      </w:r>
      <w:r>
        <w:t xml:space="preserve">Polish national resolution authority (Bankowy Fundusz Gwarancyjny, ‘BFG’) formally</w:t>
      </w:r>
      <w:r>
        <w:t xml:space="preserve"> </w:t>
      </w:r>
      <w:r>
        <w:t xml:space="preserve">declared the bank to be FOLF and determined that placing the bank into resolution</w:t>
      </w:r>
      <w:r>
        <w:t xml:space="preserve"> </w:t>
      </w:r>
      <w:r>
        <w:t xml:space="preserve">(rather than to follow insolvency proceedings under national law) was in the public</w:t>
      </w:r>
      <w:r>
        <w:t xml:space="preserve"> </w:t>
      </w:r>
      <w:r>
        <w:t xml:space="preserve">interest (positive PIA). Subsequently, the bank was resolved with the use of the bridge</w:t>
      </w:r>
      <w:r>
        <w:t xml:space="preserve"> </w:t>
      </w:r>
      <w:r>
        <w:t xml:space="preserve">bank and bail-in tools. Equity and subordinated debt were fully written down to absorb</w:t>
      </w:r>
      <w:r>
        <w:t xml:space="preserve"> </w:t>
      </w:r>
      <w:r>
        <w:t xml:space="preserve">(part of) the losses. The bridge bank serves as a temporary solution to provide sufficient</w:t>
      </w:r>
      <w:r>
        <w:t xml:space="preserve"> </w:t>
      </w:r>
      <w:r>
        <w:t xml:space="preserve">time to organise an orderly sales process for the assets and liabilities transferred to the</w:t>
      </w:r>
      <w:r>
        <w:t xml:space="preserve"> </w:t>
      </w:r>
      <w:r>
        <w:t xml:space="preserve">bridge bank. The BFG, which is responsible for both the resolution of banks and the</w:t>
      </w:r>
      <w:r>
        <w:t xml:space="preserve"> </w:t>
      </w:r>
      <w:r>
        <w:t xml:space="preserve">guarantee of deposits in Poland provided the newly created bridge bank with direct</w:t>
      </w:r>
      <w:r>
        <w:t xml:space="preserve"> </w:t>
      </w:r>
      <w:r>
        <w:t xml:space="preserve">support measures in the form of cash injections worth around EUR 1.4 bn (PLN 6.9 bn)</w:t>
      </w:r>
      <w:r>
        <w:t xml:space="preserve"> </w:t>
      </w:r>
      <w:r>
        <w:t xml:space="preserve">that were financed through (i) the national resolution fund; and (ii) the national deposit</w:t>
      </w:r>
      <w:r>
        <w:t xml:space="preserve"> </w:t>
      </w:r>
      <w:r>
        <w:t xml:space="preserve">guarantee fund, both under the BFG’s responsibility.</w:t>
      </w:r>
      <w:r>
        <w:t xml:space="preserve"> </w:t>
      </w:r>
      <w:r>
        <w:t xml:space="preserve">In addition, the Polish Commercial Banks’ Protection System (System Ochrony Banków</w:t>
      </w:r>
      <w:r>
        <w:t xml:space="preserve"> </w:t>
      </w:r>
      <w:r>
        <w:t xml:space="preserve">Komercyjnych, ‘SOBK’), comprising the eight largest commercial banks active on the</w:t>
      </w:r>
      <w:r>
        <w:t xml:space="preserve"> </w:t>
      </w:r>
      <w:r>
        <w:t xml:space="preserve">Polish market, was created and decided, on a voluntary basis, to (i) support the operation</w:t>
      </w:r>
      <w:r>
        <w:t xml:space="preserve"> </w:t>
      </w:r>
      <w:r>
        <w:t xml:space="preserve">with approximately EUR 735 million (PLN 3.5 bn) to absorb further losses; and (ii)</w:t>
      </w:r>
      <w:r>
        <w:t xml:space="preserve"> </w:t>
      </w:r>
      <w:r>
        <w:t xml:space="preserve">temporarily purchase a 49% share in the bridge bank322. In this particular case, the</w:t>
      </w:r>
      <w:r>
        <w:t xml:space="preserve"> </w:t>
      </w:r>
      <w:r>
        <w:t xml:space="preserve">balance sheet structure of the bank was mainly funded by deposits323. Instead of</w:t>
      </w:r>
      <w:r>
        <w:t xml:space="preserve"> </w:t>
      </w:r>
      <w:r>
        <w:t xml:space="preserve">liquidating the bank and paying out covered depositors, authorities decided to resolve the</w:t>
      </w:r>
      <w:r>
        <w:t xml:space="preserve"> </w:t>
      </w:r>
      <w:r>
        <w:t xml:space="preserve">bank (preparing for future sale and exit from the market). Meeting the conditions (i.e. </w:t>
      </w:r>
      <w:r>
        <w:t xml:space="preserve"> </w:t>
      </w:r>
      <w:r>
        <w:t xml:space="preserve">minimum 8% TLOF bail-in) for accessing resolution funding would have implied</w:t>
      </w:r>
      <w:r>
        <w:t xml:space="preserve"> </w:t>
      </w:r>
      <w:r>
        <w:t xml:space="preserve">compromising the integrity of its deposits book and imposing losses on depositors. This</w:t>
      </w:r>
      <w:r>
        <w:t xml:space="preserve"> </w:t>
      </w:r>
      <w:r>
        <w:t xml:space="preserve">situation is likely to have motivated the decision of other commercial banks in Poland to</w:t>
      </w:r>
      <w:r>
        <w:t xml:space="preserve"> </w:t>
      </w:r>
      <w:r>
        <w:t xml:space="preserve">voluntarily intervene and contribute to the resolution cost (complementing DGS support)</w:t>
      </w:r>
      <w:r>
        <w:t xml:space="preserve"> </w:t>
      </w:r>
      <w:r>
        <w:t xml:space="preserve">and, in that way, avoid risks of widespread contagion in the national financial market that</w:t>
      </w:r>
      <w:r>
        <w:t xml:space="preserve"> </w:t>
      </w:r>
      <w:r>
        <w:t xml:space="preserve">could have stemmed from the bailing-in of (some) deposits in Getin Noble Bank S.A.</w:t>
      </w:r>
      <w:r>
        <w:t xml:space="preserve"> </w:t>
      </w:r>
      <w:r>
        <w:t xml:space="preserve">This multi-layered funding arrangement illustrates the weakness of the current</w:t>
      </w:r>
      <w:r>
        <w:t xml:space="preserve"> </w:t>
      </w:r>
      <w:r>
        <w:t xml:space="preserve">framework, in particular, the difficulties encountered by certain banks in meeting access</w:t>
      </w:r>
      <w:r>
        <w:t xml:space="preserve"> </w:t>
      </w:r>
      <w:r>
        <w:t xml:space="preserve">conditions for resolution funding and the importance of exploiting synergies between</w:t>
      </w:r>
      <w:r>
        <w:t xml:space="preserve"> </w:t>
      </w:r>
      <w:r>
        <w:t xml:space="preserve">DGSs and RFs324.</w:t>
      </w:r>
      <w:r>
        <w:t xml:space="preserve"> </w:t>
      </w:r>
      <w:r>
        <w:t xml:space="preserve">In what concerns the general depositor preference, consultations with stakeholders</w:t>
      </w:r>
      <w:r>
        <w:t xml:space="preserve"> </w:t>
      </w:r>
      <w:r>
        <w:t xml:space="preserve">confirmed that the bail-in of any deposits is deemed to carry a significant contagion risk</w:t>
      </w:r>
      <w:r>
        <w:t xml:space="preserve"> </w:t>
      </w:r>
      <w:r>
        <w:t xml:space="preserve">to the financial system and to entail political sensitivities, so much so that, despite only</w:t>
      </w:r>
      <w:r>
        <w:t xml:space="preserve"> </w:t>
      </w:r>
      <w:r>
        <w:t xml:space="preserve">covered deposits being in the list of mandatory exclusions from bail-in in Article 44(2)</w:t>
      </w:r>
    </w:p>
    <w:p>
      <w:pPr>
        <w:pStyle w:val="BodyText"/>
      </w:pPr>
      <w:r>
        <w:t xml:space="preserve">322 Source: European Commission’s press release (01 October 2022) State aid: Commission approves aid</w:t>
      </w:r>
      <w:r>
        <w:t xml:space="preserve"> </w:t>
      </w:r>
      <w:r>
        <w:t xml:space="preserve">to support the resolution of the Polish Getin Noble Bank S.A.</w:t>
      </w:r>
      <w:r>
        <w:t xml:space="preserve"> </w:t>
      </w:r>
      <w:r>
        <w:t xml:space="preserve">323 Source: BGF (3 October 2022) – Resolution of Getin Noble Bank SA.</w:t>
      </w:r>
      <w:r>
        <w:t xml:space="preserve"> </w:t>
      </w:r>
      <w:r>
        <w:t xml:space="preserve">324 Relates to problem 2 and its first driver addressed in this impact assessment (Chapter 2, section 2.2.1)</w:t>
      </w:r>
      <w:r>
        <w:t xml:space="preserve"> </w:t>
      </w:r>
      <w:r>
        <w:t xml:space="preserve">and in section 7.1.2.3 of the evaluation.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BRRD, resolution authorities generally expect to have to exclude (all) other deposits on a</w:t>
      </w:r>
      <w:r>
        <w:t xml:space="preserve"> </w:t>
      </w:r>
      <w:r>
        <w:t xml:space="preserve">discretionary basis from bearing losses in resolution under Article 44(3) BRRD. When</w:t>
      </w:r>
      <w:r>
        <w:t xml:space="preserve"> </w:t>
      </w:r>
      <w:r>
        <w:t xml:space="preserve">some of those deposits rank pari passu with senior bail-inable liabilities, their exclusion</w:t>
      </w:r>
      <w:r>
        <w:t xml:space="preserve"> </w:t>
      </w:r>
      <w:r>
        <w:t xml:space="preserve">has the potential to create NCWO325 problems, particularly considering that they tend to</w:t>
      </w:r>
      <w:r>
        <w:t xml:space="preserve"> </w:t>
      </w:r>
      <w:r>
        <w:t xml:space="preserve">represent a significant percentage of the total senior class.326</w:t>
      </w:r>
      <w:r>
        <w:t xml:space="preserve"> </w:t>
      </w:r>
      <w:r>
        <w:t xml:space="preserve">Besides the challenges described above in meeting the minimum 8% TLOF327 condition</w:t>
      </w:r>
      <w:r>
        <w:t xml:space="preserve"> </w:t>
      </w:r>
      <w:r>
        <w:t xml:space="preserve">to access resolution funding, the 5% TLOF cap on the usage of such funding328 may also</w:t>
      </w:r>
      <w:r>
        <w:t xml:space="preserve"> </w:t>
      </w:r>
      <w:r>
        <w:t xml:space="preserve">be problematic for certain banks, in particular when it results in a small amount of</w:t>
      </w:r>
      <w:r>
        <w:t xml:space="preserve"> </w:t>
      </w:r>
      <w:r>
        <w:t xml:space="preserve">funding allowed to be used, which may not be deemed sufficient to ensure the execution</w:t>
      </w:r>
      <w:r>
        <w:t xml:space="preserve"> </w:t>
      </w:r>
      <w:r>
        <w:t xml:space="preserve">of the resolution strategy.</w:t>
      </w:r>
      <w:r>
        <w:br/>
      </w:r>
      <w:r>
        <w:t xml:space="preserve">It is arguable that a proportionate approach to managing bank failures should ensure that</w:t>
      </w:r>
      <w:r>
        <w:t xml:space="preserve"> </w:t>
      </w:r>
      <w:r>
        <w:t xml:space="preserve">entities can access funding sources without having to structurally modify their business</w:t>
      </w:r>
      <w:r>
        <w:t xml:space="preserve"> </w:t>
      </w:r>
      <w:r>
        <w:t xml:space="preserve">model. The existence of a variety of business models is an important element to ensure a</w:t>
      </w:r>
      <w:r>
        <w:t xml:space="preserve"> </w:t>
      </w:r>
      <w:r>
        <w:t xml:space="preserve">diversified, dynamic and competitive banking market.</w:t>
      </w:r>
      <w:r>
        <w:t xml:space="preserve"> </w:t>
      </w:r>
      <w:r>
        <w:t xml:space="preserve">a) Divergent access requirements for the resolution fund and for funding outside</w:t>
      </w:r>
      <w:r>
        <w:t xml:space="preserve"> </w:t>
      </w:r>
      <w:r>
        <w:t xml:space="preserve">resolution</w:t>
      </w:r>
      <w:r>
        <w:br/>
      </w:r>
      <w:r>
        <w:t xml:space="preserve">In two cases of banks for which a FOLF determination was issued by the competent</w:t>
      </w:r>
      <w:r>
        <w:t xml:space="preserve"> </w:t>
      </w:r>
      <w:r>
        <w:t xml:space="preserve">supervisory authority, there was no need to look into possible difficulties in accessing</w:t>
      </w:r>
      <w:r>
        <w:t xml:space="preserve"> </w:t>
      </w:r>
      <w:r>
        <w:t xml:space="preserve">resolution financing due to a negative PIA and the usage of tools outside resolution and,</w:t>
      </w:r>
      <w:r>
        <w:t xml:space="preserve"> </w:t>
      </w:r>
      <w:r>
        <w:t xml:space="preserve">inarguably, with more easily accessible sources of funding. In the Banking Union, in the</w:t>
      </w:r>
      <w:r>
        <w:t xml:space="preserve"> </w:t>
      </w:r>
      <w:r>
        <w:t xml:space="preserve">above-mentioned two cases where resolution was not deemed to be in the public interest,</w:t>
      </w:r>
      <w:r>
        <w:t xml:space="preserve"> </w:t>
      </w:r>
      <w:r>
        <w:t xml:space="preserve">banks benefited from public support under national insolvency proceedings (including</w:t>
      </w:r>
      <w:r>
        <w:t xml:space="preserve"> </w:t>
      </w:r>
      <w:r>
        <w:t xml:space="preserve">from the public budget). In other past interventions observed, national authorities granted</w:t>
      </w:r>
      <w:r>
        <w:t xml:space="preserve"> </w:t>
      </w:r>
      <w:r>
        <w:t xml:space="preserve">support to banks, which were rather close to a situation of failure, in the form of</w:t>
      </w:r>
      <w:r>
        <w:t xml:space="preserve"> </w:t>
      </w:r>
      <w:r>
        <w:t xml:space="preserve">preventive measures under Article 11(3) DGSD. Both the use of aid under national</w:t>
      </w:r>
      <w:r>
        <w:t xml:space="preserve"> </w:t>
      </w:r>
      <w:r>
        <w:t xml:space="preserve">insolvency proceedings and Article 11(3) DGSD are subject to different (and arguably</w:t>
      </w:r>
      <w:r>
        <w:t xml:space="preserve"> </w:t>
      </w:r>
      <w:r>
        <w:t xml:space="preserve">less-stringent) conditions than those for the use of the resolution funds under the SRMR</w:t>
      </w:r>
      <w:r>
        <w:t xml:space="preserve"> </w:t>
      </w:r>
      <w:r>
        <w:t xml:space="preserve">and BRRD leading to a disincentive to use resolution.</w:t>
      </w:r>
      <w:r>
        <w:br/>
      </w:r>
      <w:r>
        <w:t xml:space="preserve">In particular, public support may be available outside resolution and accessible under</w:t>
      </w:r>
      <w:r>
        <w:t xml:space="preserve"> </w:t>
      </w:r>
      <w:r>
        <w:t xml:space="preserve">more advantageous conditions from the point of view of allocating losses to the bank’s</w:t>
      </w:r>
      <w:r>
        <w:t xml:space="preserve"> </w:t>
      </w:r>
      <w:r>
        <w:t xml:space="preserve">creditors. Some of these solutions are of preventive nature, and the lower burden sharing</w:t>
      </w:r>
      <w:r>
        <w:t xml:space="preserve"> </w:t>
      </w:r>
      <w:r>
        <w:t xml:space="preserve">is combined (and justified) by additional conditions ensuring that the bank is not FOLF.</w:t>
      </w:r>
      <w:r>
        <w:t xml:space="preserve"> </w:t>
      </w:r>
      <w:r>
        <w:t xml:space="preserve">First, public funds can be used to provide capital injections or liquidity support to banks</w:t>
      </w:r>
      <w:r>
        <w:t xml:space="preserve"> </w:t>
      </w:r>
      <w:r>
        <w:t xml:space="preserve">in a “precautionary” way, under specific circumstances, set out in the BRRD. The</w:t>
      </w:r>
      <w:r>
        <w:t xml:space="preserve"> </w:t>
      </w:r>
      <w:r>
        <w:t xml:space="preserve">relevant provisions (Article 32 BRRD) provide requirements and conditions to ensure</w:t>
      </w:r>
      <w:r>
        <w:t xml:space="preserve"> </w:t>
      </w:r>
      <w:r>
        <w:t xml:space="preserve">that the intervention is timely and precautionary in nature, in particular, that the support</w:t>
      </w:r>
      <w:r>
        <w:t xml:space="preserve"> </w:t>
      </w:r>
      <w:r>
        <w:t xml:space="preserve">is granted to a solvent bank whose financial condition has not deteriorated to a point of</w:t>
      </w:r>
    </w:p>
    <w:p>
      <w:pPr>
        <w:pStyle w:val="BodyText"/>
      </w:pPr>
      <w:r>
        <w:t xml:space="preserve">325 Resolution authorities must ensure that the application of resolution tools would not make creditors</w:t>
      </w:r>
      <w:r>
        <w:t xml:space="preserve"> </w:t>
      </w:r>
      <w:r>
        <w:t xml:space="preserve">worse-off than they would have been in insolvency (“no creditor worse off” (NCWO) principle).</w:t>
      </w:r>
      <w:r>
        <w:t xml:space="preserve"> </w:t>
      </w:r>
      <w:r>
        <w:t xml:space="preserve">326 See also Annex 8 of the impact assessment.</w:t>
      </w:r>
      <w:r>
        <w:t xml:space="preserve"> </w:t>
      </w:r>
      <w:r>
        <w:t xml:space="preserve">327 As explained in sub-section (a), according to the informal interpretation of the Commission’s services of</w:t>
      </w:r>
      <w:r>
        <w:t xml:space="preserve"> </w:t>
      </w:r>
      <w:r>
        <w:t xml:space="preserve">the relevant legal provisions in the BRRD/SRMR, the use of the RF/SRF for the provision of liquidity in</w:t>
      </w:r>
      <w:r>
        <w:t xml:space="preserve"> </w:t>
      </w:r>
      <w:r>
        <w:t xml:space="preserve">resolution is not subject to the 8% minimum bail-in requirement.</w:t>
      </w:r>
      <w:r>
        <w:t xml:space="preserve"> </w:t>
      </w:r>
      <w:r>
        <w:t xml:space="preserve">328 The cap could be exceeded under condition that all unsecured, non-preferred liabilities, other than</w:t>
      </w:r>
      <w:r>
        <w:t xml:space="preserve"> </w:t>
      </w:r>
      <w:r>
        <w:t xml:space="preserve">eligible deposits, have been written down or converted in full (Article 44(7)(b)).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failure and that the aid is minimised. Second, DGS funding of measures, pursuant to</w:t>
      </w:r>
      <w:r>
        <w:t xml:space="preserve"> </w:t>
      </w:r>
      <w:r>
        <w:t xml:space="preserve">Article 11(3) DGSD which can be used to prevent the bank’s failure (preventive</w:t>
      </w:r>
      <w:r>
        <w:t xml:space="preserve"> </w:t>
      </w:r>
      <w:r>
        <w:t xml:space="preserve">measures) may also qualify, as State aid or not, depending on the circumstances of the</w:t>
      </w:r>
      <w:r>
        <w:t xml:space="preserve"> </w:t>
      </w:r>
      <w:r>
        <w:t xml:space="preserve">case.329 Also, in this case, conditions exist to ensure that the support is granted as a</w:t>
      </w:r>
      <w:r>
        <w:t xml:space="preserve"> </w:t>
      </w:r>
      <w:r>
        <w:t xml:space="preserve">preventive measure to a non-FOLF bank. As outlined in Chapter 2 of the impact</w:t>
      </w:r>
      <w:r>
        <w:t xml:space="preserve"> </w:t>
      </w:r>
      <w:r>
        <w:t xml:space="preserve">assessment, the functioning of these measures in line with the logic of resolution is</w:t>
      </w:r>
      <w:r>
        <w:t xml:space="preserve"> </w:t>
      </w:r>
      <w:r>
        <w:t xml:space="preserve">dependent on these conditions being clear and correctly applied.</w:t>
      </w:r>
      <w:r>
        <w:br/>
      </w:r>
      <w:r>
        <w:t xml:space="preserve">In addition to these precautionary and preventive measures, funding of the failure of a</w:t>
      </w:r>
      <w:r>
        <w:t xml:space="preserve"> </w:t>
      </w:r>
      <w:r>
        <w:t xml:space="preserve">bank through public budgets is possible, in insolvency proceedings, when the PIA is</w:t>
      </w:r>
      <w:r>
        <w:t xml:space="preserve"> </w:t>
      </w:r>
      <w:r>
        <w:t xml:space="preserve">negative (liquidation aid). Alternative measures financed by the DGS in insolvency</w:t>
      </w:r>
      <w:r>
        <w:t xml:space="preserve"> </w:t>
      </w:r>
      <w:r>
        <w:t xml:space="preserve">proceedings may also be subjected to the State aid conditionality for liquidation aid, on a</w:t>
      </w:r>
      <w:r>
        <w:t xml:space="preserve"> </w:t>
      </w:r>
      <w:r>
        <w:t xml:space="preserve">case-by-case basis.</w:t>
      </w:r>
      <w:r>
        <w:br/>
      </w:r>
      <w:r>
        <w:t xml:space="preserve">Compared to the 8% TLOF bail-in requirement to access resolution funding, which could</w:t>
      </w:r>
      <w:r>
        <w:t xml:space="preserve"> </w:t>
      </w:r>
      <w:r>
        <w:t xml:space="preserve">entail bailing-in senior unsecured creditors, including non-preferred, non-covered</w:t>
      </w:r>
      <w:r>
        <w:t xml:space="preserve"> </w:t>
      </w:r>
      <w:r>
        <w:t xml:space="preserve">deposits330, access conditions under the State aid rules (mainly governed by the</w:t>
      </w:r>
      <w:r>
        <w:t xml:space="preserve"> </w:t>
      </w:r>
      <w:r>
        <w:t xml:space="preserve">Commission’s 2013 Banking Communication331) require adequate burden-sharing</w:t>
      </w:r>
      <w:r>
        <w:t xml:space="preserve"> </w:t>
      </w:r>
      <w:r>
        <w:t xml:space="preserve">entailing, after losses are first absorbed by equity, contributions by hybrid capital holders</w:t>
      </w:r>
      <w:r>
        <w:t xml:space="preserve"> </w:t>
      </w:r>
      <w:r>
        <w:t xml:space="preserve">and subordinated debt holders, which may be less demanding. The fact that external</w:t>
      </w:r>
      <w:r>
        <w:t xml:space="preserve"> </w:t>
      </w:r>
      <w:r>
        <w:t xml:space="preserve">financing outside resolution could be easier to access and could be provided with fewer</w:t>
      </w:r>
      <w:r>
        <w:t xml:space="preserve"> </w:t>
      </w:r>
      <w:r>
        <w:t xml:space="preserve">limitations for the bank’s creditors, than financing arrangements in resolution, creates</w:t>
      </w:r>
      <w:r>
        <w:t xml:space="preserve"> </w:t>
      </w:r>
      <w:r>
        <w:t xml:space="preserve">room for arbitrage and may incentivise resolution authorities to look for solutions outside</w:t>
      </w:r>
      <w:r>
        <w:t xml:space="preserve"> </w:t>
      </w:r>
      <w:r>
        <w:t xml:space="preserve">the resolution framework. This effect is exacerbated by the fact that, in applying the PIA</w:t>
      </w:r>
      <w:r>
        <w:t xml:space="preserve"> </w:t>
      </w:r>
      <w:r>
        <w:t xml:space="preserve">so far, resolution authorities have not in all cases taken into consideration the possibility</w:t>
      </w:r>
      <w:r>
        <w:t xml:space="preserve"> </w:t>
      </w:r>
      <w:r>
        <w:t xml:space="preserve">of granting aid in insolvency (which would matter from the perspective of ensuring the</w:t>
      </w:r>
      <w:r>
        <w:t xml:space="preserve"> </w:t>
      </w:r>
      <w:r>
        <w:t xml:space="preserve">minimisation in the use of extraordinary financial support, see Section 7.1.3.4 for more</w:t>
      </w:r>
      <w:r>
        <w:t xml:space="preserve"> </w:t>
      </w:r>
      <w:r>
        <w:t xml:space="preserve">details).</w:t>
      </w:r>
      <w:r>
        <w:t xml:space="preserve"> </w:t>
      </w:r>
      <w:r>
        <w:t xml:space="preserve">Box 9: Divergences in conditions to access funding for resolution fund and for</w:t>
      </w:r>
      <w:r>
        <w:t xml:space="preserve"> </w:t>
      </w:r>
      <w:r>
        <w:t xml:space="preserve">funding outside resolution under the State aid framework</w:t>
      </w:r>
      <w:r>
        <w:t xml:space="preserve"> </w:t>
      </w:r>
      <w:r>
        <w:t xml:space="preserve">Access conditions to resolution funding</w:t>
      </w:r>
      <w:r>
        <w:t xml:space="preserve"> </w:t>
      </w:r>
      <w:r>
        <w:t xml:space="preserve">The BRRD (recital 73, Article 44(5) and 37(10)) stipulates that, when discretionary</w:t>
      </w:r>
      <w:r>
        <w:t xml:space="preserve"> </w:t>
      </w:r>
      <w:r>
        <w:t xml:space="preserve">exclusions to bail-in are applied in connection with certain creditors (e.g. on grounds of</w:t>
      </w:r>
      <w:r>
        <w:t xml:space="preserve"> </w:t>
      </w:r>
      <w:r>
        <w:t xml:space="preserve">protecting financial stability or because such creditors would be difficult to bail-in within</w:t>
      </w:r>
      <w:r>
        <w:t xml:space="preserve"> </w:t>
      </w:r>
      <w:r>
        <w:t xml:space="preserve">a reasonable timeframe), and where the losses cannot be passed to other creditors, the</w:t>
      </w:r>
      <w:r>
        <w:t xml:space="preserve"> </w:t>
      </w:r>
      <w:r>
        <w:t xml:space="preserve">resolution financing arrangement may make a contribution to the institution under</w:t>
      </w:r>
      <w:r>
        <w:t xml:space="preserve"> </w:t>
      </w:r>
      <w:r>
        <w:t xml:space="preserve">resolution subject to a number of strict conditions. These conditions include the</w:t>
      </w:r>
      <w:r>
        <w:t xml:space="preserve"> </w:t>
      </w:r>
      <w:r>
        <w:t xml:space="preserve">requirement that losses totalling not less than 8% of total liabilities including own funds</w:t>
      </w:r>
      <w:r>
        <w:t xml:space="preserve"> </w:t>
      </w:r>
      <w:r>
        <w:t xml:space="preserve">(TLOF) have already been absorbed, and the funding provided by the resolution fund is</w:t>
      </w:r>
      <w:r>
        <w:t xml:space="preserve"> </w:t>
      </w:r>
      <w:r>
        <w:t xml:space="preserve">limited to the lower of 5% of TLOF or the means available to the resolution fund and the</w:t>
      </w:r>
    </w:p>
    <w:p>
      <w:pPr>
        <w:pStyle w:val="BodyText"/>
      </w:pPr>
      <w:r>
        <w:t xml:space="preserve">329 See sub-section (c) for more details on the alternative and preventive measures under DGSD.</w:t>
      </w:r>
      <w:r>
        <w:br/>
      </w:r>
      <w:r>
        <w:t xml:space="preserve">330 See Annex 7 on the impact of bail-in on uncovered (and in some cases covered) deposits under different</w:t>
      </w:r>
      <w:r>
        <w:t xml:space="preserve"> </w:t>
      </w:r>
      <w:r>
        <w:t xml:space="preserve">scenarios.</w:t>
      </w:r>
      <w:r>
        <w:t xml:space="preserve"> </w:t>
      </w:r>
      <w:r>
        <w:t xml:space="preserve">331 European Commission (2013), Banking Communication.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amount that can be raised through ex post contributions within three years. In accordance</w:t>
      </w:r>
      <w:r>
        <w:t xml:space="preserve"> </w:t>
      </w:r>
      <w:r>
        <w:t xml:space="preserve">with the changes introduced in Article 59 BRRD by the 2019 Banking Package, the</w:t>
      </w:r>
      <w:r>
        <w:t xml:space="preserve"> </w:t>
      </w:r>
      <w:r>
        <w:t xml:space="preserve">amount by which CET1 items are reduced to absorb losses as identified in the valuation</w:t>
      </w:r>
      <w:r>
        <w:t xml:space="preserve"> </w:t>
      </w:r>
      <w:r>
        <w:t xml:space="preserve">carried out under Article 36, including the valuation for the purposes of assessing</w:t>
      </w:r>
      <w:r>
        <w:t xml:space="preserve"> </w:t>
      </w:r>
      <w:r>
        <w:t xml:space="preserve">whether the conditions for resolution are met, count towards the 8% of TLOF threshold.</w:t>
      </w:r>
      <w:r>
        <w:t xml:space="preserve"> </w:t>
      </w:r>
      <w:r>
        <w:t xml:space="preserve">Access conditions under State aid rules</w:t>
      </w:r>
      <w:r>
        <w:t xml:space="preserve"> </w:t>
      </w:r>
      <w:r>
        <w:t xml:space="preserve">The 2013 Banking Communication (paragraphs 40-42) sets out the minimum burden-</w:t>
      </w:r>
      <w:r>
        <w:t xml:space="preserve"> </w:t>
      </w:r>
      <w:r>
        <w:t xml:space="preserve">sharing requirement that would, provided that other considerations are also met, enable</w:t>
      </w:r>
      <w:r>
        <w:t xml:space="preserve"> </w:t>
      </w:r>
      <w:r>
        <w:t xml:space="preserve">the granting of aid. To reduce the moral hazard that State aid could cause, aid should</w:t>
      </w:r>
      <w:r>
        <w:t xml:space="preserve"> </w:t>
      </w:r>
      <w:r>
        <w:t xml:space="preserve">only be granted on terms which involve adequate burden-sharing by existing investors.</w:t>
      </w:r>
      <w:r>
        <w:t xml:space="preserve"> </w:t>
      </w:r>
      <w:r>
        <w:t xml:space="preserve">Adequate burden-sharing will normally entail, after losses are first absorbed by equity,</w:t>
      </w:r>
      <w:r>
        <w:t xml:space="preserve"> </w:t>
      </w:r>
      <w:r>
        <w:t xml:space="preserve">contributions by hybrid capital holders and subordinated debt holders. Hybrid capital and</w:t>
      </w:r>
      <w:r>
        <w:t xml:space="preserve"> </w:t>
      </w:r>
      <w:r>
        <w:t xml:space="preserve">subordinated debt holders must contribute to reducing the capital shortfall to the</w:t>
      </w:r>
      <w:r>
        <w:t xml:space="preserve"> </w:t>
      </w:r>
      <w:r>
        <w:t xml:space="preserve">maximum extent. Such contributions can take the form of either a conversion into</w:t>
      </w:r>
      <w:r>
        <w:t xml:space="preserve"> </w:t>
      </w:r>
      <w:r>
        <w:t xml:space="preserve">Common Equity Tier 1 or a write-down of the principal of the instruments. The State aid</w:t>
      </w:r>
      <w:r>
        <w:t xml:space="preserve"> </w:t>
      </w:r>
      <w:r>
        <w:t xml:space="preserve">rules do not require contribution from senior debt holders (in particular from insured</w:t>
      </w:r>
      <w:r>
        <w:t xml:space="preserve"> </w:t>
      </w:r>
      <w:r>
        <w:t xml:space="preserve">deposits, uninsured deposits, bonds and all other senior debt) as a mandatory component</w:t>
      </w:r>
      <w:r>
        <w:t xml:space="preserve"> </w:t>
      </w:r>
      <w:r>
        <w:t xml:space="preserve">of burden- sharing whether by conversion into capital or by write-down of the</w:t>
      </w:r>
      <w:r>
        <w:t xml:space="preserve"> </w:t>
      </w:r>
      <w:r>
        <w:t xml:space="preserve">instruments.</w:t>
      </w:r>
      <w:r>
        <w:t xml:space="preserve"> </w:t>
      </w:r>
      <w:r>
        <w:t xml:space="preserve">For a significant number of banks in the EU, bailing-in 8% TLOF to access resolution</w:t>
      </w:r>
      <w:r>
        <w:t xml:space="preserve"> </w:t>
      </w:r>
      <w:r>
        <w:t xml:space="preserve">funding would also entail bailing-in senior unsecured creditors, including non-preferred,</w:t>
      </w:r>
      <w:r>
        <w:t xml:space="preserve"> </w:t>
      </w:r>
      <w:r>
        <w:t xml:space="preserve">non-covered deposits. This concludes that the access conditions are stricter in resolution</w:t>
      </w:r>
      <w:r>
        <w:t xml:space="preserve"> </w:t>
      </w:r>
      <w:r>
        <w:t xml:space="preserve">than under the State aid rules. The design and interaction between funding solutions in</w:t>
      </w:r>
      <w:r>
        <w:t xml:space="preserve"> </w:t>
      </w:r>
      <w:r>
        <w:t xml:space="preserve">and outside the framework play a central role in the shaping of incentives to apply the</w:t>
      </w:r>
      <w:r>
        <w:t xml:space="preserve"> </w:t>
      </w:r>
      <w:r>
        <w:t xml:space="preserve">CMDI framework.</w:t>
      </w:r>
      <w:r>
        <w:t xml:space="preserve"> </w:t>
      </w:r>
      <w:r>
        <w:t xml:space="preserve">The divergences mentioned above can create a risk of inconsistent solutions across</w:t>
      </w:r>
      <w:r>
        <w:t xml:space="preserve"> </w:t>
      </w:r>
      <w:r>
        <w:t xml:space="preserve">Member States and reduce the predictability of the framework. Moreover, the possibility</w:t>
      </w:r>
      <w:r>
        <w:t xml:space="preserve"> </w:t>
      </w:r>
      <w:r>
        <w:t xml:space="preserve">to use public budgets (i. e. taxpayers’ funds) outside resolution, which in principle should</w:t>
      </w:r>
      <w:r>
        <w:t xml:space="preserve"> </w:t>
      </w:r>
      <w:r>
        <w:t xml:space="preserve">be avoided or strictly limited to avoid risks of moral hazard, creates a need to reconsider</w:t>
      </w:r>
      <w:r>
        <w:t xml:space="preserve"> </w:t>
      </w:r>
      <w:r>
        <w:t xml:space="preserve">whether the framework can be improved to achieve its objectives with more clarity and</w:t>
      </w:r>
      <w:r>
        <w:t xml:space="preserve"> </w:t>
      </w:r>
      <w:r>
        <w:t xml:space="preserve">predictability. This would in turn promote a more consistent approach to the management</w:t>
      </w:r>
      <w:r>
        <w:t xml:space="preserve"> </w:t>
      </w:r>
      <w:r>
        <w:t xml:space="preserve">of bank failures, including in terms of increased level playing field at EU level.</w:t>
      </w:r>
      <w:r>
        <w:t xml:space="preserve"> </w:t>
      </w:r>
      <w:r>
        <w:t xml:space="preserve">DGS funding in resolution and insolvency</w:t>
      </w:r>
      <w:r>
        <w:t xml:space="preserve"> </w:t>
      </w:r>
      <w:r>
        <w:t xml:space="preserve">Article 109 BRRD provides for the use of DGS funding in resolution, in addition to the</w:t>
      </w:r>
      <w:r>
        <w:t xml:space="preserve"> </w:t>
      </w:r>
      <w:r>
        <w:t xml:space="preserve">resolution fund. The provision sets out several conditions for the intervention. The DGS</w:t>
      </w:r>
      <w:r>
        <w:t xml:space="preserve"> </w:t>
      </w:r>
      <w:r>
        <w:t xml:space="preserve">support in resolution is established, in principle, to an amount equal to the losses borne</w:t>
      </w:r>
      <w:r>
        <w:t xml:space="preserve"> </w:t>
      </w:r>
      <w:r>
        <w:t xml:space="preserve">by covered deposits if they were exposed to bail-in or could bear losses under another</w:t>
      </w:r>
      <w:r>
        <w:t xml:space="preserve"> </w:t>
      </w:r>
      <w:r>
        <w:t xml:space="preserve">resolution strategy. In addition, the DGS’s liability is limited to the amount of losses that</w:t>
      </w:r>
      <w:r>
        <w:t xml:space="preserve"> </w:t>
      </w:r>
      <w:r>
        <w:t xml:space="preserve">the DGS would have borne under an insolvency counterfactual332. This provision has not</w:t>
      </w:r>
    </w:p>
    <w:p>
      <w:pPr>
        <w:pStyle w:val="BodyText"/>
      </w:pPr>
      <w:r>
        <w:t xml:space="preserve">332 Based on the so-called least cost test.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been used, so far, in practice. The difficulties in providing funding in resolution from the</w:t>
      </w:r>
      <w:r>
        <w:t xml:space="preserve"> </w:t>
      </w:r>
      <w:r>
        <w:t xml:space="preserve">DGS relate to certain other conditions set out in Article 109 BRRD.</w:t>
      </w:r>
      <w:r>
        <w:br/>
      </w:r>
      <w:r>
        <w:t xml:space="preserve">Particularly, conditions under paragraphs (1)(a) and (b) are restrictive and difficult to</w:t>
      </w:r>
      <w:r>
        <w:t xml:space="preserve"> </w:t>
      </w:r>
      <w:r>
        <w:t xml:space="preserve">operationalise, particularly the limitation that the DGS is liable for the losses that covered</w:t>
      </w:r>
      <w:r>
        <w:t xml:space="preserve"> </w:t>
      </w:r>
      <w:r>
        <w:t xml:space="preserve">deposits would have suffered had they been bailed-in at the same time as creditors with</w:t>
      </w:r>
      <w:r>
        <w:t xml:space="preserve"> </w:t>
      </w:r>
      <w:r>
        <w:t xml:space="preserve">the same ranking. Considering that covered deposits benefit from super-preference in the</w:t>
      </w:r>
      <w:r>
        <w:t xml:space="preserve"> </w:t>
      </w:r>
      <w:r>
        <w:t xml:space="preserve">ranking of claims and that the value of assets in resolution is in principle higher than in</w:t>
      </w:r>
      <w:r>
        <w:t xml:space="preserve"> </w:t>
      </w:r>
      <w:r>
        <w:t xml:space="preserve">insolvency, in most cases covered deposits would not have been called upon to bear</w:t>
      </w:r>
      <w:r>
        <w:t xml:space="preserve"> </w:t>
      </w:r>
      <w:r>
        <w:t xml:space="preserve">losses in resolution to enable the DGS to step in. Additionally, this provision introduces</w:t>
      </w:r>
      <w:r>
        <w:t xml:space="preserve"> </w:t>
      </w:r>
      <w:r>
        <w:t xml:space="preserve">limitations on the maximum amount of the DGS contribution, which may not exceed the</w:t>
      </w:r>
      <w:r>
        <w:t xml:space="preserve"> </w:t>
      </w:r>
      <w:r>
        <w:t xml:space="preserve">losses that the DGS would have borne in an insolvency counterfactual nor 50% of its</w:t>
      </w:r>
      <w:r>
        <w:t xml:space="preserve"> </w:t>
      </w:r>
      <w:r>
        <w:t xml:space="preserve">target level.</w:t>
      </w:r>
      <w:r>
        <w:t xml:space="preserve"> </w:t>
      </w:r>
      <w:r>
        <w:t xml:space="preserve">In order to operationalise the application of the provision, and to preserve its effet utile</w:t>
      </w:r>
      <w:r>
        <w:t xml:space="preserve"> </w:t>
      </w:r>
      <w:r>
        <w:t xml:space="preserve">the Commission services support the interpretation333 that under Article 109 BRRD, DGS</w:t>
      </w:r>
      <w:r>
        <w:t xml:space="preserve"> </w:t>
      </w:r>
      <w:r>
        <w:t xml:space="preserve">funds may be used to support the transfer of eligible deposits in resolution provided that</w:t>
      </w:r>
      <w:r>
        <w:t xml:space="preserve"> </w:t>
      </w:r>
      <w:r>
        <w:t xml:space="preserve">such contribution is instrumental to ensuring access of depositors to their covered</w:t>
      </w:r>
      <w:r>
        <w:t xml:space="preserve"> </w:t>
      </w:r>
      <w:r>
        <w:t xml:space="preserve">deposits. In particular, DGS funds may be used to inject an amount equal to the</w:t>
      </w:r>
      <w:r>
        <w:t xml:space="preserve"> </w:t>
      </w:r>
      <w:r>
        <w:t xml:space="preserve">difference between eligible deposits and assets, provided that the “least cost” principle is</w:t>
      </w:r>
      <w:r>
        <w:t xml:space="preserve"> </w:t>
      </w:r>
      <w:r>
        <w:t xml:space="preserve">respected (i.e. provided that the costs borne by the DGS do not exceed the net amount of</w:t>
      </w:r>
      <w:r>
        <w:t xml:space="preserve"> </w:t>
      </w:r>
      <w:r>
        <w:t xml:space="preserve">compensating covered depositors at the credit institution concerned, in the context of</w:t>
      </w:r>
      <w:r>
        <w:t xml:space="preserve"> </w:t>
      </w:r>
      <w:r>
        <w:t xml:space="preserve">national insolvency proceedings.) Notwithstanding this interpretation, it is appropriate to</w:t>
      </w:r>
      <w:r>
        <w:t xml:space="preserve"> </w:t>
      </w:r>
      <w:r>
        <w:t xml:space="preserve">consider revising the wording of the provision to clarify the reading of the provision in</w:t>
      </w:r>
      <w:r>
        <w:t xml:space="preserve"> </w:t>
      </w:r>
      <w:r>
        <w:t xml:space="preserve">line with the approach mentioned here.</w:t>
      </w:r>
      <w:r>
        <w:t xml:space="preserve"> </w:t>
      </w:r>
      <w:r>
        <w:t xml:space="preserve">As mentioned in sub-section (b) funding sources from the DGS are also available for</w:t>
      </w:r>
      <w:r>
        <w:t xml:space="preserve"> </w:t>
      </w:r>
      <w:r>
        <w:t xml:space="preserve">banks that do not meet the PIA and are put in insolvency according to the applicable</w:t>
      </w:r>
      <w:r>
        <w:t xml:space="preserve"> </w:t>
      </w:r>
      <w:r>
        <w:t xml:space="preserve">national law (alternative measures). The DGS can provide funding to support a transfer</w:t>
      </w:r>
      <w:r>
        <w:t xml:space="preserve"> </w:t>
      </w:r>
      <w:r>
        <w:t xml:space="preserve">transaction to the extent that this is necessary to preserve access to covered deposits and</w:t>
      </w:r>
      <w:r>
        <w:t xml:space="preserve"> </w:t>
      </w:r>
      <w:r>
        <w:t xml:space="preserve">that it complies with the least cost test (LCT) and State aid rules, as applicable. The LCT</w:t>
      </w:r>
      <w:r>
        <w:t xml:space="preserve"> </w:t>
      </w:r>
      <w:r>
        <w:t xml:space="preserve">requires that the loss for the DGS is lower than the loss it would have borne in case of</w:t>
      </w:r>
      <w:r>
        <w:t xml:space="preserve"> </w:t>
      </w:r>
      <w:r>
        <w:t xml:space="preserve">payout in insolvency, while the qualification of the DGS use as State aid would entail a</w:t>
      </w:r>
      <w:r>
        <w:t xml:space="preserve"> </w:t>
      </w:r>
      <w:r>
        <w:t xml:space="preserve">minimum burden sharing by shareholders, hybrid capital holders and subordinated</w:t>
      </w:r>
      <w:r>
        <w:t xml:space="preserve"> </w:t>
      </w:r>
      <w:r>
        <w:t xml:space="preserve">debtholders, for its authorisation. Also in this case, the DGS’ super preference creates a</w:t>
      </w:r>
      <w:r>
        <w:t xml:space="preserve"> </w:t>
      </w:r>
      <w:r>
        <w:t xml:space="preserve">substantial limitation to the possibility for the DGS to provide funding.</w:t>
      </w:r>
      <w:r>
        <w:t xml:space="preserve"> </w:t>
      </w:r>
      <w:r>
        <w:t xml:space="preserve">The access conditions to DGS funding in resolution and insolvency are not aligned,</w:t>
      </w:r>
      <w:r>
        <w:t xml:space="preserve"> </w:t>
      </w:r>
      <w:r>
        <w:t xml:space="preserve">which makes the use of funds subject to uncertainty. Finally, the opportunity to use DGS</w:t>
      </w:r>
      <w:r>
        <w:t xml:space="preserve"> </w:t>
      </w:r>
      <w:r>
        <w:t xml:space="preserve">funding in resolution or insolvency entails different arbitrage depending on whether the</w:t>
      </w:r>
      <w:r>
        <w:t xml:space="preserve"> </w:t>
      </w:r>
      <w:r>
        <w:t xml:space="preserve">potential intervention is in a Banking Union or non-Banking union context. For non -</w:t>
      </w:r>
      <w:r>
        <w:t xml:space="preserve"> </w:t>
      </w:r>
      <w:r>
        <w:t xml:space="preserve">Banking Union Members States, both resolution and DGS funds are financed by the</w:t>
      </w:r>
      <w:r>
        <w:t xml:space="preserve"> </w:t>
      </w:r>
      <w:r>
        <w:t xml:space="preserve">domestic industry, possibly facilitating the combination of the funds. In the case of</w:t>
      </w:r>
      <w:r>
        <w:t xml:space="preserve"> </w:t>
      </w:r>
      <w:r>
        <w:t xml:space="preserve">Banking Union Member States, the SRF is financed by all banks in the Banking Union</w:t>
      </w:r>
      <w:r>
        <w:t xml:space="preserve"> </w:t>
      </w:r>
      <w:r>
        <w:t xml:space="preserve">while the financing of DGS is national, creating an “asymmetry” in the burden of the</w:t>
      </w:r>
    </w:p>
    <w:p>
      <w:pPr>
        <w:pStyle w:val="BodyText"/>
      </w:pPr>
      <w:r>
        <w:t xml:space="preserve">333 This interpretation has not been formally adopted yet by the Commission.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costs in case DGS would “substitute” resolution funds. Moreover, in the absence of EDIS</w:t>
      </w:r>
      <w:r>
        <w:t xml:space="preserve"> </w:t>
      </w:r>
      <w:r>
        <w:t xml:space="preserve">there may be a risk of a shortfall in DGS funds.</w:t>
      </w:r>
      <w:r>
        <w:br/>
      </w:r>
      <w:r>
        <w:t xml:space="preserve">It is important therefore to review the access conditions for DGS funding in resolution</w:t>
      </w:r>
      <w:r>
        <w:t xml:space="preserve"> </w:t>
      </w:r>
      <w:r>
        <w:t xml:space="preserve">and insolvency to ensure level playing field, consistency and proportionality between the</w:t>
      </w:r>
      <w:r>
        <w:t xml:space="preserve"> </w:t>
      </w:r>
      <w:r>
        <w:t xml:space="preserve">applications of procedures.</w:t>
      </w:r>
      <w:r>
        <w:t xml:space="preserve"> </w:t>
      </w:r>
      <w:r>
        <w:t xml:space="preserve">7.1.3. Objective (3): Did the framework achieve the objective of enhancing the</w:t>
      </w:r>
      <w:r>
        <w:t xml:space="preserve"> </w:t>
      </w:r>
      <w:r>
        <w:t xml:space="preserve">functioning of the single market including by handling of cross-border</w:t>
      </w:r>
      <w:r>
        <w:t xml:space="preserve"> </w:t>
      </w:r>
      <w:r>
        <w:t xml:space="preserve">crises and fostering level playing field among banks from different Member</w:t>
      </w:r>
      <w:r>
        <w:t xml:space="preserve"> </w:t>
      </w:r>
      <w:r>
        <w:t xml:space="preserve">States, particularly in the Banking Union?</w:t>
      </w:r>
      <w:r>
        <w:t xml:space="preserve"> </w:t>
      </w:r>
      <w:r>
        <w:t xml:space="preserve">Many aspects of the CMDI framework improved the functioning of the single market in</w:t>
      </w:r>
      <w:r>
        <w:t xml:space="preserve"> </w:t>
      </w:r>
      <w:r>
        <w:t xml:space="preserve">banking and the level playing field among banks. The framework created a centralised</w:t>
      </w:r>
      <w:r>
        <w:t xml:space="preserve"> </w:t>
      </w:r>
      <w:r>
        <w:t xml:space="preserve">mechanism and governance for resolution (SRM) in the Banking Union, cross-border</w:t>
      </w:r>
      <w:r>
        <w:t xml:space="preserve"> </w:t>
      </w:r>
      <w:r>
        <w:t xml:space="preserve">coordination processes as well as tools and cooperation requirements (e.g. creation of</w:t>
      </w:r>
      <w:r>
        <w:t xml:space="preserve"> </w:t>
      </w:r>
      <w:r>
        <w:t xml:space="preserve">resolution groups and internal loss absorbing capacity for subsidiaries in host Member</w:t>
      </w:r>
      <w:r>
        <w:t xml:space="preserve"> </w:t>
      </w:r>
      <w:r>
        <w:t xml:space="preserve">States) to handle the failure of cross-border banking groups.</w:t>
      </w:r>
      <w:r>
        <w:br/>
      </w:r>
      <w:r>
        <w:t xml:space="preserve">Cross-border coordination among national DGSs was enhanced by the DGSD, which also</w:t>
      </w:r>
      <w:r>
        <w:t xml:space="preserve"> </w:t>
      </w:r>
      <w:r>
        <w:t xml:space="preserve">facilitated access to the internal market through the freedom of establishment and the</w:t>
      </w:r>
      <w:r>
        <w:t xml:space="preserve"> </w:t>
      </w:r>
      <w:r>
        <w:t xml:space="preserve">freedom to provide financial services while increasing the stability of the banking system</w:t>
      </w:r>
      <w:r>
        <w:t xml:space="preserve"> </w:t>
      </w:r>
      <w:r>
        <w:t xml:space="preserve">and the protection of depositors.</w:t>
      </w:r>
      <w:r>
        <w:t xml:space="preserve"> </w:t>
      </w:r>
      <w:r>
        <w:t xml:space="preserve">Yet, despite these achievements, the operational handling of recent bank failures in some</w:t>
      </w:r>
      <w:r>
        <w:t xml:space="preserve"> </w:t>
      </w:r>
      <w:r>
        <w:t xml:space="preserve">Member States, was characterised by a lack of consistency and uneven playing field. This</w:t>
      </w:r>
      <w:r>
        <w:t xml:space="preserve"> </w:t>
      </w:r>
      <w:r>
        <w:t xml:space="preserve">was mainly caused by broad discretion in the conditions for the application of the</w:t>
      </w:r>
      <w:r>
        <w:t xml:space="preserve"> </w:t>
      </w:r>
      <w:r>
        <w:t xml:space="preserve">BRRD/SRMR measures, which leaves room for arbitrage in the decision of the public</w:t>
      </w:r>
      <w:r>
        <w:t xml:space="preserve"> </w:t>
      </w:r>
      <w:r>
        <w:t xml:space="preserve">authorities to resort to resolution or insolvency tools, depending on the solutions available</w:t>
      </w:r>
      <w:r>
        <w:t xml:space="preserve"> </w:t>
      </w:r>
      <w:r>
        <w:t xml:space="preserve">for a specific failing bank. This arbitrage is fuelled by several factors, the most important</w:t>
      </w:r>
      <w:r>
        <w:t xml:space="preserve"> </w:t>
      </w:r>
      <w:r>
        <w:t xml:space="preserve">being (i) divergent access conditions for the resolution funds and for funding outside</w:t>
      </w:r>
      <w:r>
        <w:t xml:space="preserve"> </w:t>
      </w:r>
      <w:r>
        <w:t xml:space="preserve">resolution and difficulties for certain banks in accessing resolution funds (see Section</w:t>
      </w:r>
      <w:r>
        <w:t xml:space="preserve"> </w:t>
      </w:r>
      <w:r>
        <w:t xml:space="preserve">7.1.2.3), (ii) differences in the track record between resolution authorities to make use of</w:t>
      </w:r>
      <w:r>
        <w:t xml:space="preserve"> </w:t>
      </w:r>
      <w:r>
        <w:t xml:space="preserve">industry-funded resolution funds and (iii) the availability of various national tools which</w:t>
      </w:r>
      <w:r>
        <w:t xml:space="preserve"> </w:t>
      </w:r>
      <w:r>
        <w:t xml:space="preserve">may be similar to resolution tools, with often heterogeneous and unclear activation</w:t>
      </w:r>
      <w:r>
        <w:t xml:space="preserve"> </w:t>
      </w:r>
      <w:r>
        <w:t xml:space="preserve">conditions.</w:t>
      </w:r>
      <w:r>
        <w:br/>
      </w:r>
      <w:r>
        <w:t xml:space="preserve">The divergent application of rules, lack of harmonised hierarchies of claims and the</w:t>
      </w:r>
      <w:r>
        <w:t xml:space="preserve"> </w:t>
      </w:r>
      <w:r>
        <w:t xml:space="preserve">uneven playing field for banks, depositors and taxpayers emerging as a consequence of</w:t>
      </w:r>
      <w:r>
        <w:t xml:space="preserve"> </w:t>
      </w:r>
      <w:r>
        <w:t xml:space="preserve">these issues, among other elements, also contribute to market fragmentation in the EU,</w:t>
      </w:r>
      <w:r>
        <w:t xml:space="preserve"> </w:t>
      </w:r>
      <w:r>
        <w:t xml:space="preserve">reducing the level of cross-border market integration and the functioning of the single</w:t>
      </w:r>
      <w:r>
        <w:t xml:space="preserve"> </w:t>
      </w:r>
      <w:r>
        <w:t xml:space="preserve">market in banking. While the reduced incentives for cross-border market consolidation</w:t>
      </w:r>
      <w:r>
        <w:t xml:space="preserve"> </w:t>
      </w:r>
      <w:r>
        <w:t xml:space="preserve">through mergers and the more reduced volume of cross-border banking transactions</w:t>
      </w:r>
      <w:r>
        <w:t xml:space="preserve"> </w:t>
      </w:r>
      <w:r>
        <w:t xml:space="preserve">cannot be entirely linked with the application of the CMDI framework, the resolution</w:t>
      </w:r>
      <w:r>
        <w:t xml:space="preserve"> </w:t>
      </w:r>
      <w:r>
        <w:t xml:space="preserve">regime does have a bearing on it and its improvement would be conducive to more</w:t>
      </w:r>
      <w:r>
        <w:t xml:space="preserve"> </w:t>
      </w:r>
      <w:r>
        <w:t xml:space="preserve">market integration in the medium and long run.</w:t>
      </w:r>
      <w:r>
        <w:br/>
      </w:r>
      <w:r>
        <w:t xml:space="preserve">The DGSD’s contribution to EU level playing field could also be further improved, in</w:t>
      </w:r>
      <w:r>
        <w:t xml:space="preserve"> </w:t>
      </w:r>
      <w:r>
        <w:t xml:space="preserve">particular with regard to ONDs and their potential impact on the internal market.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Moreover, the differences in robustness and firepower among national DGSs combined</w:t>
      </w:r>
      <w:r>
        <w:t xml:space="preserve"> </w:t>
      </w:r>
      <w:r>
        <w:t xml:space="preserve">with the lack of EDIS in the Banking Union may further exacerbate the uneven playing</w:t>
      </w:r>
      <w:r>
        <w:t xml:space="preserve"> </w:t>
      </w:r>
      <w:r>
        <w:t xml:space="preserve">field, especially if a large shock event were to materialise in one of the participating</w:t>
      </w:r>
      <w:r>
        <w:t xml:space="preserve"> </w:t>
      </w:r>
      <w:r>
        <w:t xml:space="preserve">Member States.</w:t>
      </w:r>
      <w:r>
        <w:br/>
      </w:r>
      <w:r>
        <w:t xml:space="preserve">Overall, evidence from the application of the framework points out to the achievement of</w:t>
      </w:r>
      <w:r>
        <w:t xml:space="preserve"> </w:t>
      </w:r>
      <w:r>
        <w:t xml:space="preserve">a sub-optimal functioning of the single market and the need for significant improvements</w:t>
      </w:r>
      <w:r>
        <w:t xml:space="preserve"> </w:t>
      </w:r>
      <w:r>
        <w:t xml:space="preserve">to remove differences in treatment among banks, creditors, depositors and taxpayers in</w:t>
      </w:r>
      <w:r>
        <w:t xml:space="preserve"> </w:t>
      </w:r>
      <w:r>
        <w:t xml:space="preserve">different Member States.</w:t>
      </w:r>
      <w:r>
        <w:t xml:space="preserve"> </w:t>
      </w:r>
      <w:r>
        <w:t xml:space="preserve">Main factors influencing the objective’s achievement</w:t>
      </w:r>
      <w:r>
        <w:t xml:space="preserve"> </w:t>
      </w:r>
      <w:r>
        <w:t xml:space="preserve">Factors</w:t>
      </w:r>
      <w:r>
        <w:t xml:space="preserve"> </w:t>
      </w:r>
      <w:r>
        <w:t xml:space="preserve">influencing</w:t>
      </w:r>
      <w:r>
        <w:t xml:space="preserve"> </w:t>
      </w:r>
      <w:r>
        <w:t xml:space="preserve">performance</w:t>
      </w:r>
      <w:r>
        <w:t xml:space="preserve"> </w:t>
      </w:r>
      <w:r>
        <w:t xml:space="preserve">against</w:t>
      </w:r>
      <w:r>
        <w:t xml:space="preserve"> </w:t>
      </w:r>
      <w:r>
        <w:t xml:space="preserve">objective</w:t>
      </w:r>
      <w:r>
        <w:t xml:space="preserve"> </w:t>
      </w:r>
      <w:r>
        <w:t xml:space="preserve">Overall impact on objective</w:t>
      </w:r>
      <w:r>
        <w:t xml:space="preserve"> </w:t>
      </w:r>
      <w:r>
        <w:t xml:space="preserve">1) Centralised governance in the Banking Union</w:t>
      </w:r>
      <w:r>
        <w:t xml:space="preserve"> </w:t>
      </w:r>
      <w:r>
        <w:t xml:space="preserve">Positive (creation of SRM, SRB, SRF)</w:t>
      </w:r>
      <w:r>
        <w:t xml:space="preserve"> </w:t>
      </w:r>
      <w:r>
        <w:t xml:space="preserve">2) Supervisory cooperation and EU oversight on</w:t>
      </w:r>
      <w:r>
        <w:t xml:space="preserve"> </w:t>
      </w:r>
      <w:r>
        <w:t xml:space="preserve">convergence of supervisory practices</w:t>
      </w:r>
      <w:r>
        <w:t xml:space="preserve"> </w:t>
      </w:r>
      <w:r>
        <w:t xml:space="preserve">Positive</w:t>
      </w:r>
      <w:r>
        <w:t xml:space="preserve"> </w:t>
      </w:r>
      <w:r>
        <w:t xml:space="preserve">(enhanced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cooperation, EU resolution colleges, EBA’s</w:t>
      </w:r>
      <w:r>
        <w:t xml:space="preserve"> </w:t>
      </w:r>
      <w:r>
        <w:t xml:space="preserve">convergence mandate, positive impact on</w:t>
      </w:r>
      <w:r>
        <w:t xml:space="preserve"> </w:t>
      </w:r>
      <w:r>
        <w:t xml:space="preserve">market integration)</w:t>
      </w:r>
      <w:r>
        <w:t xml:space="preserve"> </w:t>
      </w:r>
      <w:r>
        <w:t xml:space="preserve">3) Precautionary and preventive measures</w:t>
      </w:r>
      <w:r>
        <w:t xml:space="preserve"> </w:t>
      </w:r>
      <w:r>
        <w:t xml:space="preserve">Negative (lack of clarity and framing of</w:t>
      </w:r>
      <w:r>
        <w:t xml:space="preserve"> </w:t>
      </w:r>
      <w:r>
        <w:t xml:space="preserve">precautionary and preventive measures,</w:t>
      </w:r>
      <w:r>
        <w:t xml:space="preserve"> </w:t>
      </w:r>
      <w:r>
        <w:t xml:space="preserve">divergent</w:t>
      </w:r>
      <w:r>
        <w:t xml:space="preserve"> </w:t>
      </w:r>
      <w:r>
        <w:t xml:space="preserve">access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vs</w:t>
      </w:r>
      <w:r>
        <w:t xml:space="preserve"> </w:t>
      </w:r>
      <w:r>
        <w:t xml:space="preserve">resolution)</w:t>
      </w:r>
      <w:r>
        <w:t xml:space="preserve"> </w:t>
      </w:r>
      <w:r>
        <w:t xml:space="preserve">4) Predictability of legal framework and the</w:t>
      </w:r>
      <w:r>
        <w:t xml:space="preserve"> </w:t>
      </w:r>
      <w:r>
        <w:t xml:space="preserve">approach to PIA</w:t>
      </w:r>
      <w:r>
        <w:t xml:space="preserve"> </w:t>
      </w:r>
      <w:r>
        <w:t xml:space="preserve">Negative</w:t>
      </w:r>
      <w:r>
        <w:t xml:space="preserve"> </w:t>
      </w:r>
      <w:r>
        <w:t xml:space="preserve">(lack</w:t>
      </w:r>
      <w:r>
        <w:t xml:space="preserve"> </w:t>
      </w:r>
      <w:r>
        <w:t xml:space="preserve">of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application, restrictive approach and across</w:t>
      </w:r>
      <w:r>
        <w:t xml:space="preserve"> </w:t>
      </w:r>
      <w:r>
        <w:t xml:space="preserve">EU,</w:t>
      </w:r>
      <w:r>
        <w:t xml:space="preserve"> </w:t>
      </w:r>
      <w:r>
        <w:t xml:space="preserve">divergent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PIA,</w:t>
      </w:r>
      <w:r>
        <w:t xml:space="preserve"> </w:t>
      </w:r>
      <w:r>
        <w:t xml:space="preserve">conducive to market fragmentation).</w:t>
      </w:r>
      <w:r>
        <w:t xml:space="preserve"> </w:t>
      </w:r>
      <w:r>
        <w:t xml:space="preserve">5) Interaction</w:t>
      </w:r>
      <w:r>
        <w:t xml:space="preserve"> </w:t>
      </w:r>
      <w:r>
        <w:t xml:space="preserve">between</w:t>
      </w:r>
      <w:r>
        <w:t xml:space="preserve"> </w:t>
      </w:r>
      <w:r>
        <w:t xml:space="preserve">national</w:t>
      </w:r>
      <w:r>
        <w:t xml:space="preserve"> </w:t>
      </w:r>
      <w:r>
        <w:t xml:space="preserve">insolvency</w:t>
      </w:r>
      <w:r>
        <w:t xml:space="preserve"> </w:t>
      </w:r>
      <w:r>
        <w:t xml:space="preserve">proceedings and resolution triggers</w:t>
      </w:r>
      <w:r>
        <w:t xml:space="preserve"> </w:t>
      </w:r>
      <w:r>
        <w:t xml:space="preserve">Negative (lack of legal certainty due to</w:t>
      </w:r>
      <w:r>
        <w:t xml:space="preserve"> </w:t>
      </w:r>
      <w:r>
        <w:t xml:space="preserve">divergent triggers, legal limbo situations)</w:t>
      </w:r>
      <w:r>
        <w:t xml:space="preserve"> </w:t>
      </w:r>
      <w:r>
        <w:t xml:space="preserve">6) National ranking of claims in insolvency</w:t>
      </w:r>
      <w:r>
        <w:t xml:space="preserve"> </w:t>
      </w:r>
      <w:r>
        <w:t xml:space="preserve">Negative (unharmonised)</w:t>
      </w:r>
    </w:p>
    <w:p>
      <w:pPr>
        <w:pStyle w:val="BodyText"/>
      </w:pPr>
      <w:r>
        <w:t xml:space="preserve">7.1.3.1. Centralised governance in the Banking Union</w:t>
      </w:r>
      <w:r>
        <w:t xml:space="preserve"> </w:t>
      </w:r>
      <w:r>
        <w:t xml:space="preserve">One of the most important achievements of the framework with respect to the single</w:t>
      </w:r>
      <w:r>
        <w:t xml:space="preserve"> </w:t>
      </w:r>
      <w:r>
        <w:t xml:space="preserve">market functioning was the creation of the Single Resolution Mechanism (SRM), the</w:t>
      </w:r>
      <w:r>
        <w:t xml:space="preserve"> </w:t>
      </w:r>
      <w:r>
        <w:t xml:space="preserve">second pillar of the Banking Union. The centralised decision making is built around the</w:t>
      </w:r>
      <w:r>
        <w:t xml:space="preserve"> </w:t>
      </w:r>
      <w:r>
        <w:t xml:space="preserve">Single Resolution Board (SRB) consisting of a Chair, a Vice Chair, four permanent</w:t>
      </w:r>
      <w:r>
        <w:t xml:space="preserve"> </w:t>
      </w:r>
      <w:r>
        <w:t xml:space="preserve">members, and the relevant national resolution authorities334. The SRB is directly</w:t>
      </w:r>
      <w:r>
        <w:t xml:space="preserve"> </w:t>
      </w:r>
      <w:r>
        <w:t xml:space="preserve">responsible for the resolution of the entities and groups directly supervised by the</w:t>
      </w:r>
      <w:r>
        <w:t xml:space="preserve"> </w:t>
      </w:r>
      <w:r>
        <w:t xml:space="preserve">European Central Bank (ECB) as well as other less significant cross-border groups. The</w:t>
      </w:r>
      <w:r>
        <w:t xml:space="preserve"> </w:t>
      </w:r>
      <w:r>
        <w:t xml:space="preserve">functioning of the SRM is enabled, among other factors, by its governance, in particular,</w:t>
      </w:r>
      <w:r>
        <w:t xml:space="preserve"> </w:t>
      </w:r>
      <w:r>
        <w:t xml:space="preserve">the strong cooperation and coordination between the SRB and national resolution</w:t>
      </w:r>
      <w:r>
        <w:t xml:space="preserve"> </w:t>
      </w:r>
      <w:r>
        <w:t xml:space="preserve">authorities via its Plenary Session335, various task force groups, forums and committees.</w:t>
      </w:r>
    </w:p>
    <w:p>
      <w:pPr>
        <w:pStyle w:val="BodyText"/>
      </w:pPr>
      <w:r>
        <w:t xml:space="preserve">334 Composition of the Governing Body of the SRB in its extended Executive Session.</w:t>
      </w:r>
      <w:r>
        <w:br/>
      </w:r>
      <w:r>
        <w:t xml:space="preserve">335 In the Plenary Session of the SRB, all of the NRAs are represented, together with the SRB Chair and the</w:t>
      </w:r>
      <w:r>
        <w:t xml:space="preserve"> </w:t>
      </w:r>
      <w:r>
        <w:t xml:space="preserve">four permanent Board Members.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This centralised decision-making system for the Banking Union contributed significantly</w:t>
      </w:r>
      <w:r>
        <w:t xml:space="preserve"> </w:t>
      </w:r>
      <w:r>
        <w:t xml:space="preserve">to the functioning of the single market in banking and to fostering consistent policies and</w:t>
      </w:r>
      <w:r>
        <w:t xml:space="preserve"> </w:t>
      </w:r>
      <w:r>
        <w:t xml:space="preserve">approaches, mainly in cases of cross-border resolution preparedness (and to, a lesser</w:t>
      </w:r>
      <w:r>
        <w:t xml:space="preserve"> </w:t>
      </w:r>
      <w:r>
        <w:t xml:space="preserve">extent, in terms of resolution execution).</w:t>
      </w:r>
      <w:r>
        <w:t xml:space="preserve"> </w:t>
      </w:r>
      <w:r>
        <w:t xml:space="preserve">7.1.3.2. Supervisory cooperation and EU oversight on convergence of</w:t>
      </w:r>
      <w:r>
        <w:t xml:space="preserve"> </w:t>
      </w:r>
      <w:r>
        <w:t xml:space="preserve">supervisory practices</w:t>
      </w:r>
      <w:r>
        <w:t xml:space="preserve"> </w:t>
      </w:r>
      <w:r>
        <w:t xml:space="preserve">The CMDI rules create a framework for coordination and communication processes,</w:t>
      </w:r>
      <w:r>
        <w:t xml:space="preserve"> </w:t>
      </w:r>
      <w:r>
        <w:t xml:space="preserve">exchange of information, as well as tools for competent and resolution authorities from</w:t>
      </w:r>
      <w:r>
        <w:t xml:space="preserve"> </w:t>
      </w:r>
      <w:r>
        <w:t xml:space="preserve">different Member States to cooperate and communicate effectively on crisis preparedness</w:t>
      </w:r>
      <w:r>
        <w:t xml:space="preserve"> </w:t>
      </w:r>
      <w:r>
        <w:t xml:space="preserve">and execution for cross-border banking groups. The legislation provides joint decision-</w:t>
      </w:r>
      <w:r>
        <w:t xml:space="preserve"> </w:t>
      </w:r>
      <w:r>
        <w:t xml:space="preserve">making processes for critical elements such as: the preparation of group recovery and</w:t>
      </w:r>
      <w:r>
        <w:t xml:space="preserve"> </w:t>
      </w:r>
      <w:r>
        <w:t xml:space="preserve">resolution plans, removal of impediments to group resolvability and setting up resolution</w:t>
      </w:r>
      <w:r>
        <w:t xml:space="preserve"> </w:t>
      </w:r>
      <w:r>
        <w:t xml:space="preserve">buffers (MREL).</w:t>
      </w:r>
      <w:r>
        <w:br/>
      </w:r>
      <w:r>
        <w:t xml:space="preserve">Furthermore, the BRRD requires the creation of EU resolution colleges as a forum for the</w:t>
      </w:r>
      <w:r>
        <w:t xml:space="preserve"> </w:t>
      </w:r>
      <w:r>
        <w:t xml:space="preserve">group‐level resolution authorities, other relevant resolution authorities, supervisory</w:t>
      </w:r>
      <w:r>
        <w:t xml:space="preserve"> </w:t>
      </w:r>
      <w:r>
        <w:t xml:space="preserve">authorities, competent ministries and authorities responsible for DGS, to collectively plan</w:t>
      </w:r>
      <w:r>
        <w:t xml:space="preserve"> </w:t>
      </w:r>
      <w:r>
        <w:t xml:space="preserve">for and coordinate the resolution of cross-border banking groups336. The BRRD also</w:t>
      </w:r>
      <w:r>
        <w:t xml:space="preserve"> </w:t>
      </w:r>
      <w:r>
        <w:t xml:space="preserve">provides the rules for communication and exchange of information between EU and third</w:t>
      </w:r>
      <w:r>
        <w:t xml:space="preserve"> </w:t>
      </w:r>
      <w:r>
        <w:t xml:space="preserve">country resolution authorities and other international institutions.</w:t>
      </w:r>
      <w:r>
        <w:br/>
      </w:r>
      <w:r>
        <w:t xml:space="preserve">In this context, the EBA is mandated by the framework to develop a wide range of</w:t>
      </w:r>
      <w:r>
        <w:t xml:space="preserve"> </w:t>
      </w:r>
      <w:r>
        <w:t xml:space="preserve">technical standards, guidelines and reports with the aim of ensuring effective and</w:t>
      </w:r>
      <w:r>
        <w:t xml:space="preserve"> </w:t>
      </w:r>
      <w:r>
        <w:t xml:space="preserve">consistent procedures across the Union, in particular with respect to cross-border</w:t>
      </w:r>
      <w:r>
        <w:t xml:space="preserve"> </w:t>
      </w:r>
      <w:r>
        <w:t xml:space="preserve">financial institutions. To fulfil the EBA’s role in ensuring EU convergence in the</w:t>
      </w:r>
      <w:r>
        <w:t xml:space="preserve"> </w:t>
      </w:r>
      <w:r>
        <w:t xml:space="preserve">application of the rules, national authorities must notify the EBA of any relevant</w:t>
      </w:r>
      <w:r>
        <w:t xml:space="preserve"> </w:t>
      </w:r>
      <w:r>
        <w:t xml:space="preserve">information as well as of any actions taken under the framework. The EBA publishes</w:t>
      </w:r>
      <w:r>
        <w:t xml:space="preserve"> </w:t>
      </w:r>
      <w:r>
        <w:t xml:space="preserve">non-confidential elements of these notifications on its website together with its</w:t>
      </w:r>
      <w:r>
        <w:t xml:space="preserve"> </w:t>
      </w:r>
      <w:r>
        <w:t xml:space="preserve">assessment of the supervisory convergence, including in the continuum between ongoing</w:t>
      </w:r>
      <w:r>
        <w:t xml:space="preserve"> </w:t>
      </w:r>
      <w:r>
        <w:t xml:space="preserve">supervision, recovery and resolution.337</w:t>
      </w:r>
      <w:r>
        <w:t xml:space="preserve"> </w:t>
      </w:r>
      <w:r>
        <w:t xml:space="preserve">The creation of these effective cooperation and coordination arrangements and of a</w:t>
      </w:r>
      <w:r>
        <w:t xml:space="preserve"> </w:t>
      </w:r>
      <w:r>
        <w:t xml:space="preserve">centralised oversight of convergence of supervisory practices helped with tackling</w:t>
      </w:r>
      <w:r>
        <w:t xml:space="preserve"> </w:t>
      </w:r>
      <w:r>
        <w:t xml:space="preserve">challenges of cross-border banks vulnerabilities and failures and creating a level playing</w:t>
      </w:r>
      <w:r>
        <w:t xml:space="preserve"> </w:t>
      </w:r>
      <w:r>
        <w:t xml:space="preserve">field in the single market for EU banking products.</w:t>
      </w:r>
      <w:r>
        <w:t xml:space="preserve"> </w:t>
      </w:r>
      <w:r>
        <w:t xml:space="preserve">7.1.3.3. Precautionary and preventive measures</w:t>
      </w:r>
      <w:r>
        <w:t xml:space="preserve"> </w:t>
      </w:r>
      <w:r>
        <w:t xml:space="preserve">Precautionary measures allow the provision of extraordinary financial support from</w:t>
      </w:r>
      <w:r>
        <w:t xml:space="preserve"> </w:t>
      </w:r>
      <w:r>
        <w:t xml:space="preserve">public resources to a solvent bank, to diffuse the risks of a serious disturbance in the</w:t>
      </w:r>
      <w:r>
        <w:t xml:space="preserve"> </w:t>
      </w:r>
      <w:r>
        <w:t xml:space="preserve">economy of a Member State and to preserve its financial stability.338 The available</w:t>
      </w:r>
      <w:r>
        <w:t xml:space="preserve"> </w:t>
      </w:r>
      <w:r>
        <w:t xml:space="preserve">measures comprise capital injections (precautionary recapitalisation) as well as liquidity</w:t>
      </w:r>
      <w:r>
        <w:t xml:space="preserve"> </w:t>
      </w:r>
      <w:r>
        <w:t xml:space="preserve">support. Possible uses of precautionary recapitalisation also include relief measures</w:t>
      </w:r>
    </w:p>
    <w:p>
      <w:pPr>
        <w:pStyle w:val="BodyText"/>
      </w:pPr>
      <w:r>
        <w:t xml:space="preserve">336 Third country authorities may also be invited to attend colleges as observers.</w:t>
      </w:r>
      <w:r>
        <w:br/>
      </w:r>
      <w:r>
        <w:t xml:space="preserve">337 EBA (14 March 2019), EBA notes good progress in convergence of supervisory practices across the</w:t>
      </w:r>
      <w:r>
        <w:t xml:space="preserve"> </w:t>
      </w:r>
      <w:r>
        <w:t xml:space="preserve">EU.</w:t>
      </w:r>
      <w:r>
        <w:t xml:space="preserve"> </w:t>
      </w:r>
      <w:r>
        <w:t xml:space="preserve">338 These measures are provided in Article 32(4)(d) BRRD.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through the transfer of impaired assets339, and similar considerations have been extended</w:t>
      </w:r>
      <w:r>
        <w:t xml:space="preserve"> </w:t>
      </w:r>
      <w:r>
        <w:t xml:space="preserve">to asset protection schemes340. The provision of such support is an exception to the</w:t>
      </w:r>
      <w:r>
        <w:t xml:space="preserve"> </w:t>
      </w:r>
      <w:r>
        <w:t xml:space="preserve">general principle that the recourse to extraordinary public financial support to maintain</w:t>
      </w:r>
      <w:r>
        <w:t xml:space="preserve"> </w:t>
      </w:r>
      <w:r>
        <w:t xml:space="preserve">the viability, solvency or liquidity of a bank should lead to the determination that the</w:t>
      </w:r>
      <w:r>
        <w:t xml:space="preserve"> </w:t>
      </w:r>
      <w:r>
        <w:t xml:space="preserve">bank is FOLF. For this reason, specific requirements must be met in order to allow such</w:t>
      </w:r>
      <w:r>
        <w:t xml:space="preserve"> </w:t>
      </w:r>
      <w:r>
        <w:t xml:space="preserve">measures under the BRRD/SRMR341 as well as under the State aid rules for banks342.</w:t>
      </w:r>
      <w:r>
        <w:t xml:space="preserve"> </w:t>
      </w:r>
      <w:r>
        <w:t xml:space="preserve">Notwithstanding the correct application of these safeguards in past practice, it also</w:t>
      </w:r>
      <w:r>
        <w:t xml:space="preserve"> </w:t>
      </w:r>
      <w:r>
        <w:t xml:space="preserve">occurred that two banks benefitted from multiple public supports in the form of</w:t>
      </w:r>
      <w:r>
        <w:t xml:space="preserve"> </w:t>
      </w:r>
      <w:r>
        <w:t xml:space="preserve">precautionary liquidity on grounds, inter alia, of being declared solvent by the competent</w:t>
      </w:r>
      <w:r>
        <w:t xml:space="preserve"> </w:t>
      </w:r>
      <w:r>
        <w:t xml:space="preserve">supervisor, only months before being assessed as FOLF. Based on this experience,</w:t>
      </w:r>
      <w:r>
        <w:t xml:space="preserve"> </w:t>
      </w:r>
      <w:r>
        <w:t xml:space="preserve">practices of the Commission and authorities involved in such situations were already</w:t>
      </w:r>
      <w:r>
        <w:t xml:space="preserve"> </w:t>
      </w:r>
      <w:r>
        <w:t xml:space="preserve">enhanced. For precautionary recapitalisation, the rules should take stock of the adjusted</w:t>
      </w:r>
      <w:r>
        <w:t xml:space="preserve"> </w:t>
      </w:r>
      <w:r>
        <w:t xml:space="preserve">approach developed based on past experience (see Annex 9 of the impact assessment), to</w:t>
      </w:r>
      <w:r>
        <w:t xml:space="preserve"> </w:t>
      </w:r>
      <w:r>
        <w:t xml:space="preserve">enforce the very stringent conditions already established, which are key to ensure that aid</w:t>
      </w:r>
      <w:r>
        <w:t xml:space="preserve"> </w:t>
      </w:r>
      <w:r>
        <w:t xml:space="preserve">in this form can be granted without impinging on the overarching objective of avoiding</w:t>
      </w:r>
      <w:r>
        <w:t xml:space="preserve"> </w:t>
      </w:r>
      <w:r>
        <w:t xml:space="preserve">moral hazard. Nonetheless, there is scope to improve the clarity of the relevant legal</w:t>
      </w:r>
      <w:r>
        <w:t xml:space="preserve"> </w:t>
      </w:r>
      <w:r>
        <w:t xml:space="preserve">provisions and to ensure the predictability and consistency of the outcome going forward.</w:t>
      </w:r>
      <w:r>
        <w:br/>
      </w:r>
      <w:r>
        <w:t xml:space="preserve">In certain circumstances, DGS funds can be used to prevent the failure of a bank</w:t>
      </w:r>
      <w:r>
        <w:t xml:space="preserve"> </w:t>
      </w:r>
      <w:r>
        <w:t xml:space="preserve">(preventive measures under Article 11(3) DGSD) and be very useful in averting further</w:t>
      </w:r>
      <w:r>
        <w:t xml:space="preserve"> </w:t>
      </w:r>
      <w:r>
        <w:t xml:space="preserve">financial deterioration, which could lead to a crisis. Currently, the legal provisions</w:t>
      </w:r>
      <w:r>
        <w:t xml:space="preserve"> </w:t>
      </w:r>
      <w:r>
        <w:t xml:space="preserve">enabling the use of DGS funds for such preventive measures are optional and not all</w:t>
      </w:r>
      <w:r>
        <w:t xml:space="preserve"> </w:t>
      </w:r>
      <w:r>
        <w:t xml:space="preserve">Member States have transposed them into national law. Only nine Member States</w:t>
      </w:r>
      <w:r>
        <w:t xml:space="preserve"> </w:t>
      </w:r>
      <w:r>
        <w:t xml:space="preserve">(Austria, Croatia, France, Germany, Ireland, Italy, Malta, Poland and Spain) have</w:t>
      </w:r>
      <w:r>
        <w:t xml:space="preserve"> </w:t>
      </w:r>
      <w:r>
        <w:t xml:space="preserve">transposed this option in national law343.</w:t>
      </w:r>
      <w:r>
        <w:br/>
      </w:r>
      <w:r>
        <w:t xml:space="preserve">Such measures are possible only if not qualified as State aid. Depending on several</w:t>
      </w:r>
      <w:r>
        <w:t xml:space="preserve"> </w:t>
      </w:r>
      <w:r>
        <w:t xml:space="preserve">elements, the DGS intervention could be qualified as private or public for the purpose of</w:t>
      </w:r>
      <w:r>
        <w:t xml:space="preserve"> </w:t>
      </w:r>
      <w:r>
        <w:t xml:space="preserve">State aid control by the Commission. Such an assessment is made on a case-by-case</w:t>
      </w:r>
      <w:r>
        <w:t xml:space="preserve"> </w:t>
      </w:r>
      <w:r>
        <w:t xml:space="preserve">basis, taking into consideration elements such as the governance and decision-making</w:t>
      </w:r>
      <w:r>
        <w:t xml:space="preserve"> </w:t>
      </w:r>
      <w:r>
        <w:t xml:space="preserve">procedure of the DGS, and the circumstances relating to the measure. It is therefore hard</w:t>
      </w:r>
      <w:r>
        <w:t xml:space="preserve"> </w:t>
      </w:r>
      <w:r>
        <w:t xml:space="preserve">to predict whether the intervention would qualify as State aid or not. However, this</w:t>
      </w:r>
      <w:r>
        <w:t xml:space="preserve"> </w:t>
      </w:r>
      <w:r>
        <w:t xml:space="preserve">qualification has an impact on the legal treatment of the DGS intervention. In particular,</w:t>
      </w:r>
      <w:r>
        <w:t xml:space="preserve"> </w:t>
      </w:r>
      <w:r>
        <w:t xml:space="preserve">the qualification of the intervention as State aid would de facto impede the intervention</w:t>
      </w:r>
      <w:r>
        <w:t xml:space="preserve"> </w:t>
      </w:r>
      <w:r>
        <w:t xml:space="preserve">of the DGS in a preventive capacity, as this would trigger a determination of FOLF under</w:t>
      </w:r>
    </w:p>
    <w:p>
      <w:pPr>
        <w:pStyle w:val="BodyText"/>
      </w:pPr>
      <w:r>
        <w:t xml:space="preserve">339 The necessary conditions to allow the use of precautionary recapitalisation to support an impaired asset</w:t>
      </w:r>
      <w:r>
        <w:t xml:space="preserve"> </w:t>
      </w:r>
      <w:r>
        <w:t xml:space="preserve">relief measure are outlined in detail in the Commission Asset Management Companies blueprint, page 36,</w:t>
      </w:r>
      <w:r>
        <w:t xml:space="preserve"> </w:t>
      </w:r>
      <w:r>
        <w:t xml:space="preserve">see European Commission staff working document (March 2018), AMC Blueprint.</w:t>
      </w:r>
      <w:r>
        <w:t xml:space="preserve"> </w:t>
      </w:r>
      <w:r>
        <w:t xml:space="preserve">340 European Commission (16 December 2020), Communication from the Commission to the European</w:t>
      </w:r>
      <w:r>
        <w:t xml:space="preserve"> </w:t>
      </w:r>
      <w:r>
        <w:t xml:space="preserve">Parliament, the Council and the European Central Bank: Tackling non-performing loans in the aftermath</w:t>
      </w:r>
      <w:r>
        <w:t xml:space="preserve"> </w:t>
      </w:r>
      <w:r>
        <w:t xml:space="preserve">of the COVID-19 pandemic (COM(2020) 822 final, p. 16).</w:t>
      </w:r>
      <w:r>
        <w:t xml:space="preserve"> </w:t>
      </w:r>
      <w:r>
        <w:t xml:space="preserve">341 In particular, BRRD and SRMR require that the measure is limited to solvent banks and it does not</w:t>
      </w:r>
      <w:r>
        <w:t xml:space="preserve"> </w:t>
      </w:r>
      <w:r>
        <w:t xml:space="preserve">cover incurred and likely losses. Also, the amount is limited to the shortfall identified in an asset quality</w:t>
      </w:r>
      <w:r>
        <w:t xml:space="preserve"> </w:t>
      </w:r>
      <w:r>
        <w:t xml:space="preserve">review, stress test or equivalent exercise.</w:t>
      </w:r>
      <w:r>
        <w:t xml:space="preserve"> </w:t>
      </w:r>
      <w:r>
        <w:t xml:space="preserve">342 Out of which rules, the most relevant for the purpose of this impact assessment, is the 2013 Banking</w:t>
      </w:r>
      <w:r>
        <w:t xml:space="preserve"> </w:t>
      </w:r>
      <w:r>
        <w:t xml:space="preserve">Communication, see European Commission (2013), Banking Communication.</w:t>
      </w:r>
      <w:r>
        <w:t xml:space="preserve"> </w:t>
      </w:r>
      <w:r>
        <w:t xml:space="preserve">343 Source: CEPS study, p. 124.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the BRRD344. Available evidence shows that some preventive measures were assessed as</w:t>
      </w:r>
      <w:r>
        <w:t xml:space="preserve"> </w:t>
      </w:r>
      <w:r>
        <w:t xml:space="preserve">being private or in line with market conditions (i.e. EUR 5.92bn funded by private arm of</w:t>
      </w:r>
      <w:r>
        <w:t xml:space="preserve"> </w:t>
      </w:r>
      <w:r>
        <w:t xml:space="preserve">DGS fund or market-conform public measures) and therefore not qualified as State aid</w:t>
      </w:r>
      <w:r>
        <w:t xml:space="preserve"> </w:t>
      </w:r>
      <w:r>
        <w:t xml:space="preserve">(see Annex 9).</w:t>
      </w:r>
      <w:r>
        <w:br/>
      </w:r>
      <w:r>
        <w:t xml:space="preserve">Moreover, the conditions for application of DGSD preventive measures should be clear,</w:t>
      </w:r>
      <w:r>
        <w:t xml:space="preserve"> </w:t>
      </w:r>
      <w:r>
        <w:t xml:space="preserve">harmonised, and consistent with other elements of the framework (e.g. FOLF criteria),</w:t>
      </w:r>
      <w:r>
        <w:t xml:space="preserve"> </w:t>
      </w:r>
      <w:r>
        <w:t xml:space="preserve">while safeguards should be applied to ensure that such interventions are sufficiently</w:t>
      </w:r>
      <w:r>
        <w:t xml:space="preserve"> </w:t>
      </w:r>
      <w:r>
        <w:t xml:space="preserve">sound from a financial perspective and would not impinge excessively on the DGS’</w:t>
      </w:r>
      <w:r>
        <w:t xml:space="preserve"> </w:t>
      </w:r>
      <w:r>
        <w:t xml:space="preserve">resources. However, the current legislative text does not provide adequate clarity on such</w:t>
      </w:r>
      <w:r>
        <w:t xml:space="preserve"> </w:t>
      </w:r>
      <w:r>
        <w:t xml:space="preserve">safeguards and conditions345. In past interventions observed, national authorities granted</w:t>
      </w:r>
      <w:r>
        <w:t xml:space="preserve"> </w:t>
      </w:r>
      <w:r>
        <w:t xml:space="preserve">support to banks, which were rather close to a situation of failure. While the current rules</w:t>
      </w:r>
      <w:r>
        <w:t xml:space="preserve"> </w:t>
      </w:r>
      <w:r>
        <w:t xml:space="preserve">do not prevent this, there is scope to reflect on possible improvements in the legislative</w:t>
      </w:r>
      <w:r>
        <w:t xml:space="preserve"> </w:t>
      </w:r>
      <w:r>
        <w:t xml:space="preserve">framework to reinforce the role of these measures as preventive actions, which should, in</w:t>
      </w:r>
      <w:r>
        <w:t xml:space="preserve"> </w:t>
      </w:r>
      <w:r>
        <w:t xml:space="preserve">principle, intervene in presence of a deterioration of the bank’s financial condition but</w:t>
      </w:r>
      <w:r>
        <w:t xml:space="preserve"> </w:t>
      </w:r>
      <w:r>
        <w:t xml:space="preserve">still far from a condition of failure. The interactions between preventive, precautionary</w:t>
      </w:r>
      <w:r>
        <w:t xml:space="preserve"> </w:t>
      </w:r>
      <w:r>
        <w:t xml:space="preserve">tools, early intervention measures and the timing and process of the FOLF determination</w:t>
      </w:r>
      <w:r>
        <w:t xml:space="preserve"> </w:t>
      </w:r>
      <w:r>
        <w:t xml:space="preserve">(laid down in Article 32 BRRD) are also unclear, which may lead to overly extensive use</w:t>
      </w:r>
      <w:r>
        <w:t xml:space="preserve"> </w:t>
      </w:r>
      <w:r>
        <w:t xml:space="preserve">of public/RF/DGS funds. In particular, the framework, gives the supervisor, significant</w:t>
      </w:r>
      <w:r>
        <w:t xml:space="preserve"> </w:t>
      </w:r>
      <w:r>
        <w:t xml:space="preserve">discretion for determining solvency, capital requirements, FOLF, as well as for the</w:t>
      </w:r>
      <w:r>
        <w:t xml:space="preserve"> </w:t>
      </w:r>
      <w:r>
        <w:t xml:space="preserve">timeframe handed to the bank for averting its failure (e.g. through a private solution or</w:t>
      </w:r>
      <w:r>
        <w:t xml:space="preserve"> </w:t>
      </w:r>
      <w:r>
        <w:t xml:space="preserve">early intervention measure). All these discretions interact with the conditions for the use</w:t>
      </w:r>
      <w:r>
        <w:t xml:space="preserve"> </w:t>
      </w:r>
      <w:r>
        <w:t xml:space="preserve">of preventive and precautionary tools. As mentioned above, this ambiguity led to</w:t>
      </w:r>
      <w:r>
        <w:t xml:space="preserve"> </w:t>
      </w:r>
      <w:r>
        <w:t xml:space="preserve">situations where banks received State aid in the form of precautionary liquidity on</w:t>
      </w:r>
      <w:r>
        <w:t xml:space="preserve"> </w:t>
      </w:r>
      <w:r>
        <w:t xml:space="preserve">grounds, inter alia, of being declared solvent, by the competent supervisor, only months</w:t>
      </w:r>
      <w:r>
        <w:t xml:space="preserve"> </w:t>
      </w:r>
      <w:r>
        <w:t xml:space="preserve">before being assessed as FOLF, as the banks’ solvency was assessed on the basis of a</w:t>
      </w:r>
      <w:r>
        <w:t xml:space="preserve"> </w:t>
      </w:r>
      <w:r>
        <w:t xml:space="preserve">point-in time (thus not forward looking) definition.</w:t>
      </w:r>
      <w:r>
        <w:br/>
      </w:r>
      <w:r>
        <w:t xml:space="preserve">For both, DGSD preventive measures and BRRD precautionary measures, amendments</w:t>
      </w:r>
      <w:r>
        <w:t xml:space="preserve"> </w:t>
      </w:r>
      <w:r>
        <w:t xml:space="preserve">improving the clarity of the relevant legal provisions would help limiting the risk that</w:t>
      </w:r>
      <w:r>
        <w:t xml:space="preserve"> </w:t>
      </w:r>
      <w:r>
        <w:t xml:space="preserve">preventive support would allow existing senior creditors to exit their claims on the bank</w:t>
      </w:r>
      <w:r>
        <w:t xml:space="preserve"> </w:t>
      </w:r>
      <w:r>
        <w:t xml:space="preserve">shortly before FOLF is triggered and resolution/insolvency is applied, which may in turn</w:t>
      </w:r>
      <w:r>
        <w:t xml:space="preserve"> </w:t>
      </w:r>
      <w:r>
        <w:t xml:space="preserve">result in a higher use of financing sources (RF/SRF in resolution or DGS funds under</w:t>
      </w:r>
      <w:r>
        <w:t xml:space="preserve"> </w:t>
      </w:r>
      <w:r>
        <w:t xml:space="preserve">insolvency proceedings).</w:t>
      </w:r>
      <w:r>
        <w:t xml:space="preserve"> </w:t>
      </w:r>
      <w:r>
        <w:t xml:space="preserve">Box 10: Example of unclear interaction between precautionary measures and FOLF</w:t>
      </w:r>
      <w:r>
        <w:t xml:space="preserve"> </w:t>
      </w:r>
      <w:r>
        <w:t xml:space="preserve">determination – Case of the Venetian banks</w:t>
      </w:r>
      <w:r>
        <w:t xml:space="preserve"> </w:t>
      </w:r>
      <w:r>
        <w:t xml:space="preserve">In January 2017, two mid-sized Italian banks, Banca Popolare di Vicenza and Veneto</w:t>
      </w:r>
      <w:r>
        <w:t xml:space="preserve"> </w:t>
      </w:r>
      <w:r>
        <w:t xml:space="preserve">Banca (the “Venetian banks”), benefited from precautionary liquidity support, on</w:t>
      </w:r>
      <w:r>
        <w:t xml:space="preserve"> </w:t>
      </w:r>
      <w:r>
        <w:t xml:space="preserve">grounds, inter alia, of the bank being declared solvent by the supervisor, amounting to</w:t>
      </w:r>
      <w:r>
        <w:t xml:space="preserve"> </w:t>
      </w:r>
      <w:r>
        <w:t xml:space="preserve">EUR 6.5 bn, which was supplemented in April 2017 by another EUR 3.6 bn. The total</w:t>
      </w:r>
      <w:r>
        <w:t xml:space="preserve"> </w:t>
      </w:r>
      <w:r>
        <w:t xml:space="preserve">amount of the precautionary liquidity measures represented 16% of the banks’ combined</w:t>
      </w:r>
    </w:p>
    <w:p>
      <w:pPr>
        <w:pStyle w:val="BodyText"/>
      </w:pPr>
      <w:r>
        <w:t xml:space="preserve">344 That is because according to Article 32(4)(d) BRRD the use extraordinary public financial support</w:t>
      </w:r>
      <w:r>
        <w:t xml:space="preserve"> </w:t>
      </w:r>
      <w:r>
        <w:t xml:space="preserve">(State aid), except in limited exceptions (such as in the case of precautionary measures) is one of the</w:t>
      </w:r>
      <w:r>
        <w:t xml:space="preserve"> </w:t>
      </w:r>
      <w:r>
        <w:t xml:space="preserve">criteria for FOLF determination and hence may lead to the resolution or insolvency of the bank.</w:t>
      </w:r>
      <w:r>
        <w:t xml:space="preserve"> </w:t>
      </w:r>
      <w:r>
        <w:t xml:space="preserve">345 See also Annex 6.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balance sheets at the time of the intervention. A few months later, in June 2017, both</w:t>
      </w:r>
      <w:r>
        <w:t xml:space="preserve"> </w:t>
      </w:r>
      <w:r>
        <w:t xml:space="preserve">banks were declared FOLF by the ECB, followed by a negative PIA by the SRB. As a</w:t>
      </w:r>
      <w:r>
        <w:t xml:space="preserve"> </w:t>
      </w:r>
      <w:r>
        <w:t xml:space="preserve">consequence, the banks entered compulsory administrative liquidation under the</w:t>
      </w:r>
      <w:r>
        <w:t xml:space="preserve"> </w:t>
      </w:r>
      <w:r>
        <w:t xml:space="preserve">management of the national resolution authority which approved a sale of business</w:t>
      </w:r>
      <w:r>
        <w:t xml:space="preserve"> </w:t>
      </w:r>
      <w:r>
        <w:t xml:space="preserve">transaction under national rules, funded by a cash injection (EUR 4.8 bn) and guarantees</w:t>
      </w:r>
      <w:r>
        <w:t xml:space="preserve"> </w:t>
      </w:r>
      <w:r>
        <w:t xml:space="preserve">by the State (EUR 12 bn) in order to facilitate the transfer to the acquirer.</w:t>
      </w:r>
      <w:r>
        <w:br/>
      </w:r>
      <w:r>
        <w:t xml:space="preserve">Overall, the total amount of aid (precautionary and under national insolvency</w:t>
      </w:r>
      <w:r>
        <w:t xml:space="preserve"> </w:t>
      </w:r>
      <w:r>
        <w:t xml:space="preserve">proceedings) amounted to EUR 26.9 bn, representing 43% of the total combined balance</w:t>
      </w:r>
      <w:r>
        <w:t xml:space="preserve"> </w:t>
      </w:r>
      <w:r>
        <w:t xml:space="preserve">sheet size of both banks at the time of the intervention.</w:t>
      </w:r>
      <w:r>
        <w:br/>
      </w:r>
      <w:r>
        <w:t xml:space="preserve">Thanks to the significant discretion left to supervisors for determining solvency, capital</w:t>
      </w:r>
      <w:r>
        <w:t xml:space="preserve"> </w:t>
      </w:r>
      <w:r>
        <w:t xml:space="preserve">requirements, FOLF, as well as for the timeframe handed to the bank for averting its</w:t>
      </w:r>
      <w:r>
        <w:t xml:space="preserve"> </w:t>
      </w:r>
      <w:r>
        <w:t xml:space="preserve">failure (e.g. through a private solution or early intervention measure), the Venetian banks</w:t>
      </w:r>
      <w:r>
        <w:t xml:space="preserve"> </w:t>
      </w:r>
      <w:r>
        <w:t xml:space="preserve">received a significant amount of public support (EUR 10.1 bn) in the form of</w:t>
      </w:r>
      <w:r>
        <w:t xml:space="preserve"> </w:t>
      </w:r>
      <w:r>
        <w:t xml:space="preserve">precautionary liquidity (which can only be granted to solvent banks) to, only a few</w:t>
      </w:r>
      <w:r>
        <w:t xml:space="preserve"> </w:t>
      </w:r>
      <w:r>
        <w:t xml:space="preserve">months later, be declared FOLF. These unclear interactions between precautionary tools,</w:t>
      </w:r>
      <w:r>
        <w:t xml:space="preserve"> </w:t>
      </w:r>
      <w:r>
        <w:t xml:space="preserve">lack of forward looking solvency assessment and the process of the FOLF</w:t>
      </w:r>
      <w:r>
        <w:t xml:space="preserve"> </w:t>
      </w:r>
      <w:r>
        <w:t xml:space="preserve">determination346, affected the predictability of the framework and did not act as strong</w:t>
      </w:r>
      <w:r>
        <w:t xml:space="preserve"> </w:t>
      </w:r>
      <w:r>
        <w:t xml:space="preserve">filter to prevent an extensive use of public funds.</w:t>
      </w:r>
      <w:r>
        <w:br/>
      </w:r>
      <w:r>
        <w:t xml:space="preserve">7.1.3.4.Predictability of legal framework and the approach to PIA</w:t>
      </w:r>
      <w:r>
        <w:t xml:space="preserve"> </w:t>
      </w:r>
      <w:r>
        <w:t xml:space="preserve">Beyond other factors described above, the use of tools outside resolution was made</w:t>
      </w:r>
      <w:r>
        <w:t xml:space="preserve"> </w:t>
      </w:r>
      <w:r>
        <w:t xml:space="preserve">possible by the sometimes restrictive approach to the PIA as the entry gate to resolution.</w:t>
      </w:r>
      <w:r>
        <w:br/>
      </w:r>
      <w:r>
        <w:t xml:space="preserve">The BRRD and the SRMR provide in Article 32 and Article 18 respectively that</w:t>
      </w:r>
      <w:r>
        <w:t xml:space="preserve"> </w:t>
      </w:r>
      <w:r>
        <w:t xml:space="preserve">resolution authorities should take a resolution action in relation to institutions only if they</w:t>
      </w:r>
      <w:r>
        <w:t xml:space="preserve"> </w:t>
      </w:r>
      <w:r>
        <w:t xml:space="preserve">consider that a number of conditions are met. One of those conditions is that the</w:t>
      </w:r>
      <w:r>
        <w:t xml:space="preserve"> </w:t>
      </w:r>
      <w:r>
        <w:t xml:space="preserve">resolution action is necessary in the public interest347 and this determination is made by</w:t>
      </w:r>
      <w:r>
        <w:t xml:space="preserve"> </w:t>
      </w:r>
      <w:r>
        <w:t xml:space="preserve">carrying out a PIA. This assessment requires a comparison between resolution and</w:t>
      </w:r>
      <w:r>
        <w:t xml:space="preserve"> </w:t>
      </w:r>
      <w:r>
        <w:t xml:space="preserve">insolvency, in order to decide which procedure better meets the resolution objectives348.</w:t>
      </w:r>
      <w:r>
        <w:t xml:space="preserve"> </w:t>
      </w:r>
      <w:r>
        <w:t xml:space="preserve">The resolution objectives are considered to be of equal importance and must be balanced</w:t>
      </w:r>
      <w:r>
        <w:t xml:space="preserve"> </w:t>
      </w:r>
      <w:r>
        <w:t xml:space="preserve">as appropriate to the nature and circumstances of each case. Moreover, the framework</w:t>
      </w:r>
      <w:r>
        <w:t xml:space="preserve"> </w:t>
      </w:r>
      <w:r>
        <w:t xml:space="preserve">also requires that, when pursuing the resolution objectives, the resolution authority</w:t>
      </w:r>
      <w:r>
        <w:t xml:space="preserve"> </w:t>
      </w:r>
      <w:r>
        <w:t xml:space="preserve">should seek to minimise the cost of resolution and avoid destruction of value unless</w:t>
      </w:r>
      <w:r>
        <w:t xml:space="preserve"> </w:t>
      </w:r>
      <w:r>
        <w:t xml:space="preserve">necessary to achieve the resolution objectives. Additionally, the BRRD349 provides that</w:t>
      </w:r>
      <w:r>
        <w:t xml:space="preserve"> </w:t>
      </w:r>
      <w:r>
        <w:t xml:space="preserve">authorities should have the possibility to resolve any institution, in order to maintain</w:t>
      </w:r>
      <w:r>
        <w:t xml:space="preserve"> </w:t>
      </w:r>
      <w:r>
        <w:t xml:space="preserve">financial stability.</w:t>
      </w:r>
      <w:r>
        <w:t xml:space="preserve"> </w:t>
      </w:r>
      <w:r>
        <w:t xml:space="preserve">However, the BRRD and SRMR leave a margin of discretion for resolution authorities</w:t>
      </w:r>
      <w:r>
        <w:t xml:space="preserve"> </w:t>
      </w:r>
      <w:r>
        <w:t xml:space="preserve">when carrying out this assessment, which led to divergent applications, as well as to</w:t>
      </w:r>
    </w:p>
    <w:p>
      <w:pPr>
        <w:pStyle w:val="BodyText"/>
      </w:pPr>
      <w:r>
        <w:t xml:space="preserve">346 Relates to problem 1 and its first driver addressed by this impact assessment (chapter 2, section 2.1.1)</w:t>
      </w:r>
      <w:r>
        <w:t xml:space="preserve"> </w:t>
      </w:r>
      <w:r>
        <w:t xml:space="preserve">and evaluation (section 7.1.3.3).</w:t>
      </w:r>
      <w:r>
        <w:t xml:space="preserve"> </w:t>
      </w:r>
      <w:r>
        <w:t xml:space="preserve">347 Article 32(1)(c) BRRD and Article 18(1)(c) SRMR.</w:t>
      </w:r>
      <w:r>
        <w:t xml:space="preserve"> </w:t>
      </w:r>
      <w:r>
        <w:t xml:space="preserve">348 As per Article 31 BRRD, continuity of critical functions, avoidance of significant adverse effect on the</w:t>
      </w:r>
      <w:r>
        <w:t xml:space="preserve"> </w:t>
      </w:r>
      <w:r>
        <w:t xml:space="preserve">financial system, protection of public funds, protection of deposits and investors covered by investor</w:t>
      </w:r>
      <w:r>
        <w:t xml:space="preserve"> </w:t>
      </w:r>
      <w:r>
        <w:t xml:space="preserve">compensation schemes, protection of client funds and client assets.</w:t>
      </w:r>
      <w:r>
        <w:t xml:space="preserve"> </w:t>
      </w:r>
      <w:r>
        <w:t xml:space="preserve">349 See recital 29 BRRD.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interpretations which may not fully reflect the logic and intention of the legislation.</w:t>
      </w:r>
      <w:r>
        <w:t xml:space="preserve"> </w:t>
      </w:r>
      <w:r>
        <w:t xml:space="preserve">While in the Banking Union, the test has been applied rather restrictively and resolution</w:t>
      </w:r>
      <w:r>
        <w:t xml:space="preserve"> </w:t>
      </w:r>
      <w:r>
        <w:t xml:space="preserve">was used only three times350 so far under the SRMR, outside the Banking Union,</w:t>
      </w:r>
      <w:r>
        <w:t xml:space="preserve"> </w:t>
      </w:r>
      <w:r>
        <w:t xml:space="preserve">resolution has been used more extensively (six out of 13 cases)351.</w:t>
      </w:r>
      <w:r>
        <w:t xml:space="preserve"> </w:t>
      </w:r>
      <w:r>
        <w:t xml:space="preserve">Some resolution authorities have taken the approach that only a limited number of</w:t>
      </w:r>
      <w:r>
        <w:t xml:space="preserve"> </w:t>
      </w:r>
      <w:r>
        <w:t xml:space="preserve">institutions should meet the PIA. However, several factors are relevant when carrying out</w:t>
      </w:r>
      <w:r>
        <w:t xml:space="preserve"> </w:t>
      </w:r>
      <w:r>
        <w:t xml:space="preserve">the PIA and the assessment should not be reduced simply to a matter of size of the</w:t>
      </w:r>
      <w:r>
        <w:t xml:space="preserve"> </w:t>
      </w:r>
      <w:r>
        <w:t xml:space="preserve">institution.</w:t>
      </w:r>
      <w:r>
        <w:br/>
      </w:r>
      <w:r>
        <w:t xml:space="preserve">A first factor in the assessment is the type of normal insolvency proceedings available at</w:t>
      </w:r>
      <w:r>
        <w:t xml:space="preserve"> </w:t>
      </w:r>
      <w:r>
        <w:t xml:space="preserve">national level (the counterfactual to resolution), which may lead to different PIA results</w:t>
      </w:r>
      <w:r>
        <w:t xml:space="preserve"> </w:t>
      </w:r>
      <w:r>
        <w:t xml:space="preserve">for banks in different Member States. A national insolvency law allowing only piecemeal</w:t>
      </w:r>
      <w:r>
        <w:t xml:space="preserve"> </w:t>
      </w:r>
      <w:r>
        <w:t xml:space="preserve">liquidation is likely to be considered inadequate to manage the failure even of a medium-</w:t>
      </w:r>
      <w:r>
        <w:t xml:space="preserve"> </w:t>
      </w:r>
      <w:r>
        <w:t xml:space="preserve">sized entity, as the sudden interruption of certain functions (e.g. deposit taking and</w:t>
      </w:r>
      <w:r>
        <w:t xml:space="preserve"> </w:t>
      </w:r>
      <w:r>
        <w:t xml:space="preserve">payment services) could have a negative effect on financial stability and depositors’</w:t>
      </w:r>
      <w:r>
        <w:t xml:space="preserve"> </w:t>
      </w:r>
      <w:r>
        <w:t xml:space="preserve">confidence and undermine the payment system. A different conclusion could be reached</w:t>
      </w:r>
      <w:r>
        <w:t xml:space="preserve"> </w:t>
      </w:r>
      <w:r>
        <w:t xml:space="preserve">if the national insolvency proceedings allow additional ways to manage the bank’s</w:t>
      </w:r>
      <w:r>
        <w:t xml:space="preserve"> </w:t>
      </w:r>
      <w:r>
        <w:t xml:space="preserve">failure, such as the transfer of the bank’s deposit book.</w:t>
      </w:r>
      <w:r>
        <w:t xml:space="preserve"> </w:t>
      </w:r>
      <w:r>
        <w:t xml:space="preserve">A second factor in the PIA is the impact on financial stability, which should be assessed</w:t>
      </w:r>
      <w:r>
        <w:t xml:space="preserve"> </w:t>
      </w:r>
      <w:r>
        <w:t xml:space="preserve">taking into consideration the economic environment at the moment of failure. In the</w:t>
      </w:r>
      <w:r>
        <w:t xml:space="preserve"> </w:t>
      </w:r>
      <w:r>
        <w:t xml:space="preserve">event of a widespread crisis, which would potentially weaken several institutions at the</w:t>
      </w:r>
      <w:r>
        <w:t xml:space="preserve"> </w:t>
      </w:r>
      <w:r>
        <w:t xml:space="preserve">same time, even the failure of a smaller institution may create ripple effects and impact</w:t>
      </w:r>
      <w:r>
        <w:t xml:space="preserve"> </w:t>
      </w:r>
      <w:r>
        <w:t xml:space="preserve">other players in the market. This could justify a decision to put that respective bank in</w:t>
      </w:r>
      <w:r>
        <w:t xml:space="preserve"> </w:t>
      </w:r>
      <w:r>
        <w:t xml:space="preserve">resolution rather than insolvency.</w:t>
      </w:r>
      <w:r>
        <w:t xml:space="preserve"> </w:t>
      </w:r>
      <w:r>
        <w:t xml:space="preserve">A third factor which is crucial to the PIA is the assessment of the impact on critical</w:t>
      </w:r>
      <w:r>
        <w:t xml:space="preserve"> </w:t>
      </w:r>
      <w:r>
        <w:t xml:space="preserve">functions. The conclusion that winding up the institution under normal insolvency</w:t>
      </w:r>
      <w:r>
        <w:t xml:space="preserve"> </w:t>
      </w:r>
      <w:r>
        <w:t xml:space="preserve">proceedings would disrupt its critical functions provides a strong basis for a public</w:t>
      </w:r>
      <w:r>
        <w:t xml:space="preserve"> </w:t>
      </w:r>
      <w:r>
        <w:t xml:space="preserve">interest finding. The critical nature of a function depends on the effect of an abrupt</w:t>
      </w:r>
      <w:r>
        <w:t xml:space="preserve"> </w:t>
      </w:r>
      <w:r>
        <w:t xml:space="preserve">interruption on the economy, the possibility for substitution and other factors. There are</w:t>
      </w:r>
      <w:r>
        <w:t xml:space="preserve"> </w:t>
      </w:r>
      <w:r>
        <w:t xml:space="preserve">divergences among resolution authorities in the interpretation of the PIA with respect to</w:t>
      </w:r>
      <w:r>
        <w:t xml:space="preserve"> </w:t>
      </w:r>
      <w:r>
        <w:t xml:space="preserve">the geographical reach of critical functions, i.e. whether a function can be deemed critical</w:t>
      </w:r>
      <w:r>
        <w:t xml:space="preserve"> </w:t>
      </w:r>
      <w:r>
        <w:t xml:space="preserve">only when its interruption has an impact on the economy of an entire Member State or</w:t>
      </w:r>
      <w:r>
        <w:t xml:space="preserve"> </w:t>
      </w:r>
      <w:r>
        <w:t xml:space="preserve">whether local/regional impact can be deemed sufficient. Similarly, the scope of the</w:t>
      </w:r>
      <w:r>
        <w:t xml:space="preserve"> </w:t>
      </w:r>
      <w:r>
        <w:t xml:space="preserve">assessment of the impact on financial stability was set at the level of one or several</w:t>
      </w:r>
      <w:r>
        <w:t xml:space="preserve"> </w:t>
      </w:r>
      <w:r>
        <w:t xml:space="preserve">Member States.352 However, the BRRD/SRMR refer also to effects within a Member</w:t>
      </w:r>
      <w:r>
        <w:t xml:space="preserve"> </w:t>
      </w:r>
      <w:r>
        <w:t xml:space="preserve">State (i.e. within a region) and do not restrict the assessment to impacts on the financial</w:t>
      </w:r>
      <w:r>
        <w:t xml:space="preserve"> </w:t>
      </w:r>
      <w:r>
        <w:t xml:space="preserve">stability of (at least) an entire Member State. Additionally, the relevant Delegated</w:t>
      </w:r>
    </w:p>
    <w:p>
      <w:pPr>
        <w:pStyle w:val="BodyText"/>
      </w:pPr>
      <w:r>
        <w:t xml:space="preserve">350 Two of those cases relate to the failure of banking entities belonging to the Sberbank Europe AG group,</w:t>
      </w:r>
      <w:r>
        <w:t xml:space="preserve"> </w:t>
      </w:r>
      <w:r>
        <w:t xml:space="preserve">which took place under special circumstances (see also Annex 9 for more information on the resolution of</w:t>
      </w:r>
      <w:r>
        <w:t xml:space="preserve"> </w:t>
      </w:r>
      <w:r>
        <w:t xml:space="preserve">the Sberbank group)</w:t>
      </w:r>
      <w:r>
        <w:br/>
      </w:r>
      <w:r>
        <w:t xml:space="preserve">351 The remaining four cases with a positive PIA, concerned resolution in Banking Union Member States</w:t>
      </w:r>
      <w:r>
        <w:t xml:space="preserve"> </w:t>
      </w:r>
      <w:r>
        <w:t xml:space="preserve">but before the entry into force of the minimum 8% bail-in requirement and before the SRB became</w:t>
      </w:r>
      <w:r>
        <w:t xml:space="preserve"> </w:t>
      </w:r>
      <w:r>
        <w:t xml:space="preserve">responsible for the resolution handling of these cases.</w:t>
      </w:r>
      <w:r>
        <w:t xml:space="preserve"> </w:t>
      </w:r>
      <w:r>
        <w:t xml:space="preserve">352 SRB (3 July 2019), Public Interest Assessment: SRB Approach, p. 8.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Regulation353 also provides for the assessment of critical functions on a local, regional,</w:t>
      </w:r>
      <w:r>
        <w:t xml:space="preserve"> </w:t>
      </w:r>
      <w:r>
        <w:t xml:space="preserve">national or European level, as appropriate for the market concerned. The SRB is revising</w:t>
      </w:r>
      <w:r>
        <w:t xml:space="preserve"> </w:t>
      </w:r>
      <w:r>
        <w:t xml:space="preserve">its PIA policy, which may incorporate an approach more considerate of local</w:t>
      </w:r>
      <w:r>
        <w:t xml:space="preserve"> </w:t>
      </w:r>
      <w:r>
        <w:t xml:space="preserve">implications.354</w:t>
      </w:r>
      <w:r>
        <w:br/>
      </w:r>
      <w:r>
        <w:t xml:space="preserve">A fourth important factor for the PIA is the link with the funding sources which would</w:t>
      </w:r>
      <w:r>
        <w:t xml:space="preserve"> </w:t>
      </w:r>
      <w:r>
        <w:t xml:space="preserve">become potentially available, i.e. resolution fund/DGS funding in resolution versus aid in</w:t>
      </w:r>
      <w:r>
        <w:t xml:space="preserve"> </w:t>
      </w:r>
      <w:r>
        <w:t xml:space="preserve">insolvency. At the time of the PIA, due account should be given to the available sources</w:t>
      </w:r>
      <w:r>
        <w:t xml:space="preserve"> </w:t>
      </w:r>
      <w:r>
        <w:t xml:space="preserve">of funding under various tools and a comparison should be made in light of the best</w:t>
      </w:r>
      <w:r>
        <w:t xml:space="preserve"> </w:t>
      </w:r>
      <w:r>
        <w:t xml:space="preserve">fulfilment of the resolution objectives and the overarching principle underlying the</w:t>
      </w:r>
      <w:r>
        <w:t xml:space="preserve"> </w:t>
      </w:r>
      <w:r>
        <w:t xml:space="preserve">resolution framework i.e. avoiding recourse to bail-outs. Past applications of the PIA did</w:t>
      </w:r>
      <w:r>
        <w:t xml:space="preserve"> </w:t>
      </w:r>
      <w:r>
        <w:t xml:space="preserve">not manage to avoid a use of large amounts of public support in insolvency, leading to</w:t>
      </w:r>
      <w:r>
        <w:t xml:space="preserve"> </w:t>
      </w:r>
      <w:r>
        <w:t xml:space="preserve">sub-optimal results from the perspective of preserving financial stability, preventing</w:t>
      </w:r>
      <w:r>
        <w:t xml:space="preserve"> </w:t>
      </w:r>
      <w:r>
        <w:t xml:space="preserve">moral hazard or safeguarding level-playing field. Also, the objective to limit the cost for</w:t>
      </w:r>
      <w:r>
        <w:t xml:space="preserve"> </w:t>
      </w:r>
      <w:r>
        <w:t xml:space="preserve">taxpayers could benefit from a further distinction between the use of public funds from</w:t>
      </w:r>
      <w:r>
        <w:t xml:space="preserve"> </w:t>
      </w:r>
      <w:r>
        <w:t xml:space="preserve">the State budget and the use of the RF/SRF or the DGS, which are financed by the</w:t>
      </w:r>
      <w:r>
        <w:t xml:space="preserve"> </w:t>
      </w:r>
      <w:r>
        <w:t xml:space="preserve">industry.</w:t>
      </w:r>
      <w:r>
        <w:br/>
      </w:r>
      <w:r>
        <w:t xml:space="preserve">Consultations with stakeholders355 showed that most stakeholders consider that the</w:t>
      </w:r>
      <w:r>
        <w:t xml:space="preserve"> </w:t>
      </w:r>
      <w:r>
        <w:t xml:space="preserve">provision, as regulated now, gives opportunity for too many different interpretations and</w:t>
      </w:r>
      <w:r>
        <w:t xml:space="preserve"> </w:t>
      </w:r>
      <w:r>
        <w:t xml:space="preserve">therefore creates level playing field issues and uncertainty. Many respondents argue that</w:t>
      </w:r>
      <w:r>
        <w:t xml:space="preserve"> </w:t>
      </w:r>
      <w:r>
        <w:t xml:space="preserve">the outcome of the PIA in the planning phase should be more predictable.</w:t>
      </w:r>
      <w:r>
        <w:t xml:space="preserve"> </w:t>
      </w:r>
      <w:r>
        <w:t xml:space="preserve">7.1.3.5. Interaction between national insolvency proceedings and resolution</w:t>
      </w:r>
      <w:r>
        <w:t xml:space="preserve"> </w:t>
      </w:r>
      <w:r>
        <w:t xml:space="preserve">triggers</w:t>
      </w:r>
      <w:r>
        <w:t xml:space="preserve"> </w:t>
      </w:r>
      <w:r>
        <w:t xml:space="preserve">National insolvency proceedings have been so far chosen over resolution in most of the</w:t>
      </w:r>
      <w:r>
        <w:t xml:space="preserve"> </w:t>
      </w:r>
      <w:r>
        <w:t xml:space="preserve">recent cases of bank failures. However, these proceedings are very heterogeneous across</w:t>
      </w:r>
      <w:r>
        <w:t xml:space="preserve"> </w:t>
      </w:r>
      <w:r>
        <w:t xml:space="preserve">EU Member States, not always tailored to the specificities of banks. Therefore, there is</w:t>
      </w:r>
      <w:r>
        <w:t xml:space="preserve"> </w:t>
      </w:r>
      <w:r>
        <w:t xml:space="preserve">no consistency EU-wide as to how a bank failure will be managed if resolution is not</w:t>
      </w:r>
      <w:r>
        <w:t xml:space="preserve"> </w:t>
      </w:r>
      <w:r>
        <w:t xml:space="preserve">used. For example, some Member States have special regimes applicable only to banks,</w:t>
      </w:r>
      <w:r>
        <w:t xml:space="preserve"> </w:t>
      </w:r>
      <w:r>
        <w:t xml:space="preserve">while others have ordinary insolvency regimes applicable to all kinds of firms; some</w:t>
      </w:r>
      <w:r>
        <w:t xml:space="preserve"> </w:t>
      </w:r>
      <w:r>
        <w:t xml:space="preserve">implement judicial-based frameworks, while others administrative-based frameworks.</w:t>
      </w:r>
      <w:r>
        <w:t xml:space="preserve"> </w:t>
      </w:r>
      <w:r>
        <w:t xml:space="preserve">Some Member States aligned the triggers for commencing national insolvency</w:t>
      </w:r>
      <w:r>
        <w:t xml:space="preserve"> </w:t>
      </w:r>
      <w:r>
        <w:t xml:space="preserve">proceedings with the BRRD FOLF triggers. However, in many Member States, a lack of</w:t>
      </w:r>
      <w:r>
        <w:t xml:space="preserve"> </w:t>
      </w:r>
      <w:r>
        <w:t xml:space="preserve">such alignment may result in legal uncertainty in the management of the banks that are</w:t>
      </w:r>
      <w:r>
        <w:t xml:space="preserve"> </w:t>
      </w:r>
      <w:r>
        <w:t xml:space="preserve">not resolved (lead to a break in the continuum between going and gone concern), in</w:t>
      </w:r>
      <w:r>
        <w:t xml:space="preserve"> </w:t>
      </w:r>
      <w:r>
        <w:t xml:space="preserve">particular in cross-border cases.</w:t>
      </w:r>
      <w:r>
        <w:br/>
      </w:r>
      <w:r>
        <w:t xml:space="preserve">This variety of procedures creates a level playing field problem, as creditors and</w:t>
      </w:r>
      <w:r>
        <w:t xml:space="preserve"> </w:t>
      </w:r>
      <w:r>
        <w:t xml:space="preserve">depositors may be treated differently across the EU, potentially impairing the single</w:t>
      </w:r>
    </w:p>
    <w:p>
      <w:pPr>
        <w:pStyle w:val="BodyText"/>
      </w:pPr>
      <w:r>
        <w:t xml:space="preserve">353 Commission Delegated Regulation (EU) 2016/778 of 2 February 2016 supplementing Directive</w:t>
      </w:r>
      <w:r>
        <w:t xml:space="preserve"> </w:t>
      </w:r>
      <w:r>
        <w:t xml:space="preserve">2014/59/EU of the European Parliament and of the Council with regard to the circumstances and</w:t>
      </w:r>
      <w:r>
        <w:t xml:space="preserve"> </w:t>
      </w:r>
      <w:r>
        <w:t xml:space="preserve">conditions under which the payment of extraordinary ex post contributions may be partially or entirely</w:t>
      </w:r>
      <w:r>
        <w:t xml:space="preserve"> </w:t>
      </w:r>
      <w:r>
        <w:t xml:space="preserve">deferred, and on the criteria for the determination of the activities, services and operations with regard to</w:t>
      </w:r>
      <w:r>
        <w:t xml:space="preserve"> </w:t>
      </w:r>
      <w:r>
        <w:t xml:space="preserve">critical functions, and for the determination of the business lines and associated services with regard to core</w:t>
      </w:r>
      <w:r>
        <w:t xml:space="preserve"> </w:t>
      </w:r>
      <w:r>
        <w:t xml:space="preserve">business lines, OJ L 131, 20.5.2016, p. 41.</w:t>
      </w:r>
      <w:r>
        <w:t xml:space="preserve"> </w:t>
      </w:r>
      <w:r>
        <w:t xml:space="preserve">354 SRB (May 2021), PIA policy considerations.</w:t>
      </w:r>
      <w:r>
        <w:t xml:space="preserve"> </w:t>
      </w:r>
      <w:r>
        <w:t xml:space="preserve">355 Annex 2 of the impact assessment and the published summary of the consultations.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market in banking and fuelling financial fragmentation. Importantly, the lack of</w:t>
      </w:r>
      <w:r>
        <w:t xml:space="preserve"> </w:t>
      </w:r>
      <w:r>
        <w:t xml:space="preserve">sufficient clarity on the need for exiting the market in a timely manner, in case of</w:t>
      </w:r>
      <w:r>
        <w:t xml:space="preserve"> </w:t>
      </w:r>
      <w:r>
        <w:t xml:space="preserve">winding up following a negative PIA, could be an incentive for governments to also</w:t>
      </w:r>
      <w:r>
        <w:t xml:space="preserve"> </w:t>
      </w:r>
      <w:r>
        <w:t xml:space="preserve">extend some forms of support to banks that lack a sustainable business model,</w:t>
      </w:r>
      <w:r>
        <w:t xml:space="preserve"> </w:t>
      </w:r>
      <w:r>
        <w:t xml:space="preserve">particularly contributing to generating a heavy legacy of excess capacity in the system.</w:t>
      </w:r>
      <w:r>
        <w:br/>
      </w:r>
      <w:r>
        <w:t xml:space="preserve">The underlying assumption with respect to an insolvency procedure is that once the bank</w:t>
      </w:r>
      <w:r>
        <w:t xml:space="preserve"> </w:t>
      </w:r>
      <w:r>
        <w:t xml:space="preserve">is put in insolvency it must exit the market. This does not have to happen immediately</w:t>
      </w:r>
      <w:r>
        <w:t xml:space="preserve"> </w:t>
      </w:r>
      <w:r>
        <w:t xml:space="preserve">nor following a single procedure. A bank may be sold through liquidation (i.e. in a</w:t>
      </w:r>
      <w:r>
        <w:t xml:space="preserve"> </w:t>
      </w:r>
      <w:r>
        <w:t xml:space="preserve">piecemeal fashion) or (partial) sale of the business. However, a market exit should take</w:t>
      </w:r>
      <w:r>
        <w:t xml:space="preserve"> </w:t>
      </w:r>
      <w:r>
        <w:t xml:space="preserve">place within a reasonable timeframe.</w:t>
      </w:r>
      <w:r>
        <w:t xml:space="preserve"> </w:t>
      </w:r>
      <w:r>
        <w:t xml:space="preserve">Under the current rules on insolvency, however, this outcome is not necessarily</w:t>
      </w:r>
      <w:r>
        <w:t xml:space="preserve"> </w:t>
      </w:r>
      <w:r>
        <w:t xml:space="preserve">guaranteed. In certain cases, it is possible that no action at all can be taken, because when</w:t>
      </w:r>
      <w:r>
        <w:t xml:space="preserve"> </w:t>
      </w:r>
      <w:r>
        <w:t xml:space="preserve">the bank is declared FOLF as per the BRRD and there is no PIA to resolve it, the triggers</w:t>
      </w:r>
      <w:r>
        <w:t xml:space="preserve"> </w:t>
      </w:r>
      <w:r>
        <w:t xml:space="preserve">to initiate insolvency are not met. To address this potential “limbo” situation, the 2019</w:t>
      </w:r>
      <w:r>
        <w:t xml:space="preserve"> </w:t>
      </w:r>
      <w:r>
        <w:t xml:space="preserve">Banking Package introduced Article 32b BRRD, requiring Member States to ensure the</w:t>
      </w:r>
      <w:r>
        <w:t xml:space="preserve"> </w:t>
      </w:r>
      <w:r>
        <w:t xml:space="preserve">orderly winding up in accordance with the applicable national law of failing banks which</w:t>
      </w:r>
      <w:r>
        <w:t xml:space="preserve"> </w:t>
      </w:r>
      <w:r>
        <w:t xml:space="preserve">cannot be resolved due to negative PIA. However, it is still unclear whether the</w:t>
      </w:r>
      <w:r>
        <w:t xml:space="preserve"> </w:t>
      </w:r>
      <w:r>
        <w:t xml:space="preserve">implementation of this Article in the national legal framework would address any</w:t>
      </w:r>
      <w:r>
        <w:t xml:space="preserve"> </w:t>
      </w:r>
      <w:r>
        <w:t xml:space="preserve">residual risk of standstill situations, in particular in those cases where the bank was</w:t>
      </w:r>
      <w:r>
        <w:t xml:space="preserve"> </w:t>
      </w:r>
      <w:r>
        <w:t xml:space="preserve">declared FOLF on the basis of forward looking triggers (“likely to fail”).</w:t>
      </w:r>
      <w:r>
        <w:t xml:space="preserve"> </w:t>
      </w:r>
      <w:r>
        <w:t xml:space="preserve">These differences in insolvency that can be observed across the EU have consequences</w:t>
      </w:r>
      <w:r>
        <w:t xml:space="preserve"> </w:t>
      </w:r>
      <w:r>
        <w:t xml:space="preserve">even for banks that are resolved. This is due to the fact that normal insolvency</w:t>
      </w:r>
      <w:r>
        <w:t xml:space="preserve"> </w:t>
      </w:r>
      <w:r>
        <w:t xml:space="preserve">proceedings are used in resolution as the main element of comparison for assessing</w:t>
      </w:r>
      <w:r>
        <w:t xml:space="preserve"> </w:t>
      </w:r>
      <w:r>
        <w:t xml:space="preserve">compliance with the “no creditor worse off” (NCWO) principle.</w:t>
      </w:r>
      <w:r>
        <w:t xml:space="preserve"> </w:t>
      </w:r>
      <w:r>
        <w:t xml:space="preserve">The problem driver described above may further complicate the handling of failures of</w:t>
      </w:r>
      <w:r>
        <w:t xml:space="preserve"> </w:t>
      </w:r>
      <w:r>
        <w:t xml:space="preserve">cross-border banking groups, as the entities of the group are handled according to a mix</w:t>
      </w:r>
      <w:r>
        <w:t xml:space="preserve"> </w:t>
      </w:r>
      <w:r>
        <w:t xml:space="preserve">of European and national rules for triggering resolution and insolvency, respectively.</w:t>
      </w:r>
      <w:r>
        <w:t xml:space="preserve"> </w:t>
      </w:r>
      <w:r>
        <w:t xml:space="preserve">Box 11: Example of unclear interaction between FOLF triggers and national</w:t>
      </w:r>
      <w:r>
        <w:t xml:space="preserve"> </w:t>
      </w:r>
      <w:r>
        <w:t xml:space="preserve">insolvency triggers - Case of ABLV</w:t>
      </w:r>
      <w:r>
        <w:br/>
      </w:r>
      <w:r>
        <w:t xml:space="preserve">In February 2018, the ECB’s FOLF decision for both the Latvian parent and its</w:t>
      </w:r>
      <w:r>
        <w:t xml:space="preserve"> </w:t>
      </w:r>
      <w:r>
        <w:t xml:space="preserve">Luxembourg subsidiary356, was based on an assessment that the bank would likely be</w:t>
      </w:r>
      <w:r>
        <w:t xml:space="preserve"> </w:t>
      </w:r>
      <w:r>
        <w:t xml:space="preserve">unable, in the near future, to pay its debts or other liabilities as they fall due. Following</w:t>
      </w:r>
      <w:r>
        <w:t xml:space="preserve"> </w:t>
      </w:r>
      <w:r>
        <w:t xml:space="preserve">the FOLF determination, the SRB assessed that a resolution procedure was not in the</w:t>
      </w:r>
      <w:r>
        <w:t xml:space="preserve"> </w:t>
      </w:r>
      <w:r>
        <w:t xml:space="preserve">public interest (i.e. negative PIA)357. Consequently, the winding up of the parent and the</w:t>
      </w:r>
      <w:r>
        <w:t xml:space="preserve"> </w:t>
      </w:r>
      <w:r>
        <w:t xml:space="preserve">subsidiary had to take place, under the national insolvency law of Latvia and</w:t>
      </w:r>
      <w:r>
        <w:t xml:space="preserve"> </w:t>
      </w:r>
      <w:r>
        <w:t xml:space="preserve">Luxembourg, respectively.</w:t>
      </w:r>
      <w:r>
        <w:br/>
      </w:r>
      <w:r>
        <w:t xml:space="preserve">However, the Latvian insolvency law does not provide for the immediate start of the</w:t>
      </w:r>
      <w:r>
        <w:t xml:space="preserve"> </w:t>
      </w:r>
      <w:r>
        <w:t xml:space="preserve">liquidation of an entity, as long as, it still possesses a licence to operate and is able to</w:t>
      </w:r>
    </w:p>
    <w:p>
      <w:pPr>
        <w:pStyle w:val="BodyText"/>
      </w:pPr>
      <w:r>
        <w:t xml:space="preserve">356 ECB (24 February 2018) Press release on FOLF determination for ABLV Bank</w:t>
      </w:r>
      <w:r>
        <w:t xml:space="preserve"> </w:t>
      </w:r>
      <w:r>
        <w:t xml:space="preserve">357 SRB (24 February 2018) Press release on SRB’s decision not to take a resolution action for ABLV Bank</w:t>
      </w:r>
      <w:r>
        <w:t xml:space="preserve"> </w:t>
      </w:r>
      <w:r>
        <w:t xml:space="preserve">and its subsidiary in Luxembourg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meet its payment obligations. As a result, although an assessment of the likely inability</w:t>
      </w:r>
      <w:r>
        <w:t xml:space="preserve"> </w:t>
      </w:r>
      <w:r>
        <w:t xml:space="preserve">of the bank to meet its payment obligations was sufficient reason for ECB to determine</w:t>
      </w:r>
      <w:r>
        <w:t xml:space="preserve"> </w:t>
      </w:r>
      <w:r>
        <w:t xml:space="preserve">that the parent and its subsidiary were FOLF, it did not constitute sufficient grounds for</w:t>
      </w:r>
      <w:r>
        <w:t xml:space="preserve"> </w:t>
      </w:r>
      <w:r>
        <w:t xml:space="preserve">opening winding up proceedings, under the national insolvency laws of Latvia and</w:t>
      </w:r>
      <w:r>
        <w:t xml:space="preserve"> </w:t>
      </w:r>
      <w:r>
        <w:t xml:space="preserve">Luxembourg, for the two FOLF entities. To end this limbo situation, the shareholders of</w:t>
      </w:r>
      <w:r>
        <w:t xml:space="preserve"> </w:t>
      </w:r>
      <w:r>
        <w:t xml:space="preserve">the Latvian parent bank had to be convinced to liquidate the bank, voluntarily. In</w:t>
      </w:r>
      <w:r>
        <w:t xml:space="preserve"> </w:t>
      </w:r>
      <w:r>
        <w:t xml:space="preserve">contrast, the Luxembourg subsidiary was subject to a suspension of payments regime</w:t>
      </w:r>
      <w:r>
        <w:t xml:space="preserve"> </w:t>
      </w:r>
      <w:r>
        <w:t xml:space="preserve">(moratorium) until the start of the judicial liquidation process almost two years later.</w:t>
      </w:r>
      <w:r>
        <w:t xml:space="preserve"> </w:t>
      </w:r>
      <w:r>
        <w:t xml:space="preserve">Consequently, the Luxembourg subsidiary was faced with a situation of legal</w:t>
      </w:r>
      <w:r>
        <w:t xml:space="preserve"> </w:t>
      </w:r>
      <w:r>
        <w:t xml:space="preserve">uncertainty, because it was declared FOLF, but could not exit the market for a prolonged</w:t>
      </w:r>
      <w:r>
        <w:t xml:space="preserve"> </w:t>
      </w:r>
      <w:r>
        <w:t xml:space="preserve">period of time358.</w:t>
      </w:r>
      <w:r>
        <w:t xml:space="preserve"> </w:t>
      </w:r>
      <w:r>
        <w:t xml:space="preserve">Feedback from the consultations with the stakeholders359 revealed that the majority is in</w:t>
      </w:r>
      <w:r>
        <w:t xml:space="preserve"> </w:t>
      </w:r>
      <w:r>
        <w:t xml:space="preserve">general, supportive of a full or maximum possible alignment between national insolvency</w:t>
      </w:r>
      <w:r>
        <w:t xml:space="preserve"> </w:t>
      </w:r>
      <w:r>
        <w:t xml:space="preserve">proceedings and resolution triggers bearing in mind restrictions in national law (such as</w:t>
      </w:r>
      <w:r>
        <w:t xml:space="preserve"> </w:t>
      </w:r>
      <w:r>
        <w:t xml:space="preserve">Constitutional features). Some of the stakeholders explained that such alignment is</w:t>
      </w:r>
      <w:r>
        <w:t xml:space="preserve"> </w:t>
      </w:r>
      <w:r>
        <w:t xml:space="preserve">already in place in some jurisdictions.</w:t>
      </w:r>
      <w:r>
        <w:t xml:space="preserve"> </w:t>
      </w:r>
      <w:r>
        <w:t xml:space="preserve">7.1.3.6. Non-harmonised national ranking of claims in insolvency</w:t>
      </w:r>
      <w:r>
        <w:t xml:space="preserve"> </w:t>
      </w:r>
      <w:r>
        <w:t xml:space="preserve">Insolvency proceedings as a counterfactual to resolution play an important role when</w:t>
      </w:r>
      <w:r>
        <w:t xml:space="preserve"> </w:t>
      </w:r>
      <w:r>
        <w:t xml:space="preserve">assessing the application of resolution tools. Concretely, resolution authorities must</w:t>
      </w:r>
      <w:r>
        <w:t xml:space="preserve"> </w:t>
      </w:r>
      <w:r>
        <w:t xml:space="preserve">ensure that the application of resolution tools would not make creditors worse-off than</w:t>
      </w:r>
      <w:r>
        <w:t xml:space="preserve"> </w:t>
      </w:r>
      <w:r>
        <w:t xml:space="preserve">they would have been in insolvency (NCWO principle). Furthermore, liabilities absorb</w:t>
      </w:r>
      <w:r>
        <w:t xml:space="preserve"> </w:t>
      </w:r>
      <w:r>
        <w:t xml:space="preserve">losses and contribute to the recapitalisation of an institution in resolution in an order that</w:t>
      </w:r>
      <w:r>
        <w:t xml:space="preserve"> </w:t>
      </w:r>
      <w:r>
        <w:t xml:space="preserve">is largely determined by the hierarchy of claims in insolvency.</w:t>
      </w:r>
      <w:r>
        <w:br/>
      </w:r>
      <w:r>
        <w:t xml:space="preserve">The BRRD harmonised certain rules on the priority ranking in national laws governing</w:t>
      </w:r>
      <w:r>
        <w:t xml:space="preserve"> </w:t>
      </w:r>
      <w:r>
        <w:t xml:space="preserve">normal insolvency proceedings of the following liabilities: (i) covered deposits and DGS</w:t>
      </w:r>
      <w:r>
        <w:t xml:space="preserve"> </w:t>
      </w:r>
      <w:r>
        <w:t xml:space="preserve">(Article 108(1)(b)), (ii) the part of eligible deposits from natural persons and micro, small</w:t>
      </w:r>
      <w:r>
        <w:t xml:space="preserve"> </w:t>
      </w:r>
      <w:r>
        <w:t xml:space="preserve">and medium-sized enterprises (SMEs) exceeding the DGSD coverage level (Article</w:t>
      </w:r>
      <w:r>
        <w:t xml:space="preserve"> </w:t>
      </w:r>
      <w:r>
        <w:t xml:space="preserve">108(1)(a))360, (iii) senior non-preferred debt instruments (Article 108(2) and (3)) and (iv)</w:t>
      </w:r>
      <w:r>
        <w:t xml:space="preserve"> </w:t>
      </w:r>
      <w:r>
        <w:t xml:space="preserve">own funds items (Article 48). However, important divergences in the hierarchy of claims</w:t>
      </w:r>
      <w:r>
        <w:t xml:space="preserve"> </w:t>
      </w:r>
      <w:r>
        <w:t xml:space="preserve">remain when it comes to the ranking of ordinary unsecured claims, other deposits and</w:t>
      </w:r>
      <w:r>
        <w:t xml:space="preserve"> </w:t>
      </w:r>
      <w:r>
        <w:t xml:space="preserve">exclusions from bail-in.</w:t>
      </w:r>
      <w:r>
        <w:br/>
      </w:r>
      <w:r>
        <w:t xml:space="preserve">Such divergences have the potential to create uneven playing field in cross-border</w:t>
      </w:r>
      <w:r>
        <w:t xml:space="preserve"> </w:t>
      </w:r>
      <w:r>
        <w:t xml:space="preserve">resolutions and uneven treatment of creditors in resolution and in insolvency, as well as</w:t>
      </w:r>
      <w:r>
        <w:t xml:space="preserve"> </w:t>
      </w:r>
      <w:r>
        <w:t xml:space="preserve">additional complexity when conducting the NCWO assessment for cross-border groups,</w:t>
      </w:r>
      <w:r>
        <w:t xml:space="preserve"> </w:t>
      </w:r>
      <w:r>
        <w:t xml:space="preserve">particularly among jurisdictions participating in the Banking Union.</w:t>
      </w:r>
    </w:p>
    <w:p>
      <w:pPr>
        <w:pStyle w:val="BodyText"/>
      </w:pPr>
      <w:r>
        <w:t xml:space="preserve">358 Relates to problem 1 that groups together all identified issues of legal certainty in the existing</w:t>
      </w:r>
      <w:r>
        <w:t xml:space="preserve"> </w:t>
      </w:r>
      <w:r>
        <w:t xml:space="preserve">framework, addressed by this impact assessment in chapter 2, section 2.1 and chapter 5, section 5.5, as well</w:t>
      </w:r>
      <w:r>
        <w:t xml:space="preserve"> </w:t>
      </w:r>
      <w:r>
        <w:t xml:space="preserve">as in annex 8 (section 6) and the evaluation (section 7.1.3.5).</w:t>
      </w:r>
      <w:r>
        <w:t xml:space="preserve"> </w:t>
      </w:r>
      <w:r>
        <w:t xml:space="preserve">359 See Annex 2 of the impact assessment.</w:t>
      </w:r>
      <w:r>
        <w:br/>
      </w:r>
      <w:r>
        <w:t xml:space="preserve">360 As well as deposits that would be eligible deposits from natural persons and SMEs were they not made</w:t>
      </w:r>
      <w:r>
        <w:t xml:space="preserve"> </w:t>
      </w:r>
      <w:r>
        <w:t xml:space="preserve">through branches located outside the Union of institutions established within the Union.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Feedback from the consultations with the stakeholders confirmed that a large majority of</w:t>
      </w:r>
      <w:r>
        <w:t xml:space="preserve"> </w:t>
      </w:r>
      <w:r>
        <w:t xml:space="preserve">the respondents perceived that the differences between bank creditor hierarchies across</w:t>
      </w:r>
      <w:r>
        <w:t xml:space="preserve"> </w:t>
      </w:r>
      <w:r>
        <w:t xml:space="preserve">Members States could complicate the application of resolution action as they viewed</w:t>
      </w:r>
      <w:r>
        <w:t xml:space="preserve"> </w:t>
      </w:r>
      <w:r>
        <w:t xml:space="preserve">these divergences as a source of increased fragmentation in the EU and differentiated</w:t>
      </w:r>
      <w:r>
        <w:t xml:space="preserve"> </w:t>
      </w:r>
      <w:r>
        <w:t xml:space="preserve">treatment amongst creditors.</w:t>
      </w:r>
      <w:r>
        <w:t xml:space="preserve"> </w:t>
      </w:r>
      <w:r>
        <w:t xml:space="preserve">Box 12: Overview of main differences in national ranking of deposit claims</w:t>
      </w:r>
      <w:r>
        <w:t xml:space="preserve"> </w:t>
      </w:r>
      <w:r>
        <w:t xml:space="preserve">In recent years, an increasing number of Member States (BG, CY, EL, HR, HU, IT, PT,</w:t>
      </w:r>
      <w:r>
        <w:t xml:space="preserve"> </w:t>
      </w:r>
      <w:r>
        <w:t xml:space="preserve">SI)361 have granted a legal preference in insolvency to the remaining deposits as a</w:t>
      </w:r>
      <w:r>
        <w:t xml:space="preserve"> </w:t>
      </w:r>
      <w:r>
        <w:t xml:space="preserve">complement to the protection already afforded to covered deposits and eligible deposits</w:t>
      </w:r>
      <w:r>
        <w:t xml:space="preserve"> </w:t>
      </w:r>
      <w:r>
        <w:t xml:space="preserve">of natural persons and SMEs under Article 108(1) BRRD.362 While those deposits now</w:t>
      </w:r>
      <w:r>
        <w:t xml:space="preserve"> </w:t>
      </w:r>
      <w:r>
        <w:t xml:space="preserve">rank in insolvency above ordinary unsecured claims (including senior bondholders</w:t>
      </w:r>
      <w:r>
        <w:t xml:space="preserve"> </w:t>
      </w:r>
      <w:r>
        <w:t xml:space="preserve">eligible for MREL), they continue to rank below the deposits referred to in Article 108(1)</w:t>
      </w:r>
      <w:r>
        <w:t xml:space="preserve"> </w:t>
      </w:r>
      <w:r>
        <w:t xml:space="preserve">BRRD.</w:t>
      </w:r>
    </w:p>
    <w:p>
      <w:pPr>
        <w:pStyle w:val="BodyText"/>
      </w:pPr>
      <w:r>
        <w:t xml:space="preserve">7.1.4. Objective (4): Did the framework achieve the objective of protecting</w:t>
      </w:r>
      <w:r>
        <w:t xml:space="preserve"> </w:t>
      </w:r>
      <w:r>
        <w:t xml:space="preserve">depositors and ensuring depositor confidence across the EU? In the</w:t>
      </w:r>
      <w:r>
        <w:t xml:space="preserve"> </w:t>
      </w:r>
      <w:r>
        <w:t xml:space="preserve">Banking Union, what is the impact of the absence of EDIS?</w:t>
      </w:r>
      <w:r>
        <w:t xml:space="preserve"> </w:t>
      </w:r>
      <w:r>
        <w:t xml:space="preserve">Overall, the framework achieved the objective of protecting depositors and ensuring</w:t>
      </w:r>
      <w:r>
        <w:t xml:space="preserve"> </w:t>
      </w:r>
      <w:r>
        <w:t xml:space="preserve">depositor confidence across the EU. In particular, the coverage level contributes to the</w:t>
      </w:r>
      <w:r>
        <w:t xml:space="preserve"> </w:t>
      </w:r>
      <w:r>
        <w:t xml:space="preserve">effectiveness of the DGSD framework and to depositors’ confidence, as it allows</w:t>
      </w:r>
      <w:r>
        <w:t xml:space="preserve"> </w:t>
      </w:r>
      <w:r>
        <w:t xml:space="preserve">protecting almost all deposited amounts and a very large part of the depositors’ wealth.</w:t>
      </w:r>
      <w:r>
        <w:t xml:space="preserve"> </w:t>
      </w:r>
      <w:r>
        <w:t xml:space="preserve">However, as the framework is not consistently applied across the EU, depositor</w:t>
      </w:r>
      <w:r>
        <w:t xml:space="preserve"> </w:t>
      </w:r>
      <w:r>
        <w:t xml:space="preserve">protection and confidence is achieved in a sub-optimal way.</w:t>
      </w:r>
      <w:r>
        <w:br/>
      </w:r>
      <w:r>
        <w:t xml:space="preserve">Box 13: Information on covered deposits, available financial means363 and target level</w:t>
      </w:r>
    </w:p>
    <w:p>
      <w:pPr>
        <w:pStyle w:val="BodyText"/>
      </w:pPr>
      <w:r>
        <w:t xml:space="preserve">The amount of covered deposits is increasing. By the end of 2021, the target level of</w:t>
      </w:r>
      <w:r>
        <w:t xml:space="preserve"> </w:t>
      </w:r>
      <w:r>
        <w:t xml:space="preserve">0.8% of all covered deposits in the European Union amounted to EUR 64 bn, though the</w:t>
      </w:r>
      <w:r>
        <w:t xml:space="preserve"> </w:t>
      </w:r>
      <w:r>
        <w:t xml:space="preserve">DGS’s available financial means were 0.71% of covered deposits (or EUR 57 bn), a</w:t>
      </w:r>
      <w:r>
        <w:t xml:space="preserve"> </w:t>
      </w:r>
      <w:r>
        <w:t xml:space="preserve">difference which is consistent with the objective set in the Deposit Guarantee Schemes</w:t>
      </w:r>
      <w:r>
        <w:t xml:space="preserve"> </w:t>
      </w:r>
      <w:r>
        <w:t xml:space="preserve">Directive of reaching the target level by July 2024.</w:t>
      </w:r>
    </w:p>
    <w:p>
      <w:pPr>
        <w:pStyle w:val="BodyText"/>
      </w:pPr>
      <w:r>
        <w:t xml:space="preserve">361 SRB Liability Data Report and related guidance.</w:t>
      </w:r>
      <w:r>
        <w:t xml:space="preserve"> </w:t>
      </w:r>
      <w:r>
        <w:t xml:space="preserve">362 More specifically, these Member States have granted a preferred ranking to eligible deposits of large</w:t>
      </w:r>
      <w:r>
        <w:t xml:space="preserve"> </w:t>
      </w:r>
      <w:r>
        <w:t xml:space="preserve">corporates, in the part exceeding the coverage level of the DGS, and to deposits excluded from repayment</w:t>
      </w:r>
      <w:r>
        <w:t xml:space="preserve"> </w:t>
      </w:r>
      <w:r>
        <w:t xml:space="preserve">by the DGS pursuant to Article 5(1) DGSD, such as deposits held by public authorities, financial sector</w:t>
      </w:r>
      <w:r>
        <w:t xml:space="preserve"> </w:t>
      </w:r>
      <w:r>
        <w:t xml:space="preserve">entities and pension funds.</w:t>
      </w:r>
      <w:r>
        <w:t xml:space="preserve"> </w:t>
      </w:r>
      <w:r>
        <w:t xml:space="preserve">363 In the year 2021, the EBA published data for available financial means, make a delineation between</w:t>
      </w:r>
      <w:r>
        <w:t xml:space="preserve"> </w:t>
      </w:r>
      <w:r>
        <w:t xml:space="preserve">“qualified available financial means” (QAFM) and “other available financial means” (other AFM). The</w:t>
      </w:r>
      <w:r>
        <w:t xml:space="preserve"> </w:t>
      </w:r>
      <w:r>
        <w:t xml:space="preserve">QAFM constitute funds raised directly, or indirectly, from the banks, which count towards reaching the</w:t>
      </w:r>
      <w:r>
        <w:t xml:space="preserve"> </w:t>
      </w:r>
      <w:r>
        <w:t xml:space="preserve">minimum target level of 0.8% of covered deposits. Other AFM constitute funds which have not been</w:t>
      </w:r>
      <w:r>
        <w:t xml:space="preserve"> </w:t>
      </w:r>
      <w:r>
        <w:t xml:space="preserve">contributed by the banks but derive e.g., from taking a commercial loan. These funds do not count towards</w:t>
      </w:r>
      <w:r>
        <w:t xml:space="preserve"> </w:t>
      </w:r>
      <w:r>
        <w:t xml:space="preserve">the target level of 0.8% of covered deposits. Taken together, QAFM and other AFM add-up to the DGS’s</w:t>
      </w:r>
      <w:r>
        <w:t xml:space="preserve"> </w:t>
      </w:r>
      <w:r>
        <w:t xml:space="preserve">available financial means. For the years 2015-2020 the EBA data for available financial means did not</w:t>
      </w:r>
      <w:r>
        <w:t xml:space="preserve"> </w:t>
      </w:r>
      <w:r>
        <w:t xml:space="preserve">make such a delineation (see EBA Deposit Guarantee Schemes data for more information). As regards</w:t>
      </w:r>
      <w:r>
        <w:t xml:space="preserve"> </w:t>
      </w:r>
      <w:r>
        <w:t xml:space="preserve">2021, the European Commission calculations, for the purposes of this Annex, are based on the EBA</w:t>
      </w:r>
      <w:r>
        <w:t xml:space="preserve"> </w:t>
      </w:r>
      <w:r>
        <w:t xml:space="preserve">QAFM, which are relevant for the measurement of the target level of 0.8%.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Figure 16: Overview of covered deposits and available financial means in the EU</w:t>
      </w:r>
    </w:p>
    <w:p>
      <w:pPr>
        <w:pStyle w:val="BodyText"/>
      </w:pPr>
      <w:r>
        <w:t xml:space="preserve">Source: EBA data and European Commission calculations</w:t>
      </w:r>
    </w:p>
    <w:p>
      <w:pPr>
        <w:pStyle w:val="BodyText"/>
      </w:pPr>
      <w:r>
        <w:t xml:space="preserve">Main factors influencing the objective’s achievement</w:t>
      </w:r>
      <w:r>
        <w:t xml:space="preserve"> </w:t>
      </w:r>
      <w:r>
        <w:t xml:space="preserve">Factors</w:t>
      </w:r>
      <w:r>
        <w:t xml:space="preserve"> </w:t>
      </w:r>
      <w:r>
        <w:t xml:space="preserve">influencing</w:t>
      </w:r>
      <w:r>
        <w:t xml:space="preserve"> </w:t>
      </w:r>
      <w:r>
        <w:t xml:space="preserve">performance</w:t>
      </w:r>
      <w:r>
        <w:t xml:space="preserve"> </w:t>
      </w:r>
      <w:r>
        <w:t xml:space="preserve">against</w:t>
      </w:r>
      <w:r>
        <w:t xml:space="preserve"> </w:t>
      </w:r>
      <w:r>
        <w:t xml:space="preserve">objective</w:t>
      </w:r>
      <w:r>
        <w:t xml:space="preserve"> </w:t>
      </w:r>
      <w:r>
        <w:t xml:space="preserve">Overall impact on objective</w:t>
      </w:r>
      <w:r>
        <w:t xml:space="preserve"> </w:t>
      </w:r>
      <w:r>
        <w:t xml:space="preserve">1) Level of depositor protection across Member</w:t>
      </w:r>
      <w:r>
        <w:t xml:space="preserve"> </w:t>
      </w:r>
      <w:r>
        <w:t xml:space="preserve">States</w:t>
      </w:r>
      <w:r>
        <w:t xml:space="preserve"> </w:t>
      </w:r>
      <w:r>
        <w:t xml:space="preserve">Positive (most of depositors are fully</w:t>
      </w:r>
      <w:r>
        <w:t xml:space="preserve"> </w:t>
      </w:r>
      <w:r>
        <w:t xml:space="preserve">covered)</w:t>
      </w:r>
      <w:r>
        <w:t xml:space="preserve"> </w:t>
      </w:r>
      <w:r>
        <w:t xml:space="preserve">2) Harmonised rules for depositors across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Mainly</w:t>
      </w:r>
      <w:r>
        <w:t xml:space="preserve"> </w:t>
      </w:r>
      <w:r>
        <w:t xml:space="preserve">positive</w:t>
      </w:r>
      <w:r>
        <w:t xml:space="preserve"> </w:t>
      </w:r>
      <w:r>
        <w:t xml:space="preserve">(there</w:t>
      </w:r>
      <w:r>
        <w:t xml:space="preserve"> </w:t>
      </w:r>
      <w:r>
        <w:t xml:space="preserve">are</w:t>
      </w:r>
      <w:r>
        <w:t xml:space="preserve"> </w:t>
      </w:r>
      <w:r>
        <w:t xml:space="preserve">still</w:t>
      </w:r>
      <w:r>
        <w:t xml:space="preserve"> </w:t>
      </w:r>
      <w:r>
        <w:t xml:space="preserve">discrepancies in depositors protection</w:t>
      </w:r>
      <w:r>
        <w:t xml:space="preserve"> </w:t>
      </w:r>
      <w:r>
        <w:t xml:space="preserve">among Member States)</w:t>
      </w:r>
      <w:r>
        <w:t xml:space="preserve"> </w:t>
      </w:r>
      <w:r>
        <w:t xml:space="preserve">3) DGS contribution in resolution</w:t>
      </w:r>
      <w:r>
        <w:t xml:space="preserve"> </w:t>
      </w:r>
      <w:r>
        <w:t xml:space="preserve">Negative (never used)</w:t>
      </w:r>
      <w:r>
        <w:t xml:space="preserve"> </w:t>
      </w:r>
      <w:r>
        <w:t xml:space="preserve">4) Robustness of DGS funds</w:t>
      </w:r>
      <w:r>
        <w:t xml:space="preserve"> </w:t>
      </w:r>
      <w:r>
        <w:t xml:space="preserve">Mainly negative (vulnerability to</w:t>
      </w:r>
      <w:r>
        <w:t xml:space="preserve"> </w:t>
      </w:r>
      <w:r>
        <w:t xml:space="preserve">large shocks, lack of EDIS)</w:t>
      </w:r>
    </w:p>
    <w:p>
      <w:pPr>
        <w:pStyle w:val="BodyText"/>
      </w:pPr>
      <w:r>
        <w:t xml:space="preserve">7.1.4.1. Level of depositor protection across Member States</w:t>
      </w:r>
      <w:r>
        <w:t xml:space="preserve"> </w:t>
      </w:r>
      <w:r>
        <w:t xml:space="preserve">The level of depositor protection remains high since the entry into force of the DGSD, as</w:t>
      </w:r>
      <w:r>
        <w:t xml:space="preserve"> </w:t>
      </w:r>
      <w:r>
        <w:t xml:space="preserve">most of depositors are fully covered with a coverage level of EUR 100 000. The</w:t>
      </w:r>
      <w:r>
        <w:t xml:space="preserve"> </w:t>
      </w:r>
      <w:r>
        <w:t xml:space="preserve">Commission’s impact assessment of 2010 reported that the unweighted average ratio of</w:t>
      </w:r>
      <w:r>
        <w:t xml:space="preserve"> </w:t>
      </w:r>
      <w:r>
        <w:t xml:space="preserve">fully covered depositors to eligible depositors was 95.4% in 2007364. According to EBA</w:t>
      </w:r>
      <w:r>
        <w:t xml:space="preserve"> </w:t>
      </w:r>
      <w:r>
        <w:t xml:space="preserve">data of 2017365, 98.1% of depositors and 61.2% of eligible deposits are fully protected</w:t>
      </w:r>
      <w:r>
        <w:t xml:space="preserve"> </w:t>
      </w:r>
      <w:r>
        <w:t xml:space="preserve">with a coverage level of EUR 100 000 (i.e. the amount of their deposits is lower than</w:t>
      </w:r>
    </w:p>
    <w:p>
      <w:pPr>
        <w:pStyle w:val="BodyText"/>
      </w:pPr>
      <w:r>
        <w:t xml:space="preserve">364 The weighted average ratio in terms of sums deposited i.e. the ratio of the amount of covered deposits to</w:t>
      </w:r>
      <w:r>
        <w:t xml:space="preserve"> </w:t>
      </w:r>
      <w:r>
        <w:t xml:space="preserve">eligible deposits was 71.8% in 2007.</w:t>
      </w:r>
      <w:r>
        <w:t xml:space="preserve"> </w:t>
      </w:r>
      <w:r>
        <w:t xml:space="preserve">365 EBA Opinion on ‘the eligibility of deposits, coverage level and cooperation between deposit guarantee</w:t>
      </w:r>
      <w:r>
        <w:t xml:space="preserve"> </w:t>
      </w:r>
      <w:r>
        <w:t xml:space="preserve">schemes’ (p. 37).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EUR 100 000). Moreover, JRC’s quantitative analysis366 showed that the coverage levels</w:t>
      </w:r>
      <w:r>
        <w:t xml:space="preserve"> </w:t>
      </w:r>
      <w:r>
        <w:t xml:space="preserve">of the temporary high balances allow protecting a very large percentage of depositors’</w:t>
      </w:r>
      <w:r>
        <w:t xml:space="preserve"> </w:t>
      </w:r>
      <w:r>
        <w:t xml:space="preserve">wealth. In almost all Member States, the coverage level for temporary high balances</w:t>
      </w:r>
      <w:r>
        <w:t xml:space="preserve"> </w:t>
      </w:r>
      <w:r>
        <w:t xml:space="preserve">allows protecting more than 95% of depositors’ wealth.</w:t>
      </w:r>
      <w:r>
        <w:t xml:space="preserve"> </w:t>
      </w:r>
      <w:r>
        <w:t xml:space="preserve">7.1.4.2. Harmonised rules for depositors across Member States</w:t>
      </w:r>
      <w:r>
        <w:t xml:space="preserve"> </w:t>
      </w:r>
      <w:r>
        <w:t xml:space="preserve">As set out in Annex 6, despite improved depositor confidence, the experience with the</w:t>
      </w:r>
      <w:r>
        <w:t xml:space="preserve"> </w:t>
      </w:r>
      <w:r>
        <w:t xml:space="preserve">framework so far has also shown some weaknesses. A lack of clear and consistent rules</w:t>
      </w:r>
      <w:r>
        <w:t xml:space="preserve"> </w:t>
      </w:r>
      <w:r>
        <w:t xml:space="preserve">in the DGSD as well as certain flexibility for national interpretation/ discretion/</w:t>
      </w:r>
      <w:r>
        <w:t xml:space="preserve"> </w:t>
      </w:r>
      <w:r>
        <w:t xml:space="preserve">transposition of the rules seems to lead to discrepancies and coverage issues when it</w:t>
      </w:r>
      <w:r>
        <w:t xml:space="preserve"> </w:t>
      </w:r>
      <w:r>
        <w:t xml:space="preserve">comes to depositor protection across the EU.</w:t>
      </w:r>
      <w:r>
        <w:br/>
      </w:r>
      <w:r>
        <w:t xml:space="preserve">In terms of scope of protection, the coverage level for THBs varies between Member</w:t>
      </w:r>
      <w:r>
        <w:t xml:space="preserve"> </w:t>
      </w:r>
      <w:r>
        <w:t xml:space="preserve">States from EUR 200 000 to an unlimited amount. While practical experience on this</w:t>
      </w:r>
      <w:r>
        <w:t xml:space="preserve"> </w:t>
      </w:r>
      <w:r>
        <w:t xml:space="preserve">matter has only been recorded in two Member States, it is estimated that up to 10% of</w:t>
      </w:r>
      <w:r>
        <w:t xml:space="preserve"> </w:t>
      </w:r>
      <w:r>
        <w:t xml:space="preserve">covered deposits367 are impacted by this non-harmonised approach.</w:t>
      </w:r>
      <w:r>
        <w:br/>
      </w:r>
      <w:r>
        <w:t xml:space="preserve">Consequently, depositors enjoy different levels and types of guarantees depending on</w:t>
      </w:r>
      <w:r>
        <w:t xml:space="preserve"> </w:t>
      </w:r>
      <w:r>
        <w:t xml:space="preserve">their location, leading to inconsistent access to financial safety nets for EU depositors.</w:t>
      </w:r>
      <w:r>
        <w:t xml:space="preserve"> </w:t>
      </w:r>
      <w:r>
        <w:t xml:space="preserve">Other ONDs lead to discrepancies in depositor protection. For instance, small public</w:t>
      </w:r>
      <w:r>
        <w:t xml:space="preserve"> </w:t>
      </w:r>
      <w:r>
        <w:t xml:space="preserve">authorities and agencies distinct from the government could be protected in some</w:t>
      </w:r>
      <w:r>
        <w:t xml:space="preserve"> </w:t>
      </w:r>
      <w:r>
        <w:t xml:space="preserve">Member States, but not across the EU. Similarly, clients whose funds are held through the</w:t>
      </w:r>
      <w:r>
        <w:t xml:space="preserve"> </w:t>
      </w:r>
      <w:r>
        <w:t xml:space="preserve">intermediary of non-bank financial institutions as payment or e-money service providers</w:t>
      </w:r>
      <w:r>
        <w:t xml:space="preserve"> </w:t>
      </w:r>
      <w:r>
        <w:t xml:space="preserve">may be covered only in some Member States.</w:t>
      </w:r>
      <w:r>
        <w:t xml:space="preserve"> </w:t>
      </w:r>
      <w:r>
        <w:t xml:space="preserve">In addition, the level playing field varies among Member States due to differences in the</w:t>
      </w:r>
      <w:r>
        <w:t xml:space="preserve"> </w:t>
      </w:r>
      <w:r>
        <w:t xml:space="preserve">implementation of the alternative funding arrangements. Some Member States put in</w:t>
      </w:r>
      <w:r>
        <w:t xml:space="preserve"> </w:t>
      </w:r>
      <w:r>
        <w:t xml:space="preserve">place concrete alternative funding arrangements, while other Member States did not. This</w:t>
      </w:r>
      <w:r>
        <w:t xml:space="preserve"> </w:t>
      </w:r>
      <w:r>
        <w:t xml:space="preserve">lack of additional resources to rely on in case the DGS were depleted could impact the</w:t>
      </w:r>
      <w:r>
        <w:t xml:space="preserve"> </w:t>
      </w:r>
      <w:r>
        <w:t xml:space="preserve">ability to payout depositors and endanger consumer confidence and financial stability.</w:t>
      </w:r>
      <w:r>
        <w:t xml:space="preserve"> </w:t>
      </w:r>
      <w:r>
        <w:t xml:space="preserve">Furthermore, some Member States transposed Articles 11(3) and/or 11(6) DGSD, while</w:t>
      </w:r>
      <w:r>
        <w:t xml:space="preserve"> </w:t>
      </w:r>
      <w:r>
        <w:t xml:space="preserve">others did not. As mentioned earlier in Section 7.1.3.3, nine Member States transposed</w:t>
      </w:r>
      <w:r>
        <w:t xml:space="preserve"> </w:t>
      </w:r>
      <w:r>
        <w:t xml:space="preserve">Article 11(3) DGSD allowing financing measures to prevent the failure of credit</w:t>
      </w:r>
      <w:r>
        <w:t xml:space="preserve"> </w:t>
      </w:r>
      <w:r>
        <w:t xml:space="preserve">institutions. Moreover, 11 Member States transposed Article 11(6) DGSD allowing</w:t>
      </w:r>
      <w:r>
        <w:t xml:space="preserve"> </w:t>
      </w:r>
      <w:r>
        <w:t xml:space="preserve">financing alternative measure to payout aiming at preserving the access to covered</w:t>
      </w:r>
      <w:r>
        <w:t xml:space="preserve"> </w:t>
      </w:r>
      <w:r>
        <w:t xml:space="preserve">deposits. These measures allow to use DGS funds to prevent the failure of the banks or to</w:t>
      </w:r>
      <w:r>
        <w:t xml:space="preserve"> </w:t>
      </w:r>
      <w:r>
        <w:t xml:space="preserve">finance alternative measure to payout respectively. The implementation of these options</w:t>
      </w:r>
      <w:r>
        <w:t xml:space="preserve"> </w:t>
      </w:r>
      <w:r>
        <w:t xml:space="preserve">may create unlevel playing field. Some DGSs could be more cost-effective as</w:t>
      </w:r>
      <w:r>
        <w:t xml:space="preserve"> </w:t>
      </w:r>
      <w:r>
        <w:t xml:space="preserve">transferring the bank to a buyer in case of alternative measure would preserve the</w:t>
      </w:r>
      <w:r>
        <w:t xml:space="preserve"> </w:t>
      </w:r>
      <w:r>
        <w:t xml:space="preserve">franchise value better than by selling assets in a piecemeal approach. Following the same</w:t>
      </w:r>
      <w:r>
        <w:t xml:space="preserve"> </w:t>
      </w:r>
      <w:r>
        <w:t xml:space="preserve">logic, preventive measures could minimise the costs for the DGS even more than when</w:t>
      </w:r>
      <w:r>
        <w:t xml:space="preserve"> </w:t>
      </w:r>
      <w:r>
        <w:t xml:space="preserve">the FOLF/insolvency trigger is reached as a result of higher losses. These differences in</w:t>
      </w:r>
    </w:p>
    <w:p>
      <w:pPr>
        <w:pStyle w:val="BodyText"/>
      </w:pPr>
      <w:r>
        <w:t xml:space="preserve">366 See JRC report on THB’s (Annex 12) and Annex 6 of this impact assessment on DGSD review related</w:t>
      </w:r>
      <w:r>
        <w:t xml:space="preserve"> </w:t>
      </w:r>
      <w:r>
        <w:t xml:space="preserve">matters.</w:t>
      </w:r>
      <w:r>
        <w:t xml:space="preserve"> </w:t>
      </w:r>
      <w:r>
        <w:t xml:space="preserve">367 Source: CEPS study.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tools available could also lead to efficiency discrepancies among Member States (see</w:t>
      </w:r>
      <w:r>
        <w:t xml:space="preserve"> </w:t>
      </w:r>
      <w:r>
        <w:t xml:space="preserve">Section 7.2 on efficiency).</w:t>
      </w:r>
      <w:r>
        <w:t xml:space="preserve"> </w:t>
      </w:r>
      <w:r>
        <w:t xml:space="preserve">Another issue of consistency is related to the DGSD conditions associated with the</w:t>
      </w:r>
      <w:r>
        <w:t xml:space="preserve"> </w:t>
      </w:r>
      <w:r>
        <w:t xml:space="preserve">application of preventive and alternative measures, which are unclear and differently</w:t>
      </w:r>
      <w:r>
        <w:t xml:space="preserve"> </w:t>
      </w:r>
      <w:r>
        <w:t xml:space="preserve">interpreted among Member States368. Regarding the alternative measures, Article 11(6)</w:t>
      </w:r>
      <w:r>
        <w:t xml:space="preserve"> </w:t>
      </w:r>
      <w:r>
        <w:t xml:space="preserve">DGSD provides that “the costs borne by the DGS do not exceed the net amount of</w:t>
      </w:r>
      <w:r>
        <w:t xml:space="preserve"> </w:t>
      </w:r>
      <w:r>
        <w:t xml:space="preserve">compensating covered depositors at the credit institution concerned”. This least cost test</w:t>
      </w:r>
      <w:r>
        <w:t xml:space="preserve"> </w:t>
      </w:r>
      <w:r>
        <w:t xml:space="preserve">aims at comparing for the DGS, the cost of a payout with the cost of the alternative</w:t>
      </w:r>
      <w:r>
        <w:t xml:space="preserve"> </w:t>
      </w:r>
      <w:r>
        <w:t xml:space="preserve">measure. The less costly measure must be applied. However, Member States use</w:t>
      </w:r>
      <w:r>
        <w:t xml:space="preserve"> </w:t>
      </w:r>
      <w:r>
        <w:t xml:space="preserve">different methods in calculating this least cost test. For instance, some Member States</w:t>
      </w:r>
      <w:r>
        <w:t xml:space="preserve"> </w:t>
      </w:r>
      <w:r>
        <w:t xml:space="preserve">include indirect costs like potential cost for the banking sector, opportunity cost for the</w:t>
      </w:r>
      <w:r>
        <w:t xml:space="preserve"> </w:t>
      </w:r>
      <w:r>
        <w:t xml:space="preserve">DGS, impact on depositors’ confidence in calculating the cost of a payout. By contrast,</w:t>
      </w:r>
      <w:r>
        <w:t xml:space="preserve"> </w:t>
      </w:r>
      <w:r>
        <w:t xml:space="preserve">other Member States use a stricter method, only including direct costs (costs related to</w:t>
      </w:r>
      <w:r>
        <w:t xml:space="preserve"> </w:t>
      </w:r>
      <w:r>
        <w:t xml:space="preserve">the liquidation and payout process). As regards preventive measures, Article 11(3)(c)</w:t>
      </w:r>
      <w:r>
        <w:t xml:space="preserve"> </w:t>
      </w:r>
      <w:r>
        <w:t xml:space="preserve">DGSD provides that “the costs of the measures do not exceed the costs of fulfilling the</w:t>
      </w:r>
      <w:r>
        <w:t xml:space="preserve"> </w:t>
      </w:r>
      <w:r>
        <w:t xml:space="preserve">statutory or contractual mandate of the DGS”. Some Member States use the same least</w:t>
      </w:r>
      <w:r>
        <w:t xml:space="preserve"> </w:t>
      </w:r>
      <w:r>
        <w:t xml:space="preserve">cost test for both preventive and alternative measures, while other Member States did not</w:t>
      </w:r>
      <w:r>
        <w:t xml:space="preserve"> </w:t>
      </w:r>
      <w:r>
        <w:t xml:space="preserve">develop a least cost test methodology in case of preventive measure, considering that</w:t>
      </w:r>
      <w:r>
        <w:t xml:space="preserve"> </w:t>
      </w:r>
      <w:r>
        <w:t xml:space="preserve">comparing the cost of the preventive measure with the cost of a payout is not relevant as</w:t>
      </w:r>
      <w:r>
        <w:t xml:space="preserve"> </w:t>
      </w:r>
      <w:r>
        <w:t xml:space="preserve">no insolvency proceeding is expected.</w:t>
      </w:r>
      <w:r>
        <w:t xml:space="preserve"> </w:t>
      </w:r>
      <w:r>
        <w:t xml:space="preserve">7.1.4.3. DGS contribution in resolution</w:t>
      </w:r>
      <w:r>
        <w:t xml:space="preserve"> </w:t>
      </w:r>
      <w:r>
        <w:t xml:space="preserve">Under the existing CMDI framework, the main sources of funding in resolution, are the</w:t>
      </w:r>
      <w:r>
        <w:t xml:space="preserve"> </w:t>
      </w:r>
      <w:r>
        <w:t xml:space="preserve">bank’s own liabilities, which have to contribute through a minimum amount of bail-in</w:t>
      </w:r>
      <w:r>
        <w:t xml:space="preserve"> </w:t>
      </w:r>
      <w:r>
        <w:t xml:space="preserve">(8% of TLOF) before external funding in the form of the SRF under the SRM for the</w:t>
      </w:r>
      <w:r>
        <w:t xml:space="preserve"> </w:t>
      </w:r>
      <w:r>
        <w:t xml:space="preserve">Banking Union and national resolution funds for non-Banking Union Member States</w:t>
      </w:r>
      <w:r>
        <w:t xml:space="preserve"> </w:t>
      </w:r>
      <w:r>
        <w:t xml:space="preserve">may contribute to the resolution cost. DGS funding is a complementary source of funds</w:t>
      </w:r>
      <w:r>
        <w:t xml:space="preserve"> </w:t>
      </w:r>
      <w:r>
        <w:t xml:space="preserve">in resolution: in order to guarantee access to deposits in case of bank resolution, the</w:t>
      </w:r>
      <w:r>
        <w:t xml:space="preserve"> </w:t>
      </w:r>
      <w:r>
        <w:t xml:space="preserve">CMDI framework requires that national DGS contribute funds to finance certain</w:t>
      </w:r>
      <w:r>
        <w:t xml:space="preserve"> </w:t>
      </w:r>
      <w:r>
        <w:t xml:space="preserve">resolution actions and for alternative measures to depositor payouts in insolvency369. The</w:t>
      </w:r>
      <w:r>
        <w:t xml:space="preserve"> </w:t>
      </w:r>
      <w:r>
        <w:t xml:space="preserve">exact calibration of the amount depends on the used resolution tool.</w:t>
      </w:r>
      <w:r>
        <w:br/>
      </w:r>
      <w:r>
        <w:t xml:space="preserve">Although the use of DGSs is foreseen in the existing framework, the access conditions</w:t>
      </w:r>
      <w:r>
        <w:t xml:space="preserve"> </w:t>
      </w:r>
      <w:r>
        <w:t xml:space="preserve">seem to prevent this because of the current methodology used to calculate the least cost</w:t>
      </w:r>
      <w:r>
        <w:t xml:space="preserve"> </w:t>
      </w:r>
      <w:r>
        <w:t xml:space="preserve">test and/or their super-preference in the creditor hierarchy370. Moreover, the funds</w:t>
      </w:r>
      <w:r>
        <w:t xml:space="preserve"> </w:t>
      </w:r>
      <w:r>
        <w:t xml:space="preserve">available in national DGSs are limited and, so far, the shortfall in available means often</w:t>
      </w:r>
      <w:r>
        <w:t xml:space="preserve"> </w:t>
      </w:r>
      <w:r>
        <w:t xml:space="preserve">required additional financing by the public budget. As a result, this instrument has so far</w:t>
      </w:r>
      <w:r>
        <w:t xml:space="preserve"> </w:t>
      </w:r>
      <w:r>
        <w:t xml:space="preserve">never been used.</w:t>
      </w:r>
    </w:p>
    <w:p>
      <w:pPr>
        <w:pStyle w:val="BodyText"/>
      </w:pPr>
      <w:r>
        <w:t xml:space="preserve">368 For more details see also Annex 6 of the impact assessment.</w:t>
      </w:r>
      <w:r>
        <w:t xml:space="preserve"> </w:t>
      </w:r>
      <w:r>
        <w:t xml:space="preserve">369 This possibility is currently available as a national option under the DGSD enabling the DGS to finance</w:t>
      </w:r>
      <w:r>
        <w:t xml:space="preserve"> </w:t>
      </w:r>
      <w:r>
        <w:t xml:space="preserve">alternative measures in insolvency.</w:t>
      </w:r>
      <w:r>
        <w:t xml:space="preserve"> </w:t>
      </w:r>
      <w:r>
        <w:t xml:space="preserve">370 For more details see also Annex 6 of the impact assessment.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7.1.4.4.Robustness of DGS funds</w:t>
      </w:r>
      <w:r>
        <w:t xml:space="preserve"> </w:t>
      </w:r>
      <w:r>
        <w:t xml:space="preserve">Member States are steadily building up their DGS means to reach 0.8% of total covered</w:t>
      </w:r>
      <w:r>
        <w:t xml:space="preserve"> </w:t>
      </w:r>
      <w:r>
        <w:t xml:space="preserve">deposits by 2024 as provided for by the DGSD. Through their nature, DGS funds are</w:t>
      </w:r>
      <w:r>
        <w:t xml:space="preserve"> </w:t>
      </w:r>
      <w:r>
        <w:t xml:space="preserve">intrinsically linked to the contribution capacity of banks in their jurisdiction. This,</w:t>
      </w:r>
      <w:r>
        <w:t xml:space="preserve"> </w:t>
      </w:r>
      <w:r>
        <w:t xml:space="preserve">notwithstanding a significant crisis, may put under stress a national DGS, making it</w:t>
      </w:r>
      <w:r>
        <w:t xml:space="preserve"> </w:t>
      </w:r>
      <w:r>
        <w:t xml:space="preserve">difficult to settle individual depositor claims within the statutory time or to intervene</w:t>
      </w:r>
      <w:r>
        <w:t xml:space="preserve"> </w:t>
      </w:r>
      <w:r>
        <w:t xml:space="preserve">through another measure than payout. In such situations, a DGS may find it difficult and</w:t>
      </w:r>
      <w:r>
        <w:t xml:space="preserve"> </w:t>
      </w:r>
      <w:r>
        <w:t xml:space="preserve">pro-cyclical to call upon ex post contributions from its members to make up for the</w:t>
      </w:r>
      <w:r>
        <w:t xml:space="preserve"> </w:t>
      </w:r>
      <w:r>
        <w:t xml:space="preserve">shortfall. The next course of action available to the DGS would be to seek funding from</w:t>
      </w:r>
      <w:r>
        <w:t xml:space="preserve"> </w:t>
      </w:r>
      <w:r>
        <w:t xml:space="preserve">alternative arrangements pursuant to DGSD, which could include private or public</w:t>
      </w:r>
      <w:r>
        <w:t xml:space="preserve"> </w:t>
      </w:r>
      <w:r>
        <w:t xml:space="preserve">sources. Ultimately, the sovereign gives an explicit or implicit backing to the DGS and it</w:t>
      </w:r>
      <w:r>
        <w:t xml:space="preserve"> </w:t>
      </w:r>
      <w:r>
        <w:t xml:space="preserve">acts as ultimate guarantor to national DGSs.</w:t>
      </w:r>
      <w:r>
        <w:br/>
      </w:r>
      <w:r>
        <w:t xml:space="preserve">DGS funds continuously increased over the past years. In terms of available financial</w:t>
      </w:r>
      <w:r>
        <w:t xml:space="preserve"> </w:t>
      </w:r>
      <w:r>
        <w:t xml:space="preserve">means, the volume rose from EUR 26.7 bn in 2015 to around EUR 57 bn at the end of</w:t>
      </w:r>
      <w:r>
        <w:t xml:space="preserve"> </w:t>
      </w:r>
      <w:r>
        <w:t xml:space="preserve">2021371. Yet, they remain vulnerable to asymmetric shocks, as deposit guarantee schemes</w:t>
      </w:r>
      <w:r>
        <w:t xml:space="preserve"> </w:t>
      </w:r>
      <w:r>
        <w:t xml:space="preserve">are organised at national level and no EDIS is in place. In recent years, some national</w:t>
      </w:r>
      <w:r>
        <w:t xml:space="preserve"> </w:t>
      </w:r>
      <w:r>
        <w:t xml:space="preserve">DGSs faced important funding needs, representing a significant share of their available</w:t>
      </w:r>
      <w:r>
        <w:t xml:space="preserve"> </w:t>
      </w:r>
      <w:r>
        <w:t xml:space="preserve">financial needs. The latter demonstrates that the risk of bank failures is relevant for all</w:t>
      </w:r>
      <w:r>
        <w:t xml:space="preserve"> </w:t>
      </w:r>
      <w:r>
        <w:t xml:space="preserve">institutions, from large to small and that payout is cash consuming for the DGS, even</w:t>
      </w:r>
      <w:r>
        <w:t xml:space="preserve"> </w:t>
      </w:r>
      <w:r>
        <w:t xml:space="preserve">though the final loss could be limited at the end of the insolvency proceedings.</w:t>
      </w:r>
    </w:p>
    <w:p>
      <w:pPr>
        <w:pStyle w:val="BodyText"/>
      </w:pPr>
      <w:r>
        <w:t xml:space="preserve">Box 14: Impacts of covered deposit payouts in insolvency on the DGS robustness</w:t>
      </w:r>
      <w:r>
        <w:t xml:space="preserve"> </w:t>
      </w:r>
      <w:r>
        <w:t xml:space="preserve">In 2018, the failure of ABLV Bank depleted the Latvian DGS’ available financial means</w:t>
      </w:r>
      <w:r>
        <w:t xml:space="preserve"> </w:t>
      </w:r>
      <w:r>
        <w:t xml:space="preserve">by 312%, while the payout event in 2020 for Commerzial Bank Mattersburg im</w:t>
      </w:r>
      <w:r>
        <w:t xml:space="preserve"> </w:t>
      </w:r>
      <w:r>
        <w:t xml:space="preserve">Burgenland AG’s failure costed an equivalent of 72% of the available financial means of</w:t>
      </w:r>
      <w:r>
        <w:t xml:space="preserve"> </w:t>
      </w:r>
      <w:r>
        <w:t xml:space="preserve">the respective Austrian DGS. In Italy, one DGS intervention in 2020 amounted to 67%</w:t>
      </w:r>
      <w:r>
        <w:t xml:space="preserve"> </w:t>
      </w:r>
      <w:r>
        <w:t xml:space="preserve">of the available financial means of the involved DGS. In Germany, the cost in the</w:t>
      </w:r>
      <w:r>
        <w:t xml:space="preserve"> </w:t>
      </w:r>
      <w:r>
        <w:t xml:space="preserve">NordLB case amounted to 21% of the available financial means of the DGS related to</w:t>
      </w:r>
      <w:r>
        <w:t xml:space="preserve"> </w:t>
      </w:r>
      <w:r>
        <w:t xml:space="preserve">the saving banks. Some of these interventions led to an increase in ex post contributions</w:t>
      </w:r>
      <w:r>
        <w:t xml:space="preserve"> </w:t>
      </w:r>
      <w:r>
        <w:t xml:space="preserve">raised from the banking sectors, to avoid reducing the financial capacity of the DGS for</w:t>
      </w:r>
      <w:r>
        <w:t xml:space="preserve"> </w:t>
      </w:r>
      <w:r>
        <w:t xml:space="preserve">a lengthy period of time and to reach the target level by 2024. Similarly, and more</w:t>
      </w:r>
      <w:r>
        <w:t xml:space="preserve"> </w:t>
      </w:r>
      <w:r>
        <w:t xml:space="preserve">recently, the payout in the Greensill Bank case caused in 2021 a loss of 31% of the</w:t>
      </w:r>
      <w:r>
        <w:t xml:space="preserve"> </w:t>
      </w:r>
      <w:r>
        <w:t xml:space="preserve">available financial means of the respective German DGS and the payout in the Sberbank</w:t>
      </w:r>
      <w:r>
        <w:t xml:space="preserve"> </w:t>
      </w:r>
      <w:r>
        <w:t xml:space="preserve">failure amounted to an equivalent of 211% of the respective Austrian DGS’s available</w:t>
      </w:r>
      <w:r>
        <w:t xml:space="preserve"> </w:t>
      </w:r>
      <w:r>
        <w:t xml:space="preserve">financial means. These examples clearly show that failing smaller and medium-sized</w:t>
      </w:r>
      <w:r>
        <w:t xml:space="preserve"> </w:t>
      </w:r>
      <w:r>
        <w:t xml:space="preserve">banks have material impacts on the DGS robustness, even during a period without</w:t>
      </w:r>
      <w:r>
        <w:t xml:space="preserve"> </w:t>
      </w:r>
      <w:r>
        <w:t xml:space="preserve">systemic financial trouble.</w:t>
      </w:r>
      <w:r>
        <w:br/>
      </w:r>
      <w:r>
        <w:t xml:space="preserve">More generally, the ECB’s occasional paper advocating for DGS’ intervention in</w:t>
      </w:r>
      <w:r>
        <w:t xml:space="preserve"> </w:t>
      </w:r>
      <w:r>
        <w:t xml:space="preserve">transfers of assets372 shows that 261 banks, banking groups or hosted subsidiaries in the</w:t>
      </w:r>
    </w:p>
    <w:p>
      <w:pPr>
        <w:pStyle w:val="BodyText"/>
      </w:pPr>
      <w:r>
        <w:t xml:space="preserve">371 EBA Deposit Guarantee Schemes data and European Commission calculations.</w:t>
      </w:r>
      <w:r>
        <w:t xml:space="preserve"> </w:t>
      </w:r>
      <w:r>
        <w:t xml:space="preserve">372 ECB (October 2022), Protecting depositors and saving money - why DGS in the EU should be able to</w:t>
      </w:r>
      <w:r>
        <w:t xml:space="preserve"> </w:t>
      </w:r>
      <w:r>
        <w:t xml:space="preserve">support transfers of assets and liabilities when a bank fails.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Banking Union could individually deplete their fully-filled DGSs with a single covered</w:t>
      </w:r>
      <w:r>
        <w:t xml:space="preserve"> </w:t>
      </w:r>
      <w:r>
        <w:t xml:space="preserve">deposits payout event in insolvency. While 129 of these banks are significant institutions</w:t>
      </w:r>
      <w:r>
        <w:t xml:space="preserve"> </w:t>
      </w:r>
      <w:r>
        <w:t xml:space="preserve">likely to involve resolution rather than a depositor payout in insolvency, the 132</w:t>
      </w:r>
      <w:r>
        <w:t xml:space="preserve"> </w:t>
      </w:r>
      <w:r>
        <w:t xml:space="preserve">remaining are less significant institutions or their hosted subsidiaries, which also have</w:t>
      </w:r>
      <w:r>
        <w:t xml:space="preserve"> </w:t>
      </w:r>
      <w:r>
        <w:t xml:space="preserve">covered deposits exceeding the target level of their DGSs.</w:t>
      </w:r>
      <w:r>
        <w:t xml:space="preserve"> </w:t>
      </w:r>
      <w:r>
        <w:t xml:space="preserve">The above also recalls one of the lessons of the euro area sovereign debt crisis from</w:t>
      </w:r>
      <w:r>
        <w:t xml:space="preserve"> </w:t>
      </w:r>
      <w:r>
        <w:t xml:space="preserve">2011/12 to weaken the link between banks and their national sovereign. A strong bank-</w:t>
      </w:r>
      <w:r>
        <w:t xml:space="preserve"> </w:t>
      </w:r>
      <w:r>
        <w:t xml:space="preserve">sovereign nexus may create risks to financial stability through contagion and negative</w:t>
      </w:r>
      <w:r>
        <w:t xml:space="preserve"> </w:t>
      </w:r>
      <w:r>
        <w:t xml:space="preserve">consequences for the single market. A decade later, the continued reliance by national</w:t>
      </w:r>
      <w:r>
        <w:t xml:space="preserve"> </w:t>
      </w:r>
      <w:r>
        <w:t xml:space="preserve">DGSs on the State as a buffer for depositor protection is a source of vulnerability that</w:t>
      </w:r>
      <w:r>
        <w:t xml:space="preserve"> </w:t>
      </w:r>
      <w:r>
        <w:t xml:space="preserve">needs to be addressed.</w:t>
      </w:r>
      <w:r>
        <w:br/>
      </w:r>
      <w:r>
        <w:t xml:space="preserve">Where the payout ability of one national DGS could be impaired under a severe crisis,</w:t>
      </w:r>
      <w:r>
        <w:t xml:space="preserve"> </w:t>
      </w:r>
      <w:r>
        <w:t xml:space="preserve">mutualising resources would optimise the allocation of financial means where the</w:t>
      </w:r>
      <w:r>
        <w:t xml:space="preserve"> </w:t>
      </w:r>
      <w:r>
        <w:t xml:space="preserve">funding needs arise, significantly increasing the efficiency of the scheme. Based on</w:t>
      </w:r>
      <w:r>
        <w:t xml:space="preserve"> </w:t>
      </w:r>
      <w:r>
        <w:t xml:space="preserve">available evidence373, in case of a crisis similar to the 2008 one, the probability that some</w:t>
      </w:r>
      <w:r>
        <w:t xml:space="preserve"> </w:t>
      </w:r>
      <w:r>
        <w:t xml:space="preserve">depositors would not be fully reimbursed in at least one Member State is 87%.374 The</w:t>
      </w:r>
      <w:r>
        <w:t xml:space="preserve"> </w:t>
      </w:r>
      <w:r>
        <w:t xml:space="preserve">analysis also showed that mutualising resources (at least partially) reduces the probability</w:t>
      </w:r>
      <w:r>
        <w:t xml:space="preserve"> </w:t>
      </w:r>
      <w:r>
        <w:t xml:space="preserve">of not being able to reimburse some depositors in case of crisis by 80%-90%. The more</w:t>
      </w:r>
      <w:r>
        <w:t xml:space="preserve"> </w:t>
      </w:r>
      <w:r>
        <w:t xml:space="preserve">resources are mutualised, the more effective the system is.</w:t>
      </w:r>
      <w:r>
        <w:br/>
      </w:r>
      <w:r>
        <w:t xml:space="preserve">The lack of EDIS may also trigger movements in deposit location. For instance, under a</w:t>
      </w:r>
      <w:r>
        <w:t xml:space="preserve"> </w:t>
      </w:r>
      <w:r>
        <w:t xml:space="preserve">severe crisis in one bank or Member State, depositors could be enticed to transfer their</w:t>
      </w:r>
      <w:r>
        <w:t xml:space="preserve"> </w:t>
      </w:r>
      <w:r>
        <w:t xml:space="preserve">funds in another bank or even another country. Such practices may exacerbate the</w:t>
      </w:r>
      <w:r>
        <w:t xml:space="preserve"> </w:t>
      </w:r>
      <w:r>
        <w:t xml:space="preserve">financial difficulties of one bank or one national banking sector. One of the key</w:t>
      </w:r>
      <w:r>
        <w:t xml:space="preserve"> </w:t>
      </w:r>
      <w:r>
        <w:t xml:space="preserve">principles of EDIS is to provide a similar guarantee to depositors regardless of the</w:t>
      </w:r>
      <w:r>
        <w:t xml:space="preserve"> </w:t>
      </w:r>
      <w:r>
        <w:t xml:space="preserve">institution and their location, which means that depositors would not need to withdraw/</w:t>
      </w:r>
      <w:r>
        <w:t xml:space="preserve"> </w:t>
      </w:r>
      <w:r>
        <w:t xml:space="preserve">transfer their deposits, even under a severe crisis, contributing to stabilising the financial</w:t>
      </w:r>
      <w:r>
        <w:t xml:space="preserve"> </w:t>
      </w:r>
      <w:r>
        <w:t xml:space="preserve">situation.</w:t>
      </w:r>
      <w:r>
        <w:t xml:space="preserve"> </w:t>
      </w:r>
      <w:r>
        <w:t xml:space="preserve">The robustness of the DGS funds also relies on the investment policy. The DGS financial</w:t>
      </w:r>
      <w:r>
        <w:t xml:space="preserve"> </w:t>
      </w:r>
      <w:r>
        <w:t xml:space="preserve">means must be invested in a low-risk and sufficiently diversified manner (Article 10(7)</w:t>
      </w:r>
      <w:r>
        <w:t xml:space="preserve"> </w:t>
      </w:r>
      <w:r>
        <w:t xml:space="preserve">DGSD). For many DGSs, the investment policy leads to a very large exposure to their</w:t>
      </w:r>
      <w:r>
        <w:t xml:space="preserve"> </w:t>
      </w:r>
      <w:r>
        <w:t xml:space="preserve">sovereign. According to the EBA opinion on the uses of DGS funds375, nine Member</w:t>
      </w:r>
      <w:r>
        <w:t xml:space="preserve"> </w:t>
      </w:r>
      <w:r>
        <w:t xml:space="preserve">States reported that DGS funds are invested exclusively, or to a large extent, in national</w:t>
      </w:r>
      <w:r>
        <w:t xml:space="preserve"> </w:t>
      </w:r>
      <w:r>
        <w:t xml:space="preserve">debt. Moreover, the DGSD transposition checks revealed that, in three Member States,</w:t>
      </w:r>
      <w:r>
        <w:t xml:space="preserve"> </w:t>
      </w:r>
      <w:r>
        <w:t xml:space="preserve">the DGS deposited its available financial means (at least part of them) in an account in</w:t>
      </w:r>
      <w:r>
        <w:t xml:space="preserve"> </w:t>
      </w:r>
      <w:r>
        <w:t xml:space="preserve">the national budget or Treasury. These practices may strengthen the links between the</w:t>
      </w:r>
      <w:r>
        <w:t xml:space="preserve"> </w:t>
      </w:r>
      <w:r>
        <w:t xml:space="preserve">DGS and their sovereign. The DGSs that have invested most of their financial means in</w:t>
      </w:r>
      <w:r>
        <w:t xml:space="preserve"> </w:t>
      </w:r>
      <w:r>
        <w:t xml:space="preserve">national debt, could suffer a decrease of their available financial means in case the</w:t>
      </w:r>
      <w:r>
        <w:t xml:space="preserve"> </w:t>
      </w:r>
      <w:r>
        <w:t xml:space="preserve">sovereign bonds market is under pressure. In those Member States where DGS available</w:t>
      </w:r>
    </w:p>
    <w:p>
      <w:pPr>
        <w:pStyle w:val="BodyText"/>
      </w:pPr>
      <w:r>
        <w:t xml:space="preserve">373 See also Annex 10 of the impact assessment – section “Establishment of a common scheme for liquidity</w:t>
      </w:r>
      <w:r>
        <w:t xml:space="preserve"> </w:t>
      </w:r>
      <w:r>
        <w:t xml:space="preserve">support”.</w:t>
      </w:r>
      <w:r>
        <w:t xml:space="preserve"> </w:t>
      </w:r>
      <w:r>
        <w:t xml:space="preserve">374 However, in some cases, the amount of covered deposits that cannot be reimbursed are very low.</w:t>
      </w:r>
      <w:r>
        <w:t xml:space="preserve"> </w:t>
      </w:r>
      <w:r>
        <w:t xml:space="preserve">375 EBA opinion on DGS funding and uses of DGS funds (p. 103).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financial means are integrated into their national budget, a payout, following a bank</w:t>
      </w:r>
      <w:r>
        <w:t xml:space="preserve"> </w:t>
      </w:r>
      <w:r>
        <w:t xml:space="preserve">failure, would require the national treasury to issue sovereign bonds on financial markets</w:t>
      </w:r>
      <w:r>
        <w:t xml:space="preserve"> </w:t>
      </w:r>
      <w:r>
        <w:t xml:space="preserve">in order to fund the DGS, maintaining the sovereign-bank loop.</w:t>
      </w:r>
      <w:r>
        <w:t xml:space="preserve"> </w:t>
      </w:r>
      <w:r>
        <w:t xml:space="preserve">Lastly, the robustness of the DGS funds also relies on the available sources of funding</w:t>
      </w:r>
      <w:r>
        <w:t xml:space="preserve"> </w:t>
      </w:r>
      <w:r>
        <w:t xml:space="preserve">which are raised yearly and ex post contributions and alternative funding arrangements.</w:t>
      </w:r>
      <w:r>
        <w:t xml:space="preserve"> </w:t>
      </w:r>
      <w:r>
        <w:t xml:space="preserve">The latter take the form of loans from the private sector in case the available financial</w:t>
      </w:r>
      <w:r>
        <w:t xml:space="preserve"> </w:t>
      </w:r>
      <w:r>
        <w:t xml:space="preserve">means of the DGS are insufficient. The DGSD conformity checks showed that some</w:t>
      </w:r>
      <w:r>
        <w:t xml:space="preserve"> </w:t>
      </w:r>
      <w:r>
        <w:t xml:space="preserve">Member States did not put in place concrete alternative funding arrangements. The EBA</w:t>
      </w:r>
      <w:r>
        <w:t xml:space="preserve"> </w:t>
      </w:r>
      <w:r>
        <w:t xml:space="preserve">opinion on DGS funding and DGS funds also highlights that in nine Member States, there</w:t>
      </w:r>
      <w:r>
        <w:t xml:space="preserve"> </w:t>
      </w:r>
      <w:r>
        <w:t xml:space="preserve">is no concrete alternative funding arrangement in place376. In the absence of EDIS, this</w:t>
      </w:r>
      <w:r>
        <w:t xml:space="preserve"> </w:t>
      </w:r>
      <w:r>
        <w:t xml:space="preserve">could also compromise the ability of the DGS to reimburse depositors when its financial</w:t>
      </w:r>
      <w:r>
        <w:t xml:space="preserve"> </w:t>
      </w:r>
      <w:r>
        <w:t xml:space="preserve">means are depleted, at the risk of financial stability and depositors’ confidence.</w:t>
      </w:r>
      <w:r>
        <w:t xml:space="preserve"> </w:t>
      </w:r>
      <w:r>
        <w:t xml:space="preserve">7.2. Efficiency</w:t>
      </w:r>
      <w:r>
        <w:t xml:space="preserve"> </w:t>
      </w:r>
      <w:r>
        <w:t xml:space="preserve">How efficient has the EU intervention been? To what extent have the rules</w:t>
      </w:r>
      <w:r>
        <w:t xml:space="preserve"> </w:t>
      </w:r>
      <w:r>
        <w:t xml:space="preserve">regarding the recovery and orderly resolution of banks under the BRRD/SRMR</w:t>
      </w:r>
      <w:r>
        <w:t xml:space="preserve"> </w:t>
      </w:r>
      <w:r>
        <w:t xml:space="preserve">and the ones regarding depositor protection under the DGSD been cost-effective?</w:t>
      </w:r>
      <w:r>
        <w:t xml:space="preserve"> </w:t>
      </w:r>
      <w:r>
        <w:t xml:space="preserve">Are there significant differences in costs or benefits between Member States and</w:t>
      </w:r>
      <w:r>
        <w:t xml:space="preserve"> </w:t>
      </w:r>
      <w:r>
        <w:t xml:space="preserve">what is causing them?</w:t>
      </w:r>
      <w:r>
        <w:t xml:space="preserve"> </w:t>
      </w:r>
      <w:r>
        <w:t xml:space="preserve">Summary assessment:</w:t>
      </w:r>
      <w:r>
        <w:t xml:space="preserve"> </w:t>
      </w:r>
      <w:r>
        <w:t xml:space="preserve">The evaluation found that the CMDI framework is not sufficiently cost-effective.</w:t>
      </w:r>
      <w:r>
        <w:br/>
      </w:r>
      <w:r>
        <w:t xml:space="preserve">On one hand, the main benefits of the framework include enhanced crisis preparedness,</w:t>
      </w:r>
      <w:r>
        <w:t xml:space="preserve"> </w:t>
      </w:r>
      <w:r>
        <w:t xml:space="preserve">contingency planning and the disciplining influence that the existence of the framework</w:t>
      </w:r>
      <w:r>
        <w:t xml:space="preserve"> </w:t>
      </w:r>
      <w:r>
        <w:t xml:space="preserve">exerts on banks and markets (i.e. through the creation of powers, loss absorption</w:t>
      </w:r>
      <w:r>
        <w:t xml:space="preserve"> </w:t>
      </w:r>
      <w:r>
        <w:t xml:space="preserve">requirements, resolvability requirements, reporting and more transparency and</w:t>
      </w:r>
      <w:r>
        <w:t xml:space="preserve"> </w:t>
      </w:r>
      <w:r>
        <w:t xml:space="preserve">disclosure, EU-wide DGSs). However, some of these benefits remain rather theoretical,</w:t>
      </w:r>
      <w:r>
        <w:t xml:space="preserve"> </w:t>
      </w:r>
      <w:r>
        <w:t xml:space="preserve">as the contingency planning measures, on several occasions, were not implemented and</w:t>
      </w:r>
      <w:r>
        <w:t xml:space="preserve"> </w:t>
      </w:r>
      <w:r>
        <w:t xml:space="preserve">alternatives to resolution were followed.</w:t>
      </w:r>
      <w:r>
        <w:br/>
      </w:r>
      <w:r>
        <w:t xml:space="preserve">On the other hand, the implementation and operationalisation of the CMDI framework</w:t>
      </w:r>
      <w:r>
        <w:t xml:space="preserve"> </w:t>
      </w:r>
      <w:r>
        <w:t xml:space="preserve">came with significant costs for the banking industry, Member States, resolution</w:t>
      </w:r>
      <w:r>
        <w:t xml:space="preserve"> </w:t>
      </w:r>
      <w:r>
        <w:t xml:space="preserve">authorities. Yet despite the costs, the framework and its tools and powers have been</w:t>
      </w:r>
      <w:r>
        <w:t xml:space="preserve"> </w:t>
      </w:r>
      <w:r>
        <w:t xml:space="preserve">scarcely used in practice, especially in the Banking Union under the SRMR. In addition,</w:t>
      </w:r>
      <w:r>
        <w:t xml:space="preserve"> </w:t>
      </w:r>
      <w:r>
        <w:t xml:space="preserve">the use of public funding in recent cases of bank failures indicates a redistribution of</w:t>
      </w:r>
      <w:r>
        <w:t xml:space="preserve"> </w:t>
      </w:r>
      <w:r>
        <w:t xml:space="preserve">costs from banks’ senior unsecured creditors to the taxpayers, despite scrutiny on such</w:t>
      </w:r>
      <w:r>
        <w:t xml:space="preserve"> </w:t>
      </w:r>
      <w:r>
        <w:t xml:space="preserve">usage of public funds through the EU State aid rules. As taxpayers continue to bear the</w:t>
      </w:r>
      <w:r>
        <w:t xml:space="preserve"> </w:t>
      </w:r>
      <w:r>
        <w:t xml:space="preserve">cost of bank failures, contributions raised from the industry for the same purpose remain</w:t>
      </w:r>
      <w:r>
        <w:t xml:space="preserve"> </w:t>
      </w:r>
      <w:r>
        <w:t xml:space="preserve">idle. Furthermore, available evidence suggests that these costs are uneven between</w:t>
      </w:r>
      <w:r>
        <w:t xml:space="preserve"> </w:t>
      </w:r>
      <w:r>
        <w:t xml:space="preserve">Member States, as national requirements and practices diverge widely.</w:t>
      </w:r>
    </w:p>
    <w:p>
      <w:pPr>
        <w:pStyle w:val="BodyText"/>
      </w:pPr>
      <w:r>
        <w:t xml:space="preserve">376 EBA opinion on DGS funding on uses of DGS funds (p. 44).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7.2.1. Benefits of the framework</w:t>
      </w:r>
      <w:r>
        <w:t xml:space="preserve"> </w:t>
      </w:r>
      <w:r>
        <w:t xml:space="preserve">An accurate quantification of benefits generated by the implementation of the CMDI</w:t>
      </w:r>
      <w:r>
        <w:t xml:space="preserve"> </w:t>
      </w:r>
      <w:r>
        <w:t xml:space="preserve">framework is very challenging as it cannot be disentangled from other prudential policies</w:t>
      </w:r>
      <w:r>
        <w:t xml:space="preserve"> </w:t>
      </w:r>
      <w:r>
        <w:t xml:space="preserve">(e.g. Basel III), macroeconomic measures and central bank monetary policies which were</w:t>
      </w:r>
      <w:r>
        <w:t xml:space="preserve"> </w:t>
      </w:r>
      <w:r>
        <w:t xml:space="preserve">pursued in parallel with the implementation of the framework, following the global</w:t>
      </w:r>
      <w:r>
        <w:t xml:space="preserve"> </w:t>
      </w:r>
      <w:r>
        <w:t xml:space="preserve">financial crisis. Besides this complexity, many bank failures were handled using powers,</w:t>
      </w:r>
      <w:r>
        <w:t xml:space="preserve"> </w:t>
      </w:r>
      <w:r>
        <w:t xml:space="preserve">tools and funding outside of the resolution framework.</w:t>
      </w:r>
      <w:r>
        <w:br/>
      </w:r>
      <w:r>
        <w:t xml:space="preserve">However, evidence by resolution authorities and the EBA, stakeholder feedback to our</w:t>
      </w:r>
      <w:r>
        <w:t xml:space="preserve"> </w:t>
      </w:r>
      <w:r>
        <w:t xml:space="preserve">consultations and the FSB’s Too big to fail report show some positive impacts of the</w:t>
      </w:r>
      <w:r>
        <w:t xml:space="preserve"> </w:t>
      </w:r>
      <w:r>
        <w:t xml:space="preserve">framework in reducing risks to financial stability, “too big to fail” and moral hazard on</w:t>
      </w:r>
      <w:r>
        <w:t xml:space="preserve"> </w:t>
      </w:r>
      <w:r>
        <w:t xml:space="preserve">one hand, and increasing market discipline, level of preparedness, resolvability and crisis</w:t>
      </w:r>
      <w:r>
        <w:t xml:space="preserve"> </w:t>
      </w:r>
      <w:r>
        <w:t xml:space="preserve">contingency planning on the other hand. In addition, some of these impacts can be</w:t>
      </w:r>
      <w:r>
        <w:t xml:space="preserve"> </w:t>
      </w:r>
      <w:r>
        <w:t xml:space="preserve">expected to be further supported by the fact that banks have been building their loss</w:t>
      </w:r>
      <w:r>
        <w:t xml:space="preserve"> </w:t>
      </w:r>
      <w:r>
        <w:t xml:space="preserve">absorbing capacity over the last few years. Moreover, depositors have been protected and</w:t>
      </w:r>
      <w:r>
        <w:t xml:space="preserve"> </w:t>
      </w:r>
      <w:r>
        <w:t xml:space="preserve">the society’s access to critical banking services preserved.</w:t>
      </w:r>
      <w:r>
        <w:br/>
      </w:r>
      <w:r>
        <w:t xml:space="preserve">The main benefits of the framework are linked to the disciplining effects that the</w:t>
      </w:r>
      <w:r>
        <w:t xml:space="preserve"> </w:t>
      </w:r>
      <w:r>
        <w:t xml:space="preserve">existence of the framework had on banks and markets (i.e. through the creation of</w:t>
      </w:r>
      <w:r>
        <w:t xml:space="preserve"> </w:t>
      </w:r>
      <w:r>
        <w:t xml:space="preserve">powers, loss absorption requirements, resolvability requirements, reporting and more</w:t>
      </w:r>
      <w:r>
        <w:t xml:space="preserve"> </w:t>
      </w:r>
      <w:r>
        <w:t xml:space="preserve">transparency and disclosure, EU-wide DGSs). Yet, these benefits remain difficult to</w:t>
      </w:r>
      <w:r>
        <w:t xml:space="preserve"> </w:t>
      </w:r>
      <w:r>
        <w:t xml:space="preserve">disentangle and challenging to attribute directly to the application of the framework.</w:t>
      </w:r>
      <w:r>
        <w:t xml:space="preserve"> </w:t>
      </w:r>
      <w:r>
        <w:t xml:space="preserve">7.2.2. Costs of the framework</w:t>
      </w:r>
      <w:r>
        <w:t xml:space="preserve"> </w:t>
      </w:r>
      <w:r>
        <w:t xml:space="preserve">The implementation of the CMDI rules did not come without costs for the industry,</w:t>
      </w:r>
      <w:r>
        <w:t xml:space="preserve"> </w:t>
      </w:r>
      <w:r>
        <w:t xml:space="preserve">authorities, Member States and citizens.</w:t>
      </w:r>
      <w:r>
        <w:br/>
      </w:r>
      <w:r>
        <w:t xml:space="preserve">7.2.2.1. Creation and set-up of new resolution authorities</w:t>
      </w:r>
      <w:r>
        <w:t xml:space="preserve"> </w:t>
      </w:r>
      <w:r>
        <w:t xml:space="preserve">First, the BRRD and SRMR mandated the creation and operationalisation of resolution</w:t>
      </w:r>
      <w:r>
        <w:t xml:space="preserve"> </w:t>
      </w:r>
      <w:r>
        <w:t xml:space="preserve">authorities in each Member State as well as the creation of the SRB as the central</w:t>
      </w:r>
      <w:r>
        <w:t xml:space="preserve"> </w:t>
      </w:r>
      <w:r>
        <w:t xml:space="preserve">resolution authority in the Banking Union. While there may have been some cost</w:t>
      </w:r>
      <w:r>
        <w:t xml:space="preserve"> </w:t>
      </w:r>
      <w:r>
        <w:t xml:space="preserve">synergies in creating the resolution authorities in Member States, especially in relation to</w:t>
      </w:r>
      <w:r>
        <w:t xml:space="preserve"> </w:t>
      </w:r>
      <w:r>
        <w:t xml:space="preserve">already existing supervisory and financial stability teams in central banks, the SRB had to</w:t>
      </w:r>
      <w:r>
        <w:t xml:space="preserve"> </w:t>
      </w:r>
      <w:r>
        <w:t xml:space="preserve">be created from scratch. The SRB’s annual budget for administrative expenses is funded</w:t>
      </w:r>
      <w:r>
        <w:t xml:space="preserve"> </w:t>
      </w:r>
      <w:r>
        <w:t xml:space="preserve">through ex ante industry contribution in accordance with the SRMR and Commission</w:t>
      </w:r>
      <w:r>
        <w:t xml:space="preserve"> </w:t>
      </w:r>
      <w:r>
        <w:t xml:space="preserve">Delegated Regulation (EU) 2017/2361377. According to the SRB’s budget for 2022378, the</w:t>
      </w:r>
      <w:r>
        <w:t xml:space="preserve"> </w:t>
      </w:r>
      <w:r>
        <w:t xml:space="preserve">amount for the administrative contributions by the industry is budgeted to EUR 120.4 m</w:t>
      </w:r>
      <w:r>
        <w:t xml:space="preserve"> </w:t>
      </w:r>
      <w:r>
        <w:t xml:space="preserve">(up from EUR 119 m in 2021). The cumulative administrative costs of the SRB, from</w:t>
      </w:r>
      <w:r>
        <w:t xml:space="preserve"> </w:t>
      </w:r>
      <w:r>
        <w:t xml:space="preserve">2014 to 2020, can be approximated from the administrative contributions raised by the</w:t>
      </w:r>
      <w:r>
        <w:t xml:space="preserve"> </w:t>
      </w:r>
      <w:r>
        <w:t xml:space="preserve">SRB over the same period, which amount to EUR 479 m379. The 2022 establishment plan</w:t>
      </w:r>
    </w:p>
    <w:p>
      <w:pPr>
        <w:pStyle w:val="BodyText"/>
      </w:pPr>
      <w:r>
        <w:t xml:space="preserve">377 Commission Delegated Regulation (EU) 2017/2361 on the final system of contributions to the</w:t>
      </w:r>
      <w:r>
        <w:t xml:space="preserve"> </w:t>
      </w:r>
      <w:r>
        <w:t xml:space="preserve">administrative expenditures of the Single Resolution Board.</w:t>
      </w:r>
      <w:r>
        <w:t xml:space="preserve"> </w:t>
      </w:r>
      <w:r>
        <w:t xml:space="preserve">378 SRB (September 2021), Budget 2022.</w:t>
      </w:r>
      <w:r>
        <w:t xml:space="preserve"> </w:t>
      </w:r>
      <w:r>
        <w:t xml:space="preserve">379 SRB, Administrative Contributions.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included in the budget showed a budgeted headcount of 450 employees, which is same as</w:t>
      </w:r>
      <w:r>
        <w:t xml:space="preserve"> </w:t>
      </w:r>
      <w:r>
        <w:t xml:space="preserve">in 2020 and up from 400 in 2021380.</w:t>
      </w:r>
      <w:r>
        <w:t xml:space="preserve"> </w:t>
      </w:r>
      <w:r>
        <w:t xml:space="preserve">7.2.2.2. Contributions to resolution financing arrangements</w:t>
      </w:r>
      <w:r>
        <w:t xml:space="preserve"> </w:t>
      </w:r>
      <w:r>
        <w:t xml:space="preserve">Second, in order to finance resolution actions, the framework created national resolution</w:t>
      </w:r>
      <w:r>
        <w:t xml:space="preserve"> </w:t>
      </w:r>
      <w:r>
        <w:t xml:space="preserve">funds in each Member State (Article 100 BRRD) and the SRF in the Banking Union</w:t>
      </w:r>
      <w:r>
        <w:t xml:space="preserve"> </w:t>
      </w:r>
      <w:r>
        <w:t xml:space="preserve">(Article 70 SRMR). The resolution funds must reach at least 1% of the amount of</w:t>
      </w:r>
      <w:r>
        <w:t xml:space="preserve"> </w:t>
      </w:r>
      <w:r>
        <w:t xml:space="preserve">covered deposits of all credit institutions authorised in the participating Member States by</w:t>
      </w:r>
      <w:r>
        <w:t xml:space="preserve"> </w:t>
      </w:r>
      <w:r>
        <w:t xml:space="preserve">31 December 2023. Banks pay yearly contributions towards such target. Resolution</w:t>
      </w:r>
      <w:r>
        <w:t xml:space="preserve"> </w:t>
      </w:r>
      <w:r>
        <w:t xml:space="preserve">authorities are responsible for the calculation of ex ante contributions by applying the</w:t>
      </w:r>
      <w:r>
        <w:t xml:space="preserve"> </w:t>
      </w:r>
      <w:r>
        <w:t xml:space="preserve">methodology set out in the Commission Delegated Regulation (EU) No 2015/63 and the</w:t>
      </w:r>
      <w:r>
        <w:t xml:space="preserve"> </w:t>
      </w:r>
      <w:r>
        <w:t xml:space="preserve">Council Implementing Regulation (EU) No 2015/81, which guarantees a level playing</w:t>
      </w:r>
      <w:r>
        <w:t xml:space="preserve"> </w:t>
      </w:r>
      <w:r>
        <w:t xml:space="preserve">field among Member States. In the Banking Union, there is a system of transfers from the</w:t>
      </w:r>
      <w:r>
        <w:t xml:space="preserve"> </w:t>
      </w:r>
      <w:r>
        <w:t xml:space="preserve">national resolution funds to the SRF combined with mutualisation at the level of the latter</w:t>
      </w:r>
      <w:r>
        <w:t xml:space="preserve"> </w:t>
      </w:r>
      <w:r>
        <w:t xml:space="preserve">Fund, whereby the national resolution authorities are responsible for the collection of ex</w:t>
      </w:r>
      <w:r>
        <w:t xml:space="preserve"> </w:t>
      </w:r>
      <w:r>
        <w:t xml:space="preserve">ante industry contributions and for transferring these into the SRF. During the eight year</w:t>
      </w:r>
      <w:r>
        <w:t xml:space="preserve"> </w:t>
      </w:r>
      <w:r>
        <w:t xml:space="preserve">initial period (2016 – 2023), contributions raised at national level and transferred to the</w:t>
      </w:r>
      <w:r>
        <w:t xml:space="preserve"> </w:t>
      </w:r>
      <w:r>
        <w:t xml:space="preserve">SRF are allocated to national compartments corresponding to each participating Member</w:t>
      </w:r>
      <w:r>
        <w:t xml:space="preserve"> </w:t>
      </w:r>
      <w:r>
        <w:t xml:space="preserve">State. All national compartments will be merged and cease to exist at the end of the eight</w:t>
      </w:r>
      <w:r>
        <w:t xml:space="preserve"> </w:t>
      </w:r>
      <w:r>
        <w:t xml:space="preserve">year initial period381.</w:t>
      </w:r>
      <w:r>
        <w:t xml:space="preserve"> </w:t>
      </w:r>
      <w:r>
        <w:t xml:space="preserve">Table 2: 2021 situation of national compartments of the resolution funds (EUR bn)</w:t>
      </w:r>
    </w:p>
    <w:p>
      <w:pPr>
        <w:pStyle w:val="BodyText"/>
      </w:pPr>
      <w:r>
        <w:t xml:space="preserve">Source: SRB data, 2021 compartments, data as of 14 July 2021. Figures are in EUR bn and rounded.</w:t>
      </w:r>
    </w:p>
    <w:p>
      <w:pPr>
        <w:pStyle w:val="BodyText"/>
      </w:pPr>
      <w:r>
        <w:t xml:space="preserve">380 Data on the related costs for the NRAs and the national DGSs are not available. For national DGSs</w:t>
      </w:r>
      <w:r>
        <w:t xml:space="preserve"> </w:t>
      </w:r>
      <w:r>
        <w:t xml:space="preserve">under public governance and NRAs the budgeted headcounts are usually integrated in the budgets of</w:t>
      </w:r>
      <w:r>
        <w:t xml:space="preserve"> </w:t>
      </w:r>
      <w:r>
        <w:t xml:space="preserve">national central banks or other financial market authorities.</w:t>
      </w:r>
      <w:r>
        <w:t xml:space="preserve"> </w:t>
      </w:r>
      <w:r>
        <w:t xml:space="preserve">381 Council of the European Union (May 2014), Intergovernmental Agreement on the transfer and</w:t>
      </w:r>
      <w:r>
        <w:t xml:space="preserve"> </w:t>
      </w:r>
      <w:r>
        <w:t xml:space="preserve">mutualisation of contributions to the Single Resolution Fund (IGA).</w:t>
      </w:r>
      <w:r>
        <w:t xml:space="preserve"> </w:t>
      </w:r>
      <w:r>
        <w:t xml:space="preserve">AT</w:t>
      </w:r>
      <w:r>
        <w:t xml:space="preserve"> </w:t>
      </w:r>
      <w:r>
        <w:t xml:space="preserve">1,50</w:t>
      </w:r>
      <w:r>
        <w:t xml:space="preserve"> </w:t>
      </w:r>
      <w:r>
        <w:t xml:space="preserve">BE</w:t>
      </w:r>
      <w:r>
        <w:t xml:space="preserve"> </w:t>
      </w:r>
      <w:r>
        <w:t xml:space="preserve">1,96</w:t>
      </w:r>
      <w:r>
        <w:t xml:space="preserve"> </w:t>
      </w:r>
      <w:r>
        <w:t xml:space="preserve">CY</w:t>
      </w:r>
      <w:r>
        <w:t xml:space="preserve"> </w:t>
      </w:r>
      <w:r>
        <w:t xml:space="preserve">0,13</w:t>
      </w:r>
      <w:r>
        <w:t xml:space="preserve"> </w:t>
      </w:r>
      <w:r>
        <w:t xml:space="preserve">DE</w:t>
      </w:r>
      <w:r>
        <w:t xml:space="preserve"> </w:t>
      </w:r>
      <w:r>
        <w:t xml:space="preserve">13,73</w:t>
      </w:r>
      <w:r>
        <w:t xml:space="preserve"> </w:t>
      </w:r>
      <w:r>
        <w:t xml:space="preserve">EE</w:t>
      </w:r>
      <w:r>
        <w:t xml:space="preserve"> </w:t>
      </w:r>
      <w:r>
        <w:t xml:space="preserve">0,05</w:t>
      </w:r>
      <w:r>
        <w:t xml:space="preserve"> </w:t>
      </w:r>
      <w:r>
        <w:t xml:space="preserve">EL</w:t>
      </w:r>
      <w:r>
        <w:t xml:space="preserve"> </w:t>
      </w:r>
      <w:r>
        <w:t xml:space="preserve">0,58</w:t>
      </w:r>
      <w:r>
        <w:t xml:space="preserve"> </w:t>
      </w:r>
      <w:r>
        <w:t xml:space="preserve">ES</w:t>
      </w:r>
      <w:r>
        <w:t xml:space="preserve"> </w:t>
      </w:r>
      <w:r>
        <w:t xml:space="preserve">5,35</w:t>
      </w:r>
      <w:r>
        <w:t xml:space="preserve"> </w:t>
      </w:r>
      <w:r>
        <w:t xml:space="preserve">FI</w:t>
      </w:r>
      <w:r>
        <w:t xml:space="preserve"> </w:t>
      </w:r>
      <w:r>
        <w:t xml:space="preserve">1,08</w:t>
      </w:r>
      <w:r>
        <w:t xml:space="preserve"> </w:t>
      </w:r>
      <w:r>
        <w:t xml:space="preserve">FR</w:t>
      </w:r>
      <w:r>
        <w:t xml:space="preserve"> </w:t>
      </w:r>
      <w:r>
        <w:t xml:space="preserve">15,43</w:t>
      </w:r>
      <w:r>
        <w:t xml:space="preserve"> </w:t>
      </w:r>
      <w:r>
        <w:t xml:space="preserve">IE</w:t>
      </w:r>
      <w:r>
        <w:t xml:space="preserve"> </w:t>
      </w:r>
      <w:r>
        <w:t xml:space="preserve">0,84</w:t>
      </w:r>
      <w:r>
        <w:t xml:space="preserve"> </w:t>
      </w:r>
      <w:r>
        <w:t xml:space="preserve">IT</w:t>
      </w:r>
      <w:r>
        <w:t xml:space="preserve"> </w:t>
      </w:r>
      <w:r>
        <w:t xml:space="preserve">5,23</w:t>
      </w:r>
      <w:r>
        <w:t xml:space="preserve"> </w:t>
      </w:r>
      <w:r>
        <w:t xml:space="preserve">LT</w:t>
      </w:r>
      <w:r>
        <w:t xml:space="preserve"> </w:t>
      </w:r>
      <w:r>
        <w:t xml:space="preserve">0,05</w:t>
      </w:r>
      <w:r>
        <w:t xml:space="preserve"> </w:t>
      </w:r>
      <w:r>
        <w:t xml:space="preserve">LU</w:t>
      </w:r>
      <w:r>
        <w:t xml:space="preserve"> </w:t>
      </w:r>
      <w:r>
        <w:t xml:space="preserve">0,90</w:t>
      </w:r>
      <w:r>
        <w:t xml:space="preserve"> </w:t>
      </w:r>
      <w:r>
        <w:t xml:space="preserve">LV</w:t>
      </w:r>
      <w:r>
        <w:t xml:space="preserve"> </w:t>
      </w:r>
      <w:r>
        <w:t xml:space="preserve">0,04</w:t>
      </w:r>
      <w:r>
        <w:t xml:space="preserve"> </w:t>
      </w:r>
      <w:r>
        <w:t xml:space="preserve">MT</w:t>
      </w:r>
      <w:r>
        <w:t xml:space="preserve"> </w:t>
      </w:r>
      <w:r>
        <w:t xml:space="preserve">0,05</w:t>
      </w:r>
      <w:r>
        <w:t xml:space="preserve"> </w:t>
      </w:r>
      <w:r>
        <w:t xml:space="preserve">NL</w:t>
      </w:r>
      <w:r>
        <w:t xml:space="preserve"> </w:t>
      </w:r>
      <w:r>
        <w:t xml:space="preserve">4,28</w:t>
      </w:r>
      <w:r>
        <w:t xml:space="preserve"> </w:t>
      </w:r>
      <w:r>
        <w:t xml:space="preserve">PT</w:t>
      </w:r>
      <w:r>
        <w:t xml:space="preserve"> </w:t>
      </w:r>
      <w:r>
        <w:t xml:space="preserve">0,79</w:t>
      </w:r>
      <w:r>
        <w:t xml:space="preserve"> </w:t>
      </w:r>
      <w:r>
        <w:t xml:space="preserve">SI</w:t>
      </w:r>
      <w:r>
        <w:t xml:space="preserve"> </w:t>
      </w:r>
      <w:r>
        <w:t xml:space="preserve">0,07</w:t>
      </w:r>
      <w:r>
        <w:t xml:space="preserve"> </w:t>
      </w:r>
      <w:r>
        <w:t xml:space="preserve">SK</w:t>
      </w:r>
      <w:r>
        <w:t xml:space="preserve"> </w:t>
      </w:r>
      <w:r>
        <w:t xml:space="preserve">0,15</w:t>
      </w:r>
      <w:r>
        <w:t xml:space="preserve"> </w:t>
      </w:r>
      <w:r>
        <w:t xml:space="preserve">BG</w:t>
      </w:r>
      <w:r>
        <w:t xml:space="preserve"> </w:t>
      </w:r>
      <w:r>
        <w:t xml:space="preserve">0,10</w:t>
      </w:r>
      <w:r>
        <w:t xml:space="preserve"> </w:t>
      </w:r>
      <w:r>
        <w:t xml:space="preserve">HR</w:t>
      </w:r>
      <w:r>
        <w:t xml:space="preserve"> </w:t>
      </w:r>
      <w:r>
        <w:t xml:space="preserve">0,11</w:t>
      </w:r>
      <w:r>
        <w:t xml:space="preserve"> </w:t>
      </w:r>
      <w:r>
        <w:t xml:space="preserve">Total</w:t>
      </w:r>
      <w:r>
        <w:t xml:space="preserve"> </w:t>
      </w:r>
      <w:r>
        <w:t xml:space="preserve">52,43</w:t>
      </w:r>
      <w:r>
        <w:t xml:space="preserve"> </w:t>
      </w:r>
      <w:r>
        <w:t xml:space="preserve">Current size of national</w:t>
      </w:r>
      <w:r>
        <w:t xml:space="preserve"> </w:t>
      </w:r>
      <w:r>
        <w:t xml:space="preserve">compartment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Between 2016 and 2021, banks in the Banking Union contributed a total of EUR 52 bn</w:t>
      </w:r>
      <w:r>
        <w:t xml:space="preserve"> </w:t>
      </w:r>
      <w:r>
        <w:t xml:space="preserve">for the financing of this safety net. Since this target is defined by reference to the level of</w:t>
      </w:r>
      <w:r>
        <w:t xml:space="preserve"> </w:t>
      </w:r>
      <w:r>
        <w:t xml:space="preserve">covered deposits, it is dynamic, and as the latter have been growing more than anticipated</w:t>
      </w:r>
      <w:r>
        <w:t xml:space="preserve"> </w:t>
      </w:r>
      <w:r>
        <w:t xml:space="preserve">in the last couple of years, the yearly contributions by the industry are increasing (i.e. as</w:t>
      </w:r>
      <w:r>
        <w:t xml:space="preserve"> </w:t>
      </w:r>
      <w:r>
        <w:t xml:space="preserve">per the SRB’s 2022 budget, it expects to collect EUR 11.2 bn in the SRF in 2021,</w:t>
      </w:r>
      <w:r>
        <w:t xml:space="preserve"> </w:t>
      </w:r>
      <w:r>
        <w:t xml:space="preserve">compared with EUR 10.4 bn collected in 2021). Where the available financial means of</w:t>
      </w:r>
      <w:r>
        <w:t xml:space="preserve"> </w:t>
      </w:r>
      <w:r>
        <w:t xml:space="preserve">the resolution funds/ SRF are not sufficient to cover the losses, costs or other expenses</w:t>
      </w:r>
      <w:r>
        <w:t xml:space="preserve"> </w:t>
      </w:r>
      <w:r>
        <w:t xml:space="preserve">incurred by their use in resolution actions, extraordinary ex post contributions may be</w:t>
      </w:r>
      <w:r>
        <w:t xml:space="preserve"> </w:t>
      </w:r>
      <w:r>
        <w:t xml:space="preserve">raised in addition.382</w:t>
      </w:r>
      <w:r>
        <w:t xml:space="preserve"> </w:t>
      </w:r>
      <w:r>
        <w:t xml:space="preserve">In a similar way, banks have also contributed to the funding of national DGS. Between</w:t>
      </w:r>
      <w:r>
        <w:t xml:space="preserve"> </w:t>
      </w:r>
      <w:r>
        <w:t xml:space="preserve">2015 and 2021, the contributions from the banks in the EU amounted to EUR 30.2 bn.</w:t>
      </w:r>
      <w:r>
        <w:t xml:space="preserve"> </w:t>
      </w:r>
      <w:r>
        <w:t xml:space="preserve">Consequently, the available financial means increased from EUR 26.7 bn to around</w:t>
      </w:r>
      <w:r>
        <w:t xml:space="preserve"> </w:t>
      </w:r>
      <w:r>
        <w:t xml:space="preserve">EUR 57 bn. It should be noted that the costs of depositor protection for the banking</w:t>
      </w:r>
      <w:r>
        <w:t xml:space="preserve"> </w:t>
      </w:r>
      <w:r>
        <w:t xml:space="preserve">sectors are higher than expected: the target level (i.e. 0.8% to be reached by 2024) is</w:t>
      </w:r>
      <w:r>
        <w:t xml:space="preserve"> </w:t>
      </w:r>
      <w:r>
        <w:t xml:space="preserve">defined as a percentage of the covered deposits, which have increased significantly over</w:t>
      </w:r>
      <w:r>
        <w:t xml:space="preserve"> </w:t>
      </w:r>
      <w:r>
        <w:t xml:space="preserve">the past years (from EUR 5 957 bn to EUR 8 039 bn between 2015 and 2021). Based on</w:t>
      </w:r>
      <w:r>
        <w:t xml:space="preserve"> </w:t>
      </w:r>
      <w:r>
        <w:t xml:space="preserve">the amount of covered deposits at end 2021 (EUR 8 039 bn but this amount is likely to</w:t>
      </w:r>
      <w:r>
        <w:t xml:space="preserve"> </w:t>
      </w:r>
      <w:r>
        <w:t xml:space="preserve">increase), the expected contributions amount to EUR 7.3 bn in order to reach the target</w:t>
      </w:r>
      <w:r>
        <w:t xml:space="preserve"> </w:t>
      </w:r>
      <w:r>
        <w:t xml:space="preserve">level by 2024.</w:t>
      </w:r>
      <w:r>
        <w:t xml:space="preserve"> </w:t>
      </w:r>
      <w:r>
        <w:t xml:space="preserve">Table 3: Situation of available financial means in the DGSs of EU Member States</w:t>
      </w:r>
      <w:r>
        <w:t xml:space="preserve"> </w:t>
      </w:r>
      <w:r>
        <w:t xml:space="preserve">(2021)</w:t>
      </w:r>
    </w:p>
    <w:p>
      <w:pPr>
        <w:pStyle w:val="BodyText"/>
      </w:pPr>
      <w:r>
        <w:t xml:space="preserve">Source: EBA data and European Commission own calculations, figures are in EUR bn and rounded.</w:t>
      </w:r>
    </w:p>
    <w:p>
      <w:pPr>
        <w:pStyle w:val="BodyText"/>
      </w:pPr>
      <w:r>
        <w:t xml:space="preserve">382 Article 105 BRRD.</w:t>
      </w:r>
      <w:r>
        <w:t xml:space="preserve"> </w:t>
      </w:r>
      <w:r>
        <w:t xml:space="preserve">AT</w:t>
      </w:r>
      <w:r>
        <w:t xml:space="preserve"> </w:t>
      </w:r>
      <w:r>
        <w:t xml:space="preserve">1.08</w:t>
      </w:r>
      <w:r>
        <w:t xml:space="preserve"> </w:t>
      </w:r>
      <w:r>
        <w:t xml:space="preserve">BE</w:t>
      </w:r>
      <w:r>
        <w:t xml:space="preserve"> </w:t>
      </w:r>
      <w:r>
        <w:t xml:space="preserve">4.65</w:t>
      </w:r>
      <w:r>
        <w:t xml:space="preserve"> </w:t>
      </w:r>
      <w:r>
        <w:t xml:space="preserve">BG</w:t>
      </w:r>
      <w:r>
        <w:t xml:space="preserve"> </w:t>
      </w:r>
      <w:r>
        <w:t xml:space="preserve">0.75</w:t>
      </w:r>
      <w:r>
        <w:t xml:space="preserve"> </w:t>
      </w:r>
      <w:r>
        <w:t xml:space="preserve">CY</w:t>
      </w:r>
      <w:r>
        <w:t xml:space="preserve"> </w:t>
      </w:r>
      <w:r>
        <w:t xml:space="preserve">0.17</w:t>
      </w:r>
      <w:r>
        <w:t xml:space="preserve"> </w:t>
      </w:r>
      <w:r>
        <w:t xml:space="preserve">CZ</w:t>
      </w:r>
      <w:r>
        <w:t xml:space="preserve"> </w:t>
      </w:r>
      <w:r>
        <w:t xml:space="preserve">1.50</w:t>
      </w:r>
      <w:r>
        <w:t xml:space="preserve"> </w:t>
      </w:r>
      <w:r>
        <w:t xml:space="preserve">DE</w:t>
      </w:r>
      <w:r>
        <w:t xml:space="preserve"> </w:t>
      </w:r>
      <w:r>
        <w:t xml:space="preserve">12.15</w:t>
      </w:r>
      <w:r>
        <w:t xml:space="preserve"> </w:t>
      </w:r>
      <w:r>
        <w:t xml:space="preserve">DK</w:t>
      </w:r>
      <w:r>
        <w:t xml:space="preserve"> </w:t>
      </w:r>
      <w:r>
        <w:t xml:space="preserve">1.20</w:t>
      </w:r>
      <w:r>
        <w:t xml:space="preserve"> </w:t>
      </w:r>
      <w:r>
        <w:t xml:space="preserve">EE</w:t>
      </w:r>
      <w:r>
        <w:t xml:space="preserve"> </w:t>
      </w:r>
      <w:r>
        <w:t xml:space="preserve">0.27</w:t>
      </w:r>
      <w:r>
        <w:t xml:space="preserve"> </w:t>
      </w:r>
      <w:r>
        <w:t xml:space="preserve">EL</w:t>
      </w:r>
      <w:r>
        <w:t xml:space="preserve"> </w:t>
      </w:r>
      <w:r>
        <w:t xml:space="preserve">1.65</w:t>
      </w:r>
      <w:r>
        <w:t xml:space="preserve"> </w:t>
      </w:r>
      <w:r>
        <w:t xml:space="preserve">ES</w:t>
      </w:r>
      <w:r>
        <w:t xml:space="preserve"> </w:t>
      </w:r>
      <w:r>
        <w:t xml:space="preserve">5.27</w:t>
      </w:r>
      <w:r>
        <w:t xml:space="preserve"> </w:t>
      </w:r>
      <w:r>
        <w:t xml:space="preserve">FI</w:t>
      </w:r>
      <w:r>
        <w:t xml:space="preserve"> </w:t>
      </w:r>
      <w:r>
        <w:t xml:space="preserve">1.34</w:t>
      </w:r>
      <w:r>
        <w:t xml:space="preserve"> </w:t>
      </w:r>
      <w:r>
        <w:t xml:space="preserve">FR</w:t>
      </w:r>
      <w:r>
        <w:t xml:space="preserve"> </w:t>
      </w:r>
      <w:r>
        <w:t xml:space="preserve">5.84</w:t>
      </w:r>
      <w:r>
        <w:t xml:space="preserve"> </w:t>
      </w:r>
      <w:r>
        <w:t xml:space="preserve">HU</w:t>
      </w:r>
      <w:r>
        <w:t xml:space="preserve"> </w:t>
      </w:r>
      <w:r>
        <w:t xml:space="preserve">0.24</w:t>
      </w:r>
      <w:r>
        <w:t xml:space="preserve"> </w:t>
      </w:r>
      <w:r>
        <w:t xml:space="preserve">HR</w:t>
      </w:r>
      <w:r>
        <w:t xml:space="preserve"> </w:t>
      </w:r>
      <w:r>
        <w:t xml:space="preserve">0.75</w:t>
      </w:r>
      <w:r>
        <w:t xml:space="preserve"> </w:t>
      </w:r>
      <w:r>
        <w:t xml:space="preserve">IE</w:t>
      </w:r>
      <w:r>
        <w:t xml:space="preserve"> </w:t>
      </w:r>
      <w:r>
        <w:t xml:space="preserve">0.71</w:t>
      </w:r>
      <w:r>
        <w:t xml:space="preserve"> </w:t>
      </w:r>
      <w:r>
        <w:t xml:space="preserve">IT</w:t>
      </w:r>
      <w:r>
        <w:t xml:space="preserve"> </w:t>
      </w:r>
      <w:r>
        <w:t xml:space="preserve">3.22</w:t>
      </w:r>
      <w:r>
        <w:t xml:space="preserve"> </w:t>
      </w:r>
      <w:r>
        <w:t xml:space="preserve">LT</w:t>
      </w:r>
      <w:r>
        <w:t xml:space="preserve"> </w:t>
      </w:r>
      <w:r>
        <w:t xml:space="preserve">0.15</w:t>
      </w:r>
      <w:r>
        <w:t xml:space="preserve"> </w:t>
      </w:r>
      <w:r>
        <w:t xml:space="preserve">LU</w:t>
      </w:r>
      <w:r>
        <w:t xml:space="preserve"> </w:t>
      </w:r>
      <w:r>
        <w:t xml:space="preserve">0,29</w:t>
      </w:r>
      <w:r>
        <w:t xml:space="preserve"> </w:t>
      </w:r>
      <w:r>
        <w:t xml:space="preserve">LV</w:t>
      </w:r>
      <w:r>
        <w:t xml:space="preserve"> </w:t>
      </w:r>
      <w:r>
        <w:t xml:space="preserve">0.17</w:t>
      </w:r>
      <w:r>
        <w:t xml:space="preserve"> </w:t>
      </w:r>
      <w:r>
        <w:t xml:space="preserve">MT</w:t>
      </w:r>
      <w:r>
        <w:t xml:space="preserve"> </w:t>
      </w:r>
      <w:r>
        <w:t xml:space="preserve">0.15</w:t>
      </w:r>
      <w:r>
        <w:t xml:space="preserve"> </w:t>
      </w:r>
      <w:r>
        <w:t xml:space="preserve">NL</w:t>
      </w:r>
      <w:r>
        <w:t xml:space="preserve"> </w:t>
      </w:r>
      <w:r>
        <w:t xml:space="preserve">3.19</w:t>
      </w:r>
      <w:r>
        <w:t xml:space="preserve"> </w:t>
      </w:r>
      <w:r>
        <w:t xml:space="preserve">PL</w:t>
      </w:r>
      <w:r>
        <w:t xml:space="preserve"> </w:t>
      </w:r>
      <w:r>
        <w:t xml:space="preserve">4.07</w:t>
      </w:r>
      <w:r>
        <w:t xml:space="preserve"> </w:t>
      </w:r>
      <w:r>
        <w:t xml:space="preserve">PT</w:t>
      </w:r>
      <w:r>
        <w:t xml:space="preserve"> </w:t>
      </w:r>
      <w:r>
        <w:t xml:space="preserve">1.67</w:t>
      </w:r>
      <w:r>
        <w:t xml:space="preserve"> </w:t>
      </w:r>
      <w:r>
        <w:t xml:space="preserve">RO</w:t>
      </w:r>
      <w:r>
        <w:t xml:space="preserve"> </w:t>
      </w:r>
      <w:r>
        <w:t xml:space="preserve">1.38</w:t>
      </w:r>
      <w:r>
        <w:t xml:space="preserve"> </w:t>
      </w:r>
      <w:r>
        <w:t xml:space="preserve">SE</w:t>
      </w:r>
      <w:r>
        <w:t xml:space="preserve"> </w:t>
      </w:r>
      <w:r>
        <w:t xml:space="preserve">4.66</w:t>
      </w:r>
      <w:r>
        <w:t xml:space="preserve"> </w:t>
      </w:r>
      <w:r>
        <w:t xml:space="preserve">SI</w:t>
      </w:r>
      <w:r>
        <w:t xml:space="preserve"> </w:t>
      </w:r>
      <w:r>
        <w:t xml:space="preserve">0.12</w:t>
      </w:r>
      <w:r>
        <w:t xml:space="preserve"> </w:t>
      </w:r>
      <w:r>
        <w:t xml:space="preserve">SK</w:t>
      </w:r>
      <w:r>
        <w:t xml:space="preserve"> </w:t>
      </w:r>
      <w:r>
        <w:t xml:space="preserve">0.30</w:t>
      </w:r>
      <w:r>
        <w:t xml:space="preserve"> </w:t>
      </w:r>
      <w:r>
        <w:t xml:space="preserve">Total</w:t>
      </w:r>
      <w:r>
        <w:t xml:space="preserve"> </w:t>
      </w:r>
      <w:r>
        <w:t xml:space="preserve">56.9</w:t>
      </w:r>
      <w:r>
        <w:t xml:space="preserve"> </w:t>
      </w:r>
      <w:r>
        <w:t xml:space="preserve">Current level of available financial</w:t>
      </w:r>
      <w:r>
        <w:t xml:space="preserve"> </w:t>
      </w:r>
      <w:r>
        <w:t xml:space="preserve">means in EU Member States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7.2.2.3. Costs of enhancing resolvability (MREL issuance, reporting, internal</w:t>
      </w:r>
      <w:r>
        <w:t xml:space="preserve"> </w:t>
      </w:r>
      <w:r>
        <w:t xml:space="preserve">projects geared towards resolvability)</w:t>
      </w:r>
      <w:r>
        <w:t xml:space="preserve"> </w:t>
      </w:r>
      <w:r>
        <w:t xml:space="preserve">The framework sets out the methodology for the setting up of the MREL on a on a bank</w:t>
      </w:r>
      <w:r>
        <w:t xml:space="preserve"> </w:t>
      </w:r>
      <w:r>
        <w:t xml:space="preserve">by bank basis. The BRRD/SRMR (Art 45b, 12c respectively) specify also the</w:t>
      </w:r>
      <w:r>
        <w:t xml:space="preserve"> </w:t>
      </w:r>
      <w:r>
        <w:t xml:space="preserve">subordinated MREL requirements, which ensure the build-up of a layer of instruments</w:t>
      </w:r>
      <w:r>
        <w:t xml:space="preserve"> </w:t>
      </w:r>
      <w:r>
        <w:t xml:space="preserve">which rank junior in the hierarchy of claims and can, therefore, absorb losses with greater</w:t>
      </w:r>
      <w:r>
        <w:t xml:space="preserve"> </w:t>
      </w:r>
      <w:r>
        <w:t xml:space="preserve">certainty in resolution.</w:t>
      </w:r>
      <w:r>
        <w:br/>
      </w:r>
      <w:r>
        <w:t xml:space="preserve">Issuing MREL eligible instruments383 bears a cost for the industry. Prior to the obligation</w:t>
      </w:r>
      <w:r>
        <w:t xml:space="preserve"> </w:t>
      </w:r>
      <w:r>
        <w:t xml:space="preserve">to hold MREL capacity, banks were funding their activity by issuing mainly senior</w:t>
      </w:r>
      <w:r>
        <w:t xml:space="preserve"> </w:t>
      </w:r>
      <w:r>
        <w:t xml:space="preserve">secured/unsecured debt on the markets or through deposits. With the implementation of</w:t>
      </w:r>
      <w:r>
        <w:t xml:space="preserve"> </w:t>
      </w:r>
      <w:r>
        <w:t xml:space="preserve">the MREL requirement, they must ensure compliance with the MREL eligibility criteria,</w:t>
      </w:r>
      <w:r>
        <w:t xml:space="preserve"> </w:t>
      </w:r>
      <w:r>
        <w:t xml:space="preserve">including, where relevant, subordination. Therefore, one way to approximate MREL-</w:t>
      </w:r>
      <w:r>
        <w:t xml:space="preserve"> </w:t>
      </w:r>
      <w:r>
        <w:t xml:space="preserve">related costs could be through the spread differential between ordinary secured/unsecured</w:t>
      </w:r>
      <w:r>
        <w:t xml:space="preserve"> </w:t>
      </w:r>
      <w:r>
        <w:t xml:space="preserve">debt and MREL eligible liabilities. The spread differential between subordinated and</w:t>
      </w:r>
      <w:r>
        <w:t xml:space="preserve"> </w:t>
      </w:r>
      <w:r>
        <w:t xml:space="preserve">senior instruments issued by banks (the former carrying higher issuing costs) reflects,</w:t>
      </w:r>
      <w:r>
        <w:t xml:space="preserve"> </w:t>
      </w:r>
      <w:r>
        <w:t xml:space="preserve">among other things, the risk assessment by investors. Such an assessment is inherently</w:t>
      </w:r>
      <w:r>
        <w:t xml:space="preserve"> </w:t>
      </w:r>
      <w:r>
        <w:t xml:space="preserve">affected by the prevailing market conditions such as the current low level of interest rate.</w:t>
      </w:r>
      <w:r>
        <w:t xml:space="preserve"> </w:t>
      </w:r>
      <w:r>
        <w:t xml:space="preserve">Looking forward, in view of the continuous roll-over needs to maintain compliance with</w:t>
      </w:r>
      <w:r>
        <w:t xml:space="preserve"> </w:t>
      </w:r>
      <w:r>
        <w:t xml:space="preserve">the requirements it is difficult to forecast the overall burden in terms of funding cost and</w:t>
      </w:r>
      <w:r>
        <w:t xml:space="preserve"> </w:t>
      </w:r>
      <w:r>
        <w:t xml:space="preserve">assess their long-term sustainability or possible impact on the funding structure.</w:t>
      </w:r>
      <w:r>
        <w:t xml:space="preserve"> </w:t>
      </w:r>
      <w:r>
        <w:t xml:space="preserve">While the cost of MREL debt increased significantly in the first quarter of 2020 on the</w:t>
      </w:r>
      <w:r>
        <w:t xml:space="preserve"> </w:t>
      </w:r>
      <w:r>
        <w:t xml:space="preserve">backdrop of the COVID-19 crisis, it stabilised in Q3 2020 and approached pre-pandemic</w:t>
      </w:r>
      <w:r>
        <w:t xml:space="preserve"> </w:t>
      </w:r>
      <w:r>
        <w:t xml:space="preserve">levels since January 2021. As shown in the SRB MREL Dashboard for Q3 2022, the</w:t>
      </w:r>
      <w:r>
        <w:t xml:space="preserve"> </w:t>
      </w:r>
      <w:r>
        <w:t xml:space="preserve">iTraxx indexes on subordinated and senior financial debt showed for some time a stable</w:t>
      </w:r>
      <w:r>
        <w:t xml:space="preserve"> </w:t>
      </w:r>
      <w:r>
        <w:t xml:space="preserve">trend over the period and a tight spread. As depicted in the next figure, as of Q2 2021 the</w:t>
      </w:r>
      <w:r>
        <w:t xml:space="preserve"> </w:t>
      </w:r>
      <w:r>
        <w:t xml:space="preserve">subordinated debt and senior debt index were 1.1 and 1.2 times pre-COVID-19 levels,</w:t>
      </w:r>
      <w:r>
        <w:t xml:space="preserve"> </w:t>
      </w:r>
      <w:r>
        <w:t xml:space="preserve">respectively, although the recent trend was negatively impacted by the volatile and</w:t>
      </w:r>
      <w:r>
        <w:t xml:space="preserve"> </w:t>
      </w:r>
      <w:r>
        <w:t xml:space="preserve">uncertain environment linked to geopolitical tensions and inflationary pressures.</w:t>
      </w:r>
    </w:p>
    <w:p>
      <w:pPr>
        <w:pStyle w:val="BodyText"/>
      </w:pPr>
      <w:r>
        <w:t xml:space="preserve">383 For a comprehensive view of information related to MREL issuances please refer to Annex 13, section 5</w:t>
      </w:r>
      <w:r>
        <w:t xml:space="preserve"> </w:t>
      </w:r>
      <w:r>
        <w:t xml:space="preserve">of the impact assessment.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Figure 17: ITraxx Europe Financials (SRB dashboard, data until Q3 2022)</w:t>
      </w:r>
      <w:r>
        <w:br/>
      </w:r>
      <w:r>
        <w:t xml:space="preserve">Source: SRB MREL dashboard Q3 2022</w:t>
      </w:r>
      <w:r>
        <w:br/>
      </w:r>
      <w:r>
        <w:t xml:space="preserve">Beyond the costs of issuing MREL instruments, banks are also bearing costs associated</w:t>
      </w:r>
      <w:r>
        <w:t xml:space="preserve"> </w:t>
      </w:r>
      <w:r>
        <w:t xml:space="preserve">with the reporting of extensive information to resolution authorities for the preparation or</w:t>
      </w:r>
      <w:r>
        <w:t xml:space="preserve"> </w:t>
      </w:r>
      <w:r>
        <w:t xml:space="preserve">update of annual resolution plans, MREL calibration and for implementing internal</w:t>
      </w:r>
      <w:r>
        <w:t xml:space="preserve"> </w:t>
      </w:r>
      <w:r>
        <w:t xml:space="preserve">projects to remove impediments to resolvability. Banks are subject to legal resolution-</w:t>
      </w:r>
      <w:r>
        <w:t xml:space="preserve"> </w:t>
      </w:r>
      <w:r>
        <w:t xml:space="preserve">related reporting requirements whereby they must provide data in adequate format at pre-</w:t>
      </w:r>
      <w:r>
        <w:t xml:space="preserve"> </w:t>
      </w:r>
      <w:r>
        <w:t xml:space="preserve">defined cut-off dates. In addition to these established reporting requirements, resolution</w:t>
      </w:r>
      <w:r>
        <w:t xml:space="preserve"> </w:t>
      </w:r>
      <w:r>
        <w:t xml:space="preserve">authorities have the power to request ad-hoc data from banks, as considered relevant and</w:t>
      </w:r>
      <w:r>
        <w:t xml:space="preserve"> </w:t>
      </w:r>
      <w:r>
        <w:t xml:space="preserve">needed for carrying out their activity. The Commission’s fitness check on supervisory</w:t>
      </w:r>
      <w:r>
        <w:t xml:space="preserve"> </w:t>
      </w:r>
      <w:r>
        <w:t xml:space="preserve">reporting, which spanned several legal instruments, found that, in 2017, the costs</w:t>
      </w:r>
      <w:r>
        <w:t xml:space="preserve"> </w:t>
      </w:r>
      <w:r>
        <w:t xml:space="preserve">associated with reporting of information and potential overlaps among reporting</w:t>
      </w:r>
      <w:r>
        <w:t xml:space="preserve"> </w:t>
      </w:r>
      <w:r>
        <w:t xml:space="preserve">requirements was on average about 30% of total compliance costs or 1% of the annual</w:t>
      </w:r>
      <w:r>
        <w:t xml:space="preserve"> </w:t>
      </w:r>
      <w:r>
        <w:t xml:space="preserve">operating costs for a sample of regulated entities384.</w:t>
      </w:r>
      <w:r>
        <w:t xml:space="preserve"> </w:t>
      </w:r>
      <w:r>
        <w:t xml:space="preserve">Other types of costs borne by banks are associated with internal projects aimed at</w:t>
      </w:r>
      <w:r>
        <w:t xml:space="preserve"> </w:t>
      </w:r>
      <w:r>
        <w:t xml:space="preserve">enhancing their resolvability. Examples of such projects include but are not limited to:</w:t>
      </w:r>
      <w:r>
        <w:t xml:space="preserve"> </w:t>
      </w:r>
      <w:r>
        <w:t xml:space="preserve">upgrading management information systems (MIS) in order to enable the gathering of</w:t>
      </w:r>
      <w:r>
        <w:t xml:space="preserve"> </w:t>
      </w:r>
      <w:r>
        <w:t xml:space="preserve">information in a timely fashion to sustain a speedy valuation and other data reporting to</w:t>
      </w:r>
      <w:r>
        <w:t xml:space="preserve"> </w:t>
      </w:r>
      <w:r>
        <w:t xml:space="preserve">resolution authorities in case of, or in the run up to, resolution; implementing additional</w:t>
      </w:r>
      <w:r>
        <w:t xml:space="preserve"> </w:t>
      </w:r>
      <w:r>
        <w:t xml:space="preserve">reporting to monitor liquidity needs (inflow, outflows by counterparty, currency, cross</w:t>
      </w:r>
      <w:r>
        <w:t xml:space="preserve"> </w:t>
      </w:r>
      <w:r>
        <w:t xml:space="preserve">border, etc.); removing impediments to resolvability, for example by ensuring</w:t>
      </w:r>
      <w:r>
        <w:t xml:space="preserve"> </w:t>
      </w:r>
      <w:r>
        <w:t xml:space="preserve">separability of certain critical functions or business centres or entities, divesting certain</w:t>
      </w:r>
      <w:r>
        <w:t xml:space="preserve"> </w:t>
      </w:r>
      <w:r>
        <w:t xml:space="preserve">business lines, setting-up a holding company on top of the operating bank, transforming</w:t>
      </w:r>
      <w:r>
        <w:t xml:space="preserve"> </w:t>
      </w:r>
      <w:r>
        <w:t xml:space="preserve">subsidiaries into branches, or other structural changes that bear important costs.</w:t>
      </w:r>
      <w:r>
        <w:t xml:space="preserve"> </w:t>
      </w:r>
      <w:r>
        <w:t xml:space="preserve">Such costs may be difficult to quantify and potentially disentangle from other internal</w:t>
      </w:r>
      <w:r>
        <w:t xml:space="preserve"> </w:t>
      </w:r>
      <w:r>
        <w:t xml:space="preserve">projects implemented by banks, such as in the context of implementing digitalisation</w:t>
      </w:r>
      <w:r>
        <w:t xml:space="preserve"> </w:t>
      </w:r>
      <w:r>
        <w:t xml:space="preserve">strategies, or operational efficiency and in the absence of a comprehensive survey across</w:t>
      </w:r>
      <w:r>
        <w:t xml:space="preserve"> </w:t>
      </w:r>
      <w:r>
        <w:t xml:space="preserve">all EU banks.</w:t>
      </w:r>
    </w:p>
    <w:p>
      <w:pPr>
        <w:pStyle w:val="BodyText"/>
      </w:pPr>
      <w:r>
        <w:t xml:space="preserve">384 European Commission (November 2019) Commission staff working document – Fitness check of EU</w:t>
      </w:r>
      <w:r>
        <w:t xml:space="preserve"> </w:t>
      </w:r>
      <w:r>
        <w:t xml:space="preserve">Supervisory reporting requirements.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7.2.2.4. Costs for taxpayers</w:t>
      </w:r>
      <w:r>
        <w:t xml:space="preserve"> </w:t>
      </w:r>
      <w:r>
        <w:t xml:space="preserve">As illustrated in section 7.1.2.1, available evidence show that the use of significant</w:t>
      </w:r>
      <w:r>
        <w:t xml:space="preserve"> </w:t>
      </w:r>
      <w:r>
        <w:t xml:space="preserve">amounts of public money from State budget has been necessary to manage past cases of</w:t>
      </w:r>
      <w:r>
        <w:t xml:space="preserve"> </w:t>
      </w:r>
      <w:r>
        <w:t xml:space="preserve">distressed banks. In this context, we could also speak of a potential redistribution of costs</w:t>
      </w:r>
      <w:r>
        <w:t xml:space="preserve"> </w:t>
      </w:r>
      <w:r>
        <w:t xml:space="preserve">away from the banks’ senior unsecured creditors who hold financial claims against the</w:t>
      </w:r>
      <w:r>
        <w:t xml:space="preserve"> </w:t>
      </w:r>
      <w:r>
        <w:t xml:space="preserve">banks, to taxpayers who did not have such financial claims. At the same time, some of</w:t>
      </w:r>
      <w:r>
        <w:t xml:space="preserve"> </w:t>
      </w:r>
      <w:r>
        <w:t xml:space="preserve">the safety nets financed by the industry (SRF/RF, DGS) remained sometimes idle. This</w:t>
      </w:r>
      <w:r>
        <w:t xml:space="preserve"> </w:t>
      </w:r>
      <w:r>
        <w:t xml:space="preserve">means that the implementation of the framework has not yet triggered a full mentality</w:t>
      </w:r>
      <w:r>
        <w:t xml:space="preserve"> </w:t>
      </w:r>
      <w:r>
        <w:t xml:space="preserve">shift from bail-out to bail-in, putting a burden on public finances, and that certain</w:t>
      </w:r>
      <w:r>
        <w:t xml:space="preserve"> </w:t>
      </w:r>
      <w:r>
        <w:t xml:space="preserve">aspects, such as enhancing access to funding solutions within the resolution framework,</w:t>
      </w:r>
      <w:r>
        <w:t xml:space="preserve"> </w:t>
      </w:r>
      <w:r>
        <w:t xml:space="preserve">should be reviewed, so as to further reduce recourse to the public budget and ultimately</w:t>
      </w:r>
      <w:r>
        <w:t xml:space="preserve"> </w:t>
      </w:r>
      <w:r>
        <w:t xml:space="preserve">the cost to the taxpayers.</w:t>
      </w:r>
      <w:r>
        <w:br/>
      </w:r>
      <w:r>
        <w:t xml:space="preserve">7.2.2.5. Mutualising national resources of DGS</w:t>
      </w:r>
      <w:r>
        <w:t xml:space="preserve"> </w:t>
      </w:r>
      <w:r>
        <w:t xml:space="preserve">DGS are managed at national level. This means, that national deposits are covered by</w:t>
      </w:r>
      <w:r>
        <w:t xml:space="preserve"> </w:t>
      </w:r>
      <w:r>
        <w:t xml:space="preserve">national resources. The JRC quantitative analysis on various depositors protection</w:t>
      </w:r>
      <w:r>
        <w:t xml:space="preserve"> </w:t>
      </w:r>
      <w:r>
        <w:t xml:space="preserve">designs385 highlighted that mutualising resources creates synergies that could be</w:t>
      </w:r>
      <w:r>
        <w:t xml:space="preserve"> </w:t>
      </w:r>
      <w:r>
        <w:t xml:space="preserve">exploited to reduce the target level. Indeed, when mutualising resources, it would be</w:t>
      </w:r>
      <w:r>
        <w:t xml:space="preserve"> </w:t>
      </w:r>
      <w:r>
        <w:t xml:space="preserve">possible to maintain (or even increase) the current level of depositors’ protection with a</w:t>
      </w:r>
      <w:r>
        <w:t xml:space="preserve"> </w:t>
      </w:r>
      <w:r>
        <w:t xml:space="preserve">lower target level (i.e. lower contributions from the banking sectors). The more resources</w:t>
      </w:r>
      <w:r>
        <w:t xml:space="preserve"> </w:t>
      </w:r>
      <w:r>
        <w:t xml:space="preserve">are mutualised the lower the target level could be. Consequently, the cost-effectiveness</w:t>
      </w:r>
      <w:r>
        <w:t xml:space="preserve"> </w:t>
      </w:r>
      <w:r>
        <w:t xml:space="preserve">of the system is suboptimal and could considerably be improved386.</w:t>
      </w:r>
      <w:r>
        <w:br/>
      </w:r>
      <w:r>
        <w:t xml:space="preserve">7.2.2.6. Other measures than payout could lead to a better cost-effectiveness</w:t>
      </w:r>
      <w:r>
        <w:t xml:space="preserve"> </w:t>
      </w:r>
      <w:r>
        <w:t xml:space="preserve">for the DGS</w:t>
      </w:r>
      <w:r>
        <w:t xml:space="preserve"> </w:t>
      </w:r>
      <w:r>
        <w:t xml:space="preserve">The DGSD allows financing other measures than payout (preventive and alternative</w:t>
      </w:r>
      <w:r>
        <w:t xml:space="preserve"> </w:t>
      </w:r>
      <w:r>
        <w:t xml:space="preserve">measures) that could be more cost-effective. Indeed, transferring the bank to a buyer in</w:t>
      </w:r>
      <w:r>
        <w:t xml:space="preserve"> </w:t>
      </w:r>
      <w:r>
        <w:t xml:space="preserve">case of alternative measure would preserve the franchise value better than by selling</w:t>
      </w:r>
      <w:r>
        <w:t xml:space="preserve"> </w:t>
      </w:r>
      <w:r>
        <w:t xml:space="preserve">assets in a piecemeal approach, thereby minimising the cost for the DGS. Following the</w:t>
      </w:r>
      <w:r>
        <w:t xml:space="preserve"> </w:t>
      </w:r>
      <w:r>
        <w:t xml:space="preserve">same logic, preventive measures could minimise the costs for the DGS even more than</w:t>
      </w:r>
      <w:r>
        <w:t xml:space="preserve"> </w:t>
      </w:r>
      <w:r>
        <w:t xml:space="preserve">when the FOLF/insolvency trigger is reached as a result of higher losses.</w:t>
      </w:r>
      <w:r>
        <w:t xml:space="preserve"> </w:t>
      </w:r>
      <w:r>
        <w:t xml:space="preserve">Even though it is very challenging to calculate the gain of efficiency resulting from</w:t>
      </w:r>
      <w:r>
        <w:t xml:space="preserve"> </w:t>
      </w:r>
      <w:r>
        <w:t xml:space="preserve">alternative and preventive measures, the EBA analysed data regarding four preventive</w:t>
      </w:r>
      <w:r>
        <w:t xml:space="preserve"> </w:t>
      </w:r>
      <w:r>
        <w:t xml:space="preserve">measures that tend to confirm the cost-effectiveness of measures other than payout. For</w:t>
      </w:r>
      <w:r>
        <w:t xml:space="preserve"> </w:t>
      </w:r>
      <w:r>
        <w:t xml:space="preserve">three preventive measures, the national DGS compared the cost of liquidating the bank</w:t>
      </w:r>
      <w:r>
        <w:t xml:space="preserve"> </w:t>
      </w:r>
      <w:r>
        <w:t xml:space="preserve">with the cost of the preventive measure.</w:t>
      </w:r>
    </w:p>
    <w:p>
      <w:pPr>
        <w:pStyle w:val="BodyText"/>
      </w:pPr>
      <w:r>
        <w:t xml:space="preserve">385 JRC presentation on ‘measuring the effectiveness and the pooling effect of EDIS (CWP of 2 February</w:t>
      </w:r>
      <w:r>
        <w:t xml:space="preserve"> </w:t>
      </w:r>
      <w:r>
        <w:t xml:space="preserve">2021, slide 15).</w:t>
      </w:r>
      <w:r>
        <w:t xml:space="preserve"> </w:t>
      </w:r>
      <w:r>
        <w:t xml:space="preserve">386 See also Annex 10 of the impact assessment– section “Establishment of a common scheme for liquidity</w:t>
      </w:r>
      <w:r>
        <w:t xml:space="preserve"> </w:t>
      </w:r>
      <w:r>
        <w:t xml:space="preserve">support”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Box 15: Extract EBA analysis of impact of three preventive measures on DGS</w:t>
      </w:r>
      <w:r>
        <w:t xml:space="preserve"> </w:t>
      </w:r>
      <w:r>
        <w:t xml:space="preserve">For bank 1, the cost of liquidating the bank was estimated at 32% of the bank’s covered</w:t>
      </w:r>
      <w:r>
        <w:t xml:space="preserve"> </w:t>
      </w:r>
      <w:r>
        <w:t xml:space="preserve">deposits, while the cost of the preventive measure amounted to 31%.</w:t>
      </w:r>
      <w:r>
        <w:br/>
      </w:r>
      <w:r>
        <w:t xml:space="preserve">For bank 2, the cost of the liquidation was estimated at 22% of covered deposits, while</w:t>
      </w:r>
      <w:r>
        <w:t xml:space="preserve"> </w:t>
      </w:r>
      <w:r>
        <w:t xml:space="preserve">the cost of the preventive measure amounted to 3% of covered deposits.</w:t>
      </w:r>
      <w:r>
        <w:br/>
      </w:r>
      <w:r>
        <w:t xml:space="preserve">For bank 3, the cost of the liquidation was estimated between 4 and 9% of covered</w:t>
      </w:r>
      <w:r>
        <w:t xml:space="preserve"> </w:t>
      </w:r>
      <w:r>
        <w:t xml:space="preserve">deposits, while the cost of the preventive measure amounted to 3% of covered deposits.</w:t>
      </w:r>
      <w:r>
        <w:br/>
      </w:r>
      <w:r>
        <w:t xml:space="preserve">Even though these numbers have to be interpreted cautiously as they are based on</w:t>
      </w:r>
      <w:r>
        <w:t xml:space="preserve"> </w:t>
      </w:r>
      <w:r>
        <w:t xml:space="preserve">national data and methodologies not harmonised at the European level, they indicate that</w:t>
      </w:r>
      <w:r>
        <w:t xml:space="preserve"> </w:t>
      </w:r>
      <w:r>
        <w:t xml:space="preserve">allowing the DGS to finance other measures than payout could be efficient.</w:t>
      </w:r>
      <w:r>
        <w:t xml:space="preserve"> </w:t>
      </w:r>
      <w:r>
        <w:t xml:space="preserve">7.2.2.7. Differences in benefits and costs among Member States</w:t>
      </w:r>
      <w:r>
        <w:t xml:space="preserve"> </w:t>
      </w:r>
      <w:r>
        <w:t xml:space="preserve">The benefits arising from increased crisis preparedness and contingency planning, more</w:t>
      </w:r>
      <w:r>
        <w:t xml:space="preserve"> </w:t>
      </w:r>
      <w:r>
        <w:t xml:space="preserve">resolvable banks and reduced moral hazard are equally shared among Member States.</w:t>
      </w:r>
      <w:r>
        <w:t xml:space="preserve"> </w:t>
      </w:r>
      <w:r>
        <w:t xml:space="preserve">However, the incidence of costs varies greatly, mainly because the incentives not to apply</w:t>
      </w:r>
      <w:r>
        <w:t xml:space="preserve"> </w:t>
      </w:r>
      <w:r>
        <w:t xml:space="preserve">resolution in favour of national insolvency proceedings are Member State-specific. They</w:t>
      </w:r>
      <w:r>
        <w:t xml:space="preserve"> </w:t>
      </w:r>
      <w:r>
        <w:t xml:space="preserve">are enabled by the particular set-up of the national insolvency regimes, tools and funding</w:t>
      </w:r>
      <w:r>
        <w:t xml:space="preserve"> </w:t>
      </w:r>
      <w:r>
        <w:t xml:space="preserve">sources available to deal with failures outside the EU resolution framework.</w:t>
      </w:r>
      <w:r>
        <w:br/>
      </w:r>
      <w:r>
        <w:t xml:space="preserve">As shown in Annex 9 of the impact assessment, since the application of the CMDI</w:t>
      </w:r>
      <w:r>
        <w:t xml:space="preserve"> </w:t>
      </w:r>
      <w:r>
        <w:t xml:space="preserve">framework in 2015, measures other than resolution (precautionary measures, preventive</w:t>
      </w:r>
      <w:r>
        <w:t xml:space="preserve"> </w:t>
      </w:r>
      <w:r>
        <w:t xml:space="preserve">measures and national insolvency proceedings) have been applied to more than 60% of</w:t>
      </w:r>
      <w:r>
        <w:t xml:space="preserve"> </w:t>
      </w:r>
      <w:r>
        <w:t xml:space="preserve">cases of distressed banks. The public aid resulting from these operations amounted to</w:t>
      </w:r>
      <w:r>
        <w:t xml:space="preserve"> </w:t>
      </w:r>
      <w:r>
        <w:t xml:space="preserve">EUR 58.2 bn (of which EUR 28.1 was for liquidity purposes), not counting the amounts</w:t>
      </w:r>
      <w:r>
        <w:t xml:space="preserve"> </w:t>
      </w:r>
      <w:r>
        <w:t xml:space="preserve">spent by national DGSs or public budgets on preventive measures qualified as private or</w:t>
      </w:r>
      <w:r>
        <w:t xml:space="preserve"> </w:t>
      </w:r>
      <w:r>
        <w:t xml:space="preserve">market-conform public measures (which do not constitute State aid).</w:t>
      </w:r>
      <w:r>
        <w:t xml:space="preserve"> </w:t>
      </w:r>
      <w:r>
        <w:t xml:space="preserve">7.3. Relevance</w:t>
      </w:r>
      <w:r>
        <w:t xml:space="preserve"> </w:t>
      </w:r>
      <w:r>
        <w:t xml:space="preserve">How relevant is the EU intervention? To what extent are the rules still relevant and</w:t>
      </w:r>
      <w:r>
        <w:t xml:space="preserve"> </w:t>
      </w:r>
      <w:r>
        <w:t xml:space="preserve">how well do the original objectives of the legal instruments correspond to the</w:t>
      </w:r>
      <w:r>
        <w:t xml:space="preserve"> </w:t>
      </w:r>
      <w:r>
        <w:t xml:space="preserve">current needs within the EU? To what extent do the risks to financial stability</w:t>
      </w:r>
      <w:r>
        <w:t xml:space="preserve"> </w:t>
      </w:r>
      <w:r>
        <w:t xml:space="preserve">stemming from bank crises continue to require action at EU level? Have new</w:t>
      </w:r>
      <w:r>
        <w:t xml:space="preserve"> </w:t>
      </w:r>
      <w:r>
        <w:t xml:space="preserve">challenges arisen which were not existent at the time of introduction of the CMDI</w:t>
      </w:r>
      <w:r>
        <w:t xml:space="preserve"> </w:t>
      </w:r>
      <w:r>
        <w:t xml:space="preserve">framework and which need to be tackled by the framework? How is the absence of a</w:t>
      </w:r>
      <w:r>
        <w:t xml:space="preserve"> </w:t>
      </w:r>
      <w:r>
        <w:t xml:space="preserve">common guarantee scheme for depositors, in the Banking Union, such as EDIS</w:t>
      </w:r>
      <w:r>
        <w:t xml:space="preserve"> </w:t>
      </w:r>
      <w:r>
        <w:t xml:space="preserve">affect the relevance of the framework?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Summary assessment:</w:t>
      </w:r>
      <w:r>
        <w:t xml:space="preserve"> </w:t>
      </w:r>
      <w:r>
        <w:t xml:space="preserve">Despite certain important problems identified in this evaluation that need to be</w:t>
      </w:r>
      <w:r>
        <w:t xml:space="preserve"> </w:t>
      </w:r>
      <w:r>
        <w:t xml:space="preserve">addressed in the legislative review, the relevance of the CMDI framework remains</w:t>
      </w:r>
      <w:r>
        <w:t xml:space="preserve"> </w:t>
      </w:r>
      <w:r>
        <w:t xml:space="preserve">intact. The evaluation found that the initial policy objectives of protecting financial</w:t>
      </w:r>
      <w:r>
        <w:t xml:space="preserve"> </w:t>
      </w:r>
      <w:r>
        <w:t xml:space="preserve">stability, reducing the burden on public finances, increasing level playing field in the</w:t>
      </w:r>
      <w:r>
        <w:t xml:space="preserve"> </w:t>
      </w:r>
      <w:r>
        <w:t xml:space="preserve">single market and protecting depositors remain valid. In particular, the rationale for</w:t>
      </w:r>
      <w:r>
        <w:t xml:space="preserve"> </w:t>
      </w:r>
      <w:r>
        <w:t xml:space="preserve">completing the Banking Union and implementing its third missing pillar, a common</w:t>
      </w:r>
      <w:r>
        <w:t xml:space="preserve"> </w:t>
      </w:r>
      <w:r>
        <w:t xml:space="preserve">guarantee for depositors is still valid. The addition of a mutualised safety net such as</w:t>
      </w:r>
      <w:r>
        <w:t xml:space="preserve"> </w:t>
      </w:r>
      <w:r>
        <w:t xml:space="preserve">EDIS would further boost the framework’s relevance.</w:t>
      </w:r>
    </w:p>
    <w:p>
      <w:pPr>
        <w:pStyle w:val="BodyText"/>
      </w:pPr>
      <w:r>
        <w:t xml:space="preserve">The CMDI framework represents one of the EU’s key responses to the global financial</w:t>
      </w:r>
      <w:r>
        <w:t xml:space="preserve"> </w:t>
      </w:r>
      <w:r>
        <w:t xml:space="preserve">crisis from 2008 and continues to remain very relevant also in today’s context.</w:t>
      </w:r>
      <w:r>
        <w:br/>
      </w:r>
      <w:r>
        <w:t xml:space="preserve">Since its implementation, banks and resolution authorities are better prepared and</w:t>
      </w:r>
      <w:r>
        <w:t xml:space="preserve"> </w:t>
      </w:r>
      <w:r>
        <w:t xml:space="preserve">equipped to deal with crises. Contingency plans are drawn (recovery and resolution</w:t>
      </w:r>
      <w:r>
        <w:t xml:space="preserve"> </w:t>
      </w:r>
      <w:r>
        <w:t xml:space="preserve">plans) and resolvability assessment cycles carried out each year. Banks have become</w:t>
      </w:r>
      <w:r>
        <w:t xml:space="preserve"> </w:t>
      </w:r>
      <w:r>
        <w:t xml:space="preserve">more resolvable and are in the process of raising resolution buffers to secure sufficient</w:t>
      </w:r>
      <w:r>
        <w:t xml:space="preserve"> </w:t>
      </w:r>
      <w:r>
        <w:t xml:space="preserve">internal loss-absorbing capacity and reduce the likelihood of recourse to taxpayer money.</w:t>
      </w:r>
      <w:r>
        <w:t xml:space="preserve"> </w:t>
      </w:r>
      <w:r>
        <w:t xml:space="preserve">Compared to the period following the global financial crisis, the number of failing banks</w:t>
      </w:r>
      <w:r>
        <w:t xml:space="preserve"> </w:t>
      </w:r>
      <w:r>
        <w:t xml:space="preserve">has decreased substantially since the implementation of the rules in 2015: Between 2007</w:t>
      </w:r>
      <w:r>
        <w:t xml:space="preserve"> </w:t>
      </w:r>
      <w:r>
        <w:t xml:space="preserve">and (December) 2014, 112 European banking institutions were subject to restructuring or</w:t>
      </w:r>
      <w:r>
        <w:t xml:space="preserve"> </w:t>
      </w:r>
      <w:r>
        <w:t xml:space="preserve">orderly resolution with State aid support387, while since the entry into force of the</w:t>
      </w:r>
      <w:r>
        <w:t xml:space="preserve"> </w:t>
      </w:r>
      <w:r>
        <w:t xml:space="preserve">resolution framework, in 2015, the number of distressed banks in need of an intervention</w:t>
      </w:r>
      <w:r>
        <w:t xml:space="preserve"> </w:t>
      </w:r>
      <w:r>
        <w:t xml:space="preserve">(including precautionary measures or preventive private or market conform public</w:t>
      </w:r>
      <w:r>
        <w:t xml:space="preserve"> </w:t>
      </w:r>
      <w:r>
        <w:t xml:space="preserve">measures) fell to 33. While this positive outcome cannot be solely attributed to the CMDI</w:t>
      </w:r>
      <w:r>
        <w:t xml:space="preserve"> </w:t>
      </w:r>
      <w:r>
        <w:t xml:space="preserve">framework (as also other measures have been enacted approximately at the same time,</w:t>
      </w:r>
      <w:r>
        <w:t xml:space="preserve"> </w:t>
      </w:r>
      <w:r>
        <w:t xml:space="preserve">such as the CRR/CRD, EMIR) it nevertheless contributed to maintaining financial</w:t>
      </w:r>
      <w:r>
        <w:t xml:space="preserve"> </w:t>
      </w:r>
      <w:r>
        <w:t xml:space="preserve">stability and changing banks’ behaviours in a way that is more closely aligned to social</w:t>
      </w:r>
      <w:r>
        <w:t xml:space="preserve"> </w:t>
      </w:r>
      <w:r>
        <w:t xml:space="preserve">objectives.</w:t>
      </w:r>
      <w:r>
        <w:br/>
      </w:r>
      <w:r>
        <w:t xml:space="preserve">The DGSD improved depositors’ protection and the level playing field. Depositors are</w:t>
      </w:r>
      <w:r>
        <w:t xml:space="preserve"> </w:t>
      </w:r>
      <w:r>
        <w:t xml:space="preserve">better-informed about their level of protection and the payout process in their Member</w:t>
      </w:r>
      <w:r>
        <w:t xml:space="preserve"> </w:t>
      </w:r>
      <w:r>
        <w:t xml:space="preserve">State, which enhances their confidence in the banking system. The introduction of the</w:t>
      </w:r>
      <w:r>
        <w:t xml:space="preserve"> </w:t>
      </w:r>
      <w:r>
        <w:t xml:space="preserve">risk-based contributions improved the level playing field, as the banks contribute to the</w:t>
      </w:r>
      <w:r>
        <w:t xml:space="preserve"> </w:t>
      </w:r>
      <w:r>
        <w:t xml:space="preserve">DGS funds based on their risk profile. Even though the methodology for calculating the</w:t>
      </w:r>
      <w:r>
        <w:t xml:space="preserve"> </w:t>
      </w:r>
      <w:r>
        <w:t xml:space="preserve">risk-based contributions is not fully harmonised among Member States, it is framed by an</w:t>
      </w:r>
      <w:r>
        <w:t xml:space="preserve"> </w:t>
      </w:r>
      <w:r>
        <w:t xml:space="preserve">EBA guideline, which aims to ensure some level of convergence.</w:t>
      </w:r>
      <w:r>
        <w:br/>
      </w:r>
      <w:r>
        <w:t xml:space="preserve">Yet, the implementation of the CMDI framework is not yet complete. The 2019 Banking</w:t>
      </w:r>
      <w:r>
        <w:t xml:space="preserve"> </w:t>
      </w:r>
      <w:r>
        <w:t xml:space="preserve">package is being implemented and operationalised, related level-2 measures are being</w:t>
      </w:r>
      <w:r>
        <w:t xml:space="preserve"> </w:t>
      </w:r>
      <w:r>
        <w:t xml:space="preserve">finalised and the transitional period for banks to comply with their MREL buffers runs</w:t>
      </w:r>
    </w:p>
    <w:p>
      <w:pPr>
        <w:pStyle w:val="BodyText"/>
      </w:pPr>
      <w:r>
        <w:t xml:space="preserve">387 European Commission (February 2015) Competition policy brief - State aid to European banks:</w:t>
      </w:r>
      <w:r>
        <w:t xml:space="preserve"> </w:t>
      </w:r>
      <w:r>
        <w:t xml:space="preserve">returning to viability.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until 2024. The RF/SRF and DGS funds are also expected to reach their target level by</w:t>
      </w:r>
      <w:r>
        <w:t xml:space="preserve"> </w:t>
      </w:r>
      <w:r>
        <w:t xml:space="preserve">2024, as well as a common backstop to the SRF to be provided by the ESM.</w:t>
      </w:r>
      <w:r>
        <w:t xml:space="preserve"> </w:t>
      </w:r>
      <w:r>
        <w:t xml:space="preserve">Despite certain important problems identified in this evaluation that need to be addressed</w:t>
      </w:r>
      <w:r>
        <w:t xml:space="preserve"> </w:t>
      </w:r>
      <w:r>
        <w:t xml:space="preserve">in the legislative review, the relevance of the framework remains intact. The initial policy</w:t>
      </w:r>
      <w:r>
        <w:t xml:space="preserve"> </w:t>
      </w:r>
      <w:r>
        <w:t xml:space="preserve">objectives of protecting financial stability, reducing the burden on public finances,</w:t>
      </w:r>
      <w:r>
        <w:t xml:space="preserve"> </w:t>
      </w:r>
      <w:r>
        <w:t xml:space="preserve">increasing level playing field in the single market and protecting depositors remain valid</w:t>
      </w:r>
      <w:r>
        <w:t xml:space="preserve"> </w:t>
      </w:r>
      <w:r>
        <w:t xml:space="preserve">(see also Chapter 6 of this Evaluation, Section “State of play of the common deposit</w:t>
      </w:r>
      <w:r>
        <w:t xml:space="preserve"> </w:t>
      </w:r>
      <w:r>
        <w:t xml:space="preserve">guarantee scheme in the Banking Union”).</w:t>
      </w:r>
      <w:r>
        <w:br/>
      </w:r>
      <w:r>
        <w:t xml:space="preserve">The COVID-19 shock struck European economies at a time when the Banking Union is</w:t>
      </w:r>
      <w:r>
        <w:t xml:space="preserve"> </w:t>
      </w:r>
      <w:r>
        <w:t xml:space="preserve">still incomplete. As its impact may be increasingly felt, the COVID-19 crisis may put to</w:t>
      </w:r>
      <w:r>
        <w:t xml:space="preserve"> </w:t>
      </w:r>
      <w:r>
        <w:t xml:space="preserve">the test the viability of the post-financial crisis framework and exacerbate the pre-</w:t>
      </w:r>
      <w:r>
        <w:t xml:space="preserve"> </w:t>
      </w:r>
      <w:r>
        <w:t xml:space="preserve">existing challenges and vulnerabilities of the banking sector. Judging by the data</w:t>
      </w:r>
      <w:r>
        <w:t xml:space="preserve"> </w:t>
      </w:r>
      <w:r>
        <w:t xml:space="preserve">available to date, the increase in the resilience of the sector, combined with the flexibility</w:t>
      </w:r>
      <w:r>
        <w:t xml:space="preserve"> </w:t>
      </w:r>
      <w:r>
        <w:t xml:space="preserve">provided by supervisors and regulators to banks has helped them be part of the solution</w:t>
      </w:r>
      <w:r>
        <w:t xml:space="preserve"> </w:t>
      </w:r>
      <w:r>
        <w:t xml:space="preserve">to the crisis and continue financing households and businesses, albeit at a declining rate</w:t>
      </w:r>
      <w:r>
        <w:t xml:space="preserve"> </w:t>
      </w:r>
      <w:r>
        <w:t xml:space="preserve">following the start of the pandemic.</w:t>
      </w:r>
      <w:r>
        <w:t xml:space="preserve"> </w:t>
      </w:r>
      <w:r>
        <w:t xml:space="preserve">7.4. Coherence</w:t>
      </w:r>
      <w:r>
        <w:t xml:space="preserve"> </w:t>
      </w:r>
      <w:r>
        <w:t xml:space="preserve">How coherent is the EU intervention? To what extent are rules on the recovery and</w:t>
      </w:r>
      <w:r>
        <w:t xml:space="preserve"> </w:t>
      </w:r>
      <w:r>
        <w:t xml:space="preserve">resolution of banks and depositor protection in the BRRD/SRMR/DGSD coherent</w:t>
      </w:r>
      <w:r>
        <w:t xml:space="preserve"> </w:t>
      </w:r>
      <w:r>
        <w:t xml:space="preserve">as a framework, but also with provisions in other pieces of relevant legislation or</w:t>
      </w:r>
      <w:r>
        <w:t xml:space="preserve"> </w:t>
      </w:r>
      <w:r>
        <w:t xml:space="preserve">communications?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Summary assessment:</w:t>
      </w:r>
      <w:r>
        <w:t xml:space="preserve"> </w:t>
      </w:r>
      <w:r>
        <w:t xml:space="preserve">This evaluation assessed the overall internal coherence of the framework</w:t>
      </w:r>
      <w:r>
        <w:t xml:space="preserve"> </w:t>
      </w:r>
      <w:r>
        <w:t xml:space="preserve">(BRRD/SRMR/DGSD), as well as its coherence with provisions in other pieces of</w:t>
      </w:r>
      <w:r>
        <w:t xml:space="preserve"> </w:t>
      </w:r>
      <w:r>
        <w:t xml:space="preserve">relevant legislation or Communication, in particular, State aid rules, national insolvency</w:t>
      </w:r>
      <w:r>
        <w:t xml:space="preserve"> </w:t>
      </w:r>
      <w:r>
        <w:t xml:space="preserve">rules, the Capital Requirements Directive (CRD), AML Directive, and Payment</w:t>
      </w:r>
      <w:r>
        <w:t xml:space="preserve"> </w:t>
      </w:r>
      <w:r>
        <w:t xml:space="preserve">services and e-money Directives.</w:t>
      </w:r>
      <w:r>
        <w:br/>
      </w:r>
      <w:r>
        <w:t xml:space="preserve">Regarding internal coherence, the evaluation found that there is room for improvement,</w:t>
      </w:r>
      <w:r>
        <w:t xml:space="preserve"> </w:t>
      </w:r>
      <w:r>
        <w:t xml:space="preserve">in particular as regards certain important BRRD provisions, such as the EIMs that are</w:t>
      </w:r>
      <w:r>
        <w:t xml:space="preserve"> </w:t>
      </w:r>
      <w:r>
        <w:t xml:space="preserve">not replicated in the SRMR. Internal inconsistency issues are also found to be present,</w:t>
      </w:r>
      <w:r>
        <w:t xml:space="preserve"> </w:t>
      </w:r>
      <w:r>
        <w:t xml:space="preserve">as regards provisions in the BRRD and DGSD concerning the access to DGS funding</w:t>
      </w:r>
      <w:r>
        <w:t xml:space="preserve"> </w:t>
      </w:r>
      <w:r>
        <w:t xml:space="preserve">for distressed banks, as well as, in the misalignment between control and liability, i.e. </w:t>
      </w:r>
      <w:r>
        <w:t xml:space="preserve"> </w:t>
      </w:r>
      <w:r>
        <w:t xml:space="preserve">the centralised SRM governance architecture versus the national funding of measures</w:t>
      </w:r>
      <w:r>
        <w:t xml:space="preserve"> </w:t>
      </w:r>
      <w:r>
        <w:t xml:space="preserve">respectively.</w:t>
      </w:r>
      <w:r>
        <w:t xml:space="preserve"> </w:t>
      </w:r>
      <w:r>
        <w:t xml:space="preserve">Regarding coherence with provisions in other pieces of relevant legislation or</w:t>
      </w:r>
      <w:r>
        <w:t xml:space="preserve"> </w:t>
      </w:r>
      <w:r>
        <w:t xml:space="preserve">Communication, the evaluation found that there is also scope for improvement, notably</w:t>
      </w:r>
      <w:r>
        <w:t xml:space="preserve"> </w:t>
      </w:r>
      <w:r>
        <w:t xml:space="preserve">vis-à-vis: (i) the State aid rules in what concerns the conditions to access funding to</w:t>
      </w:r>
      <w:r>
        <w:t xml:space="preserve"> </w:t>
      </w:r>
      <w:r>
        <w:t xml:space="preserve">support tools outside resolution; (ii) the interaction between national insolvency</w:t>
      </w:r>
      <w:r>
        <w:t xml:space="preserve"> </w:t>
      </w:r>
      <w:r>
        <w:t xml:space="preserve">features and resolution, in particular with respect to triggers and hierarchy of claims and</w:t>
      </w:r>
      <w:r>
        <w:t xml:space="preserve"> </w:t>
      </w:r>
      <w:r>
        <w:t xml:space="preserve">strengthening predictability and legal clarity in cross-border cases; (iii) the coherence</w:t>
      </w:r>
      <w:r>
        <w:t xml:space="preserve"> </w:t>
      </w:r>
      <w:r>
        <w:t xml:space="preserve">with the CRD/SSMR, in particularly with regard to early intervention measures; (iv) the</w:t>
      </w:r>
      <w:r>
        <w:t xml:space="preserve"> </w:t>
      </w:r>
      <w:r>
        <w:t xml:space="preserve">AMLD, in particularly with regard to clarifying the roles and responsibilities of the</w:t>
      </w:r>
      <w:r>
        <w:t xml:space="preserve"> </w:t>
      </w:r>
      <w:r>
        <w:t xml:space="preserve">DGS and other stakeholders (insolvency practitioner, Financial Intelligence Unit, failed</w:t>
      </w:r>
      <w:r>
        <w:t xml:space="preserve"> </w:t>
      </w:r>
      <w:r>
        <w:t xml:space="preserve">institution) during a payout and strengthening their cooperation and exchange of</w:t>
      </w:r>
      <w:r>
        <w:t xml:space="preserve"> </w:t>
      </w:r>
      <w:r>
        <w:t xml:space="preserve">information; and (v) the Payment services and e-money Directives, and their interaction</w:t>
      </w:r>
      <w:r>
        <w:t xml:space="preserve"> </w:t>
      </w:r>
      <w:r>
        <w:t xml:space="preserve">with the DGSD, in particularly with regard to strengthening the protection by the DGSs</w:t>
      </w:r>
      <w:r>
        <w:t xml:space="preserve"> </w:t>
      </w:r>
      <w:r>
        <w:t xml:space="preserve">of client funds held by non-bank financial institutions such as payment and e-money</w:t>
      </w:r>
      <w:r>
        <w:t xml:space="preserve"> </w:t>
      </w:r>
      <w:r>
        <w:t xml:space="preserve">institutions or investment firms, which varies from one Member State.</w:t>
      </w:r>
    </w:p>
    <w:p>
      <w:pPr>
        <w:pStyle w:val="BodyText"/>
      </w:pPr>
      <w:r>
        <w:t xml:space="preserve">7.4.1. Internal coherence: BRRD/SRMR/DGSD</w:t>
      </w:r>
      <w:r>
        <w:t xml:space="preserve"> </w:t>
      </w:r>
      <w:r>
        <w:t xml:space="preserve">The provisions constituting the three pieces of legislation evaluated are strongly inter-</w:t>
      </w:r>
      <w:r>
        <w:t xml:space="preserve"> </w:t>
      </w:r>
      <w:r>
        <w:t xml:space="preserve">related, which makes their coherence key in the overall functioning of the framework.</w:t>
      </w:r>
      <w:r>
        <w:br/>
      </w:r>
      <w:r>
        <w:t xml:space="preserve">First, when assessing the internal coherence between the BRRD and SRMR, it is</w:t>
      </w:r>
      <w:r>
        <w:t xml:space="preserve"> </w:t>
      </w:r>
      <w:r>
        <w:t xml:space="preserve">important to note the intention behind their closely linked construction. The BRRD</w:t>
      </w:r>
      <w:r>
        <w:t xml:space="preserve"> </w:t>
      </w:r>
      <w:r>
        <w:t xml:space="preserve">created a harmonised recovery and resolution framework for the Union, applicable in all</w:t>
      </w:r>
      <w:r>
        <w:t xml:space="preserve"> </w:t>
      </w:r>
      <w:r>
        <w:t xml:space="preserve">Member States through transposition of the respective rules in the national laws and</w:t>
      </w:r>
      <w:r>
        <w:t xml:space="preserve"> </w:t>
      </w:r>
      <w:r>
        <w:t xml:space="preserve">regulations. The SRMR, in addition to creating the SRB and the SRF, laid down uniform</w:t>
      </w:r>
      <w:r>
        <w:t xml:space="preserve"> </w:t>
      </w:r>
      <w:r>
        <w:t xml:space="preserve">rules and procedures for the resolution of the entities established in euro area Member</w:t>
      </w:r>
      <w:r>
        <w:t xml:space="preserve"> </w:t>
      </w:r>
      <w:r>
        <w:t xml:space="preserve">States and in Member States, which chose to join the Banking Union. The SRMR, which</w:t>
      </w:r>
      <w:r>
        <w:t xml:space="preserve"> </w:t>
      </w:r>
      <w:r>
        <w:t xml:space="preserve">adapts the rules and principles of BRRD to the specificities of the SRM, is directly</w:t>
      </w:r>
      <w:r>
        <w:t xml:space="preserve"> </w:t>
      </w:r>
      <w:r>
        <w:t xml:space="preserve">applicable in those participating Member States. While many BRRD provisions have an</w:t>
      </w:r>
      <w:r>
        <w:t xml:space="preserve"> </w:t>
      </w:r>
      <w:r>
        <w:t xml:space="preserve">equivalence in the SRMR, particularly where needed for the purposes of granting specific</w:t>
      </w:r>
      <w:r>
        <w:t xml:space="preserve"> </w:t>
      </w:r>
      <w:r>
        <w:t xml:space="preserve">powers to the SRB, not all BRRD provisions were replicated in the SRMR. Those BRRD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provisions, as transposed by Member States, continue to be applicable in so far as they do</w:t>
      </w:r>
      <w:r>
        <w:t xml:space="preserve"> </w:t>
      </w:r>
      <w:r>
        <w:t xml:space="preserve">not conflict with the SRMR.</w:t>
      </w:r>
      <w:r>
        <w:t xml:space="preserve"> </w:t>
      </w:r>
      <w:r>
        <w:t xml:space="preserve">However, certain provisions are only found in the BRRD and applicable through national</w:t>
      </w:r>
      <w:r>
        <w:t xml:space="preserve"> </w:t>
      </w:r>
      <w:r>
        <w:t xml:space="preserve">transposition. The EIM is an example of such a set of such provisions. As described</w:t>
      </w:r>
      <w:r>
        <w:t xml:space="preserve"> </w:t>
      </w:r>
      <w:r>
        <w:t xml:space="preserve">under the effectiveness criterion (under the third objective), the choice for the legal</w:t>
      </w:r>
      <w:r>
        <w:t xml:space="preserve"> </w:t>
      </w:r>
      <w:r>
        <w:t xml:space="preserve">implementation of these provisions and the close interaction with CRD provisions on</w:t>
      </w:r>
      <w:r>
        <w:t xml:space="preserve"> </w:t>
      </w:r>
      <w:r>
        <w:t xml:space="preserve">supervisory powers are not conducive to a coherent application.</w:t>
      </w:r>
      <w:r>
        <w:br/>
      </w:r>
      <w:r>
        <w:t xml:space="preserve">Second, the coherence between the BRRD/SRMR and the DGSD has also been</w:t>
      </w:r>
      <w:r>
        <w:t xml:space="preserve"> </w:t>
      </w:r>
      <w:r>
        <w:t xml:space="preserve">evaluated. As described under the effectiveness criteria, the coherence issues relate to:</w:t>
      </w:r>
      <w:r>
        <w:t xml:space="preserve"> </w:t>
      </w:r>
      <w:r>
        <w:t xml:space="preserve">insufficiently clear conditions to access DGS funding in resolution as per Article 109</w:t>
      </w:r>
      <w:r>
        <w:t xml:space="preserve"> </w:t>
      </w:r>
      <w:r>
        <w:t xml:space="preserve">BRRD, inconsistent access conditions to DGS funding as preventive measures and</w:t>
      </w:r>
      <w:r>
        <w:t xml:space="preserve"> </w:t>
      </w:r>
      <w:r>
        <w:t xml:space="preserve">national insolvency proceedings, where feasible, under Articles 11(3) and 11(6) DGSD</w:t>
      </w:r>
      <w:r>
        <w:t xml:space="preserve"> </w:t>
      </w:r>
      <w:r>
        <w:t xml:space="preserve">respectively.</w:t>
      </w:r>
      <w:r>
        <w:br/>
      </w:r>
      <w:r>
        <w:t xml:space="preserve">Another potential incoherence between the resolution and depositor protection legislation</w:t>
      </w:r>
      <w:r>
        <w:t xml:space="preserve"> </w:t>
      </w:r>
      <w:r>
        <w:t xml:space="preserve">is due a misalignment between control and liability, i.e. the centralised SRM governance</w:t>
      </w:r>
      <w:r>
        <w:t xml:space="preserve"> </w:t>
      </w:r>
      <w:r>
        <w:t xml:space="preserve">architecture versus the national funding of measures respectively. The application of the</w:t>
      </w:r>
      <w:r>
        <w:t xml:space="preserve"> </w:t>
      </w:r>
      <w:r>
        <w:t xml:space="preserve">CMDI rules in the Banking Union led in the past to situations where the SRB decided</w:t>
      </w:r>
      <w:r>
        <w:t xml:space="preserve"> </w:t>
      </w:r>
      <w:r>
        <w:t xml:space="preserve">that the resolution of the bank was not in the public interest (by delivering a negative</w:t>
      </w:r>
      <w:r>
        <w:t xml:space="preserve"> </w:t>
      </w:r>
      <w:r>
        <w:t xml:space="preserve">PIA), triggering its entry into insolvency and with support from funding at national level</w:t>
      </w:r>
      <w:r>
        <w:t xml:space="preserve"> </w:t>
      </w:r>
      <w:r>
        <w:t xml:space="preserve">(DGS payout or alternative measures). Such a nationalisation of measures in the Banking</w:t>
      </w:r>
      <w:r>
        <w:t xml:space="preserve"> </w:t>
      </w:r>
      <w:r>
        <w:t xml:space="preserve">Union would be mitigated by the existence of a central mutualised fund such as EDIS.</w:t>
      </w:r>
      <w:r>
        <w:t xml:space="preserve"> </w:t>
      </w:r>
      <w:r>
        <w:t xml:space="preserve">The lack of EDIS contributes therefore to weakening the coherence within the</w:t>
      </w:r>
      <w:r>
        <w:t xml:space="preserve"> </w:t>
      </w:r>
      <w:r>
        <w:t xml:space="preserve">framework, as potentially insufficient DGS funds at national level are unlikely to address</w:t>
      </w:r>
      <w:r>
        <w:t xml:space="preserve"> </w:t>
      </w:r>
      <w:r>
        <w:t xml:space="preserve">the need for solid and reliable contributions to resolution funding under BRRD/SRMR.</w:t>
      </w:r>
      <w:r>
        <w:t xml:space="preserve"> </w:t>
      </w:r>
      <w:r>
        <w:t xml:space="preserve">7.4.2. Coherence with the 2013 Banking Communication (State aid rules)</w:t>
      </w:r>
      <w:r>
        <w:t xml:space="preserve"> </w:t>
      </w:r>
      <w:r>
        <w:t xml:space="preserve">As shown also in section 7.1.2.3, the coherence between the CMDI framework and the</w:t>
      </w:r>
      <w:r>
        <w:t xml:space="preserve"> </w:t>
      </w:r>
      <w:r>
        <w:t xml:space="preserve">State aid rules could be further improved, most prominently in what concerns conditions</w:t>
      </w:r>
      <w:r>
        <w:t xml:space="preserve"> </w:t>
      </w:r>
      <w:r>
        <w:t xml:space="preserve">to access funding to support tools outside resolution. The focus should be on avoiding</w:t>
      </w:r>
      <w:r>
        <w:t xml:space="preserve"> </w:t>
      </w:r>
      <w:r>
        <w:t xml:space="preserve">unwanted divergences with access to funding in resolution, to avoid risks of moral hazard</w:t>
      </w:r>
      <w:r>
        <w:t xml:space="preserve"> </w:t>
      </w:r>
      <w:r>
        <w:t xml:space="preserve">and promote a more consistent approach to the management of bank failures, including in</w:t>
      </w:r>
      <w:r>
        <w:t xml:space="preserve"> </w:t>
      </w:r>
      <w:r>
        <w:t xml:space="preserve">terms of increased level playing field at EU level. A separate process to assess the need</w:t>
      </w:r>
      <w:r>
        <w:t xml:space="preserve"> </w:t>
      </w:r>
      <w:r>
        <w:t xml:space="preserve">for a review of the State aid rules will be ongoing in parallel to the review of the CMDI</w:t>
      </w:r>
      <w:r>
        <w:t xml:space="preserve"> </w:t>
      </w:r>
      <w:r>
        <w:t xml:space="preserve">framework.388</w:t>
      </w:r>
      <w:r>
        <w:t xml:space="preserve"> </w:t>
      </w:r>
      <w:r>
        <w:t xml:space="preserve">7.4.3. Coherence with national insolvency regimes</w:t>
      </w:r>
      <w:r>
        <w:t xml:space="preserve"> </w:t>
      </w:r>
      <w:r>
        <w:t xml:space="preserve">As described in section 7.1.3.5, the coherence between the CMDI framework and</w:t>
      </w:r>
      <w:r>
        <w:t xml:space="preserve"> </w:t>
      </w:r>
      <w:r>
        <w:t xml:space="preserve">national insolvency regimes could also benefit from further improvements. Some specific</w:t>
      </w:r>
      <w:r>
        <w:t xml:space="preserve"> </w:t>
      </w:r>
      <w:r>
        <w:t xml:space="preserve">areas include the interaction between national insolvency features and resolution, in</w:t>
      </w:r>
      <w:r>
        <w:t xml:space="preserve"> </w:t>
      </w:r>
      <w:r>
        <w:t xml:space="preserve">particular with respect to triggers. The legal “limbo” situation that may occur in practice</w:t>
      </w:r>
      <w:r>
        <w:t xml:space="preserve"> </w:t>
      </w:r>
      <w:r>
        <w:t xml:space="preserve">could be mitigated.</w:t>
      </w:r>
    </w:p>
    <w:p>
      <w:pPr>
        <w:pStyle w:val="BodyText"/>
      </w:pPr>
      <w:r>
        <w:t xml:space="preserve">388 See section 5.2 in chapter 5 of the impact assessment.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Moreover, the problems identified around the lack of legal certainty in cross-border cases</w:t>
      </w:r>
      <w:r>
        <w:t xml:space="preserve"> </w:t>
      </w:r>
      <w:r>
        <w:t xml:space="preserve">due to NCWO and different hierarchies of claims (for deposits, exclusions from bail-in)</w:t>
      </w:r>
      <w:r>
        <w:t xml:space="preserve"> </w:t>
      </w:r>
      <w:r>
        <w:t xml:space="preserve">also need to be addressed in the legislative review.</w:t>
      </w:r>
      <w:r>
        <w:t xml:space="preserve"> </w:t>
      </w:r>
      <w:r>
        <w:t xml:space="preserve">7.4.4. Coherence with prudential rules (Capital requirements Directive (CRD)/</w:t>
      </w:r>
      <w:r>
        <w:t xml:space="preserve"> </w:t>
      </w:r>
      <w:r>
        <w:t xml:space="preserve">Single Supervisory Mechanism Regulation (SSMR))</w:t>
      </w:r>
      <w:r>
        <w:br/>
      </w:r>
      <w:r>
        <w:t xml:space="preserve">As mentioned in section 7.1.1.3, the coherence between the CMDI framework and the</w:t>
      </w:r>
      <w:r>
        <w:t xml:space="preserve"> </w:t>
      </w:r>
      <w:r>
        <w:t xml:space="preserve">CRD in respect of the early intervention measures merits further improvement. The</w:t>
      </w:r>
      <w:r>
        <w:t xml:space="preserve"> </w:t>
      </w:r>
      <w:r>
        <w:t xml:space="preserve">overlap between the two set of early intervention powers in the BRRD and the</w:t>
      </w:r>
      <w:r>
        <w:t xml:space="preserve"> </w:t>
      </w:r>
      <w:r>
        <w:t xml:space="preserve">CRD/SSMR creates legal uncertainty and procedural challenges for competent</w:t>
      </w:r>
      <w:r>
        <w:t xml:space="preserve"> </w:t>
      </w:r>
      <w:r>
        <w:t xml:space="preserve">authorities. This issue was further flagged by the F4F Platform in its opinion on the</w:t>
      </w:r>
      <w:r>
        <w:t xml:space="preserve"> </w:t>
      </w:r>
      <w:r>
        <w:t xml:space="preserve">CMDI Review, which called for improvements in this area389.Also, with respect to the</w:t>
      </w:r>
      <w:r>
        <w:t xml:space="preserve"> </w:t>
      </w:r>
      <w:r>
        <w:t xml:space="preserve">Banking Union, the provisions on early intervention powers contained in the BRRD are</w:t>
      </w:r>
      <w:r>
        <w:t xml:space="preserve"> </w:t>
      </w:r>
      <w:r>
        <w:t xml:space="preserve">not replicated in a uniform and directly applicable legal basis, i.e. their application by</w:t>
      </w:r>
      <w:r>
        <w:t xml:space="preserve"> </w:t>
      </w:r>
      <w:r>
        <w:t xml:space="preserve">competent authorities may hinge on potentially diverging national transposition</w:t>
      </w:r>
      <w:r>
        <w:t xml:space="preserve"> </w:t>
      </w:r>
      <w:r>
        <w:t xml:space="preserve">measures.</w:t>
      </w:r>
      <w:r>
        <w:br/>
      </w:r>
      <w:r>
        <w:t xml:space="preserve">7.4.5. Coherence between the DGSD and Anti-money laundering Directive</w:t>
      </w:r>
      <w:r>
        <w:t xml:space="preserve"> </w:t>
      </w:r>
      <w:r>
        <w:t xml:space="preserve">(AMLD)</w:t>
      </w:r>
      <w:r>
        <w:t xml:space="preserve"> </w:t>
      </w:r>
      <w:r>
        <w:t xml:space="preserve">As regards AML/TF issues, the roles and responsibilities of the DGS and other</w:t>
      </w:r>
      <w:r>
        <w:t xml:space="preserve"> </w:t>
      </w:r>
      <w:r>
        <w:t xml:space="preserve">stakeholders (insolvency practitioner, Financial Intelligence Unit, failed institution, etc.)</w:t>
      </w:r>
      <w:r>
        <w:t xml:space="preserve"> </w:t>
      </w:r>
      <w:r>
        <w:t xml:space="preserve">during a payout are not sufficiently clear390. Many Member States underlined that the</w:t>
      </w:r>
      <w:r>
        <w:t xml:space="preserve"> </w:t>
      </w:r>
      <w:r>
        <w:t xml:space="preserve">DGSs may face situations where AML suspicions arise and are concerned about repaying</w:t>
      </w:r>
      <w:r>
        <w:t xml:space="preserve"> </w:t>
      </w:r>
      <w:r>
        <w:t xml:space="preserve">suspicious depositors. They also consider that the DGSs should not be required to carry</w:t>
      </w:r>
      <w:r>
        <w:t xml:space="preserve"> </w:t>
      </w:r>
      <w:r>
        <w:t xml:space="preserve">out AML assessments because they often lack resources, expertise and information.</w:t>
      </w:r>
      <w:r>
        <w:br/>
      </w:r>
      <w:r>
        <w:t xml:space="preserve">Consequently, the cooperation and exchanges of information between DGSs, DGS</w:t>
      </w:r>
      <w:r>
        <w:t xml:space="preserve"> </w:t>
      </w:r>
      <w:r>
        <w:t xml:space="preserve">designated authorities and anti-money laundering/counter terrorist financing authorities</w:t>
      </w:r>
      <w:r>
        <w:t xml:space="preserve"> </w:t>
      </w:r>
      <w:r>
        <w:t xml:space="preserve">should be specified. In addition, the tools that could be used if AML concerns arise</w:t>
      </w:r>
      <w:r>
        <w:t xml:space="preserve"> </w:t>
      </w:r>
      <w:r>
        <w:t xml:space="preserve">should also be clarified. The suspension of payout for suspicious depositors could be</w:t>
      </w:r>
      <w:r>
        <w:t xml:space="preserve"> </w:t>
      </w:r>
      <w:r>
        <w:t xml:space="preserve">envisaged in order to give time for further analysis. Yet, the full respect of the</w:t>
      </w:r>
      <w:r>
        <w:t xml:space="preserve"> </w:t>
      </w:r>
      <w:r>
        <w:t xml:space="preserve">fundamental freedoms has to be taken into account, and any withholding of a payout</w:t>
      </w:r>
      <w:r>
        <w:t xml:space="preserve"> </w:t>
      </w:r>
      <w:r>
        <w:t xml:space="preserve">must be based on more than a mere suspicion in order to prevent possible legal</w:t>
      </w:r>
      <w:r>
        <w:t xml:space="preserve"> </w:t>
      </w:r>
      <w:r>
        <w:t xml:space="preserve">challenges by the depositors.</w:t>
      </w:r>
      <w:r>
        <w:t xml:space="preserve"> </w:t>
      </w:r>
      <w:r>
        <w:t xml:space="preserve">7.4.6. Coherence between the DGSD, payment services and E-money Directives</w:t>
      </w:r>
      <w:r>
        <w:t xml:space="preserve"> </w:t>
      </w:r>
      <w:r>
        <w:t xml:space="preserve">Payment institutions, e-money institutions and investment firms are required to protect</w:t>
      </w:r>
      <w:r>
        <w:t xml:space="preserve"> </w:t>
      </w:r>
      <w:r>
        <w:t xml:space="preserve">the funds of their clients and have the possibility to do that by placing them in a bank</w:t>
      </w:r>
      <w:r>
        <w:t xml:space="preserve"> </w:t>
      </w:r>
      <w:r>
        <w:t xml:space="preserve">account.</w:t>
      </w:r>
    </w:p>
    <w:p>
      <w:pPr>
        <w:pStyle w:val="BodyText"/>
      </w:pPr>
      <w:r>
        <w:t xml:space="preserve">389 See Annex 2.</w:t>
      </w:r>
      <w:r>
        <w:t xml:space="preserve"> </w:t>
      </w:r>
      <w:r>
        <w:t xml:space="preserve">390 In this regard, the EBA opinions of August 2019 on eligibility of deposits, coverage level and</w:t>
      </w:r>
      <w:r>
        <w:t xml:space="preserve"> </w:t>
      </w:r>
      <w:r>
        <w:t xml:space="preserve">cooperation between DGSs and of 23 October 2019 on DGS payouts, highlighted the need for several</w:t>
      </w:r>
      <w:r>
        <w:t xml:space="preserve"> </w:t>
      </w:r>
      <w:r>
        <w:t xml:space="preserve">clarifications of the Union legal framework. On 11 December 2020, the EBA published another opinion on</w:t>
      </w:r>
      <w:r>
        <w:t xml:space="preserve"> </w:t>
      </w:r>
      <w:r>
        <w:t xml:space="preserve">the interplay between the directives on money laundering and terrorist financing (AMLD) and on deposit</w:t>
      </w:r>
      <w:r>
        <w:t xml:space="preserve"> </w:t>
      </w:r>
      <w:r>
        <w:t xml:space="preserve">guarantee schemes (DGSD).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The Payment Services and the E-money Directives contain provisions applicable to</w:t>
      </w:r>
      <w:r>
        <w:t xml:space="preserve"> </w:t>
      </w:r>
      <w:r>
        <w:t xml:space="preserve">protect the client funds held by payment and e-money institutions. Article 10 of the</w:t>
      </w:r>
      <w:r>
        <w:t xml:space="preserve"> </w:t>
      </w:r>
      <w:r>
        <w:t xml:space="preserve">Payment Services Directive regulates the safeguarding requirements for payment</w:t>
      </w:r>
      <w:r>
        <w:t xml:space="preserve"> </w:t>
      </w:r>
      <w:r>
        <w:t xml:space="preserve">institutions. Under this provision, the latter shall safeguard the funds received from the</w:t>
      </w:r>
      <w:r>
        <w:t xml:space="preserve"> </w:t>
      </w:r>
      <w:r>
        <w:t xml:space="preserve">payment service users for the execution of payment transaction either by depositing them</w:t>
      </w:r>
      <w:r>
        <w:t xml:space="preserve"> </w:t>
      </w:r>
      <w:r>
        <w:t xml:space="preserve">in a separate account in a credit institution, by investing in secure liquid low-risk assets or</w:t>
      </w:r>
      <w:r>
        <w:t xml:space="preserve"> </w:t>
      </w:r>
      <w:r>
        <w:t xml:space="preserve">covering by an insurance policy. Similar safeguarding requirements apply to e-money</w:t>
      </w:r>
      <w:r>
        <w:t xml:space="preserve"> </w:t>
      </w:r>
      <w:r>
        <w:t xml:space="preserve">institutions. Investment firms are required to place promptly the received client funds into</w:t>
      </w:r>
      <w:r>
        <w:t xml:space="preserve"> </w:t>
      </w:r>
      <w:r>
        <w:t xml:space="preserve">an account opened with a credit institution, unless they choose a different way to</w:t>
      </w:r>
      <w:r>
        <w:t xml:space="preserve"> </w:t>
      </w:r>
      <w:r>
        <w:t xml:space="preserve">safeguard the funds. However, the protection by the DGSs of these client funds held by</w:t>
      </w:r>
      <w:r>
        <w:t xml:space="preserve"> </w:t>
      </w:r>
      <w:r>
        <w:t xml:space="preserve">non-bank financial institutions such as payment and e-money institutions or investment</w:t>
      </w:r>
      <w:r>
        <w:t xml:space="preserve"> </w:t>
      </w:r>
      <w:r>
        <w:t xml:space="preserve">firms varies from one Member State to another.</w:t>
      </w:r>
      <w:r>
        <w:br/>
      </w:r>
      <w:r>
        <w:t xml:space="preserve">The DGS protects persons that are absolutely entitled to the sums held in an account.</w:t>
      </w:r>
      <w:r>
        <w:t xml:space="preserve"> </w:t>
      </w:r>
      <w:r>
        <w:t xml:space="preserve">Article 7(3) DGSD provides that where the depositor is not absolutely entitled to the</w:t>
      </w:r>
      <w:r>
        <w:t xml:space="preserve"> </w:t>
      </w:r>
      <w:r>
        <w:t xml:space="preserve">sums held in an account, the person who is absolutely entitled shall be covered by the</w:t>
      </w:r>
      <w:r>
        <w:t xml:space="preserve"> </w:t>
      </w:r>
      <w:r>
        <w:t xml:space="preserve">DGS provided that such persons have been identified or are identifiable. This provision</w:t>
      </w:r>
      <w:r>
        <w:t xml:space="preserve"> </w:t>
      </w:r>
      <w:r>
        <w:t xml:space="preserve">clearly applies to the beneficiary accounts held for example by notaries. However,</w:t>
      </w:r>
      <w:r>
        <w:t xml:space="preserve"> </w:t>
      </w:r>
      <w:r>
        <w:t xml:space="preserve">Member States do not consistently apply this provision as concerns the client funds of</w:t>
      </w:r>
      <w:r>
        <w:t xml:space="preserve"> </w:t>
      </w:r>
      <w:r>
        <w:t xml:space="preserve">non-bank financial institutions on beneficiary accounts.</w:t>
      </w:r>
      <w:r>
        <w:br/>
      </w:r>
      <w:r>
        <w:t xml:space="preserve">This lack of consistent application appears due to other provisions in the regulatory</w:t>
      </w:r>
      <w:r>
        <w:t xml:space="preserve"> </w:t>
      </w:r>
      <w:r>
        <w:t xml:space="preserve">framework. Under Article 5(1)(d) and (e) DGSD, deposits by financial institutions and</w:t>
      </w:r>
      <w:r>
        <w:t xml:space="preserve"> </w:t>
      </w:r>
      <w:r>
        <w:t xml:space="preserve">investment firms are excluded from repayment by a DGS. However, under Article 5(1)(a)</w:t>
      </w:r>
      <w:r>
        <w:t xml:space="preserve"> </w:t>
      </w:r>
      <w:r>
        <w:t xml:space="preserve">DGSD, deposits by credit institutions are excluded from protection when they are ‘on</w:t>
      </w:r>
      <w:r>
        <w:t xml:space="preserve"> </w:t>
      </w:r>
      <w:r>
        <w:t xml:space="preserve">their own behalf and for their own account’ and ‘subject to Article 7(3)’. Under the latter</w:t>
      </w:r>
      <w:r>
        <w:t xml:space="preserve"> </w:t>
      </w:r>
      <w:r>
        <w:t xml:space="preserve">provision, the client funds of credit institutions are eligible for protection. According to</w:t>
      </w:r>
      <w:r>
        <w:t xml:space="preserve"> </w:t>
      </w:r>
      <w:r>
        <w:t xml:space="preserve">recital 29 DGSD, ‘electronic money and funds received in exchange for electronic money</w:t>
      </w:r>
      <w:r>
        <w:t xml:space="preserve"> </w:t>
      </w:r>
      <w:r>
        <w:t xml:space="preserve">should not be treated as a deposit and fall outside the scope of the [DGSD]’.</w:t>
      </w:r>
      <w:r>
        <w:t xml:space="preserve"> </w:t>
      </w:r>
      <w:r>
        <w:t xml:space="preserve">Besides, in view of developments in innovative financial services and required changes in</w:t>
      </w:r>
      <w:r>
        <w:t xml:space="preserve"> </w:t>
      </w:r>
      <w:r>
        <w:t xml:space="preserve">the regulatory framework, their safeguarding is of increasing importance to foster clients’</w:t>
      </w:r>
      <w:r>
        <w:t xml:space="preserve"> </w:t>
      </w:r>
      <w:r>
        <w:t xml:space="preserve">trust towards nonbank financial institutions. The lack of protection by a deposit guarantee</w:t>
      </w:r>
      <w:r>
        <w:t xml:space="preserve"> </w:t>
      </w:r>
      <w:r>
        <w:t xml:space="preserve">scheme (DGS) of such client funds could be critical for depositors and Fintech providers</w:t>
      </w:r>
      <w:r>
        <w:t xml:space="preserve"> </w:t>
      </w:r>
      <w:r>
        <w:t xml:space="preserve">if bank failures occur. The relevant issue was also flagged by the F4F Platform in its</w:t>
      </w:r>
      <w:r>
        <w:t xml:space="preserve"> </w:t>
      </w:r>
      <w:r>
        <w:t xml:space="preserve">opinion on the CMDI Review, which called for improvements in this area391. Based on</w:t>
      </w:r>
      <w:r>
        <w:t xml:space="preserve"> </w:t>
      </w:r>
      <w:r>
        <w:t xml:space="preserve">preliminary assessment, the size of client funds of payment and e-money institutions</w:t>
      </w:r>
      <w:r>
        <w:t xml:space="preserve"> </w:t>
      </w:r>
      <w:r>
        <w:t xml:space="preserve">seems to constitute only a small portion of covered deposits392.</w:t>
      </w:r>
    </w:p>
    <w:p>
      <w:pPr>
        <w:pStyle w:val="BodyText"/>
      </w:pPr>
      <w:r>
        <w:t xml:space="preserve">391 See Annex 2.</w:t>
      </w:r>
      <w:r>
        <w:t xml:space="preserve"> </w:t>
      </w:r>
      <w:r>
        <w:t xml:space="preserve">392 Based on information from a limited number of Member States collected in the Commission services’</w:t>
      </w:r>
      <w:r>
        <w:t xml:space="preserve"> </w:t>
      </w:r>
      <w:r>
        <w:t xml:space="preserve">survey of 5 December 2019, the client funds of payment and e-money institutions do not exceed 3% of</w:t>
      </w:r>
      <w:r>
        <w:t xml:space="preserve"> </w:t>
      </w:r>
      <w:r>
        <w:t xml:space="preserve">covered deposits.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7.5. EU added-value</w:t>
      </w:r>
      <w:r>
        <w:t xml:space="preserve"> </w:t>
      </w:r>
      <w:r>
        <w:t xml:space="preserve">What is the EU-added value of the intervention?</w:t>
      </w:r>
      <w:r>
        <w:br/>
      </w:r>
      <w:r>
        <w:t xml:space="preserve"> Compared to the previous national approaches, to what extent have the provisions</w:t>
      </w:r>
      <w:r>
        <w:t xml:space="preserve"> </w:t>
      </w:r>
      <w:r>
        <w:t xml:space="preserve">of CMDI framework (BRRD/SRMR/DGSD) helped improve the functioning of</w:t>
      </w:r>
      <w:r>
        <w:t xml:space="preserve"> </w:t>
      </w:r>
      <w:r>
        <w:t xml:space="preserve">the single market in banking, contributed to financial stability and increasing the</w:t>
      </w:r>
      <w:r>
        <w:t xml:space="preserve"> </w:t>
      </w:r>
      <w:r>
        <w:t xml:space="preserve">level playing field among banks, and consumer confidence taking into account the</w:t>
      </w:r>
      <w:r>
        <w:t xml:space="preserve"> </w:t>
      </w:r>
      <w:r>
        <w:t xml:space="preserve">inherent cross-border nature of banking in the EU;</w:t>
      </w:r>
      <w:r>
        <w:br/>
      </w:r>
      <w:r>
        <w:t xml:space="preserve"> How does the gap of the third missing pillar of the Banking Union (common</w:t>
      </w:r>
      <w:r>
        <w:t xml:space="preserve"> </w:t>
      </w:r>
      <w:r>
        <w:t xml:space="preserve">depositor protection) affect the EU-added value of the framework?</w:t>
      </w:r>
    </w:p>
    <w:p>
      <w:pPr>
        <w:pStyle w:val="BodyText"/>
      </w:pPr>
      <w:r>
        <w:t xml:space="preserve">Summary assessment:</w:t>
      </w:r>
      <w:r>
        <w:t xml:space="preserve"> </w:t>
      </w:r>
      <w:r>
        <w:t xml:space="preserve">Overall, the CMDI framework has clear added value by providing a harmonised and</w:t>
      </w:r>
      <w:r>
        <w:t xml:space="preserve"> </w:t>
      </w:r>
      <w:r>
        <w:t xml:space="preserve">comprehensive crisis management framework. In the absence of the framework,</w:t>
      </w:r>
      <w:r>
        <w:t xml:space="preserve"> </w:t>
      </w:r>
      <w:r>
        <w:t xml:space="preserve">national solutions would prevail, impacting the single market in banking and</w:t>
      </w:r>
      <w:r>
        <w:t xml:space="preserve"> </w:t>
      </w:r>
      <w:r>
        <w:t xml:space="preserve">exacerbating risks to financial stability, contagion, uneven playing field as well as</w:t>
      </w:r>
      <w:r>
        <w:t xml:space="preserve"> </w:t>
      </w:r>
      <w:r>
        <w:t xml:space="preserve">worsening the sovereign-bank feedback loop.</w:t>
      </w:r>
      <w:r>
        <w:br/>
      </w:r>
      <w:r>
        <w:t xml:space="preserve">The DGSD harmonised the main elements of depositor protection by DGS, which was</w:t>
      </w:r>
      <w:r>
        <w:t xml:space="preserve"> </w:t>
      </w:r>
      <w:r>
        <w:t xml:space="preserve">crucial for maintaining financial stability and promoting depositor confidence across the</w:t>
      </w:r>
      <w:r>
        <w:t xml:space="preserve"> </w:t>
      </w:r>
      <w:r>
        <w:t xml:space="preserve">EU. However, the assessment suggests that a number of discrepancies in depositor</w:t>
      </w:r>
      <w:r>
        <w:t xml:space="preserve"> </w:t>
      </w:r>
      <w:r>
        <w:t xml:space="preserve">protection across Member States (owing to the presence of a range of national options</w:t>
      </w:r>
      <w:r>
        <w:t xml:space="preserve"> </w:t>
      </w:r>
      <w:r>
        <w:t xml:space="preserve">and discretions in the DGSD), are still observed and may need to be tackled, as they</w:t>
      </w:r>
      <w:r>
        <w:t xml:space="preserve"> </w:t>
      </w:r>
      <w:r>
        <w:t xml:space="preserve">could undermine the confidence in the financial safety nets. Nevertheless, the overall</w:t>
      </w:r>
      <w:r>
        <w:t xml:space="preserve"> </w:t>
      </w:r>
      <w:r>
        <w:t xml:space="preserve">outcome in tackling these challenges would still be sub-optimal for the Banking Union</w:t>
      </w:r>
      <w:r>
        <w:t xml:space="preserve"> </w:t>
      </w:r>
      <w:r>
        <w:t xml:space="preserve">in the absence of a mutualised safety net such as EDIS.</w:t>
      </w:r>
    </w:p>
    <w:p>
      <w:pPr>
        <w:pStyle w:val="BodyText"/>
      </w:pPr>
      <w:r>
        <w:t xml:space="preserve">The EU-value added of the CMDI framework is undeniable. In a counterfactual where</w:t>
      </w:r>
      <w:r>
        <w:t xml:space="preserve"> </w:t>
      </w:r>
      <w:r>
        <w:t xml:space="preserve">crisis management would be handled purely at national level, all the problems described</w:t>
      </w:r>
      <w:r>
        <w:t xml:space="preserve"> </w:t>
      </w:r>
      <w:r>
        <w:t xml:space="preserve">in this evaluation would be exacerbated and additional issues impacting the single market</w:t>
      </w:r>
      <w:r>
        <w:t xml:space="preserve"> </w:t>
      </w:r>
      <w:r>
        <w:t xml:space="preserve">in banking would emerge. This would have consequences not only from the perspective</w:t>
      </w:r>
      <w:r>
        <w:t xml:space="preserve"> </w:t>
      </w:r>
      <w:r>
        <w:t xml:space="preserve">of risks to financial stability, contagion and unlevel playing field, but also potentially</w:t>
      </w:r>
      <w:r>
        <w:t xml:space="preserve"> </w:t>
      </w:r>
      <w:r>
        <w:t xml:space="preserve">impair business in going concern by cross-border banks, deepening market</w:t>
      </w:r>
      <w:r>
        <w:t xml:space="preserve"> </w:t>
      </w:r>
      <w:r>
        <w:t xml:space="preserve">fragmentation. The issue of unlevel playing field is also present in relation to smaller</w:t>
      </w:r>
      <w:r>
        <w:t xml:space="preserve"> </w:t>
      </w:r>
      <w:r>
        <w:t xml:space="preserve">banks, which may be handled under national insolvency proceedings, subject to a</w:t>
      </w:r>
      <w:r>
        <w:t xml:space="preserve"> </w:t>
      </w:r>
      <w:r>
        <w:t xml:space="preserve">negative PIA. Evidence has shown (see section 7.1.2.3 of the evaluation) that the</w:t>
      </w:r>
      <w:r>
        <w:t xml:space="preserve"> </w:t>
      </w:r>
      <w:r>
        <w:t xml:space="preserve">available national procedures may leave room for arbitrage and incentivise authorities to</w:t>
      </w:r>
      <w:r>
        <w:t xml:space="preserve"> </w:t>
      </w:r>
      <w:r>
        <w:t xml:space="preserve">resort to solutions outside resolution with less stringent conditions to access funding.</w:t>
      </w:r>
      <w:r>
        <w:t xml:space="preserve"> </w:t>
      </w:r>
      <w:r>
        <w:t xml:space="preserve">This creates an unlevel playing field between “purely national banks” and cross-border</w:t>
      </w:r>
      <w:r>
        <w:t xml:space="preserve"> </w:t>
      </w:r>
      <w:r>
        <w:t xml:space="preserve">operating banks that are acting on the same domestic market, but also between Member</w:t>
      </w:r>
      <w:r>
        <w:t xml:space="preserve"> </w:t>
      </w:r>
      <w:r>
        <w:t xml:space="preserve">States in a situation where banks are treated differently or taxpayer money is used in one</w:t>
      </w:r>
      <w:r>
        <w:t xml:space="preserve"> </w:t>
      </w:r>
      <w:r>
        <w:t xml:space="preserve">Member State, while it is not in another. Moreover, national solutions, if left to be used,</w:t>
      </w:r>
      <w:r>
        <w:t xml:space="preserve"> </w:t>
      </w:r>
      <w:r>
        <w:t xml:space="preserve">without proper safeguards, could worsen the sovereign-bank link and undermine the idea</w:t>
      </w:r>
      <w:r>
        <w:t xml:space="preserve"> </w:t>
      </w:r>
      <w:r>
        <w:t xml:space="preserve">behind the Banking Union.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Furthermore, the DGSD covered a gap that existed in legislation (i) by harmonising the</w:t>
      </w:r>
      <w:r>
        <w:t xml:space="preserve"> </w:t>
      </w:r>
      <w:r>
        <w:t xml:space="preserve">coverage, scope and eligibility of depositors, and of payout delays and (ii) by ensuring</w:t>
      </w:r>
      <w:r>
        <w:t xml:space="preserve"> </w:t>
      </w:r>
      <w:r>
        <w:t xml:space="preserve">that credit institutions operating in more than one Member State are subject to the same</w:t>
      </w:r>
      <w:r>
        <w:t xml:space="preserve"> </w:t>
      </w:r>
      <w:r>
        <w:t xml:space="preserve">requirements concerning DGS. In this context EU action is crucial to maintain financial</w:t>
      </w:r>
      <w:r>
        <w:t xml:space="preserve"> </w:t>
      </w:r>
      <w:r>
        <w:t xml:space="preserve">stability, ensure a level playing field, avoid unwarranted compliance costs for cross-</w:t>
      </w:r>
      <w:r>
        <w:t xml:space="preserve"> </w:t>
      </w:r>
      <w:r>
        <w:t xml:space="preserve">border activities and thereby promote further integration within the internal market.</w:t>
      </w:r>
      <w:r>
        <w:t xml:space="preserve"> </w:t>
      </w:r>
      <w:r>
        <w:t xml:space="preserve">Without harmonising the financing of DGS, depositor confidence could not have been</w:t>
      </w:r>
      <w:r>
        <w:t xml:space="preserve"> </w:t>
      </w:r>
      <w:r>
        <w:t xml:space="preserve">maintained. Nevertheless, discrepancies in depositor protection across Member States –</w:t>
      </w:r>
      <w:r>
        <w:t xml:space="preserve"> </w:t>
      </w:r>
      <w:r>
        <w:t xml:space="preserve">for example in terms of the scope of protection and payout processes – are observed and</w:t>
      </w:r>
      <w:r>
        <w:t xml:space="preserve"> </w:t>
      </w:r>
      <w:r>
        <w:t xml:space="preserve">may undermine the confidence in the financial safety nets. These discrepancies emerge</w:t>
      </w:r>
      <w:r>
        <w:t xml:space="preserve"> </w:t>
      </w:r>
      <w:r>
        <w:t xml:space="preserve">from a range of national options and discretions that the DGSD provided for and which</w:t>
      </w:r>
      <w:r>
        <w:t xml:space="preserve"> </w:t>
      </w:r>
      <w:r>
        <w:t xml:space="preserve">were implemented to a different degree.</w:t>
      </w:r>
      <w:r>
        <w:br/>
      </w:r>
      <w:r>
        <w:t xml:space="preserve">However, even if addressing all shortcomings of the existing legislative initiatives found</w:t>
      </w:r>
      <w:r>
        <w:t xml:space="preserve"> </w:t>
      </w:r>
      <w:r>
        <w:t xml:space="preserve">by this evaluation, the overall outcome would still be sub-optimal in the absence of</w:t>
      </w:r>
      <w:r>
        <w:t xml:space="preserve"> </w:t>
      </w:r>
      <w:r>
        <w:t xml:space="preserve">EDIS. Having a mutualised safety net, alongside the SRF in the Banking Union would</w:t>
      </w:r>
      <w:r>
        <w:t xml:space="preserve"> </w:t>
      </w:r>
      <w:r>
        <w:t xml:space="preserve">contribute to alleviating in a credible manner some of the problems identified, in</w:t>
      </w:r>
      <w:r>
        <w:t xml:space="preserve"> </w:t>
      </w:r>
      <w:r>
        <w:t xml:space="preserve">particular in the funding solutions, robustness of DGS protection, level playing field and</w:t>
      </w:r>
      <w:r>
        <w:t xml:space="preserve"> </w:t>
      </w:r>
      <w:r>
        <w:t xml:space="preserve">weakening the bank-sovereign loop.</w:t>
      </w:r>
      <w:r>
        <w:t xml:space="preserve"> </w:t>
      </w:r>
      <w:r>
        <w:t xml:space="preserve">8.</w:t>
      </w:r>
      <w:r>
        <w:t xml:space="preserve"> </w:t>
      </w:r>
      <w:r>
        <w:t xml:space="preserve">CONCLUSIONS AND LESSONS LEARNT</w:t>
      </w:r>
      <w:r>
        <w:t xml:space="preserve"> </w:t>
      </w:r>
      <w:r>
        <w:t xml:space="preserve">8.1. Conclusions</w:t>
      </w:r>
      <w:r>
        <w:t xml:space="preserve"> </w:t>
      </w:r>
      <w:r>
        <w:t xml:space="preserve">The evaluation found that the CMDI framework brought benefits to society, in particular</w:t>
      </w:r>
      <w:r>
        <w:t xml:space="preserve"> </w:t>
      </w:r>
      <w:r>
        <w:t xml:space="preserve">through enhanced crisis preparedness and planning, reduced systemic risk and moral</w:t>
      </w:r>
      <w:r>
        <w:t xml:space="preserve"> </w:t>
      </w:r>
      <w:r>
        <w:t xml:space="preserve">hazard, increased market discipline, more resilient banks capable of absorbing losses in</w:t>
      </w:r>
      <w:r>
        <w:t xml:space="preserve"> </w:t>
      </w:r>
      <w:r>
        <w:t xml:space="preserve">case of distress and depositor protection. Yet, significant gaps remain which need to be</w:t>
      </w:r>
      <w:r>
        <w:t xml:space="preserve"> </w:t>
      </w:r>
      <w:r>
        <w:t xml:space="preserve">addressed.</w:t>
      </w:r>
      <w:r>
        <w:br/>
      </w:r>
      <w:r>
        <w:t xml:space="preserve">In terms of effectiveness, the framework has partially achieved two out of its four</w:t>
      </w:r>
      <w:r>
        <w:t xml:space="preserve"> </w:t>
      </w:r>
      <w:r>
        <w:t xml:space="preserve">overarching objectives, while the others have not been achieved in a satisfactory manner,</w:t>
      </w:r>
      <w:r>
        <w:t xml:space="preserve"> </w:t>
      </w:r>
      <w:r>
        <w:t xml:space="preserve">except in a limited number of cases. More specifically, the framework partially achieved</w:t>
      </w:r>
      <w:r>
        <w:t xml:space="preserve"> </w:t>
      </w:r>
      <w:r>
        <w:t xml:space="preserve">its objectives of containing risks to financial stability and protecting depositors, but it</w:t>
      </w:r>
      <w:r>
        <w:t xml:space="preserve"> </w:t>
      </w:r>
      <w:r>
        <w:t xml:space="preserve">failed to achieve other key overarching objectives, notably facilitating the functioning of</w:t>
      </w:r>
      <w:r>
        <w:t xml:space="preserve"> </w:t>
      </w:r>
      <w:r>
        <w:t xml:space="preserve">the single market, including by ensuring level playing field, and minimising recourse to</w:t>
      </w:r>
      <w:r>
        <w:t xml:space="preserve"> </w:t>
      </w:r>
      <w:r>
        <w:t xml:space="preserve">taxpayer money. In a significant number of cases, the fulfilment of objectives cannot be</w:t>
      </w:r>
      <w:r>
        <w:t xml:space="preserve"> </w:t>
      </w:r>
      <w:r>
        <w:t xml:space="preserve">directly attributed to the framework, but to the application of tools at national level,</w:t>
      </w:r>
      <w:r>
        <w:t xml:space="preserve"> </w:t>
      </w:r>
      <w:r>
        <w:t xml:space="preserve">outside of resolution and with recourse to public budgets (i.e. taxpayer’s funds). The</w:t>
      </w:r>
      <w:r>
        <w:t xml:space="preserve"> </w:t>
      </w:r>
      <w:r>
        <w:t xml:space="preserve">management of bank failures differed across Member States, depending on the existing</w:t>
      </w:r>
      <w:r>
        <w:t xml:space="preserve"> </w:t>
      </w:r>
      <w:r>
        <w:t xml:space="preserve">national regime, which raises questions about the coherence of the framework, resulting</w:t>
      </w:r>
      <w:r>
        <w:t xml:space="preserve"> </w:t>
      </w:r>
      <w:r>
        <w:t xml:space="preserve">in sub-optimal outcomes for level playing field and the single market in banking.</w:t>
      </w:r>
      <w:r>
        <w:br/>
      </w:r>
      <w:r>
        <w:t xml:space="preserve">In terms of efficiency, the evaluation found that the CMDI framework is not sufficiently</w:t>
      </w:r>
      <w:r>
        <w:t xml:space="preserve"> </w:t>
      </w:r>
      <w:r>
        <w:t xml:space="preserve">cost-effective. On one hand, the main benefits of the framework include enhanced crisis</w:t>
      </w:r>
      <w:r>
        <w:t xml:space="preserve"> </w:t>
      </w:r>
      <w:r>
        <w:t xml:space="preserve">preparedness, contingency planning and the disciplining influence that the existence of</w:t>
      </w:r>
      <w:r>
        <w:t xml:space="preserve"> </w:t>
      </w:r>
      <w:r>
        <w:t xml:space="preserve">the framework exerts on banks and markets. On the other hand, the implementation and</w:t>
      </w:r>
      <w:r>
        <w:t xml:space="preserve"> </w:t>
      </w:r>
      <w:r>
        <w:t xml:space="preserve">operationalisation of the CMDI framework came with significant costs for the banking</w:t>
      </w:r>
      <w:r>
        <w:t xml:space="preserve"> </w:t>
      </w:r>
      <w:r>
        <w:t xml:space="preserve">industry, Member States, resolution authorities. Yet despite the costs, the resolution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framework and its tools and powers have been scarcely used in practice, especially in the</w:t>
      </w:r>
      <w:r>
        <w:t xml:space="preserve"> </w:t>
      </w:r>
      <w:r>
        <w:t xml:space="preserve">Banking Union under the SRMR. The SRF funding has remained idle so far and beyond</w:t>
      </w:r>
      <w:r>
        <w:t xml:space="preserve"> </w:t>
      </w:r>
      <w:r>
        <w:t xml:space="preserve">the losses absorbed by the banks, DGS funds, often backed by public funds have been</w:t>
      </w:r>
      <w:r>
        <w:t xml:space="preserve"> </w:t>
      </w:r>
      <w:r>
        <w:t xml:space="preserve">used. In addition, the use of public funding in recent cases of bank failures showed a</w:t>
      </w:r>
      <w:r>
        <w:t xml:space="preserve"> </w:t>
      </w:r>
      <w:r>
        <w:t xml:space="preserve">redistribution of costs from banks’ senior unsecured creditors to the taxpayers, despite</w:t>
      </w:r>
      <w:r>
        <w:t xml:space="preserve"> </w:t>
      </w:r>
      <w:r>
        <w:t xml:space="preserve">scrutiny on such usage of public funds through the EU State aid rules. Furthermore,</w:t>
      </w:r>
      <w:r>
        <w:t xml:space="preserve"> </w:t>
      </w:r>
      <w:r>
        <w:t xml:space="preserve">available evidence suggests that these costs are uneven between Member States, as</w:t>
      </w:r>
      <w:r>
        <w:t xml:space="preserve"> </w:t>
      </w:r>
      <w:r>
        <w:t xml:space="preserve">national requirements and practices diverge widely.</w:t>
      </w:r>
      <w:r>
        <w:t xml:space="preserve"> </w:t>
      </w:r>
      <w:r>
        <w:t xml:space="preserve">From a coherence perspective, further improvements are necessary to ensure a better</w:t>
      </w:r>
      <w:r>
        <w:t xml:space="preserve"> </w:t>
      </w:r>
      <w:r>
        <w:t xml:space="preserve">internal interaction and consistency between the various pieces of legislation forming the</w:t>
      </w:r>
      <w:r>
        <w:t xml:space="preserve"> </w:t>
      </w:r>
      <w:r>
        <w:t xml:space="preserve">CMDI framework, but also between the CMDI framework and State aid rules (most</w:t>
      </w:r>
      <w:r>
        <w:t xml:space="preserve"> </w:t>
      </w:r>
      <w:r>
        <w:t xml:space="preserve">prominently in respect of conditions to access funding to support tools outside</w:t>
      </w:r>
      <w:r>
        <w:t xml:space="preserve"> </w:t>
      </w:r>
      <w:r>
        <w:t xml:space="preserve">resolution), the prudential rules (Capital Requirements Directive (CRD) and the Single</w:t>
      </w:r>
      <w:r>
        <w:t xml:space="preserve"> </w:t>
      </w:r>
      <w:r>
        <w:t xml:space="preserve">Supervisory Mechanism (SSMR)) in what concerns the early intervention measures</w:t>
      </w:r>
      <w:r>
        <w:t xml:space="preserve"> </w:t>
      </w:r>
      <w:r>
        <w:t xml:space="preserve">(EIMs), the Anti-Money Laundering Directive (AMLD), the Payment Services Directive</w:t>
      </w:r>
      <w:r>
        <w:t xml:space="preserve"> </w:t>
      </w:r>
      <w:r>
        <w:t xml:space="preserve">and the E-money Directive in what concerns interactions with the DGSD.</w:t>
      </w:r>
      <w:r>
        <w:br/>
      </w:r>
      <w:r>
        <w:t xml:space="preserve">The framework remains very relevant and adds EU value because crisis management</w:t>
      </w:r>
      <w:r>
        <w:t xml:space="preserve"> </w:t>
      </w:r>
      <w:r>
        <w:t xml:space="preserve">cannot be left to the unharmonised national proceedings without consequence on public</w:t>
      </w:r>
      <w:r>
        <w:t xml:space="preserve"> </w:t>
      </w:r>
      <w:r>
        <w:t xml:space="preserve">finances, the bank-sovereign nexus, level playing field, proportionality, convergence,</w:t>
      </w:r>
      <w:r>
        <w:t xml:space="preserve"> </w:t>
      </w:r>
      <w:r>
        <w:t xml:space="preserve">equal treatment of stakeholders and operational efficiency of banking operations. This is</w:t>
      </w:r>
      <w:r>
        <w:t xml:space="preserve"> </w:t>
      </w:r>
      <w:r>
        <w:t xml:space="preserve">particularly relevant for cross-border cases but not only. The addition of a mutualised</w:t>
      </w:r>
      <w:r>
        <w:t xml:space="preserve"> </w:t>
      </w:r>
      <w:r>
        <w:t xml:space="preserve">safety net such as EDIS would further boost the framework’s relevance and EU-value</w:t>
      </w:r>
      <w:r>
        <w:t xml:space="preserve"> </w:t>
      </w:r>
      <w:r>
        <w:t xml:space="preserve">added.</w:t>
      </w:r>
      <w:r>
        <w:t xml:space="preserve"> </w:t>
      </w:r>
      <w:r>
        <w:t xml:space="preserve">8.2. Lessons learnt</w:t>
      </w:r>
      <w:r>
        <w:t xml:space="preserve"> </w:t>
      </w:r>
      <w:r>
        <w:t xml:space="preserve">The following points summarise the lessons learned in this targeted evaluation in terms of</w:t>
      </w:r>
      <w:r>
        <w:t xml:space="preserve"> </w:t>
      </w:r>
      <w:r>
        <w:t xml:space="preserve">the main areas for improvement in the CMDI framework.</w:t>
      </w:r>
      <w:r>
        <w:t xml:space="preserve"> </w:t>
      </w:r>
      <w:r>
        <w:t xml:space="preserve">The CMDI framework was designed to avert and manage the failure of credit institutions</w:t>
      </w:r>
      <w:r>
        <w:t xml:space="preserve"> </w:t>
      </w:r>
      <w:r>
        <w:t xml:space="preserve">of any size while protecting depositors and taxpayers. This evaluation concludes that the</w:t>
      </w:r>
      <w:r>
        <w:t xml:space="preserve"> </w:t>
      </w:r>
      <w:r>
        <w:t xml:space="preserve">application of the framework brought important benefits in terms of maintaining</w:t>
      </w:r>
      <w:r>
        <w:t xml:space="preserve"> </w:t>
      </w:r>
      <w:r>
        <w:t xml:space="preserve">financial stability, mainly through more robust crisis preparedness and contingency</w:t>
      </w:r>
      <w:r>
        <w:t xml:space="preserve"> </w:t>
      </w:r>
      <w:r>
        <w:t xml:space="preserve">planning, enhanced banks’ resolvability, including through the build-up of resolution</w:t>
      </w:r>
      <w:r>
        <w:t xml:space="preserve"> </w:t>
      </w:r>
      <w:r>
        <w:t xml:space="preserve">buffers and pre-funded deposit guarantee and resolution funds, improved market</w:t>
      </w:r>
      <w:r>
        <w:t xml:space="preserve"> </w:t>
      </w:r>
      <w:r>
        <w:t xml:space="preserve">discipline and curbed moral hazard. The implementation of the framework significantly</w:t>
      </w:r>
      <w:r>
        <w:t xml:space="preserve"> </w:t>
      </w:r>
      <w:r>
        <w:t xml:space="preserve">improved depositor protection and contributed to boosting, overall, consumer confidence</w:t>
      </w:r>
      <w:r>
        <w:t xml:space="preserve"> </w:t>
      </w:r>
      <w:r>
        <w:t xml:space="preserve">in the EU banking sector.</w:t>
      </w:r>
      <w:r>
        <w:br/>
      </w:r>
      <w:r>
        <w:t xml:space="preserve">Yet, the practical application failed to achieve some important objectives or achieved</w:t>
      </w:r>
      <w:r>
        <w:t xml:space="preserve"> </w:t>
      </w:r>
      <w:r>
        <w:t xml:space="preserve">them only partially. Experience with the application of the EU bank CMDI framework</w:t>
      </w:r>
      <w:r>
        <w:t xml:space="preserve"> </w:t>
      </w:r>
      <w:r>
        <w:t xml:space="preserve">from 2015 until now reveals that there is scope to improve its functioning in the</w:t>
      </w:r>
      <w:r>
        <w:t xml:space="preserve"> </w:t>
      </w:r>
      <w:r>
        <w:t xml:space="preserve">following identified areas for improvement.</w:t>
      </w:r>
      <w:r>
        <w:br/>
      </w:r>
      <w:r>
        <w:t xml:space="preserve">Insufficient legal certainty and predictability in the management of bank failures</w:t>
      </w:r>
      <w:r>
        <w:br/>
      </w:r>
      <w:r>
        <w:t xml:space="preserve"> The resolution framework introduced strategies, powers and tools to restructure</w:t>
      </w:r>
      <w:r>
        <w:t xml:space="preserve"> </w:t>
      </w:r>
      <w:r>
        <w:t xml:space="preserve">failing banks while protecting depositors, financial stability and tax payers.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However, so far this framework was only scarcely applied, in particular in the</w:t>
      </w:r>
      <w:r>
        <w:t xml:space="preserve"> </w:t>
      </w:r>
      <w:r>
        <w:t xml:space="preserve">Banking Union under the SRMR. Evidence shows that other tools have been</w:t>
      </w:r>
      <w:r>
        <w:t xml:space="preserve"> </w:t>
      </w:r>
      <w:r>
        <w:t xml:space="preserve">more frequently used such as insolvency proceedings involving DGS funds, or</w:t>
      </w:r>
      <w:r>
        <w:t xml:space="preserve"> </w:t>
      </w:r>
      <w:r>
        <w:t xml:space="preserve">precautionary recapitalisation or measures to prevent the failure of the bank</w:t>
      </w:r>
      <w:r>
        <w:t xml:space="preserve"> </w:t>
      </w:r>
      <w:r>
        <w:t xml:space="preserve">altogether.</w:t>
      </w:r>
      <w:r>
        <w:t xml:space="preserve"> </w:t>
      </w:r>
      <w:r>
        <w:t xml:space="preserve"> The problem is not so much the variety of tools to manage failing banks or to</w:t>
      </w:r>
      <w:r>
        <w:t xml:space="preserve"> </w:t>
      </w:r>
      <w:r>
        <w:t xml:space="preserve">intervene before failure but rather that the conditions to activate such measures</w:t>
      </w:r>
      <w:r>
        <w:t xml:space="preserve"> </w:t>
      </w:r>
      <w:r>
        <w:t xml:space="preserve">vary substantially, are sometimes not fully clear or leave room for arbitrage. In</w:t>
      </w:r>
      <w:r>
        <w:t xml:space="preserve"> </w:t>
      </w:r>
      <w:r>
        <w:t xml:space="preserve">addition, when external funding is used to support such measures, the</w:t>
      </w:r>
      <w:r>
        <w:t xml:space="preserve"> </w:t>
      </w:r>
      <w:r>
        <w:t xml:space="preserve">requirements to access such funding are very different and, more specifically,</w:t>
      </w:r>
      <w:r>
        <w:t xml:space="preserve"> </w:t>
      </w:r>
      <w:r>
        <w:t xml:space="preserve">funding outside resolution is generally more easily accessible than in resolution,</w:t>
      </w:r>
      <w:r>
        <w:t xml:space="preserve"> </w:t>
      </w:r>
      <w:r>
        <w:t xml:space="preserve">in particular for certain banks.</w:t>
      </w:r>
      <w:r>
        <w:t xml:space="preserve"> </w:t>
      </w:r>
      <w:r>
        <w:t xml:space="preserve"> First, as regards, preventive measures (which are national option under the</w:t>
      </w:r>
      <w:r>
        <w:t xml:space="preserve"> </w:t>
      </w:r>
      <w:r>
        <w:t xml:space="preserve">DGSD), the current legislative text does not provide adequate clarity on</w:t>
      </w:r>
      <w:r>
        <w:t xml:space="preserve"> </w:t>
      </w:r>
      <w:r>
        <w:t xml:space="preserve">safeguards and conditions which are necessary for ensuring that such</w:t>
      </w:r>
      <w:r>
        <w:t xml:space="preserve"> </w:t>
      </w:r>
      <w:r>
        <w:t xml:space="preserve">interventions are sufficiently sound from a financial perspective, will interact</w:t>
      </w:r>
      <w:r>
        <w:t xml:space="preserve"> </w:t>
      </w:r>
      <w:r>
        <w:t xml:space="preserve">correctly with the FOLF determination and would not impinge excessively on the</w:t>
      </w:r>
      <w:r>
        <w:t xml:space="preserve"> </w:t>
      </w:r>
      <w:r>
        <w:t xml:space="preserve">DGS’ resources. Similarly, in relation to the precautionary measures under the</w:t>
      </w:r>
      <w:r>
        <w:t xml:space="preserve"> </w:t>
      </w:r>
      <w:r>
        <w:t xml:space="preserve">BRRD, despite the safeguards foreseen and applied under the BRRD, it occurred</w:t>
      </w:r>
      <w:r>
        <w:t xml:space="preserve"> </w:t>
      </w:r>
      <w:r>
        <w:t xml:space="preserve">that two banks benefitted from public support in the form of precautionary</w:t>
      </w:r>
      <w:r>
        <w:t xml:space="preserve"> </w:t>
      </w:r>
      <w:r>
        <w:t xml:space="preserve">liquidity on grounds, inter alia, of being declared solvent by the supervisor, only</w:t>
      </w:r>
      <w:r>
        <w:t xml:space="preserve"> </w:t>
      </w:r>
      <w:r>
        <w:t xml:space="preserve">months before being assessed as FOLF. The review could take stock of the</w:t>
      </w:r>
      <w:r>
        <w:t xml:space="preserve"> </w:t>
      </w:r>
      <w:r>
        <w:t xml:space="preserve">already adjusted approach developed by the Commission and authorities involved</w:t>
      </w:r>
      <w:r>
        <w:t xml:space="preserve"> </w:t>
      </w:r>
      <w:r>
        <w:t xml:space="preserve">in such situations, based on past experience and improve the clarity of the</w:t>
      </w:r>
      <w:r>
        <w:t xml:space="preserve"> </w:t>
      </w:r>
      <w:r>
        <w:t xml:space="preserve">relevant legal provisions as well as enhance the predictability and consistency in</w:t>
      </w:r>
      <w:r>
        <w:t xml:space="preserve"> </w:t>
      </w:r>
      <w:r>
        <w:t xml:space="preserve">the use of such measures going forward.</w:t>
      </w:r>
      <w:r>
        <w:t xml:space="preserve"> </w:t>
      </w:r>
      <w:r>
        <w:t xml:space="preserve"> Second, regarding the EIM, the assessment has shown that they have rarely been</w:t>
      </w:r>
      <w:r>
        <w:t xml:space="preserve"> </w:t>
      </w:r>
      <w:r>
        <w:t xml:space="preserve">applied though forming an integral part of the continuum of measures in the</w:t>
      </w:r>
      <w:r>
        <w:t xml:space="preserve"> </w:t>
      </w:r>
      <w:r>
        <w:t xml:space="preserve">framework. Improvements in this area could reduce the overlap of the EIM with</w:t>
      </w:r>
      <w:r>
        <w:t xml:space="preserve"> </w:t>
      </w:r>
      <w:r>
        <w:t xml:space="preserve">the supervisory powers provided in the BRRD (and also mirrored in the SRMR)</w:t>
      </w:r>
      <w:r>
        <w:t xml:space="preserve"> </w:t>
      </w:r>
      <w:r>
        <w:t xml:space="preserve">in order to reduce legal uncertainty and procedural challenges for competent</w:t>
      </w:r>
      <w:r>
        <w:t xml:space="preserve"> </w:t>
      </w:r>
      <w:r>
        <w:t xml:space="preserve">authorities in their application. In addition, some aspects relating, to the</w:t>
      </w:r>
      <w:r>
        <w:t xml:space="preserve"> </w:t>
      </w:r>
      <w:r>
        <w:t xml:space="preserve">governance structure and the degree of cooperation and exchange of information</w:t>
      </w:r>
      <w:r>
        <w:t xml:space="preserve"> </w:t>
      </w:r>
      <w:r>
        <w:t xml:space="preserve">between competent and resolution authorities could help in improving the</w:t>
      </w:r>
      <w:r>
        <w:t xml:space="preserve"> </w:t>
      </w:r>
      <w:r>
        <w:t xml:space="preserve">timeliness of the FOLF determination, which, is key in ensuring a smooth</w:t>
      </w:r>
      <w:r>
        <w:t xml:space="preserve"> </w:t>
      </w:r>
      <w:r>
        <w:t xml:space="preserve">continuum between going and gone concern.</w:t>
      </w:r>
      <w:r>
        <w:t xml:space="preserve"> </w:t>
      </w:r>
      <w:r>
        <w:t xml:space="preserve"> Third, the divergent application and interpretation of the different factors relevant</w:t>
      </w:r>
      <w:r>
        <w:t xml:space="preserve"> </w:t>
      </w:r>
      <w:r>
        <w:t xml:space="preserve">for the PIA and the observed very restrictive application of the test in the Banking</w:t>
      </w:r>
      <w:r>
        <w:t xml:space="preserve"> </w:t>
      </w:r>
      <w:r>
        <w:t xml:space="preserve">Union so far, may not fully reflect the intention of the legislation. In particular,</w:t>
      </w:r>
      <w:r>
        <w:t xml:space="preserve"> </w:t>
      </w:r>
      <w:r>
        <w:t xml:space="preserve">the evaluation found that aspects of the PIA relating to (i) the impact on financial</w:t>
      </w:r>
      <w:r>
        <w:t xml:space="preserve"> </w:t>
      </w:r>
      <w:r>
        <w:t xml:space="preserve">stability; (ii) the assessment of critical functions; and (iii) limiting the use of</w:t>
      </w:r>
      <w:r>
        <w:t xml:space="preserve"> </w:t>
      </w:r>
      <w:r>
        <w:t xml:space="preserve">external sources of funding require further clarification.</w:t>
      </w:r>
      <w:r>
        <w:t xml:space="preserve"> </w:t>
      </w:r>
      <w:r>
        <w:t xml:space="preserve"> Fourth, the current framework could introduce more clarity in Article 32b BRRD</w:t>
      </w:r>
      <w:r>
        <w:t xml:space="preserve"> </w:t>
      </w:r>
      <w:r>
        <w:t xml:space="preserve">in order to address any residual risk with standstill situations whereby a failing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bank for which there is no public interest in using resolution, can also not be</w:t>
      </w:r>
      <w:r>
        <w:t xml:space="preserve"> </w:t>
      </w:r>
      <w:r>
        <w:t xml:space="preserve">placed in insolvency because the trigger to initiate the national insolvency</w:t>
      </w:r>
      <w:r>
        <w:t xml:space="preserve"> </w:t>
      </w:r>
      <w:r>
        <w:t xml:space="preserve">proceedings has not been met.</w:t>
      </w:r>
      <w:r>
        <w:t xml:space="preserve"> </w:t>
      </w:r>
      <w:r>
        <w:t xml:space="preserve"> Finally, feedback and evidence has shown that certain divergences, in the</w:t>
      </w:r>
      <w:r>
        <w:t xml:space="preserve"> </w:t>
      </w:r>
      <w:r>
        <w:t xml:space="preserve">hierarchy of claims remaining in national laws governing bank insolvency</w:t>
      </w:r>
      <w:r>
        <w:t xml:space="preserve"> </w:t>
      </w:r>
      <w:r>
        <w:t xml:space="preserve">proceedings, in particularly, when it comes to the ranking of ordinary unsecured</w:t>
      </w:r>
      <w:r>
        <w:t xml:space="preserve"> </w:t>
      </w:r>
      <w:r>
        <w:t xml:space="preserve">claims, other deposits and exclusions from bail-in, creates the potential for</w:t>
      </w:r>
      <w:r>
        <w:t xml:space="preserve"> </w:t>
      </w:r>
      <w:r>
        <w:t xml:space="preserve">uneven treatment of creditors, including depositors, in resolution and in</w:t>
      </w:r>
      <w:r>
        <w:t xml:space="preserve"> </w:t>
      </w:r>
      <w:r>
        <w:t xml:space="preserve">insolvency. Such divergences have the potential to create uneven playing field in</w:t>
      </w:r>
      <w:r>
        <w:t xml:space="preserve"> </w:t>
      </w:r>
      <w:r>
        <w:t xml:space="preserve">the single market. It also complicates the NCWO assessment especially for cross-</w:t>
      </w:r>
      <w:r>
        <w:t xml:space="preserve"> </w:t>
      </w:r>
      <w:r>
        <w:t xml:space="preserve">border groups including among jurisdictions participating in the Banking Union.</w:t>
      </w:r>
      <w:r>
        <w:t xml:space="preserve"> </w:t>
      </w:r>
      <w:r>
        <w:t xml:space="preserve">Ineffective funding options and divergent access conditions in resolution and</w:t>
      </w:r>
      <w:r>
        <w:t xml:space="preserve"> </w:t>
      </w:r>
      <w:r>
        <w:t xml:space="preserve">insolvency</w:t>
      </w:r>
      <w:r>
        <w:br/>
      </w:r>
      <w:r>
        <w:t xml:space="preserve"> The CMDI framework introduced a requirement for banks to hold sufficient loss</w:t>
      </w:r>
      <w:r>
        <w:t xml:space="preserve"> </w:t>
      </w:r>
      <w:r>
        <w:t xml:space="preserve">absorbing and recapitalisation capacity (MREL), in order to ensure that banks are</w:t>
      </w:r>
      <w:r>
        <w:t xml:space="preserve"> </w:t>
      </w:r>
      <w:r>
        <w:t xml:space="preserve">able to bear their own losses (and recapitalisation needs depending on the</w:t>
      </w:r>
      <w:r>
        <w:t xml:space="preserve"> </w:t>
      </w:r>
      <w:r>
        <w:t xml:space="preserve">foreseen strategy) and, where that is not sufficient, that they can fulfil the</w:t>
      </w:r>
      <w:r>
        <w:t xml:space="preserve"> </w:t>
      </w:r>
      <w:r>
        <w:t xml:space="preserve">conditions for accessing complementary financing in the form of resolution</w:t>
      </w:r>
      <w:r>
        <w:t xml:space="preserve"> </w:t>
      </w:r>
      <w:r>
        <w:t xml:space="preserve">funding if needed.</w:t>
      </w:r>
      <w:r>
        <w:br/>
      </w:r>
      <w:r>
        <w:t xml:space="preserve"> However, feedback and evidence shows that some banks are facing structural</w:t>
      </w:r>
      <w:r>
        <w:t xml:space="preserve"> </w:t>
      </w:r>
      <w:r>
        <w:t xml:space="preserve">issues in building up their MREL buffers and considering their specific liability</w:t>
      </w:r>
      <w:r>
        <w:t xml:space="preserve"> </w:t>
      </w:r>
      <w:r>
        <w:t xml:space="preserve">structure, certain deposits would need to be bailed-in in order to access the</w:t>
      </w:r>
      <w:r>
        <w:t xml:space="preserve"> </w:t>
      </w:r>
      <w:r>
        <w:t xml:space="preserve">resolution fund, which may raise financial stability concerns and operational</w:t>
      </w:r>
      <w:r>
        <w:t xml:space="preserve"> </w:t>
      </w:r>
      <w:r>
        <w:t xml:space="preserve">feasibility in view of the economic and social impact in a number of Member</w:t>
      </w:r>
      <w:r>
        <w:t xml:space="preserve"> </w:t>
      </w:r>
      <w:r>
        <w:t xml:space="preserve">States.</w:t>
      </w:r>
      <w:r>
        <w:br/>
      </w:r>
      <w:r>
        <w:t xml:space="preserve"> In addition, the current framework could provide more legal certainty and clarity</w:t>
      </w:r>
      <w:r>
        <w:t xml:space="preserve"> </w:t>
      </w:r>
      <w:r>
        <w:t xml:space="preserve">in areas related to the conditions for the use of DGS funding in resolution (which</w:t>
      </w:r>
      <w:r>
        <w:t xml:space="preserve"> </w:t>
      </w:r>
      <w:r>
        <w:t xml:space="preserve">has never been used in practise) as well as regarding the divergent access</w:t>
      </w:r>
      <w:r>
        <w:t xml:space="preserve"> </w:t>
      </w:r>
      <w:r>
        <w:t xml:space="preserve">conditions to DGS funding in resolution and insolvency, which affect negatively</w:t>
      </w:r>
      <w:r>
        <w:t xml:space="preserve"> </w:t>
      </w:r>
      <w:r>
        <w:t xml:space="preserve">the predictability of the framework.</w:t>
      </w:r>
      <w:r>
        <w:t xml:space="preserve"> </w:t>
      </w:r>
      <w:r>
        <w:t xml:space="preserve"> There may be a need to further re-assess the DGS’ super preference as it creates</w:t>
      </w:r>
      <w:r>
        <w:t xml:space="preserve"> </w:t>
      </w:r>
      <w:r>
        <w:t xml:space="preserve">limitations to the possibility for the DGS to provide funding both in resolution</w:t>
      </w:r>
      <w:r>
        <w:t xml:space="preserve"> </w:t>
      </w:r>
      <w:r>
        <w:t xml:space="preserve">and in insolvency.</w:t>
      </w:r>
      <w:r>
        <w:br/>
      </w:r>
      <w:r>
        <w:t xml:space="preserve"> In the Banking Union, the resources accumulated in the SRF have remained idle,</w:t>
      </w:r>
      <w:r>
        <w:t xml:space="preserve"> </w:t>
      </w:r>
      <w:r>
        <w:t xml:space="preserve">while the recourse to DGS (funded by the domestic banking sector only) was</w:t>
      </w:r>
      <w:r>
        <w:t xml:space="preserve"> </w:t>
      </w:r>
      <w:r>
        <w:t xml:space="preserve">more frequent and in some cases complemented by public funds. Access to</w:t>
      </w:r>
      <w:r>
        <w:t xml:space="preserve"> </w:t>
      </w:r>
      <w:r>
        <w:t xml:space="preserve">common safety nets would appear asymmetric for some banks in the absence of</w:t>
      </w:r>
      <w:r>
        <w:t xml:space="preserve"> </w:t>
      </w:r>
      <w:r>
        <w:t xml:space="preserve">EDIS.</w:t>
      </w:r>
      <w:r>
        <w:t xml:space="preserve"> </w:t>
      </w:r>
      <w:r>
        <w:t xml:space="preserve">Uneven and inconsistent depositor protection</w:t>
      </w:r>
      <w:r>
        <w:br/>
      </w:r>
      <w:r>
        <w:t xml:space="preserve"></w:t>
      </w:r>
      <w:r>
        <w:t xml:space="preserve"> </w:t>
      </w:r>
      <w:r>
        <w:t xml:space="preserve">Depositor protection is central to the CMDI framework. The coverage level</w:t>
      </w:r>
      <w:r>
        <w:t xml:space="preserve"> </w:t>
      </w:r>
      <w:r>
        <w:t xml:space="preserve">contributes to the effectiveness of the DGSD framework and to depositors’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confidence, as it protects almost all deposited amounts and a very large part of the</w:t>
      </w:r>
      <w:r>
        <w:t xml:space="preserve"> </w:t>
      </w:r>
      <w:r>
        <w:t xml:space="preserve">depositors’ wealth. However, owing to existing ONDs in the DGSD, the</w:t>
      </w:r>
      <w:r>
        <w:t xml:space="preserve"> </w:t>
      </w:r>
      <w:r>
        <w:t xml:space="preserve">framework is not consistently applied across the EU, leading therefore, to uneven</w:t>
      </w:r>
      <w:r>
        <w:t xml:space="preserve"> </w:t>
      </w:r>
      <w:r>
        <w:t xml:space="preserve">results in depositor protection in the Member States.</w:t>
      </w:r>
      <w:r>
        <w:br/>
      </w:r>
      <w:r>
        <w:t xml:space="preserve"></w:t>
      </w:r>
      <w:r>
        <w:t xml:space="preserve"> </w:t>
      </w:r>
      <w:r>
        <w:t xml:space="preserve">Indeed, in terms of scope of protection, the framework could be improved by</w:t>
      </w:r>
      <w:r>
        <w:t xml:space="preserve"> </w:t>
      </w:r>
      <w:r>
        <w:t xml:space="preserve">addressing divergences, existing in the coverage level of temporary high</w:t>
      </w:r>
      <w:r>
        <w:t xml:space="preserve"> </w:t>
      </w:r>
      <w:r>
        <w:t xml:space="preserve">balances. Improvements in the availability of alternative funding arrangements,</w:t>
      </w:r>
      <w:r>
        <w:t xml:space="preserve"> </w:t>
      </w:r>
      <w:r>
        <w:t xml:space="preserve">which could be relied on in case the DGS were depleted, could further help in</w:t>
      </w:r>
      <w:r>
        <w:t xml:space="preserve"> </w:t>
      </w:r>
      <w:r>
        <w:t xml:space="preserve">boosting depositor confidence.</w:t>
      </w:r>
      <w:r>
        <w:br/>
      </w:r>
      <w:r>
        <w:t xml:space="preserve"></w:t>
      </w:r>
      <w:r>
        <w:t xml:space="preserve"> </w:t>
      </w:r>
      <w:r>
        <w:t xml:space="preserve">Beyond this lack of harmonisation in national rules and their application,</w:t>
      </w:r>
      <w:r>
        <w:t xml:space="preserve"> </w:t>
      </w:r>
      <w:r>
        <w:t xml:space="preserve">depositor protection and confidence in the Banking Union could be undermined</w:t>
      </w:r>
      <w:r>
        <w:t xml:space="preserve"> </w:t>
      </w:r>
      <w:r>
        <w:t xml:space="preserve">in case of asymmetric shocks, to which national schemes remain vulnerable.</w:t>
      </w:r>
      <w:r>
        <w:br/>
      </w:r>
      <w:r>
        <w:t xml:space="preserve"></w:t>
      </w:r>
      <w:r>
        <w:t xml:space="preserve"> </w:t>
      </w:r>
      <w:r>
        <w:t xml:space="preserve">The introduction of an appropriate mutualised safety net (e.g. EDIS) – could help</w:t>
      </w:r>
      <w:r>
        <w:t xml:space="preserve"> </w:t>
      </w:r>
      <w:r>
        <w:t xml:space="preserve">in alleviating the vulnerabilities of national DGSs and delivering equal treatment</w:t>
      </w:r>
      <w:r>
        <w:t xml:space="preserve"> </w:t>
      </w:r>
      <w:r>
        <w:t xml:space="preserve">of all depositors.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ANNEX 6: OVERVIEW OF DEPOSIT INSURANCE ISSUES COVERED</w:t>
      </w:r>
      <w:r>
        <w:t xml:space="preserve"> </w:t>
      </w:r>
      <w:r>
        <w:t xml:space="preserve">IN THE IMPACT ASSESSMENT</w:t>
      </w:r>
    </w:p>
    <w:p>
      <w:pPr>
        <w:pStyle w:val="BodyText"/>
      </w:pPr>
      <w:r>
        <w:t xml:space="preserve">The DGSD constitutes a minimum harmonisation framework, with several features of</w:t>
      </w:r>
      <w:r>
        <w:t xml:space="preserve"> </w:t>
      </w:r>
      <w:r>
        <w:t xml:space="preserve">maximum harmonisation. Since its adoption in 1994, it is subject to its third revision393.</w:t>
      </w:r>
      <w:r>
        <w:br/>
      </w:r>
      <w:r>
        <w:t xml:space="preserve">The current text sets a uniform level of protection for deposits394 throughout the Union</w:t>
      </w:r>
      <w:r>
        <w:t xml:space="preserve"> </w:t>
      </w:r>
      <w:r>
        <w:t xml:space="preserve">based on common requirements for the funding mechanisms of DGSs and the</w:t>
      </w:r>
      <w:r>
        <w:t xml:space="preserve"> </w:t>
      </w:r>
      <w:r>
        <w:t xml:space="preserve">introduction of risk based contributions. The harmonised coverage of EUR 100 000</w:t>
      </w:r>
      <w:r>
        <w:t xml:space="preserve"> </w:t>
      </w:r>
      <w:r>
        <w:t xml:space="preserve">applies “per depositor per bank”395. The latter is complemented with a minimum DGS</w:t>
      </w:r>
      <w:r>
        <w:t xml:space="preserve"> </w:t>
      </w:r>
      <w:r>
        <w:t xml:space="preserve">funding target level of 0.8% covered deposits (to be reached by 2024), improved access</w:t>
      </w:r>
      <w:r>
        <w:t xml:space="preserve"> </w:t>
      </w:r>
      <w:r>
        <w:t xml:space="preserve">to DGSs and information disclosure for depositors, as well as rules for cross border</w:t>
      </w:r>
      <w:r>
        <w:t xml:space="preserve"> </w:t>
      </w:r>
      <w:r>
        <w:t xml:space="preserve">cooperation between DGSs. This set of rules contributed to eliminating market</w:t>
      </w:r>
      <w:r>
        <w:t xml:space="preserve"> </w:t>
      </w:r>
      <w:r>
        <w:t xml:space="preserve">distortions. However, the DGSD also contains more than 22 ONDs to accommodate for</w:t>
      </w:r>
      <w:r>
        <w:t xml:space="preserve"> </w:t>
      </w:r>
      <w:r>
        <w:t xml:space="preserve">various national specificities396.</w:t>
      </w:r>
      <w:r>
        <w:t xml:space="preserve"> </w:t>
      </w:r>
      <w:r>
        <w:t xml:space="preserve">The DGSD also provided two specific mandates to the EBA to issue guidelines for</w:t>
      </w:r>
      <w:r>
        <w:t xml:space="preserve"> </w:t>
      </w:r>
      <w:r>
        <w:t xml:space="preserve">specifying methods for calculating contributions and payment commitments to ensure</w:t>
      </w:r>
      <w:r>
        <w:t xml:space="preserve"> </w:t>
      </w:r>
      <w:r>
        <w:t xml:space="preserve">level playing field. Throughout the years, the EBA also issued on its own initiative a</w:t>
      </w:r>
      <w:r>
        <w:t xml:space="preserve"> </w:t>
      </w:r>
      <w:r>
        <w:t xml:space="preserve">number of other guidelines that have proven beneficial for a consistent application of the</w:t>
      </w:r>
      <w:r>
        <w:t xml:space="preserve"> </w:t>
      </w:r>
      <w:r>
        <w:t xml:space="preserve">DGSD and have become an essential part of the framework397. This annex details the</w:t>
      </w:r>
      <w:r>
        <w:t xml:space="preserve"> </w:t>
      </w:r>
      <w:r>
        <w:t xml:space="preserve">elements highlighted in the impact assessment concerning the review of the DGSD. It</w:t>
      </w:r>
      <w:r>
        <w:t xml:space="preserve"> </w:t>
      </w:r>
      <w:r>
        <w:t xml:space="preserve">leverages on the four EBA opinions, additional analysis (e.g. CEPS study, DG JRC’s</w:t>
      </w:r>
      <w:r>
        <w:t xml:space="preserve"> </w:t>
      </w:r>
      <w:r>
        <w:t xml:space="preserve">reports) and the transposition check.</w:t>
      </w:r>
      <w:r>
        <w:t xml:space="preserve"> </w:t>
      </w:r>
      <w:r>
        <w:t xml:space="preserve">1.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EBA, in cooperation with the DGSs and designated authorities in the EU and the</w:t>
      </w:r>
      <w:r>
        <w:t xml:space="preserve"> </w:t>
      </w:r>
      <w:r>
        <w:t xml:space="preserve">EEA, assessed the progress towards the implementation of the DGSD in accordance with</w:t>
      </w:r>
      <w:r>
        <w:t xml:space="preserve"> </w:t>
      </w:r>
      <w:r>
        <w:t xml:space="preserve">the mandate under Article 19(6) of the DGSD. It also took stock of the experience with</w:t>
      </w:r>
      <w:r>
        <w:t xml:space="preserve"> </w:t>
      </w:r>
      <w:r>
        <w:t xml:space="preserve">the application of the DGSD and analysed policy options to address the identified issues.</w:t>
      </w:r>
      <w:r>
        <w:t xml:space="preserve"> </w:t>
      </w:r>
      <w:r>
        <w:t xml:space="preserve">The EBA saw no need for changes of the key features such as the coverage or target</w:t>
      </w:r>
      <w:r>
        <w:t xml:space="preserve"> </w:t>
      </w:r>
      <w:r>
        <w:t xml:space="preserve">levels. However, it proposed a number of improvements of various other aspects of the</w:t>
      </w:r>
      <w:r>
        <w:t xml:space="preserve"> </w:t>
      </w:r>
      <w:r>
        <w:t xml:space="preserve">depositor protection, as listed in Section 1.2. The EBA’s suggestions aimed to improve</w:t>
      </w:r>
      <w:r>
        <w:t xml:space="preserve"> </w:t>
      </w:r>
      <w:r>
        <w:t xml:space="preserve">the level playing field for depositors and to enhance depositor payouts as well as the</w:t>
      </w:r>
      <w:r>
        <w:t xml:space="preserve"> </w:t>
      </w:r>
      <w:r>
        <w:t xml:space="preserve">functioning and funding of the DGS. In addition, the EBA analysis underlines that some</w:t>
      </w:r>
      <w:r>
        <w:t xml:space="preserve"> </w:t>
      </w:r>
      <w:r>
        <w:t xml:space="preserve">of the ONDs in the DGSD lead to divergent treatment of depositors across Member</w:t>
      </w:r>
    </w:p>
    <w:p>
      <w:pPr>
        <w:pStyle w:val="BodyText"/>
      </w:pPr>
      <w:r>
        <w:t xml:space="preserve">393 European Commission (2009 and 2014), Directive 2009/14/EC of 11 March 2009, Directive</w:t>
      </w:r>
      <w:r>
        <w:t xml:space="preserve"> </w:t>
      </w:r>
      <w:r>
        <w:t xml:space="preserve">2014/49/EU of 16 April 2014.</w:t>
      </w:r>
      <w:r>
        <w:t xml:space="preserve"> </w:t>
      </w:r>
      <w:r>
        <w:t xml:space="preserve">394 See also footnote 57.</w:t>
      </w:r>
      <w:r>
        <w:t xml:space="preserve"> </w:t>
      </w:r>
      <w:r>
        <w:t xml:space="preserve">395 The limit of EUR 100 000 applies to the aggregate deposits of a depositor in the same credit institution</w:t>
      </w:r>
      <w:r>
        <w:t xml:space="preserve"> </w:t>
      </w:r>
      <w:r>
        <w:t xml:space="preserve">irrespective of the number of deposits, the currency and the location in the Union.</w:t>
      </w:r>
      <w:r>
        <w:br/>
      </w:r>
      <w:r>
        <w:t xml:space="preserve">396 See Chapter 1, Section Error! Reference source not found..</w:t>
      </w:r>
      <w:r>
        <w:t xml:space="preserve"> </w:t>
      </w:r>
      <w:r>
        <w:t xml:space="preserve">397 EBA (2016), Guidelines on stress tests of DGSs under Directive 2014/49/EU, Guidelines on</w:t>
      </w:r>
      <w:r>
        <w:t xml:space="preserve"> </w:t>
      </w:r>
      <w:r>
        <w:t xml:space="preserve">cooperation agreements between DGSs. The EBA (2021) published a Consultation paper on guidelines on</w:t>
      </w:r>
      <w:r>
        <w:t xml:space="preserve"> </w:t>
      </w:r>
      <w:r>
        <w:t xml:space="preserve">the delineation and reporting of available financial means.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States and makes the case for further convergence. The approach of the EBA consisted in</w:t>
      </w:r>
      <w:r>
        <w:t xml:space="preserve"> </w:t>
      </w:r>
      <w:r>
        <w:t xml:space="preserve">either proposing concrete recommendations or setting out the available policy options for</w:t>
      </w:r>
      <w:r>
        <w:t xml:space="preserve"> </w:t>
      </w:r>
      <w:r>
        <w:t xml:space="preserve">further clarification.</w:t>
      </w:r>
      <w:r>
        <w:br/>
      </w:r>
      <w:r>
        <w:t xml:space="preserve">In addition, the revised DGSD could also include references to non-legislative initiatives,</w:t>
      </w:r>
      <w:r>
        <w:t xml:space="preserve"> </w:t>
      </w:r>
      <w:r>
        <w:t xml:space="preserve">such as the EBA guidelines. This would, in principle, introduce no substantial new</w:t>
      </w:r>
      <w:r>
        <w:t xml:space="preserve"> </w:t>
      </w:r>
      <w:r>
        <w:t xml:space="preserve">requirements beyond what is already in place and followed by Member States’</w:t>
      </w:r>
      <w:r>
        <w:t xml:space="preserve"> </w:t>
      </w:r>
      <w:r>
        <w:t xml:space="preserve">authorities, while limiting the risk of non-compliance or legal challenges.</w:t>
      </w:r>
      <w:r>
        <w:t xml:space="preserve"> </w:t>
      </w:r>
      <w:r>
        <w:t xml:space="preserve">2.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Table 4: Policy options for the DGSD review</w:t>
      </w:r>
      <w:r>
        <w:t xml:space="preserve"> </w:t>
      </w:r>
      <w:r>
        <w:t xml:space="preserve">Option 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Option 1: Do nothing</w:t>
      </w:r>
      <w:r>
        <w:br/>
      </w:r>
      <w:r>
        <w:t xml:space="preserve">This is the baseline. It would imply not following the EBA’s suggestion</w:t>
      </w:r>
      <w:r>
        <w:t xml:space="preserve"> </w:t>
      </w:r>
      <w:r>
        <w:t xml:space="preserve">and, hence, envisage no change to a specific provision of the DGSD.</w:t>
      </w:r>
      <w:r>
        <w:t xml:space="preserve"> </w:t>
      </w:r>
      <w:r>
        <w:t xml:space="preserve">Option 2: Follow EBA</w:t>
      </w:r>
      <w:r>
        <w:t xml:space="preserve"> </w:t>
      </w:r>
      <w:r>
        <w:t xml:space="preserve">advice</w:t>
      </w:r>
      <w:r>
        <w:t xml:space="preserve"> </w:t>
      </w:r>
      <w:r>
        <w:t xml:space="preserve">Option 2 would imply either following a specific recommendation of the</w:t>
      </w:r>
      <w:r>
        <w:t xml:space="preserve"> </w:t>
      </w:r>
      <w:r>
        <w:t xml:space="preserve">EBA or, where the EBA invited the Commission to clarify a provision,</w:t>
      </w:r>
      <w:r>
        <w:t xml:space="preserve"> </w:t>
      </w:r>
      <w:r>
        <w:t xml:space="preserve">proposing a way forward.</w:t>
      </w:r>
      <w:r>
        <w:br/>
      </w:r>
      <w:r>
        <w:t xml:space="preserve">Table 5 sets out the issues proposed for the review as well as the selected policy options.</w:t>
      </w:r>
      <w:r>
        <w:t xml:space="preserve"> </w:t>
      </w:r>
      <w:r>
        <w:t xml:space="preserve">The latter are either technical improvements or amendments that may affect the currently</w:t>
      </w:r>
      <w:r>
        <w:t xml:space="preserve"> </w:t>
      </w:r>
      <w:r>
        <w:t xml:space="preserve">applicable deposit protection across the EU Member States. All policy choices take into</w:t>
      </w:r>
      <w:r>
        <w:t xml:space="preserve"> </w:t>
      </w:r>
      <w:r>
        <w:t xml:space="preserve">account the EBA’s suggestions and the subsequent feedback received from Member</w:t>
      </w:r>
      <w:r>
        <w:t xml:space="preserve"> </w:t>
      </w:r>
      <w:r>
        <w:t xml:space="preserve">States’ experts in the context of the EGBPI as well as, where available, other analytical</w:t>
      </w:r>
      <w:r>
        <w:t xml:space="preserve"> </w:t>
      </w:r>
      <w:r>
        <w:t xml:space="preserve">evidence (JRC’s analysis, CEPS study, public consultation, F4F Platform opinion).</w:t>
      </w:r>
      <w:r>
        <w:br/>
      </w:r>
      <w:r>
        <w:t xml:space="preserve">Table 5: Issues proposed for the review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</w:p>
    <w:p>
      <w:pPr>
        <w:pStyle w:val="Compact"/>
        <w:numPr>
          <w:ilvl w:val="0"/>
          <w:numId w:val="1013"/>
        </w:numPr>
      </w:pPr>
      <w:r>
        <w:t xml:space="preserve">Clarify the definition of deposits which includes:</w:t>
      </w:r>
    </w:p>
    <w:p>
      <w:pPr>
        <w:pStyle w:val="Compact"/>
        <w:numPr>
          <w:ilvl w:val="0"/>
          <w:numId w:val="1014"/>
        </w:numPr>
      </w:pPr>
      <w:r>
        <w:t xml:space="preserve">the concept of ‘normal banking transaction’</w:t>
      </w:r>
    </w:p>
    <w:p>
      <w:pPr>
        <w:pStyle w:val="Compact"/>
        <w:numPr>
          <w:ilvl w:val="0"/>
          <w:numId w:val="1014"/>
        </w:numPr>
      </w:pPr>
      <w:r>
        <w:t xml:space="preserve">the treatment of structured deposits</w:t>
      </w:r>
    </w:p>
    <w:p>
      <w:pPr>
        <w:pStyle w:val="FirstParagraph"/>
      </w:pPr>
      <w:r>
        <w:t xml:space="preserve">x</w:t>
      </w:r>
    </w:p>
    <w:p>
      <w:pPr>
        <w:pStyle w:val="Compact"/>
        <w:numPr>
          <w:ilvl w:val="0"/>
          <w:numId w:val="1015"/>
        </w:numPr>
      </w:pPr>
      <w:r>
        <w:t xml:space="preserve">the treatment of dormant accounts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2.</w:t>
      </w:r>
      <w:r>
        <w:t xml:space="preserve"> </w:t>
      </w:r>
      <w:r>
        <w:t xml:space="preserve">Clarify the rules on unavailable deposits which includes:</w:t>
      </w:r>
      <w:r>
        <w:t xml:space="preserve"> </w:t>
      </w:r>
      <w:r>
        <w:t xml:space="preserve">-</w:t>
      </w:r>
      <w:r>
        <w:t xml:space="preserve"> </w:t>
      </w:r>
      <w:r>
        <w:t xml:space="preserve">the treatment of deposits that are unavailable because of reasons not directly related to</w:t>
      </w:r>
      <w:r>
        <w:t xml:space="preserve"> </w:t>
      </w:r>
      <w:r>
        <w:t xml:space="preserve">the financial circumstances of the credit institution;</w:t>
      </w:r>
      <w:r>
        <w:br/>
      </w:r>
      <w:r>
        <w:t xml:space="preserve">-</w:t>
      </w:r>
      <w:r>
        <w:t xml:space="preserve"> </w:t>
      </w:r>
      <w:r>
        <w:t xml:space="preserve">the concept of ‘current prospect’ of the credit institution to repay deposits and the link</w:t>
      </w:r>
      <w:r>
        <w:t xml:space="preserve"> </w:t>
      </w:r>
      <w:r>
        <w:t xml:space="preserve">to supervisory moratoria;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16"/>
        </w:numPr>
      </w:pPr>
      <w:r>
        <w:t xml:space="preserve">Clarify the treatment of DGS payouts with money laundering or terrorist financing (ML/TF)</w:t>
      </w:r>
      <w:r>
        <w:t xml:space="preserve"> </w:t>
      </w:r>
      <w:r>
        <w:t xml:space="preserve">concerns in consistency with the rules set out in the AMLD which also includes:</w:t>
      </w:r>
    </w:p>
    <w:p>
      <w:pPr>
        <w:pStyle w:val="Compact"/>
        <w:numPr>
          <w:ilvl w:val="0"/>
          <w:numId w:val="1017"/>
        </w:numPr>
      </w:pPr>
      <w:r>
        <w:t xml:space="preserve">the repayment of depositors not previously identified ‘through no fault of their own’</w:t>
      </w:r>
    </w:p>
    <w:p>
      <w:pPr>
        <w:pStyle w:val="FirstParagraph"/>
      </w:pPr>
      <w:r>
        <w:t xml:space="preserve">x</w:t>
      </w:r>
    </w:p>
    <w:p>
      <w:pPr>
        <w:pStyle w:val="Compact"/>
        <w:numPr>
          <w:ilvl w:val="0"/>
          <w:numId w:val="1018"/>
        </w:numPr>
      </w:pPr>
      <w:r>
        <w:t xml:space="preserve">Clarify the protection of client funds of financial institutions such as payment and e-money</w:t>
      </w:r>
      <w:r>
        <w:t xml:space="preserve"> </w:t>
      </w:r>
      <w:r>
        <w:t xml:space="preserve">institutions or investment firms in consistency with the rules set out in the Payment Services</w:t>
      </w:r>
      <w:r>
        <w:t xml:space="preserve"> </w:t>
      </w:r>
      <w:r>
        <w:t xml:space="preserve">Directive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5.</w:t>
      </w:r>
      <w:r>
        <w:t xml:space="preserve"> </w:t>
      </w:r>
      <w:r>
        <w:t xml:space="preserve">Revise the approach to temporary high balances which includes:</w:t>
      </w:r>
      <w:r>
        <w:t xml:space="preserve"> </w:t>
      </w:r>
      <w:r>
        <w:t xml:space="preserve">-</w:t>
      </w:r>
      <w:r>
        <w:t xml:space="preserve"> </w:t>
      </w:r>
      <w:r>
        <w:t xml:space="preserve">aligning the level of coverage and the duration for depositor claims for temporary high</w:t>
      </w:r>
      <w:r>
        <w:t xml:space="preserve"> </w:t>
      </w:r>
      <w:r>
        <w:t xml:space="preserve">balances across EU Member States;</w:t>
      </w:r>
      <w:r>
        <w:t xml:space="preserve"> </w:t>
      </w:r>
      <w:r>
        <w:t xml:space="preserve">-</w:t>
      </w:r>
      <w:r>
        <w:t xml:space="preserve"> </w:t>
      </w:r>
      <w:r>
        <w:t xml:space="preserve">clarifying the scope of protection of temporary high balances regarding real estate</w:t>
      </w:r>
      <w:r>
        <w:t xml:space="preserve"> </w:t>
      </w:r>
      <w:r>
        <w:t xml:space="preserve">transactions;</w:t>
      </w:r>
      <w:r>
        <w:t xml:space="preserve"> </w:t>
      </w:r>
      <w:r>
        <w:t xml:space="preserve">-</w:t>
      </w:r>
      <w:r>
        <w:t xml:space="preserve"> </w:t>
      </w:r>
      <w:r>
        <w:t xml:space="preserve">increase depositors’ awareness about the protection of temporary high balances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6.</w:t>
      </w:r>
      <w:r>
        <w:t xml:space="preserve"> </w:t>
      </w:r>
      <w:r>
        <w:t xml:space="preserve">Revise the protection of deposits of public authorities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7.</w:t>
      </w:r>
      <w:r>
        <w:t xml:space="preserve"> </w:t>
      </w:r>
      <w:r>
        <w:t xml:space="preserve">Revise operational aspects of DGS payouts related to timelines for repayment which includes</w:t>
      </w:r>
      <w:r>
        <w:t xml:space="preserve"> </w:t>
      </w:r>
      <w:r>
        <w:t xml:space="preserve">-</w:t>
      </w:r>
      <w:r>
        <w:t xml:space="preserve"> </w:t>
      </w:r>
      <w:r>
        <w:t xml:space="preserve">repayment of beneficiary accounts</w:t>
      </w:r>
      <w:r>
        <w:br/>
      </w:r>
      <w:r>
        <w:t xml:space="preserve">-</w:t>
      </w:r>
      <w:r>
        <w:t xml:space="preserve"> </w:t>
      </w:r>
      <w:r>
        <w:t xml:space="preserve">end of the payout period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8.</w:t>
      </w:r>
      <w:r>
        <w:t xml:space="preserve"> </w:t>
      </w:r>
      <w:r>
        <w:t xml:space="preserve">Improve depositor information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9.</w:t>
      </w:r>
      <w:r>
        <w:t xml:space="preserve"> </w:t>
      </w:r>
      <w:r>
        <w:t xml:space="preserve">Improve the cross-border cooperation between DGSs which includes:</w:t>
      </w:r>
      <w:r>
        <w:t xml:space="preserve"> </w:t>
      </w:r>
      <w:r>
        <w:t xml:space="preserve">-</w:t>
      </w:r>
      <w:r>
        <w:t xml:space="preserve"> </w:t>
      </w:r>
      <w:r>
        <w:t xml:space="preserve">enabling the home DGS to repay depositors at branches directly if it is ‘at least as easy’</w:t>
      </w:r>
      <w:r>
        <w:t xml:space="preserve"> </w:t>
      </w:r>
      <w:r>
        <w:t xml:space="preserve">as in the currently applicable procedure;</w:t>
      </w:r>
      <w:r>
        <w:br/>
      </w:r>
      <w:r>
        <w:t xml:space="preserve">-</w:t>
      </w:r>
      <w:r>
        <w:t xml:space="preserve"> </w:t>
      </w:r>
      <w:r>
        <w:t xml:space="preserve">clarifying the treatment of passported services without having established branches;</w:t>
      </w:r>
      <w:r>
        <w:br/>
      </w:r>
      <w:r>
        <w:t xml:space="preserve">-</w:t>
      </w:r>
      <w:r>
        <w:t xml:space="preserve"> </w:t>
      </w:r>
      <w:r>
        <w:t xml:space="preserve">revising the rules on the transfer of contributions in the event that a credit institution</w:t>
      </w:r>
      <w:r>
        <w:t xml:space="preserve"> </w:t>
      </w:r>
      <w:r>
        <w:t xml:space="preserve">changes its affiliation to DGS.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10. Revise the approach to set-off of liabilities fallen due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11. Clarify the definition of available financial means which include:</w:t>
      </w:r>
      <w:r>
        <w:t xml:space="preserve"> </w:t>
      </w:r>
      <w:r>
        <w:t xml:space="preserve">-</w:t>
      </w:r>
      <w:r>
        <w:t xml:space="preserve"> </w:t>
      </w:r>
      <w:r>
        <w:t xml:space="preserve">the reporting of the borrowed resources;</w:t>
      </w:r>
      <w:r>
        <w:t xml:space="preserve"> </w:t>
      </w:r>
      <w:r>
        <w:t xml:space="preserve">-</w:t>
      </w:r>
      <w:r>
        <w:t xml:space="preserve"> </w:t>
      </w:r>
      <w:r>
        <w:t xml:space="preserve">the administrative fees, funds recovered in insolvency, income from investments and</w:t>
      </w:r>
      <w:r>
        <w:t xml:space="preserve"> </w:t>
      </w:r>
      <w:r>
        <w:t xml:space="preserve">unclaimed repayments;</w:t>
      </w:r>
    </w:p>
    <w:bookmarkEnd w:id="13"/>
    <w:bookmarkStart w:id="14" w:name="x"/>
    <w:p>
      <w:pPr>
        <w:pStyle w:val="Heading2"/>
      </w:pPr>
      <w:r>
        <w:t xml:space="preserve">x</w:t>
      </w:r>
    </w:p>
    <w:p>
      <w:pPr>
        <w:pStyle w:val="FirstParagraph"/>
      </w:pPr>
      <w:r>
        <w:t xml:space="preserve">irrevocable payment commitments.</w:t>
      </w:r>
    </w:p>
    <w:bookmarkEnd w:id="14"/>
    <w:bookmarkStart w:id="15" w:name="x-1"/>
    <w:p>
      <w:pPr>
        <w:pStyle w:val="Heading2"/>
      </w:pPr>
      <w:r>
        <w:t xml:space="preserve">x</w:t>
      </w:r>
    </w:p>
    <w:p>
      <w:pPr>
        <w:pStyle w:val="FirstParagraph"/>
      </w:pPr>
      <w:r>
        <w:t xml:space="preserve">the conditions around the cancellation of payment commitments</w:t>
      </w:r>
      <w:r>
        <w:t xml:space="preserve"> </w:t>
      </w:r>
      <w:r>
        <w:t xml:space="preserve">x</w:t>
      </w:r>
    </w:p>
    <w:bookmarkEnd w:id="15"/>
    <w:bookmarkStart w:id="16" w:name="X78bafc8c799e24b6e9aeb9cbcc3ceb9a1e4c32a"/>
    <w:p>
      <w:pPr>
        <w:pStyle w:val="Heading2"/>
      </w:pPr>
      <w:r>
        <w:t xml:space="preserve">12. Clarify the rules on DGS funding sources and the related investment strategy which includes:</w:t>
      </w:r>
    </w:p>
    <w:bookmarkEnd w:id="16"/>
    <w:bookmarkStart w:id="17" w:name="Xaced8dceefe875c20fea629bf71fe7d3047352d"/>
    <w:p>
      <w:pPr>
        <w:pStyle w:val="Heading2"/>
      </w:pPr>
      <w:r>
        <w:t xml:space="preserve">the sequence in the use of DGS funding sources and the related investment strategy;</w:t>
      </w:r>
    </w:p>
    <w:p>
      <w:pPr>
        <w:pStyle w:val="FirstParagraph"/>
      </w:pPr>
      <w:r>
        <w:t xml:space="preserve">the use of alternative funding arrangements.</w:t>
      </w:r>
    </w:p>
    <w:p>
      <w:pPr>
        <w:pStyle w:val="Compact"/>
        <w:numPr>
          <w:ilvl w:val="0"/>
          <w:numId w:val="1019"/>
        </w:numPr>
      </w:pPr>
      <w:r>
        <w:t xml:space="preserve">Clarify the use of DGS funds for alternative uses other than payouts, including the least cost test.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14. Assess the adequacy of the definition of low risk assets</w:t>
      </w:r>
      <w:r>
        <w:t xml:space="preserve"> </w:t>
      </w:r>
      <w:r>
        <w:t xml:space="preserve">x</w:t>
      </w:r>
    </w:p>
    <w:p>
      <w:pPr>
        <w:numPr>
          <w:ilvl w:val="0"/>
          <w:numId w:val="1020"/>
        </w:numPr>
      </w:pPr>
      <w:r>
        <w:t xml:space="preserve">Explore the merits of the use of failed institutions’ assets for a DGS payout</w:t>
      </w:r>
      <w:r>
        <w:br/>
      </w:r>
      <w:r>
        <w:t xml:space="preserve">x</w:t>
      </w:r>
    </w:p>
    <w:p>
      <w:pPr>
        <w:numPr>
          <w:ilvl w:val="0"/>
          <w:numId w:val="1020"/>
        </w:numPr>
      </w:pPr>
      <w:r>
        <w:t xml:space="preserve">Clarify the reference date for covered deposits data for the calculation of the target level in 2024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17. Clarify the treatment of third country branches which includes:</w:t>
      </w:r>
      <w:r>
        <w:br/>
      </w:r>
      <w:r>
        <w:t xml:space="preserve">-</w:t>
      </w:r>
      <w:r>
        <w:t xml:space="preserve"> </w:t>
      </w:r>
      <w:r>
        <w:t xml:space="preserve">requiring the third country branches of non-EU credit institutions to join an EU DGS,</w:t>
      </w:r>
      <w:r>
        <w:t xml:space="preserve"> </w:t>
      </w:r>
      <w:r>
        <w:t xml:space="preserve">with possible derogations</w:t>
      </w:r>
    </w:p>
    <w:bookmarkEnd w:id="17"/>
    <w:bookmarkStart w:id="18" w:name="x-2"/>
    <w:p>
      <w:pPr>
        <w:pStyle w:val="Heading2"/>
      </w:pPr>
      <w:r>
        <w:t xml:space="preserve">x</w:t>
      </w:r>
    </w:p>
    <w:p>
      <w:pPr>
        <w:pStyle w:val="FirstParagraph"/>
      </w:pPr>
      <w:r>
        <w:t xml:space="preserve">clarifying the deposits of the third country branches of EU/EEA credit institutions</w:t>
      </w:r>
      <w:r>
        <w:t xml:space="preserve"> </w:t>
      </w:r>
      <w:r>
        <w:t xml:space="preserve">located outside the EU/EEA are not protected by the DGSD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21"/>
        </w:numPr>
      </w:pPr>
      <w:r>
        <w:t xml:space="preserve">WHAT ARE THE IMPACTS OF THE OPTIONS AND HOW DO THEY COMPARE?</w:t>
      </w:r>
      <w:r>
        <w:t xml:space="preserve"> </w:t>
      </w:r>
      <w:r>
        <w:t xml:space="preserve">This section provides only a high-level summary of the comparison of options, as the</w:t>
      </w:r>
      <w:r>
        <w:t xml:space="preserve"> </w:t>
      </w:r>
      <w:r>
        <w:t xml:space="preserve">EBA assessed the options in detail (including quantitatively when relevant).</w:t>
      </w:r>
      <w:r>
        <w:t xml:space="preserve"> </w:t>
      </w:r>
      <w:r>
        <w:t xml:space="preserve">3.1. Option 1: Do nothing and maintain the current provisions</w:t>
      </w:r>
      <w:r>
        <w:t xml:space="preserve"> </w:t>
      </w:r>
      <w:r>
        <w:t xml:space="preserve">This is the status quo. In view of the feedback from the EGBPI on the EBA’s suggestions</w:t>
      </w:r>
      <w:r>
        <w:t xml:space="preserve"> </w:t>
      </w:r>
      <w:r>
        <w:t xml:space="preserve">on issue 1 and 14, no change is considered necessary to the applicable DGSD provisions</w:t>
      </w:r>
      <w:r>
        <w:t xml:space="preserve"> </w:t>
      </w:r>
      <w:r>
        <w:t xml:space="preserve">to be interpreted in line with recent case law398. Option 1 would also seem suitable</w:t>
      </w:r>
      <w:r>
        <w:t xml:space="preserve"> </w:t>
      </w:r>
      <w:r>
        <w:t xml:space="preserve">concerning the use of failed institutions’ assets for a payout as a new tool in the DGSD</w:t>
      </w:r>
      <w:r>
        <w:t xml:space="preserve"> </w:t>
      </w:r>
      <w:r>
        <w:t xml:space="preserve">(issue 15) because of limited evidence to assess its costs and benefits. While this tool</w:t>
      </w:r>
      <w:r>
        <w:t xml:space="preserve"> </w:t>
      </w:r>
      <w:r>
        <w:t xml:space="preserve">seems available in two Member States, there is a low likelihood that a failed institution</w:t>
      </w:r>
      <w:r>
        <w:t xml:space="preserve"> </w:t>
      </w:r>
      <w:r>
        <w:t xml:space="preserve">would have important amount of liquid assets to pay depositors in the DGS’ stead.</w:t>
      </w:r>
      <w:r>
        <w:t xml:space="preserve"> </w:t>
      </w:r>
      <w:r>
        <w:t xml:space="preserve">Where a DGS would lack sufficient financial means, the presence of the common scheme</w:t>
      </w:r>
      <w:r>
        <w:t xml:space="preserve"> </w:t>
      </w:r>
      <w:r>
        <w:t xml:space="preserve">would achieve the same policy objective.</w:t>
      </w:r>
    </w:p>
    <w:p>
      <w:pPr>
        <w:pStyle w:val="FirstParagraph"/>
      </w:pPr>
      <w:r>
        <w:t xml:space="preserve">3.2. Option 2: Follow the EBA advice</w:t>
      </w:r>
    </w:p>
    <w:p>
      <w:pPr>
        <w:pStyle w:val="BodyText"/>
      </w:pPr>
      <w:r>
        <w:t xml:space="preserve">398 The EU CJEU has clarified the meaning of the concept ‘normal banking transactions’ in the judgment</w:t>
      </w:r>
      <w:r>
        <w:t xml:space="preserve"> </w:t>
      </w:r>
      <w:r>
        <w:t xml:space="preserve">of 22 March 2018 (Joined cases C- 688/15 and C- 109/16 Anisimovienė and Others v. Snoras).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Option 2 would improve the depositor protection, while clarifying the existing provisions</w:t>
      </w:r>
      <w:r>
        <w:t xml:space="preserve"> </w:t>
      </w:r>
      <w:r>
        <w:t xml:space="preserve">to remedy the application issues. Lack of clarity also exists in the interplay between</w:t>
      </w:r>
      <w:r>
        <w:t xml:space="preserve"> </w:t>
      </w:r>
      <w:r>
        <w:t xml:space="preserve">DGSD rules and other sectoral legislation (see sections Error! Reference source not</w:t>
      </w:r>
      <w:r>
        <w:t xml:space="preserve"> </w:t>
      </w:r>
      <w:r>
        <w:t xml:space="preserve">found. and 7.4.6).</w:t>
      </w:r>
      <w:r>
        <w:t xml:space="preserve"> </w:t>
      </w:r>
      <w:r>
        <w:t xml:space="preserve">3.2.1. Treatment of structured deposits and dormant accounts</w:t>
      </w:r>
      <w:r>
        <w:br/>
      </w:r>
      <w:r>
        <w:t xml:space="preserve">Issue</w:t>
      </w:r>
      <w:r>
        <w:t xml:space="preserve"> </w:t>
      </w:r>
      <w:r>
        <w:t xml:space="preserve">The EBA identified the lack of clarity and inconsistent application regarding the</w:t>
      </w:r>
      <w:r>
        <w:t xml:space="preserve"> </w:t>
      </w:r>
      <w:r>
        <w:t xml:space="preserve">treatment of the structured deposits under Article 4(1)(43) of MiFID II399 and of the</w:t>
      </w:r>
      <w:r>
        <w:t xml:space="preserve"> </w:t>
      </w:r>
      <w:r>
        <w:t xml:space="preserve">dormant accounts. Both issues appear relatively immaterial but, if encountered, may</w:t>
      </w:r>
      <w:r>
        <w:t xml:space="preserve"> </w:t>
      </w:r>
      <w:r>
        <w:t xml:space="preserve">create operational difficulties. Notably, the market size for structured deposits seems</w:t>
      </w:r>
      <w:r>
        <w:t xml:space="preserve"> </w:t>
      </w:r>
      <w:r>
        <w:t xml:space="preserve">small400.</w:t>
      </w:r>
      <w:r>
        <w:br/>
      </w:r>
      <w:r>
        <w:t xml:space="preserve">Analysis</w:t>
      </w:r>
      <w:r>
        <w:t xml:space="preserve"> </w:t>
      </w:r>
      <w:r>
        <w:t xml:space="preserve">In relation to dormant accounts, the best approach would be to clarify that DGSs are</w:t>
      </w:r>
      <w:r>
        <w:t xml:space="preserve"> </w:t>
      </w:r>
      <w:r>
        <w:t xml:space="preserve">required to aggregate the deposits on multiple accounts of a depositor if at least one of</w:t>
      </w:r>
      <w:r>
        <w:t xml:space="preserve"> </w:t>
      </w:r>
      <w:r>
        <w:t xml:space="preserve">them is active. In addition, the revised framework would modify the current rule that</w:t>
      </w:r>
      <w:r>
        <w:t xml:space="preserve"> </w:t>
      </w:r>
      <w:r>
        <w:t xml:space="preserve">prevents a DGS from repaying dormant account below a certain administrative threshold.</w:t>
      </w:r>
      <w:r>
        <w:t xml:space="preserve"> </w:t>
      </w:r>
      <w:r>
        <w:t xml:space="preserve">In principle, the DGSs should be in the position to repay also a dormant account because,</w:t>
      </w:r>
      <w:r>
        <w:t xml:space="preserve"> </w:t>
      </w:r>
      <w:r>
        <w:t xml:space="preserve">in practice, this may be less costly. The depositor should be entitled to request the</w:t>
      </w:r>
      <w:r>
        <w:t xml:space="preserve"> </w:t>
      </w:r>
      <w:r>
        <w:t xml:space="preserve">repayment of his/her dormant account, even if it is below an administrative cost.</w:t>
      </w:r>
      <w:r>
        <w:t xml:space="preserve"> </w:t>
      </w:r>
      <w:r>
        <w:t xml:space="preserve">3.2.2. Unavailable deposits</w:t>
      </w:r>
      <w:r>
        <w:br/>
      </w:r>
      <w:r>
        <w:t xml:space="preserve">Issue</w:t>
      </w:r>
      <w:r>
        <w:t xml:space="preserve"> </w:t>
      </w:r>
      <w:r>
        <w:t xml:space="preserve">The key task of a DGS is to protect depositors against the consequences of the</w:t>
      </w:r>
      <w:r>
        <w:t xml:space="preserve"> </w:t>
      </w:r>
      <w:r>
        <w:t xml:space="preserve">insolvency of a credit institution. In this regard, authorities are required to determine</w:t>
      </w:r>
      <w:r>
        <w:t xml:space="preserve"> </w:t>
      </w:r>
      <w:r>
        <w:t xml:space="preserve">unavailable deposits where the credit institution is unable for reasons directly related to</w:t>
      </w:r>
      <w:r>
        <w:t xml:space="preserve"> </w:t>
      </w:r>
      <w:r>
        <w:t xml:space="preserve">its financial circumstances to repay the deposit401. The EBA pointed out a number of</w:t>
      </w:r>
      <w:r>
        <w:t xml:space="preserve"> </w:t>
      </w:r>
      <w:r>
        <w:t xml:space="preserve">instances where depositors were unable to withdraw their deposits for reasons other than</w:t>
      </w:r>
      <w:r>
        <w:t xml:space="preserve"> </w:t>
      </w:r>
      <w:r>
        <w:t xml:space="preserve">liquidity issues (e.g. Anti-Money Laundering/Combating the Financing of Terrorism</w:t>
      </w:r>
      <w:r>
        <w:t xml:space="preserve"> </w:t>
      </w:r>
      <w:r>
        <w:t xml:space="preserve">(AML/CFT) concerns, technical issues). While such cases are likely to remain rare, also</w:t>
      </w:r>
      <w:r>
        <w:t xml:space="preserve"> </w:t>
      </w:r>
      <w:r>
        <w:t xml:space="preserve">in view of the current efforts to strengthen the AML/CFT framework, the DGSD does</w:t>
      </w:r>
      <w:r>
        <w:t xml:space="preserve"> </w:t>
      </w:r>
      <w:r>
        <w:t xml:space="preserve">not cater for a solution for depositors unable to access their deposits for a long period in</w:t>
      </w:r>
      <w:r>
        <w:t xml:space="preserve"> </w:t>
      </w:r>
      <w:r>
        <w:t xml:space="preserve">such rare circumstances.</w:t>
      </w:r>
    </w:p>
    <w:p>
      <w:pPr>
        <w:pStyle w:val="BodyText"/>
      </w:pPr>
      <w:r>
        <w:t xml:space="preserve">Analysis</w:t>
      </w:r>
    </w:p>
    <w:p>
      <w:pPr>
        <w:pStyle w:val="BodyText"/>
      </w:pPr>
      <w:r>
        <w:t xml:space="preserve">399 Under Article 4(1)(43) MIFID II, structured deposits are deposits defined in Article 2(1)(3) DGSD,</w:t>
      </w:r>
      <w:r>
        <w:t xml:space="preserve"> </w:t>
      </w:r>
      <w:r>
        <w:t xml:space="preserve">which is “fully repayable at maturity on terms under which interest or a premium will be paid or is at risk,</w:t>
      </w:r>
      <w:r>
        <w:t xml:space="preserve"> </w:t>
      </w:r>
      <w:r>
        <w:t xml:space="preserve">according to a formula on index or combination of indices, financial instruments, commodities, foreign</w:t>
      </w:r>
      <w:r>
        <w:t xml:space="preserve"> </w:t>
      </w:r>
      <w:r>
        <w:t xml:space="preserve">exchange rates.”</w:t>
      </w:r>
      <w:r>
        <w:t xml:space="preserve"> </w:t>
      </w:r>
      <w:r>
        <w:t xml:space="preserve">400 EBA (January 2019), EBA report on cost and past performance of structured deposits.</w:t>
      </w:r>
      <w:r>
        <w:t xml:space="preserve"> </w:t>
      </w:r>
      <w:r>
        <w:t xml:space="preserve">401 Article 2(1)(8)(a) DGSD provides: “the relevant administrative authority have determined that in their</w:t>
      </w:r>
      <w:r>
        <w:t xml:space="preserve"> </w:t>
      </w:r>
      <w:r>
        <w:t xml:space="preserve">view the credit institution concerned appears to be unable for the time being, for reasons which are directly</w:t>
      </w:r>
      <w:r>
        <w:t xml:space="preserve"> </w:t>
      </w:r>
      <w:r>
        <w:t xml:space="preserve">related to its financial circumstances, to repay the deposit and the institution has no current prospect of</w:t>
      </w:r>
      <w:r>
        <w:t xml:space="preserve"> </w:t>
      </w:r>
      <w:r>
        <w:t xml:space="preserve">being able to do so”.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The subsequent feedback from the EGBPI supported retaining the current responsibility</w:t>
      </w:r>
      <w:r>
        <w:t xml:space="preserve"> </w:t>
      </w:r>
      <w:r>
        <w:t xml:space="preserve">of the DGSs solely for cases where the credit institution has insufficient liquidity to repay</w:t>
      </w:r>
      <w:r>
        <w:t xml:space="preserve"> </w:t>
      </w:r>
      <w:r>
        <w:t xml:space="preserve">the deposits. While the DGSD already provides for stringent rules to make a</w:t>
      </w:r>
      <w:r>
        <w:t xml:space="preserve"> </w:t>
      </w:r>
      <w:r>
        <w:t xml:space="preserve">determination of unavailable deposits within a short timeline, it is somewhat part of an</w:t>
      </w:r>
      <w:r>
        <w:t xml:space="preserve"> </w:t>
      </w:r>
      <w:r>
        <w:t xml:space="preserve">authority’s administrative discretion to assess the lacking access to deposits as a</w:t>
      </w:r>
      <w:r>
        <w:t xml:space="preserve"> </w:t>
      </w:r>
      <w:r>
        <w:t xml:space="preserve">‘financial circumstance’ preventing the credit institution to repay. The discussions also</w:t>
      </w:r>
      <w:r>
        <w:t xml:space="preserve"> </w:t>
      </w:r>
      <w:r>
        <w:t xml:space="preserve">implied that Member States handle similar cases differently, sometimes triggering the</w:t>
      </w:r>
      <w:r>
        <w:t xml:space="preserve"> </w:t>
      </w:r>
      <w:r>
        <w:t xml:space="preserve">DGS and sometimes not irrespective of the depositors (and their inaccessible deposits).</w:t>
      </w:r>
      <w:r>
        <w:t xml:space="preserve"> </w:t>
      </w:r>
      <w:r>
        <w:t xml:space="preserve">In any case, there is merit to clarify that where the suspension of payment or delivery</w:t>
      </w:r>
      <w:r>
        <w:t xml:space="preserve"> </w:t>
      </w:r>
      <w:r>
        <w:t xml:space="preserve">obligations (national supervisory moratoria) is not directly related to the financial</w:t>
      </w:r>
      <w:r>
        <w:t xml:space="preserve"> </w:t>
      </w:r>
      <w:r>
        <w:t xml:space="preserve">circumstances of the credit institution (e.g. AML reasons, sanctions), deposits might not</w:t>
      </w:r>
      <w:r>
        <w:t xml:space="preserve"> </w:t>
      </w:r>
      <w:r>
        <w:t xml:space="preserve">be unavailable for the purposes of Directive 2014/49/EU. To maintain depositor trust and</w:t>
      </w:r>
      <w:r>
        <w:t xml:space="preserve"> </w:t>
      </w:r>
      <w:r>
        <w:t xml:space="preserve">confidence in the banking sector and maintain financial stability, it is appropriate to</w:t>
      </w:r>
      <w:r>
        <w:t xml:space="preserve"> </w:t>
      </w:r>
      <w:r>
        <w:t xml:space="preserve">require Member States to ensure that depositors have access to an appropriate daily</w:t>
      </w:r>
      <w:r>
        <w:t xml:space="preserve"> </w:t>
      </w:r>
      <w:r>
        <w:t xml:space="preserve">amount from their deposits, should they be made inaccessible due to a suspension of</w:t>
      </w:r>
      <w:r>
        <w:t xml:space="preserve"> </w:t>
      </w:r>
      <w:r>
        <w:t xml:space="preserve">payments for reasons other than leading to depositor payout.</w:t>
      </w:r>
      <w:r>
        <w:t xml:space="preserve"> </w:t>
      </w:r>
      <w:r>
        <w:t xml:space="preserve">3.2.3. DGS payouts with ML/TF concerns</w:t>
      </w:r>
      <w:r>
        <w:br/>
      </w:r>
      <w:r>
        <w:t xml:space="preserve">Issue</w:t>
      </w:r>
      <w:r>
        <w:t xml:space="preserve"> </w:t>
      </w:r>
      <w:r>
        <w:t xml:space="preserve">The EBA identified the lack of explicit provisions regarding the interplay between the</w:t>
      </w:r>
      <w:r>
        <w:t xml:space="preserve"> </w:t>
      </w:r>
      <w:r>
        <w:t xml:space="preserve">DGSD and AML/CFT rules. These gaps have contributed to the adoption of divergent</w:t>
      </w:r>
      <w:r>
        <w:t xml:space="preserve"> </w:t>
      </w:r>
      <w:r>
        <w:t xml:space="preserve">approaches across Member States to the treatment of depositors in situations where</w:t>
      </w:r>
      <w:r>
        <w:t xml:space="preserve"> </w:t>
      </w:r>
      <w:r>
        <w:t xml:space="preserve">ML/TF concerns exist. Consequently, the obligations under the AML/CFT and DGSD</w:t>
      </w:r>
      <w:r>
        <w:t xml:space="preserve"> </w:t>
      </w:r>
      <w:r>
        <w:t xml:space="preserve">framework were not applied effectively, failing to reconcile their respective objectives,</w:t>
      </w:r>
      <w:r>
        <w:t xml:space="preserve"> </w:t>
      </w:r>
      <w:r>
        <w:t xml:space="preserve">i.e. to prevent criminals from exploiting the EU’s financial system to launder the</w:t>
      </w:r>
      <w:r>
        <w:t xml:space="preserve"> </w:t>
      </w:r>
      <w:r>
        <w:t xml:space="preserve">proceeds of their illicit activities and to protect financial stability.</w:t>
      </w:r>
      <w:r>
        <w:br/>
      </w:r>
      <w:r>
        <w:t xml:space="preserve">Analysis</w:t>
      </w:r>
      <w:r>
        <w:br/>
      </w:r>
      <w:r>
        <w:t xml:space="preserve">The feedback from the EGBPI supported the suggested enhancements of the cooperation</w:t>
      </w:r>
      <w:r>
        <w:t xml:space="preserve"> </w:t>
      </w:r>
      <w:r>
        <w:t xml:space="preserve">between the respective authorities (also addressed in the review of the AML/CFT</w:t>
      </w:r>
      <w:r>
        <w:t xml:space="preserve"> </w:t>
      </w:r>
      <w:r>
        <w:t xml:space="preserve">framework) and of the DGS preparedness prior and during payouts. In this view, the</w:t>
      </w:r>
      <w:r>
        <w:t xml:space="preserve"> </w:t>
      </w:r>
      <w:r>
        <w:t xml:space="preserve">appropriate approach would be to clarify the legal basis for suspending reimbursements</w:t>
      </w:r>
      <w:r>
        <w:t xml:space="preserve"> </w:t>
      </w:r>
      <w:r>
        <w:t xml:space="preserve">to depositors suspicious of ML/TF, in full respect of fundamental freedoms. Overall, the</w:t>
      </w:r>
      <w:r>
        <w:t xml:space="preserve"> </w:t>
      </w:r>
      <w:r>
        <w:t xml:space="preserve">clarifications aim to minimise the risk of the situations where ML/TF concerns arise</w:t>
      </w:r>
      <w:r>
        <w:t xml:space="preserve"> </w:t>
      </w:r>
      <w:r>
        <w:t xml:space="preserve">close to or during DGS payouts. In line with the feedback received, the mandate of DGSs</w:t>
      </w:r>
      <w:r>
        <w:t xml:space="preserve"> </w:t>
      </w:r>
      <w:r>
        <w:t xml:space="preserve">to repay depositors would remain unchanged. DGSs have no obligations pertaining to the</w:t>
      </w:r>
      <w:r>
        <w:t xml:space="preserve"> </w:t>
      </w:r>
      <w:r>
        <w:t xml:space="preserve">ML/TF assessment and should bear no liability even in the rare events where ML/TF</w:t>
      </w:r>
      <w:r>
        <w:t xml:space="preserve"> </w:t>
      </w:r>
      <w:r>
        <w:t xml:space="preserve">concerns are detected after the actual reimbursement.</w:t>
      </w:r>
      <w:r>
        <w:t xml:space="preserve"> </w:t>
      </w:r>
      <w:r>
        <w:t xml:space="preserve">3.2.4. Protection of client funds</w:t>
      </w:r>
      <w:r>
        <w:br/>
      </w:r>
      <w:r>
        <w:t xml:space="preserve">Issue</w:t>
      </w:r>
      <w:r>
        <w:t xml:space="preserve"> </w:t>
      </w:r>
      <w:r>
        <w:t xml:space="preserve">The client funds are credited to an account of non-bank institutions at a credit institution</w:t>
      </w:r>
      <w:r>
        <w:t xml:space="preserve"> </w:t>
      </w:r>
      <w:r>
        <w:t xml:space="preserve">on behalf of their clients. Similarly to so-called beneficiary accounts (typically held by</w:t>
      </w:r>
      <w:r>
        <w:t xml:space="preserve"> </w:t>
      </w:r>
      <w:r>
        <w:t xml:space="preserve">notaries), they are characterised by a high number of ultimately entitled beneficial</w:t>
      </w:r>
      <w:r>
        <w:t xml:space="preserve"> </w:t>
      </w:r>
      <w:r>
        <w:t xml:space="preserve">owners and a high turnover of funds. The EBA highlighted inconsistent approaches to the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DGS protection of such client funds across Member States and suggested clarifications in</w:t>
      </w:r>
      <w:r>
        <w:t xml:space="preserve"> </w:t>
      </w:r>
      <w:r>
        <w:t xml:space="preserve">consistency with applicable sectoral legislation applicable to investment firms, payment</w:t>
      </w:r>
      <w:r>
        <w:t xml:space="preserve"> </w:t>
      </w:r>
      <w:r>
        <w:t xml:space="preserve">and e-money institutions.</w:t>
      </w:r>
      <w:r>
        <w:br/>
      </w:r>
      <w:r>
        <w:t xml:space="preserve">On 27 October 2021, EBA published the opinion402 on the treatment of client funds and</w:t>
      </w:r>
      <w:r>
        <w:t xml:space="preserve"> </w:t>
      </w:r>
      <w:r>
        <w:t xml:space="preserve">other aspects, including on the deposited volumes and potential concentration risk.</w:t>
      </w:r>
      <w:r>
        <w:br/>
      </w:r>
      <w:r>
        <w:t xml:space="preserve">Analysis</w:t>
      </w:r>
      <w:r>
        <w:t xml:space="preserve"> </w:t>
      </w:r>
      <w:r>
        <w:t xml:space="preserve">The subsequent feedback from the EGBPI confirmed the importance of such protection</w:t>
      </w:r>
      <w:r>
        <w:t xml:space="preserve"> </w:t>
      </w:r>
      <w:r>
        <w:t xml:space="preserve">in the event of the credit institution’s failure. Subject to safeguarding requirements in the</w:t>
      </w:r>
      <w:r>
        <w:t xml:space="preserve"> </w:t>
      </w:r>
      <w:r>
        <w:t xml:space="preserve">sectoral legislation, this protection would benefit from more convergence with respect to</w:t>
      </w:r>
      <w:r>
        <w:t xml:space="preserve"> </w:t>
      </w:r>
      <w:r>
        <w:t xml:space="preserve">the moment when such client funds benefit from the DGS protection403 . It would remove</w:t>
      </w:r>
      <w:r>
        <w:t xml:space="preserve"> </w:t>
      </w:r>
      <w:r>
        <w:t xml:space="preserve">the discrepancies observed in the protection granted to clients of investment firms,</w:t>
      </w:r>
      <w:r>
        <w:t xml:space="preserve"> </w:t>
      </w:r>
      <w:r>
        <w:t xml:space="preserve">payment and e-money institutions clients. It would also be consistent with the suggestion</w:t>
      </w:r>
      <w:r>
        <w:t xml:space="preserve"> </w:t>
      </w:r>
      <w:r>
        <w:t xml:space="preserve">of the F4F Platform for addressing this issue404.</w:t>
      </w:r>
      <w:r>
        <w:br/>
      </w:r>
      <w:r>
        <w:t xml:space="preserve">Under a bespoke regime applicable for such accounts, DGSs would disburse to the</w:t>
      </w:r>
      <w:r>
        <w:t xml:space="preserve"> </w:t>
      </w:r>
      <w:r>
        <w:t xml:space="preserve">account holder for the benefit of the client (rather than directly to individual clients)</w:t>
      </w:r>
      <w:r>
        <w:t xml:space="preserve"> </w:t>
      </w:r>
      <w:r>
        <w:t xml:space="preserve">where necessary and appropriate to preserve the firms’ business continuity and to reduce</w:t>
      </w:r>
      <w:r>
        <w:t xml:space="preserve"> </w:t>
      </w:r>
      <w:r>
        <w:t xml:space="preserve">administrative burden on the part of DGSs. In addition, the sums of each client in client</w:t>
      </w:r>
      <w:r>
        <w:t xml:space="preserve"> </w:t>
      </w:r>
      <w:r>
        <w:t xml:space="preserve">accounts would not be aggregated with the sums on its regular deposit accounts. The fact</w:t>
      </w:r>
      <w:r>
        <w:t xml:space="preserve"> </w:t>
      </w:r>
      <w:r>
        <w:t xml:space="preserve">that depositors are usually neither aware nor in control over the choice of the bank</w:t>
      </w:r>
      <w:r>
        <w:t xml:space="preserve"> </w:t>
      </w:r>
      <w:r>
        <w:t xml:space="preserve">(selected by the account holder) would, therefore, justify a derogation from the principle</w:t>
      </w:r>
      <w:r>
        <w:t xml:space="preserve"> </w:t>
      </w:r>
      <w:r>
        <w:t xml:space="preserve">‘per depositor per bank’ whereby deposits are aggregated when calculating a repayable</w:t>
      </w:r>
      <w:r>
        <w:t xml:space="preserve"> </w:t>
      </w:r>
      <w:r>
        <w:t xml:space="preserve">amount. This policy choice, applied only in some Member States, is more favourable to</w:t>
      </w:r>
      <w:r>
        <w:t xml:space="preserve"> </w:t>
      </w:r>
      <w:r>
        <w:t xml:space="preserve">the depositors and conscious of the administrative burden, which would otherwise be</w:t>
      </w:r>
      <w:r>
        <w:t xml:space="preserve"> </w:t>
      </w:r>
      <w:r>
        <w:t xml:space="preserve">likely to increase under alternative policy choices405.</w:t>
      </w:r>
      <w:r>
        <w:t xml:space="preserve"> </w:t>
      </w:r>
      <w:r>
        <w:t xml:space="preserve">3.2.5. Temporary high balances</w:t>
      </w:r>
      <w:r>
        <w:br/>
      </w:r>
      <w:r>
        <w:t xml:space="preserve">Issue</w:t>
      </w:r>
      <w:r>
        <w:t xml:space="preserve"> </w:t>
      </w:r>
      <w:r>
        <w:t xml:space="preserve">Temporary high balances are exceptional and short-lived deposits resulting from certain</w:t>
      </w:r>
      <w:r>
        <w:t xml:space="preserve"> </w:t>
      </w:r>
      <w:r>
        <w:t xml:space="preserve">life events including money deposited in connection with a real estate transaction, other</w:t>
      </w:r>
      <w:r>
        <w:t xml:space="preserve"> </w:t>
      </w:r>
      <w:r>
        <w:t xml:space="preserve">social events or insurance benefits. They result in larger balances and benefit from higher</w:t>
      </w:r>
      <w:r>
        <w:t xml:space="preserve"> </w:t>
      </w:r>
      <w:r>
        <w:t xml:space="preserve">protection.</w:t>
      </w:r>
      <w:r>
        <w:br/>
      </w:r>
      <w:r>
        <w:t xml:space="preserve">The EBA highlighted divergent approaches to the temporary high balances across</w:t>
      </w:r>
      <w:r>
        <w:t xml:space="preserve"> </w:t>
      </w:r>
      <w:r>
        <w:t xml:space="preserve">Member States, notably in the amount and duration of the protection.406 It noted that,</w:t>
      </w:r>
    </w:p>
    <w:p>
      <w:pPr>
        <w:pStyle w:val="BodyText"/>
      </w:pPr>
      <w:r>
        <w:t xml:space="preserve">402 EBA/Op/2021/11</w:t>
      </w:r>
      <w:r>
        <w:t xml:space="preserve"> </w:t>
      </w:r>
      <w:r>
        <w:t xml:space="preserve">403 Under current legislation, the precise moment when client funds become a deposit varies depending on</w:t>
      </w:r>
      <w:r>
        <w:t xml:space="preserve"> </w:t>
      </w:r>
      <w:r>
        <w:t xml:space="preserve">the product. While investment firms are required to safeguard such funds promptly, payment and e-money</w:t>
      </w:r>
      <w:r>
        <w:t xml:space="preserve"> </w:t>
      </w:r>
      <w:r>
        <w:t xml:space="preserve">institution are required to do so no later than by the end of the business day following the day when the</w:t>
      </w:r>
      <w:r>
        <w:t xml:space="preserve"> </w:t>
      </w:r>
      <w:r>
        <w:t xml:space="preserve">funds were received.</w:t>
      </w:r>
      <w:r>
        <w:br/>
      </w:r>
      <w:r>
        <w:t xml:space="preserve">404 See Annex 2.</w:t>
      </w:r>
      <w:r>
        <w:br/>
      </w:r>
      <w:r>
        <w:t xml:space="preserve">405 Other alternatives were discussed in the EGBPI in order to ensure optimal DGS protection, e.g. </w:t>
      </w:r>
      <w:r>
        <w:t xml:space="preserve"> </w:t>
      </w:r>
      <w:r>
        <w:t xml:space="preserve">requiring the account holder to inform clients about the implications of the choice of the bank from the</w:t>
      </w:r>
      <w:r>
        <w:t xml:space="preserve"> </w:t>
      </w:r>
      <w:r>
        <w:t xml:space="preserve">perspective of DGS protection or placing burden of proof on a client about the inability to choose a</w:t>
      </w:r>
      <w:r>
        <w:t xml:space="preserve"> </w:t>
      </w:r>
      <w:r>
        <w:t xml:space="preserve">different bank.</w:t>
      </w:r>
      <w:r>
        <w:t xml:space="preserve"> </w:t>
      </w:r>
      <w:r>
        <w:t xml:space="preserve">406 See CEPS study for their detailed overview; see also evaluation (Annex 5) section 7.1.4.2.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based on current experience, the reported claims for this type of repayment were rare (i.e. </w:t>
      </w:r>
      <w:r>
        <w:t xml:space="preserve"> </w:t>
      </w:r>
      <w:r>
        <w:t xml:space="preserve">on average, one claim per bank failure). Further, it took the view that different cost of</w:t>
      </w:r>
      <w:r>
        <w:t xml:space="preserve"> </w:t>
      </w:r>
      <w:r>
        <w:t xml:space="preserve">living across Member States did not hinder a harmonised coverage level for covered</w:t>
      </w:r>
      <w:r>
        <w:t xml:space="preserve"> </w:t>
      </w:r>
      <w:r>
        <w:t xml:space="preserve">deposits. Thus, a different cost of living should not be a hurdle to harmonise the amount</w:t>
      </w:r>
      <w:r>
        <w:t xml:space="preserve"> </w:t>
      </w:r>
      <w:r>
        <w:t xml:space="preserve">of temporary high balances and for the same duration at 6 months. The EBA also</w:t>
      </w:r>
      <w:r>
        <w:t xml:space="preserve"> </w:t>
      </w:r>
      <w:r>
        <w:t xml:space="preserve">suggested clarifying other related aspects of the temporary high balances, notably</w:t>
      </w:r>
      <w:r>
        <w:t xml:space="preserve"> </w:t>
      </w:r>
      <w:r>
        <w:t xml:space="preserve">regarding the funds placed in an account in connection with a transaction to purchase or</w:t>
      </w:r>
      <w:r>
        <w:t xml:space="preserve"> </w:t>
      </w:r>
      <w:r>
        <w:t xml:space="preserve">sell a private residential property, and the eligibility of legal persons. The EBA also</w:t>
      </w:r>
      <w:r>
        <w:t xml:space="preserve"> </w:t>
      </w:r>
      <w:r>
        <w:t xml:space="preserve">recommended improving depositor information.</w:t>
      </w:r>
      <w:r>
        <w:br/>
      </w:r>
      <w:r>
        <w:t xml:space="preserve">Analysis on temporary high balances</w:t>
      </w:r>
      <w:r>
        <w:br/>
      </w:r>
      <w:r>
        <w:t xml:space="preserve">The impact assessment conducted by the EBA focused predominantly on the high</w:t>
      </w:r>
      <w:r>
        <w:t xml:space="preserve"> </w:t>
      </w:r>
      <w:r>
        <w:t xml:space="preserve">balances in connection with real estate transactions. Conversely, the other types of</w:t>
      </w:r>
      <w:r>
        <w:t xml:space="preserve"> </w:t>
      </w:r>
      <w:r>
        <w:t xml:space="preserve">balances related to events that serve social purposes and are linked to the life events such</w:t>
      </w:r>
      <w:r>
        <w:t xml:space="preserve"> </w:t>
      </w:r>
      <w:r>
        <w:t xml:space="preserve">as marriage, divorce, retirement, dismissal, redundancy, invalidity or death as well as</w:t>
      </w:r>
      <w:r>
        <w:t xml:space="preserve"> </w:t>
      </w:r>
      <w:r>
        <w:t xml:space="preserve">payment of insurance benefits or compensation for criminal injuries or wrongful</w:t>
      </w:r>
      <w:r>
        <w:t xml:space="preserve"> </w:t>
      </w:r>
      <w:r>
        <w:t xml:space="preserve">conviction, are considered much less material and, absent empirical evidence, also</w:t>
      </w:r>
      <w:r>
        <w:t xml:space="preserve"> </w:t>
      </w:r>
      <w:r>
        <w:t xml:space="preserve">subject to data limitations.</w:t>
      </w:r>
      <w:r>
        <w:t xml:space="preserve"> </w:t>
      </w:r>
      <w:r>
        <w:t xml:space="preserve">As regards the temporary high balances related to real estate transactions, the CEPS</w:t>
      </w:r>
      <w:r>
        <w:t xml:space="preserve"> </w:t>
      </w:r>
      <w:r>
        <w:t xml:space="preserve">study on the ONDs in the DGSD demonstrated the discrepancies in the coverage of</w:t>
      </w:r>
      <w:r>
        <w:t xml:space="preserve"> </w:t>
      </w:r>
      <w:r>
        <w:t xml:space="preserve">temporary high balances both in terms of coverage level and in term of duration. It also</w:t>
      </w:r>
      <w:r>
        <w:t xml:space="preserve"> </w:t>
      </w:r>
      <w:r>
        <w:t xml:space="preserve">found that their coverage amount could be harmonised at EUR 500 000.</w:t>
      </w:r>
      <w:r>
        <w:t xml:space="preserve"> </w:t>
      </w:r>
      <w:r>
        <w:t xml:space="preserve">Table 6: Temporary high balances: coverage level and duration of coverage</w:t>
      </w:r>
    </w:p>
    <w:p>
      <w:pPr>
        <w:pStyle w:val="BodyText"/>
      </w:pPr>
      <w:r>
        <w:t xml:space="preserve">3 months</w:t>
      </w:r>
      <w:r>
        <w:t xml:space="preserve"> </w:t>
      </w:r>
      <w:r>
        <w:t xml:space="preserve">6 months</w:t>
      </w:r>
      <w:r>
        <w:t xml:space="preserve"> </w:t>
      </w:r>
      <w:r>
        <w:t xml:space="preserve">9 months</w:t>
      </w:r>
      <w:r>
        <w:t xml:space="preserve"> </w:t>
      </w:r>
      <w:r>
        <w:t xml:space="preserve">12 months</w:t>
      </w:r>
      <w:r>
        <w:t xml:space="preserve"> </w:t>
      </w:r>
      <w:r>
        <w:t xml:space="preserve">Up to EUR 200 000</w:t>
      </w:r>
      <w:r>
        <w:t xml:space="preserve"> </w:t>
      </w:r>
      <w:r>
        <w:t xml:space="preserve">BG, CZ,</w:t>
      </w:r>
      <w:r>
        <w:t xml:space="preserve"> </w:t>
      </w:r>
      <w:r>
        <w:t xml:space="preserve">HR, HU,</w:t>
      </w:r>
      <w:r>
        <w:t xml:space="preserve"> </w:t>
      </w:r>
      <w:r>
        <w:t xml:space="preserve">LV, PL</w:t>
      </w:r>
      <w:r>
        <w:t xml:space="preserve"> </w:t>
      </w:r>
      <w:r>
        <w:t xml:space="preserve">CY, EE</w:t>
      </w:r>
    </w:p>
    <w:p>
      <w:pPr>
        <w:pStyle w:val="BodyText"/>
      </w:pPr>
      <w:r>
        <w:t xml:space="preserve">RO</w:t>
      </w:r>
      <w:r>
        <w:t xml:space="preserve"> </w:t>
      </w:r>
      <w:r>
        <w:t xml:space="preserve">EUR 200 000 – EUR 500 000</w:t>
      </w:r>
    </w:p>
    <w:p>
      <w:pPr>
        <w:pStyle w:val="BodyText"/>
      </w:pPr>
      <w:r>
        <w:t xml:space="preserve">EL, LT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EUR 500 000</w:t>
      </w:r>
      <w:r>
        <w:t xml:space="preserve"> </w:t>
      </w:r>
      <w:r>
        <w:t xml:space="preserve">FR, NL</w:t>
      </w:r>
      <w:r>
        <w:t xml:space="preserve"> </w:t>
      </w:r>
      <w:r>
        <w:t xml:space="preserve">BE, DE.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EUR 1 000 000 – EUR 10 000 000</w:t>
      </w:r>
    </w:p>
    <w:p>
      <w:pPr>
        <w:pStyle w:val="BodyText"/>
      </w:pPr>
      <w:r>
        <w:t xml:space="preserve">IE</w:t>
      </w:r>
    </w:p>
    <w:p>
      <w:pPr>
        <w:pStyle w:val="BodyText"/>
      </w:pPr>
      <w:r>
        <w:t xml:space="preserve">DK, LU</w:t>
      </w:r>
      <w:r>
        <w:t xml:space="preserve"> </w:t>
      </w:r>
      <w:r>
        <w:t xml:space="preserve">unlimited</w:t>
      </w:r>
      <w:r>
        <w:t xml:space="preserve"> </w:t>
      </w:r>
      <w:r>
        <w:t xml:space="preserve">ES</w:t>
      </w:r>
      <w:r>
        <w:t xml:space="preserve"> </w:t>
      </w:r>
      <w:r>
        <w:t xml:space="preserve">FI, SI</w:t>
      </w:r>
      <w:r>
        <w:t xml:space="preserve"> </w:t>
      </w:r>
      <w:r>
        <w:t xml:space="preserve">IT</w:t>
      </w:r>
      <w:r>
        <w:t xml:space="preserve"> </w:t>
      </w:r>
      <w:r>
        <w:t xml:space="preserve">PT, SK</w:t>
      </w:r>
      <w:r>
        <w:t xml:space="preserve"> </w:t>
      </w:r>
      <w:r>
        <w:t xml:space="preserve">Source: Commission transposition check/CEPS study</w:t>
      </w:r>
      <w:r>
        <w:t xml:space="preserve"> </w:t>
      </w:r>
      <w:r>
        <w:t xml:space="preserve">The feedback received from the EGBPI showed that a higher number of experts</w:t>
      </w:r>
      <w:r>
        <w:t xml:space="preserve"> </w:t>
      </w:r>
      <w:r>
        <w:t xml:space="preserve">supported the EBA’s recommendations to harmonise the duration of the protection at 6</w:t>
      </w:r>
      <w:r>
        <w:t xml:space="preserve"> </w:t>
      </w:r>
      <w:r>
        <w:t xml:space="preserve">months, including those who currently apply shorter timelines. As the EBA has not</w:t>
      </w:r>
      <w:r>
        <w:t xml:space="preserve"> </w:t>
      </w:r>
      <w:r>
        <w:t xml:space="preserve">proposed a precise amount to be harmonised, the discussions in the EGBPI explored the</w:t>
      </w:r>
      <w:r>
        <w:t xml:space="preserve"> </w:t>
      </w:r>
      <w:r>
        <w:t xml:space="preserve">identified options based on the CEPS’ analysis. However, a number of experts had</w:t>
      </w:r>
      <w:r>
        <w:t xml:space="preserve"> </w:t>
      </w:r>
      <w:r>
        <w:t xml:space="preserve">concerns about either lowering or increasing the current protection in their Member State</w:t>
      </w:r>
      <w:r>
        <w:t xml:space="preserve"> </w:t>
      </w:r>
      <w:r>
        <w:t xml:space="preserve">and the impact on cost neutrality. Hence, some of them preferred retaining the national</w:t>
      </w:r>
      <w:r>
        <w:t xml:space="preserve"> </w:t>
      </w:r>
      <w:r>
        <w:t xml:space="preserve">discretion. In this view, the additional analysis by the JRC of a possible threshold for</w:t>
      </w:r>
      <w:r>
        <w:t xml:space="preserve"> </w:t>
      </w:r>
      <w:r>
        <w:t xml:space="preserve">adequate protection largely confirmed the findings of the CEPS study. This analysis also</w:t>
      </w:r>
      <w:r>
        <w:t xml:space="preserve"> </w:t>
      </w:r>
      <w:r>
        <w:t xml:space="preserve">strived to identify an optimal common coverage amount and duration.</w:t>
      </w:r>
      <w:r>
        <w:br/>
      </w:r>
      <w:r>
        <w:t xml:space="preserve">Based on both CEPS’ and JRC’s quantitative analyses, a very high share of temporary</w:t>
      </w:r>
      <w:r>
        <w:t xml:space="preserve"> </w:t>
      </w:r>
      <w:r>
        <w:t xml:space="preserve">high balances appears lower than EUR 500 000 in all Member States. Therefore, the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level of protection higher than EUR 500 000 would not significantly increase the amount</w:t>
      </w:r>
      <w:r>
        <w:t xml:space="preserve"> </w:t>
      </w:r>
      <w:r>
        <w:t xml:space="preserve">of protected deposits and there is limited risk that depositors could lose protection. In</w:t>
      </w:r>
      <w:r>
        <w:t xml:space="preserve"> </w:t>
      </w:r>
      <w:r>
        <w:t xml:space="preserve">addition, the best option would be to harmonise the duration of the protection at 6</w:t>
      </w:r>
      <w:r>
        <w:t xml:space="preserve"> </w:t>
      </w:r>
      <w:r>
        <w:t xml:space="preserve">months407 because the additional amount of temporary high balances protected would</w:t>
      </w:r>
      <w:r>
        <w:t xml:space="preserve"> </w:t>
      </w:r>
      <w:r>
        <w:t xml:space="preserve">only be limited under a longer period. A higher number of Member States supported this</w:t>
      </w:r>
      <w:r>
        <w:t xml:space="preserve"> </w:t>
      </w:r>
      <w:r>
        <w:t xml:space="preserve">policy option, with few exceptions. Therefore, given the political considerations and the</w:t>
      </w:r>
      <w:r>
        <w:t xml:space="preserve"> </w:t>
      </w:r>
      <w:r>
        <w:t xml:space="preserve">available empirical (low number of claims) and modelling evidence, the best option</w:t>
      </w:r>
      <w:r>
        <w:t xml:space="preserve"> </w:t>
      </w:r>
      <w:r>
        <w:t xml:space="preserve">would be to provide for a minimum threshold of EUR 500 000 for the period of 6 months</w:t>
      </w:r>
      <w:r>
        <w:t xml:space="preserve"> </w:t>
      </w:r>
      <w:r>
        <w:t xml:space="preserve">to increase convergence across Member States for the benefit of depositors. It does not</w:t>
      </w:r>
      <w:r>
        <w:t xml:space="preserve"> </w:t>
      </w:r>
      <w:r>
        <w:t xml:space="preserve">prevent Member States from covering a higher amount of temporary high balances,</w:t>
      </w:r>
      <w:r>
        <w:t xml:space="preserve"> </w:t>
      </w:r>
      <w:r>
        <w:t xml:space="preserve">though with funds above the target level.</w:t>
      </w:r>
      <w:r>
        <w:t xml:space="preserve"> </w:t>
      </w:r>
      <w:r>
        <w:t xml:space="preserve">Box 16: Key results of the CEPS’ and JRC’s quantitative analyses408</w:t>
      </w:r>
    </w:p>
    <w:p>
      <w:pPr>
        <w:pStyle w:val="BodyText"/>
      </w:pPr>
      <w:r>
        <w:t xml:space="preserve">Figure 18 shows the sizes of protected THBs depending on different amounts of</w:t>
      </w:r>
      <w:r>
        <w:t xml:space="preserve"> </w:t>
      </w:r>
      <w:r>
        <w:t xml:space="preserve">coverage level and duration (see also Annex 12).</w:t>
      </w:r>
    </w:p>
    <w:p>
      <w:pPr>
        <w:pStyle w:val="BodyText"/>
      </w:pPr>
      <w:r>
        <w:t xml:space="preserve">Figure 18: Average EU impact per coverage level and time of coverage (excluding</w:t>
      </w:r>
      <w:r>
        <w:t xml:space="preserve"> </w:t>
      </w:r>
      <w:r>
        <w:t xml:space="preserve">EUR 100 000)</w:t>
      </w:r>
      <w:r>
        <w:t xml:space="preserve"> </w:t>
      </w:r>
      <w:r>
        <w:t xml:space="preserve">Source: JRC Report, Annex 12</w:t>
      </w:r>
    </w:p>
    <w:bookmarkEnd w:id="18"/>
    <w:bookmarkStart w:id="19" w:name="conclusions"/>
    <w:p>
      <w:pPr>
        <w:pStyle w:val="Heading2"/>
      </w:pPr>
      <w:r>
        <w:t xml:space="preserve">Conclusions:</w:t>
      </w:r>
    </w:p>
    <w:p>
      <w:pPr>
        <w:pStyle w:val="FirstParagraph"/>
      </w:pPr>
      <w:r>
        <w:t xml:space="preserve">A very high share of temporary high balances is protected with the coverage level</w:t>
      </w:r>
      <w:r>
        <w:t xml:space="preserve"> </w:t>
      </w:r>
      <w:r>
        <w:t xml:space="preserve">of EUR 500 000 in the 6-month duration.</w:t>
      </w:r>
      <w:r>
        <w:br/>
      </w:r>
      <w:r>
        <w:t xml:space="preserve">-</w:t>
      </w:r>
      <w:r>
        <w:t xml:space="preserve"> </w:t>
      </w:r>
      <w:r>
        <w:t xml:space="preserve">Beyond EUR 500 000, the degree of protection does not significantly increase.</w:t>
      </w:r>
    </w:p>
    <w:p>
      <w:pPr>
        <w:pStyle w:val="BodyText"/>
      </w:pPr>
      <w:r>
        <w:t xml:space="preserve">The feedback in the EGBPI was also supportive of clarifications regarding the scope of</w:t>
      </w:r>
      <w:r>
        <w:t xml:space="preserve"> </w:t>
      </w:r>
      <w:r>
        <w:t xml:space="preserve">the temporary high balances. The revised rules should encompass both funds placed for a</w:t>
      </w:r>
      <w:r>
        <w:t xml:space="preserve"> </w:t>
      </w:r>
      <w:r>
        <w:t xml:space="preserve">purchase or sale of a private residential property, combined with a specific provision on a</w:t>
      </w:r>
      <w:r>
        <w:t xml:space="preserve"> </w:t>
      </w:r>
      <w:r>
        <w:t xml:space="preserve">depositor’s burden of proof. While the temporary high balances should be in principle</w:t>
      </w:r>
    </w:p>
    <w:p>
      <w:pPr>
        <w:pStyle w:val="BodyText"/>
      </w:pPr>
      <w:r>
        <w:t xml:space="preserve">407 This change would imply a higher duration in nine Member States (which apply a 3-month period) and</w:t>
      </w:r>
      <w:r>
        <w:t xml:space="preserve"> </w:t>
      </w:r>
      <w:r>
        <w:t xml:space="preserve">a lower duration in eight Member States (which apply a 9- or 12-month period). One Member State applies</w:t>
      </w:r>
      <w:r>
        <w:t xml:space="preserve"> </w:t>
      </w:r>
      <w:r>
        <w:t xml:space="preserve">a different timeline depending on the type of temporary high balance. See further CEPS study, p. 48.</w:t>
      </w:r>
      <w:r>
        <w:t xml:space="preserve"> </w:t>
      </w:r>
      <w:r>
        <w:t xml:space="preserve">408 See JRC report ‘Review on temporary high deposits balances related to certain transactions’ p. 6 – 11,</w:t>
      </w:r>
      <w:r>
        <w:t xml:space="preserve"> </w:t>
      </w:r>
      <w:r>
        <w:t xml:space="preserve">and especially section 4.3 p. 9.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200 000</w:t>
      </w:r>
      <w:r>
        <w:t xml:space="preserve"> </w:t>
      </w:r>
      <w:r>
        <w:t xml:space="preserve">300 000</w:t>
      </w:r>
      <w:r>
        <w:t xml:space="preserve"> </w:t>
      </w:r>
      <w:r>
        <w:t xml:space="preserve">400 000</w:t>
      </w:r>
      <w:r>
        <w:t xml:space="preserve"> </w:t>
      </w:r>
      <w:r>
        <w:t xml:space="preserve">500 000</w:t>
      </w:r>
      <w:r>
        <w:t xml:space="preserve"> </w:t>
      </w:r>
      <w:r>
        <w:t xml:space="preserve">600 000</w:t>
      </w:r>
      <w:r>
        <w:t xml:space="preserve"> </w:t>
      </w:r>
      <w:r>
        <w:t xml:space="preserve">700 000</w:t>
      </w:r>
      <w:r>
        <w:t xml:space="preserve"> </w:t>
      </w:r>
      <w:r>
        <w:t xml:space="preserve">800 000</w:t>
      </w:r>
      <w:r>
        <w:t xml:space="preserve"> </w:t>
      </w:r>
      <w:r>
        <w:t xml:space="preserve">900 000</w:t>
      </w:r>
      <w:r>
        <w:t xml:space="preserve"> </w:t>
      </w:r>
      <w:r>
        <w:t xml:space="preserve">Share of Covered Deposits</w:t>
      </w:r>
      <w:r>
        <w:t xml:space="preserve"> </w:t>
      </w:r>
      <w:r>
        <w:t xml:space="preserve">Upper limit coverage level (EUR)</w:t>
      </w:r>
      <w:r>
        <w:t xml:space="preserve"> </w:t>
      </w:r>
      <w:r>
        <w:t xml:space="preserve">1 month</w:t>
      </w:r>
      <w:r>
        <w:t xml:space="preserve"> </w:t>
      </w:r>
      <w:r>
        <w:t xml:space="preserve">3 months</w:t>
      </w:r>
      <w:r>
        <w:t xml:space="preserve"> </w:t>
      </w:r>
      <w:r>
        <w:t xml:space="preserve">6 months</w:t>
      </w:r>
      <w:r>
        <w:t xml:space="preserve"> </w:t>
      </w:r>
      <w:r>
        <w:t xml:space="preserve">9 months</w:t>
      </w:r>
      <w:r>
        <w:t xml:space="preserve"> </w:t>
      </w:r>
      <w:r>
        <w:t xml:space="preserve">12 months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limited to natural persons, legal persons would also be eligible for temporary high</w:t>
      </w:r>
      <w:r>
        <w:t xml:space="preserve"> </w:t>
      </w:r>
      <w:r>
        <w:t xml:space="preserve">balances related to insurance benefits.</w:t>
      </w:r>
      <w:r>
        <w:br/>
      </w:r>
      <w:r>
        <w:t xml:space="preserve">Given that such reported claims are rare, improved depositor awareness around this type</w:t>
      </w:r>
      <w:r>
        <w:t xml:space="preserve"> </w:t>
      </w:r>
      <w:r>
        <w:t xml:space="preserve">of protection would mitigate any residual adverse effects on depositors as a result of</w:t>
      </w:r>
      <w:r>
        <w:t xml:space="preserve"> </w:t>
      </w:r>
      <w:r>
        <w:t xml:space="preserve">changes to the amount or duration of temporary high balances. These changes, broadly</w:t>
      </w:r>
      <w:r>
        <w:t xml:space="preserve"> </w:t>
      </w:r>
      <w:r>
        <w:t xml:space="preserve">supported by the EGBPI discussion, would improve depositors’ understanding how to</w:t>
      </w:r>
      <w:r>
        <w:t xml:space="preserve"> </w:t>
      </w:r>
      <w:r>
        <w:t xml:space="preserve">benefit from optimal deposit protection and encourage them to make the right financial</w:t>
      </w:r>
      <w:r>
        <w:t xml:space="preserve"> </w:t>
      </w:r>
      <w:r>
        <w:t xml:space="preserve">decisions, rather than leaving high balances above the coverage level on their deposit</w:t>
      </w:r>
      <w:r>
        <w:t xml:space="preserve"> </w:t>
      </w:r>
      <w:r>
        <w:t xml:space="preserve">accounts409.</w:t>
      </w:r>
      <w:r>
        <w:t xml:space="preserve"> </w:t>
      </w:r>
      <w:r>
        <w:t xml:space="preserve">3.2.6. Protection of public authorities</w:t>
      </w:r>
      <w:r>
        <w:br/>
      </w:r>
      <w:r>
        <w:t xml:space="preserve">Issue</w:t>
      </w:r>
      <w:r>
        <w:t xml:space="preserve"> </w:t>
      </w:r>
      <w:r>
        <w:t xml:space="preserve">Currently, public authorities are excluded from DGS coverage (Article 5(1)(j) DGSD). A</w:t>
      </w:r>
      <w:r>
        <w:t xml:space="preserve"> </w:t>
      </w:r>
      <w:r>
        <w:t xml:space="preserve">number of Member States protect deposits of local authorities with an annual budget of</w:t>
      </w:r>
      <w:r>
        <w:t xml:space="preserve"> </w:t>
      </w:r>
      <w:r>
        <w:t xml:space="preserve">up to EUR 500 000 under a national option in Article 5(2) DGSD410.</w:t>
      </w:r>
      <w:r>
        <w:br/>
      </w:r>
      <w:r>
        <w:t xml:space="preserve">The EBA recommended protecting deposits of all public authorities up to harmonised</w:t>
      </w:r>
      <w:r>
        <w:t xml:space="preserve"> </w:t>
      </w:r>
      <w:r>
        <w:t xml:space="preserve">coverage level irrespective of their budget. In this respect, the main benefit of this</w:t>
      </w:r>
      <w:r>
        <w:t xml:space="preserve"> </w:t>
      </w:r>
      <w:r>
        <w:t xml:space="preserve">approach would be the reduced administrative burden for banks and DGSs. The latter are</w:t>
      </w:r>
      <w:r>
        <w:t xml:space="preserve"> </w:t>
      </w:r>
      <w:r>
        <w:t xml:space="preserve">required to assess the eligibility profile of such depositors and the conditions concerning</w:t>
      </w:r>
      <w:r>
        <w:t xml:space="preserve"> </w:t>
      </w:r>
      <w:r>
        <w:t xml:space="preserve">the size of their budget. In addition, the EBA also highlighted that, in some Member</w:t>
      </w:r>
      <w:r>
        <w:t xml:space="preserve"> </w:t>
      </w:r>
      <w:r>
        <w:t xml:space="preserve">States, public authorities also include hospitals, schools or swimming pools, arguably</w:t>
      </w:r>
      <w:r>
        <w:t xml:space="preserve"> </w:t>
      </w:r>
      <w:r>
        <w:t xml:space="preserve">unsophisticated investors, which benefit from lesser protection compared to large</w:t>
      </w:r>
      <w:r>
        <w:t xml:space="preserve"> </w:t>
      </w:r>
      <w:r>
        <w:t xml:space="preserve">corporates, many of which are sophisticated investors. Most recently, the lack of</w:t>
      </w:r>
      <w:r>
        <w:t xml:space="preserve"> </w:t>
      </w:r>
      <w:r>
        <w:t xml:space="preserve">protection of public authorities emerged as an issue in the payout case of the Greensill</w:t>
      </w:r>
      <w:r>
        <w:t xml:space="preserve"> </w:t>
      </w:r>
      <w:r>
        <w:t xml:space="preserve">bank411.</w:t>
      </w:r>
      <w:r>
        <w:br/>
      </w:r>
      <w:r>
        <w:t xml:space="preserve">Analysis</w:t>
      </w:r>
      <w:r>
        <w:t xml:space="preserve"> </w:t>
      </w:r>
      <w:r>
        <w:t xml:space="preserve">A high number of Member States supported the EBA recommendation in the EGBPI but</w:t>
      </w:r>
      <w:r>
        <w:t xml:space="preserve"> </w:t>
      </w:r>
      <w:r>
        <w:t xml:space="preserve">some also required further analysis. While the deposits of small local authorities, i.e. a</w:t>
      </w:r>
      <w:r>
        <w:t xml:space="preserve"> </w:t>
      </w:r>
      <w:r>
        <w:t xml:space="preserve">subset of public authorities, appears relatively small (up to 0.1% of covered deposits),</w:t>
      </w:r>
      <w:r>
        <w:t xml:space="preserve"> </w:t>
      </w:r>
      <w:r>
        <w:t xml:space="preserve">there are data limitations as concerns the total volumes of deposits of the public</w:t>
      </w:r>
      <w:r>
        <w:t xml:space="preserve"> </w:t>
      </w:r>
      <w:r>
        <w:t xml:space="preserve">authorities.</w:t>
      </w:r>
      <w:r>
        <w:br/>
      </w:r>
      <w:r>
        <w:t xml:space="preserve">Nevertheless, the EBA’s qualitative analysis on the pros and cons of the policy options</w:t>
      </w:r>
      <w:r>
        <w:t xml:space="preserve"> </w:t>
      </w:r>
      <w:r>
        <w:t xml:space="preserve">substantiates revising the current approach, notably to address the lack of rationale for a</w:t>
      </w:r>
      <w:r>
        <w:t xml:space="preserve"> </w:t>
      </w:r>
      <w:r>
        <w:t xml:space="preserve">different treatment of the public authorities and large corporates and to reduce</w:t>
      </w:r>
    </w:p>
    <w:p>
      <w:pPr>
        <w:pStyle w:val="BodyText"/>
      </w:pPr>
      <w:r>
        <w:t xml:space="preserve">409 This is consistent with other policies to increase consumer trust in retail investments, e.g. the</w:t>
      </w:r>
      <w:r>
        <w:t xml:space="preserve"> </w:t>
      </w:r>
      <w:r>
        <w:t xml:space="preserve">Commission retail investment strategy.</w:t>
      </w:r>
      <w:r>
        <w:t xml:space="preserve"> </w:t>
      </w:r>
      <w:r>
        <w:t xml:space="preserve">410 According to CEPS study, this option is transposed in seven Member States and the amounts protected</w:t>
      </w:r>
      <w:r>
        <w:t xml:space="preserve"> </w:t>
      </w:r>
      <w:r>
        <w:t xml:space="preserve">under this provision are limited, ranging between 0.00% and 0.11% of the total covered deposits.</w:t>
      </w:r>
      <w:r>
        <w:br/>
      </w:r>
      <w:r>
        <w:t xml:space="preserve">411 According to the FT, some public authorities (around 50 municipalities that held up to EUR 500 m with</w:t>
      </w:r>
      <w:r>
        <w:t xml:space="preserve"> </w:t>
      </w:r>
      <w:r>
        <w:t xml:space="preserve">the lender) had deposits with Greensill bank. The compensation provided by the deposit guarantee scheme</w:t>
      </w:r>
      <w:r>
        <w:t xml:space="preserve"> </w:t>
      </w:r>
      <w:r>
        <w:t xml:space="preserve">excludes the groups of creditors specified in section 6 of the EinSiG (i.a. public authorities): German towns</w:t>
      </w:r>
      <w:r>
        <w:t xml:space="preserve"> </w:t>
      </w:r>
      <w:r>
        <w:t xml:space="preserve">braced for EUR 500 m in losses from Greensill Bank collapse | Financial Times (ft.com)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administrative burden for all actors involved. Therefore, the revised rules would cover</w:t>
      </w:r>
      <w:r>
        <w:t xml:space="preserve"> </w:t>
      </w:r>
      <w:r>
        <w:t xml:space="preserve">public authorities up to EUR 100 000, just as corporates and other depositors.</w:t>
      </w:r>
      <w:r>
        <w:t xml:space="preserve"> </w:t>
      </w:r>
      <w:r>
        <w:t xml:space="preserve">3.2.7. Operational aspects of the DGS payout</w:t>
      </w:r>
      <w:r>
        <w:t xml:space="preserve"> </w:t>
      </w:r>
      <w:r>
        <w:t xml:space="preserve">Issue</w:t>
      </w:r>
      <w:r>
        <w:br/>
      </w:r>
      <w:r>
        <w:t xml:space="preserve">The EBA recommended revising two aspects related to timeline for repayments. It</w:t>
      </w:r>
      <w:r>
        <w:t xml:space="preserve"> </w:t>
      </w:r>
      <w:r>
        <w:t xml:space="preserve">suggested replacing the existing 3-month period for repayment of beneficiary accounts</w:t>
      </w:r>
      <w:r>
        <w:t xml:space="preserve"> </w:t>
      </w:r>
      <w:r>
        <w:t xml:space="preserve">by 20 working days. The revised period would start running since a receipt of required</w:t>
      </w:r>
      <w:r>
        <w:t xml:space="preserve"> </w:t>
      </w:r>
      <w:r>
        <w:t xml:space="preserve">documentation because DGSs need sufficient time to verify the entitlements of ultimate</w:t>
      </w:r>
      <w:r>
        <w:t xml:space="preserve"> </w:t>
      </w:r>
      <w:r>
        <w:t xml:space="preserve">beneficiaries. The current period running since the determination of unavailable deposits</w:t>
      </w:r>
      <w:r>
        <w:t xml:space="preserve"> </w:t>
      </w:r>
      <w:r>
        <w:t xml:space="preserve">did not reflect the administrative needs by the DGSs, particularly when depositors</w:t>
      </w:r>
      <w:r>
        <w:t xml:space="preserve"> </w:t>
      </w:r>
      <w:r>
        <w:t xml:space="preserve">provide insufficient information to the DGS. Further, national approaches also vary</w:t>
      </w:r>
      <w:r>
        <w:t xml:space="preserve"> </w:t>
      </w:r>
      <w:r>
        <w:t xml:space="preserve">regarding the end of payout, subject to national option. The EBA considered that such</w:t>
      </w:r>
      <w:r>
        <w:t xml:space="preserve"> </w:t>
      </w:r>
      <w:r>
        <w:t xml:space="preserve">period should be sufficiently long to protect depositors although the effect of this change</w:t>
      </w:r>
      <w:r>
        <w:t xml:space="preserve"> </w:t>
      </w:r>
      <w:r>
        <w:t xml:space="preserve">is likely marginal as most reimbursements take place soon after payout412.</w:t>
      </w:r>
      <w:r>
        <w:br/>
      </w:r>
      <w:r>
        <w:t xml:space="preserve">Analysis</w:t>
      </w:r>
      <w:r>
        <w:t xml:space="preserve"> </w:t>
      </w:r>
      <w:r>
        <w:t xml:space="preserve">The subsequent feedback from EGBPI supported the clarifications. Many views were in</w:t>
      </w:r>
      <w:r>
        <w:t xml:space="preserve"> </w:t>
      </w:r>
      <w:r>
        <w:t xml:space="preserve">favour of combining the revised timeline for repayment of beneficiary accounts with a</w:t>
      </w:r>
      <w:r>
        <w:t xml:space="preserve"> </w:t>
      </w:r>
      <w:r>
        <w:t xml:space="preserve">specific provision to enable DGSs to require the information about the beneficiaries’</w:t>
      </w:r>
      <w:r>
        <w:t xml:space="preserve"> </w:t>
      </w:r>
      <w:r>
        <w:t xml:space="preserve">entitlement directly from the account holder. This would aim to reduce their</w:t>
      </w:r>
      <w:r>
        <w:t xml:space="preserve"> </w:t>
      </w:r>
      <w:r>
        <w:t xml:space="preserve">administrative burden. The same reasoning applies to client funds and temporary high</w:t>
      </w:r>
      <w:r>
        <w:t xml:space="preserve"> </w:t>
      </w:r>
      <w:r>
        <w:t xml:space="preserve">balances. In relation to the end of payout, a higher number of experts supported a period</w:t>
      </w:r>
      <w:r>
        <w:t xml:space="preserve"> </w:t>
      </w:r>
      <w:r>
        <w:t xml:space="preserve">of 5 years as more beneficial for depositors, while stressing that DGSs should remain</w:t>
      </w:r>
      <w:r>
        <w:t xml:space="preserve"> </w:t>
      </w:r>
      <w:r>
        <w:t xml:space="preserve">able to subrogate into depositors’ claims in insolvency proceedings.</w:t>
      </w:r>
      <w:r>
        <w:t xml:space="preserve"> </w:t>
      </w:r>
      <w:r>
        <w:t xml:space="preserve">3.2.8. Depositor information</w:t>
      </w:r>
      <w:r>
        <w:t xml:space="preserve"> </w:t>
      </w:r>
      <w:r>
        <w:t xml:space="preserve">Issue</w:t>
      </w:r>
      <w:r>
        <w:t xml:space="preserve"> </w:t>
      </w:r>
      <w:r>
        <w:t xml:space="preserve">The EBA called for improvements of the depositor information sheet, including by</w:t>
      </w:r>
      <w:r>
        <w:t xml:space="preserve"> </w:t>
      </w:r>
      <w:r>
        <w:t xml:space="preserve">guidelines or regulatory technical standards. It also suggested revising the depositors’</w:t>
      </w:r>
      <w:r>
        <w:t xml:space="preserve"> </w:t>
      </w:r>
      <w:r>
        <w:t xml:space="preserve">entitlement to withdraw eligible deposits without penalties because of changes to the</w:t>
      </w:r>
      <w:r>
        <w:t xml:space="preserve"> </w:t>
      </w:r>
      <w:r>
        <w:t xml:space="preserve">credit institution (e.g. mergers, conversions into branches or subsidiaries) that impact</w:t>
      </w:r>
      <w:r>
        <w:t xml:space="preserve"> </w:t>
      </w:r>
      <w:r>
        <w:t xml:space="preserve">deposit protection. Under a revised setup, while all depositors should be informed about</w:t>
      </w:r>
      <w:r>
        <w:t xml:space="preserve"> </w:t>
      </w:r>
      <w:r>
        <w:t xml:space="preserve">the changes to a DGS affiliation, at least those depositors whose coverage would be</w:t>
      </w:r>
      <w:r>
        <w:t xml:space="preserve"> </w:t>
      </w:r>
      <w:r>
        <w:t xml:space="preserve">adversely impacted, should be informed of their right to withdraw their funds without</w:t>
      </w:r>
      <w:r>
        <w:t xml:space="preserve"> </w:t>
      </w:r>
      <w:r>
        <w:t xml:space="preserve">any penalty up to an amount equal to the lost coverage of deposits.</w:t>
      </w:r>
      <w:r>
        <w:t xml:space="preserve"> </w:t>
      </w:r>
      <w:r>
        <w:t xml:space="preserve">Analysis</w:t>
      </w:r>
      <w:r>
        <w:t xml:space="preserve"> </w:t>
      </w:r>
      <w:r>
        <w:t xml:space="preserve">The subsequent feedback from the EGBPI supported the suggestions on the depositor</w:t>
      </w:r>
      <w:r>
        <w:t xml:space="preserve"> </w:t>
      </w:r>
      <w:r>
        <w:t xml:space="preserve">information sheet and the right to withdraw under Article 16(6) DGSD. The EGBPI also</w:t>
      </w:r>
    </w:p>
    <w:p>
      <w:pPr>
        <w:pStyle w:val="BodyText"/>
      </w:pPr>
      <w:r>
        <w:t xml:space="preserve">412 Under Article 9(3) DGSD, Member States may limit the time allowed for depositors to claim</w:t>
      </w:r>
      <w:r>
        <w:t xml:space="preserve"> </w:t>
      </w:r>
      <w:r>
        <w:t xml:space="preserve">repayment in the event that their deposits were not repaid or acknowledged by the DGS within the usual</w:t>
      </w:r>
      <w:r>
        <w:t xml:space="preserve"> </w:t>
      </w:r>
      <w:r>
        <w:t xml:space="preserve">deadlines. CEPS study sets out an overview of the currently applicable timelines and showed some periods</w:t>
      </w:r>
      <w:r>
        <w:t xml:space="preserve"> </w:t>
      </w:r>
      <w:r>
        <w:t xml:space="preserve">may be short.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explored the adequacy of regular communication of depositor information on annual</w:t>
      </w:r>
      <w:r>
        <w:t xml:space="preserve"> </w:t>
      </w:r>
      <w:r>
        <w:t xml:space="preserve">basis. While one expert preferred a disclosure based on actual needs (e.g. upon</w:t>
      </w:r>
      <w:r>
        <w:t xml:space="preserve"> </w:t>
      </w:r>
      <w:r>
        <w:t xml:space="preserve">concluding the contract and in the event of failure) to reduce costs413, the vast majority</w:t>
      </w:r>
      <w:r>
        <w:t xml:space="preserve"> </w:t>
      </w:r>
      <w:r>
        <w:t xml:space="preserve">supported the EBA’s analysis that the annual information disclosure should not be altered</w:t>
      </w:r>
      <w:r>
        <w:t xml:space="preserve"> </w:t>
      </w:r>
      <w:r>
        <w:t xml:space="preserve">because of its positive impact for depositor awareness.</w:t>
      </w:r>
      <w:r>
        <w:t xml:space="preserve"> </w:t>
      </w:r>
      <w:r>
        <w:t xml:space="preserve">3.2.9. Cross-border cooperation between DGSs</w:t>
      </w:r>
      <w:r>
        <w:t xml:space="preserve"> </w:t>
      </w:r>
      <w:r>
        <w:t xml:space="preserve">Issue</w:t>
      </w:r>
      <w:r>
        <w:t xml:space="preserve"> </w:t>
      </w:r>
      <w:r>
        <w:t xml:space="preserve">The EBA called for enhancements of the following three aspects. The regime whereby</w:t>
      </w:r>
      <w:r>
        <w:t xml:space="preserve"> </w:t>
      </w:r>
      <w:r>
        <w:t xml:space="preserve">the host DGS reimburses the depositors in branches on behalf of the home DGS should</w:t>
      </w:r>
      <w:r>
        <w:t xml:space="preserve"> </w:t>
      </w:r>
      <w:r>
        <w:t xml:space="preserve">be rendered more flexible. Under a revised setup, the home DGS could repay depositors</w:t>
      </w:r>
      <w:r>
        <w:t xml:space="preserve"> </w:t>
      </w:r>
      <w:r>
        <w:t xml:space="preserve">at branches directly if it is ‘at least as easy’ as in the current default procedure whereby</w:t>
      </w:r>
      <w:r>
        <w:t xml:space="preserve"> </w:t>
      </w:r>
      <w:r>
        <w:t xml:space="preserve">the host DGS receives funding from the home DGS, including the compensation for the</w:t>
      </w:r>
      <w:r>
        <w:t xml:space="preserve"> </w:t>
      </w:r>
      <w:r>
        <w:t xml:space="preserve">costs incurred. Further clarifications would also be suitable for passported services. In the</w:t>
      </w:r>
      <w:r>
        <w:t xml:space="preserve"> </w:t>
      </w:r>
      <w:r>
        <w:t xml:space="preserve">absence of explicit provisions, the latter are currently treated as any other deposit in the</w:t>
      </w:r>
      <w:r>
        <w:t xml:space="preserve"> </w:t>
      </w:r>
      <w:r>
        <w:t xml:space="preserve">home Member State. This raises challenges for the home DGSs when liaising with</w:t>
      </w:r>
      <w:r>
        <w:t xml:space="preserve"> </w:t>
      </w:r>
      <w:r>
        <w:t xml:space="preserve">depositors located in host Member States. Lastly, the transfers of the last annual</w:t>
      </w:r>
      <w:r>
        <w:t xml:space="preserve"> </w:t>
      </w:r>
      <w:r>
        <w:t xml:space="preserve">contributions in the event that a credit institution changes its affiliation to DGS require a</w:t>
      </w:r>
      <w:r>
        <w:t xml:space="preserve"> </w:t>
      </w:r>
      <w:r>
        <w:t xml:space="preserve">revision.</w:t>
      </w:r>
      <w:r>
        <w:br/>
      </w:r>
      <w:r>
        <w:t xml:space="preserve">Analysis</w:t>
      </w:r>
      <w:r>
        <w:t xml:space="preserve"> </w:t>
      </w:r>
      <w:r>
        <w:t xml:space="preserve">The subsequent feedback in the EGBPI broadly supported these clarifications, including</w:t>
      </w:r>
      <w:r>
        <w:t xml:space="preserve"> </w:t>
      </w:r>
      <w:r>
        <w:t xml:space="preserve">developing the revised rules and methodology through regulatory technical standards or</w:t>
      </w:r>
      <w:r>
        <w:t xml:space="preserve"> </w:t>
      </w:r>
      <w:r>
        <w:t xml:space="preserve">guidelines. It agreed with the objective to address the resulting operational hurdles for</w:t>
      </w:r>
      <w:r>
        <w:t xml:space="preserve"> </w:t>
      </w:r>
      <w:r>
        <w:t xml:space="preserve">DGSs, including when communicating with depositors located in the host Member</w:t>
      </w:r>
      <w:r>
        <w:t xml:space="preserve"> </w:t>
      </w:r>
      <w:r>
        <w:t xml:space="preserve">States. The current rules on transfer contributions proved ineffective in the situations</w:t>
      </w:r>
      <w:r>
        <w:t xml:space="preserve"> </w:t>
      </w:r>
      <w:r>
        <w:t xml:space="preserve">where DGSs transferred no contributions due to different contribution cycles or payment</w:t>
      </w:r>
      <w:r>
        <w:t xml:space="preserve"> </w:t>
      </w:r>
      <w:r>
        <w:t xml:space="preserve">deadlines, or because the transferring DGSs no longer raise contributions because their</w:t>
      </w:r>
      <w:r>
        <w:t xml:space="preserve"> </w:t>
      </w:r>
      <w:r>
        <w:t xml:space="preserve">target level was reached414. Consequently, they fail to deliver on their intended objective,</w:t>
      </w:r>
      <w:r>
        <w:t xml:space="preserve"> </w:t>
      </w:r>
      <w:r>
        <w:t xml:space="preserve">i.e. to reflect the potential increase in risk for the DGS receiving a new participating</w:t>
      </w:r>
      <w:r>
        <w:t xml:space="preserve"> </w:t>
      </w:r>
      <w:r>
        <w:t xml:space="preserve">member .</w:t>
      </w:r>
    </w:p>
    <w:p>
      <w:pPr>
        <w:pStyle w:val="BodyText"/>
      </w:pPr>
      <w:r>
        <w:t xml:space="preserve">413 The F4F Platform also recommended, in its opinion on the CMDI review, a disclosure based on actual</w:t>
      </w:r>
      <w:r>
        <w:t xml:space="preserve"> </w:t>
      </w:r>
      <w:r>
        <w:t xml:space="preserve">needs for reducing the administrative burden. See Annex 2 for further details.</w:t>
      </w:r>
      <w:r>
        <w:br/>
      </w:r>
      <w:r>
        <w:t xml:space="preserve">414 According to the EBA’s mapping of DGS’s practices, contributions are raised in monthly, quarterly or</w:t>
      </w:r>
      <w:r>
        <w:t xml:space="preserve"> </w:t>
      </w:r>
      <w:r>
        <w:t xml:space="preserve">on a semi-annual or annual basis. Similarly, DGSs send out the invoices on different days or always on the</w:t>
      </w:r>
      <w:r>
        <w:t xml:space="preserve"> </w:t>
      </w:r>
      <w:r>
        <w:t xml:space="preserve">same day in a year, with a maturity period of usually 60 days or longer. Some jurisdictions also specify the</w:t>
      </w:r>
      <w:r>
        <w:t xml:space="preserve"> </w:t>
      </w:r>
      <w:r>
        <w:t xml:space="preserve">payment date and some do not. As a result of these differences, no contributions were transferred, leaving</w:t>
      </w:r>
      <w:r>
        <w:t xml:space="preserve"> </w:t>
      </w:r>
      <w:r>
        <w:t xml:space="preserve">the receiving DGS and its participating credit institutions at a disadvantage to cover for the risk of a new</w:t>
      </w:r>
      <w:r>
        <w:t xml:space="preserve"> </w:t>
      </w:r>
      <w:r>
        <w:t xml:space="preserve">entrant.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3.2.10. Set off of liabilities fallen due</w:t>
      </w:r>
      <w:r>
        <w:t xml:space="preserve"> </w:t>
      </w:r>
      <w:r>
        <w:t xml:space="preserve">Issue</w:t>
      </w:r>
      <w:r>
        <w:t xml:space="preserve"> </w:t>
      </w:r>
      <w:r>
        <w:t xml:space="preserve">Under Article 7(4) DGSD, depositors obtain a reimbursement irrespective of their</w:t>
      </w:r>
      <w:r>
        <w:t xml:space="preserve"> </w:t>
      </w:r>
      <w:r>
        <w:t xml:space="preserve">liabilities (e.g. due loan instalments) towards the credit institution that are handled in an</w:t>
      </w:r>
      <w:r>
        <w:t xml:space="preserve"> </w:t>
      </w:r>
      <w:r>
        <w:t xml:space="preserve">insolvency estate. However, a national option under Article 7(5) DGSD derogates from</w:t>
      </w:r>
      <w:r>
        <w:t xml:space="preserve"> </w:t>
      </w:r>
      <w:r>
        <w:t xml:space="preserve">this principle. The latter allows a DGS to take into account depositors’ due liabilities</w:t>
      </w:r>
      <w:r>
        <w:t xml:space="preserve"> </w:t>
      </w:r>
      <w:r>
        <w:t xml:space="preserve">when calculating a repayable amount, if it is possible under statutory and contractual</w:t>
      </w:r>
      <w:r>
        <w:t xml:space="preserve"> </w:t>
      </w:r>
      <w:r>
        <w:t xml:space="preserve">provisions.</w:t>
      </w:r>
      <w:r>
        <w:br/>
      </w:r>
      <w:r>
        <w:t xml:space="preserve">The EBA found that the actual set-off was immaterial from a DGS’ perspective,</w:t>
      </w:r>
      <w:r>
        <w:t xml:space="preserve"> </w:t>
      </w:r>
      <w:r>
        <w:t xml:space="preserve">involving very small amounts, and conducive to increased administrative burden when</w:t>
      </w:r>
      <w:r>
        <w:t xml:space="preserve"> </w:t>
      </w:r>
      <w:r>
        <w:t xml:space="preserve">determining the due liabilities and its permissibility e.g. in the contractual documents. It</w:t>
      </w:r>
      <w:r>
        <w:t xml:space="preserve"> </w:t>
      </w:r>
      <w:r>
        <w:t xml:space="preserve">also suggested improvements to address insufficient information available to depositors</w:t>
      </w:r>
      <w:r>
        <w:t xml:space="preserve"> </w:t>
      </w:r>
      <w:r>
        <w:t xml:space="preserve">about the set-off. The transposition check also revealed divergent approaches, deducting</w:t>
      </w:r>
      <w:r>
        <w:t xml:space="preserve"> </w:t>
      </w:r>
      <w:r>
        <w:t xml:space="preserve">the liabilities from either the aggregate deposits or the repayable amount (after the</w:t>
      </w:r>
      <w:r>
        <w:t xml:space="preserve"> </w:t>
      </w:r>
      <w:r>
        <w:t xml:space="preserve">application of the coverage limit).</w:t>
      </w:r>
      <w:r>
        <w:t xml:space="preserve"> </w:t>
      </w:r>
      <w:r>
        <w:t xml:space="preserve">Analysis</w:t>
      </w:r>
      <w:r>
        <w:t xml:space="preserve"> </w:t>
      </w:r>
      <w:r>
        <w:t xml:space="preserve">The feedback from the EGBPI supported the EBA’s suggestions. If this provision were</w:t>
      </w:r>
      <w:r>
        <w:t xml:space="preserve"> </w:t>
      </w:r>
      <w:r>
        <w:t xml:space="preserve">maintained, it would require clarifications that due liabilities are consistently deducted</w:t>
      </w:r>
      <w:r>
        <w:t xml:space="preserve"> </w:t>
      </w:r>
      <w:r>
        <w:t xml:space="preserve">from the aggregate deposits as well as the improvements in the depositor information.</w:t>
      </w:r>
      <w:r>
        <w:t xml:space="preserve"> </w:t>
      </w:r>
      <w:r>
        <w:t xml:space="preserve">The EGBPI also explored the option to remove the set off from the framework in view of</w:t>
      </w:r>
      <w:r>
        <w:t xml:space="preserve"> </w:t>
      </w:r>
      <w:r>
        <w:t xml:space="preserve">its low materiality and the administrative burden415. While the views on this issue were</w:t>
      </w:r>
      <w:r>
        <w:t xml:space="preserve"> </w:t>
      </w:r>
      <w:r>
        <w:t xml:space="preserve">split416, the best option would be to remove this provision. In line with the EBA’s</w:t>
      </w:r>
      <w:r>
        <w:t xml:space="preserve"> </w:t>
      </w:r>
      <w:r>
        <w:t xml:space="preserve">findings, this approach would also simplify the framework and be consistent with the</w:t>
      </w:r>
      <w:r>
        <w:t xml:space="preserve"> </w:t>
      </w:r>
      <w:r>
        <w:t xml:space="preserve">objectives pursued in the CMDI review. The provision applies only in the context of</w:t>
      </w:r>
      <w:r>
        <w:t xml:space="preserve"> </w:t>
      </w:r>
      <w:r>
        <w:t xml:space="preserve">payouts. Its use is already limited and is likely to be even more marginal because of the</w:t>
      </w:r>
      <w:r>
        <w:t xml:space="preserve"> </w:t>
      </w:r>
      <w:r>
        <w:t xml:space="preserve">intended regulatory changes, prioritising bank exits based on transfers of commercial</w:t>
      </w:r>
      <w:r>
        <w:t xml:space="preserve"> </w:t>
      </w:r>
      <w:r>
        <w:t xml:space="preserve">relationships (i.e. deposits and related loans) over payouts. Removing this national option</w:t>
      </w:r>
      <w:r>
        <w:t xml:space="preserve"> </w:t>
      </w:r>
      <w:r>
        <w:t xml:space="preserve">would foster consistent treatment of depositors.</w:t>
      </w:r>
      <w:r>
        <w:t xml:space="preserve"> </w:t>
      </w:r>
      <w:r>
        <w:t xml:space="preserve">3.2.11. Definition of available financial means</w:t>
      </w:r>
      <w:r>
        <w:t xml:space="preserve"> </w:t>
      </w:r>
      <w:r>
        <w:t xml:space="preserve">Issue</w:t>
      </w:r>
      <w:r>
        <w:t xml:space="preserve"> </w:t>
      </w:r>
      <w:r>
        <w:t xml:space="preserve">The EBA highlighted a lack of clarity and divergent national approaches concerning the</w:t>
      </w:r>
      <w:r>
        <w:t xml:space="preserve"> </w:t>
      </w:r>
      <w:r>
        <w:t xml:space="preserve">treatment of borrowed resources, administrative fees, funds recovered in insolvency,</w:t>
      </w:r>
      <w:r>
        <w:t xml:space="preserve"> </w:t>
      </w:r>
      <w:r>
        <w:t xml:space="preserve">income from investment and unclaimed payments in the calculation of available financial</w:t>
      </w:r>
      <w:r>
        <w:t xml:space="preserve"> </w:t>
      </w:r>
      <w:r>
        <w:t xml:space="preserve">means. The clarifications would ensure a more accurate view on the DGS’ financial</w:t>
      </w:r>
      <w:r>
        <w:t xml:space="preserve"> </w:t>
      </w:r>
      <w:r>
        <w:t xml:space="preserve">position. The EBA further supported clarifying the cancellation and irrevocability of</w:t>
      </w:r>
      <w:r>
        <w:t xml:space="preserve"> </w:t>
      </w:r>
      <w:r>
        <w:t xml:space="preserve">payment commitments.</w:t>
      </w:r>
    </w:p>
    <w:p>
      <w:pPr>
        <w:pStyle w:val="BodyText"/>
      </w:pPr>
      <w:r>
        <w:t xml:space="preserve">415 CEPS study also recommended removing of the provision, in view of low materiality, administrative</w:t>
      </w:r>
      <w:r>
        <w:t xml:space="preserve"> </w:t>
      </w:r>
      <w:r>
        <w:t xml:space="preserve">burden and lack of practical use (so far in only two Member States).</w:t>
      </w:r>
      <w:r>
        <w:br/>
      </w:r>
      <w:r>
        <w:t xml:space="preserve">416 Out of 17 Member States, who transposed the option, 7 experts supported removing it from the</w:t>
      </w:r>
      <w:r>
        <w:t xml:space="preserve"> </w:t>
      </w:r>
      <w:r>
        <w:t xml:space="preserve">framework and 9 experts preferred to retain it.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Analysis</w:t>
      </w:r>
      <w:r>
        <w:t xml:space="preserve"> </w:t>
      </w:r>
      <w:r>
        <w:t xml:space="preserve">In line with feedback from the EGBPI, the best approach would be to report borrowed</w:t>
      </w:r>
      <w:r>
        <w:t xml:space="preserve"> </w:t>
      </w:r>
      <w:r>
        <w:t xml:space="preserve">resources but exclude them from the calculation of the available financial means. This</w:t>
      </w:r>
      <w:r>
        <w:t xml:space="preserve"> </w:t>
      </w:r>
      <w:r>
        <w:t xml:space="preserve">change would ensure that they do not count toward the minimum target level, which was</w:t>
      </w:r>
      <w:r>
        <w:t xml:space="preserve"> </w:t>
      </w:r>
      <w:r>
        <w:t xml:space="preserve">the objective pursued by the EBA. Accordingly, the borrowed resources would be</w:t>
      </w:r>
      <w:r>
        <w:t xml:space="preserve"> </w:t>
      </w:r>
      <w:r>
        <w:t xml:space="preserve">published in the EBA’s annual reporting to ensure transparency on DGS funding. For the</w:t>
      </w:r>
      <w:r>
        <w:t xml:space="preserve"> </w:t>
      </w:r>
      <w:r>
        <w:t xml:space="preserve">majority of experts, while administrative fees should be excluded, other funding sources,</w:t>
      </w:r>
      <w:r>
        <w:t xml:space="preserve"> </w:t>
      </w:r>
      <w:r>
        <w:t xml:space="preserve">such as recovered funds from insolvency, investment income, should be included in the</w:t>
      </w:r>
      <w:r>
        <w:t xml:space="preserve"> </w:t>
      </w:r>
      <w:r>
        <w:t xml:space="preserve">calculation of available financial means. Based on the feedback received, the</w:t>
      </w:r>
      <w:r>
        <w:t xml:space="preserve"> </w:t>
      </w:r>
      <w:r>
        <w:t xml:space="preserve">clarifications around the irrevocability of payment commitments aim to increase</w:t>
      </w:r>
      <w:r>
        <w:t xml:space="preserve"> </w:t>
      </w:r>
      <w:r>
        <w:t xml:space="preserve">convergence across Member States .</w:t>
      </w:r>
      <w:r>
        <w:br/>
      </w:r>
      <w:r>
        <w:t xml:space="preserve">3.2.12. Sequence in the use of DGS funding sources and the related investment</w:t>
      </w:r>
      <w:r>
        <w:t xml:space="preserve"> </w:t>
      </w:r>
      <w:r>
        <w:t xml:space="preserve">strategy</w:t>
      </w:r>
      <w:r>
        <w:t xml:space="preserve"> </w:t>
      </w:r>
      <w:r>
        <w:t xml:space="preserve">Issue</w:t>
      </w:r>
      <w:r>
        <w:t xml:space="preserve"> </w:t>
      </w:r>
      <w:r>
        <w:t xml:space="preserve">DGSs reimburse depositors from available financial means in the pre-funded schemes.</w:t>
      </w:r>
      <w:r>
        <w:t xml:space="preserve"> </w:t>
      </w:r>
      <w:r>
        <w:t xml:space="preserve">They are financed by annual and extraordinary contributions from credit institutions.</w:t>
      </w:r>
      <w:r>
        <w:t xml:space="preserve"> </w:t>
      </w:r>
      <w:r>
        <w:t xml:space="preserve">Alternative funding arrangements must be in place to obtain short-term funding to meet</w:t>
      </w:r>
      <w:r>
        <w:t xml:space="preserve"> </w:t>
      </w:r>
      <w:r>
        <w:t xml:space="preserve">claims against those DGSs.</w:t>
      </w:r>
      <w:r>
        <w:br/>
      </w:r>
      <w:r>
        <w:t xml:space="preserve">The EBA highlighted a lack of clarity and divergent national approaches as concerns the</w:t>
      </w:r>
      <w:r>
        <w:t xml:space="preserve"> </w:t>
      </w:r>
      <w:r>
        <w:t xml:space="preserve">sequence of the above DGS funding sources. According to its analysis, there would be</w:t>
      </w:r>
      <w:r>
        <w:t xml:space="preserve"> </w:t>
      </w:r>
      <w:r>
        <w:t xml:space="preserve">merit for flexibility around the use of the different funding sources subject to a cost and</w:t>
      </w:r>
      <w:r>
        <w:t xml:space="preserve"> </w:t>
      </w:r>
      <w:r>
        <w:t xml:space="preserve">benefit analysis and a repayment plan. The EBA further noted the absence of concrete</w:t>
      </w:r>
      <w:r>
        <w:t xml:space="preserve"> </w:t>
      </w:r>
      <w:r>
        <w:t xml:space="preserve">alternative funding arrangements established in some DGSs. Lastly, it also suggested</w:t>
      </w:r>
      <w:r>
        <w:t xml:space="preserve"> </w:t>
      </w:r>
      <w:r>
        <w:t xml:space="preserve">specific improvements of provisions on investment strategy.</w:t>
      </w:r>
      <w:r>
        <w:t xml:space="preserve"> </w:t>
      </w:r>
      <w:r>
        <w:t xml:space="preserve">Analysis</w:t>
      </w:r>
      <w:r>
        <w:t xml:space="preserve"> </w:t>
      </w:r>
      <w:r>
        <w:t xml:space="preserve">The feedback from the EGBPI on the sequence of the use of DGS funding sources was</w:t>
      </w:r>
      <w:r>
        <w:t xml:space="preserve"> </w:t>
      </w:r>
      <w:r>
        <w:t xml:space="preserve">mixed. While some supported full flexibility, others had more nuanced views. The latter</w:t>
      </w:r>
      <w:r>
        <w:t xml:space="preserve"> </w:t>
      </w:r>
      <w:r>
        <w:t xml:space="preserve">preferred either a strict sequencing or a certain degree of flexibility, justified by</w:t>
      </w:r>
      <w:r>
        <w:t xml:space="preserve"> </w:t>
      </w:r>
      <w:r>
        <w:t xml:space="preserve">exceptional circumstances or involving no public resources. In view of this feedback, the</w:t>
      </w:r>
      <w:r>
        <w:t xml:space="preserve"> </w:t>
      </w:r>
      <w:r>
        <w:t xml:space="preserve">best way forward is to specify that DGSs may use alternative funding arrangements from</w:t>
      </w:r>
      <w:r>
        <w:t xml:space="preserve"> </w:t>
      </w:r>
      <w:r>
        <w:t xml:space="preserve">private sources before available financial means and funds collected through</w:t>
      </w:r>
      <w:r>
        <w:t xml:space="preserve"> </w:t>
      </w:r>
      <w:r>
        <w:t xml:space="preserve">extraordinary contributions. Such flexibility would allow DGSs to avoid having to</w:t>
      </w:r>
      <w:r>
        <w:t xml:space="preserve"> </w:t>
      </w:r>
      <w:r>
        <w:t xml:space="preserve">immediately raise extraordinary contributions where raising such contributions would</w:t>
      </w:r>
      <w:r>
        <w:t xml:space="preserve"> </w:t>
      </w:r>
      <w:r>
        <w:t xml:space="preserve">endanger financial stability (e.g. in a systemic crisis). Full flexibility is needed also to</w:t>
      </w:r>
      <w:r>
        <w:t xml:space="preserve"> </w:t>
      </w:r>
      <w:r>
        <w:t xml:space="preserve">allow DGSs to use their funds in the most efficient way and avoid a fire sale of their</w:t>
      </w:r>
      <w:r>
        <w:t xml:space="preserve"> </w:t>
      </w:r>
      <w:r>
        <w:t xml:space="preserve">assets (available financial means) at the point of crisis. At the same time, funding from</w:t>
      </w:r>
      <w:r>
        <w:t xml:space="preserve"> </w:t>
      </w:r>
      <w:r>
        <w:t xml:space="preserve">public sources should be constructed as a ‘backstop’ function in line with the principle</w:t>
      </w:r>
      <w:r>
        <w:t xml:space="preserve"> </w:t>
      </w:r>
      <w:r>
        <w:t xml:space="preserve">of moral hazard that the cost of financing the depositor protection should be first borne</w:t>
      </w:r>
      <w:r>
        <w:t xml:space="preserve"> </w:t>
      </w:r>
      <w:r>
        <w:t xml:space="preserve">by credit institutions themselves.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3.2.13. Use of DGS funds for purposes other than payout</w:t>
      </w:r>
      <w:r>
        <w:t xml:space="preserve"> </w:t>
      </w:r>
      <w:r>
        <w:t xml:space="preserve">Issue</w:t>
      </w:r>
      <w:r>
        <w:t xml:space="preserve"> </w:t>
      </w:r>
      <w:r>
        <w:t xml:space="preserve">The EBA pointed out the lack of clarity regarding the cost limitations of preventive and</w:t>
      </w:r>
      <w:r>
        <w:t xml:space="preserve"> </w:t>
      </w:r>
      <w:r>
        <w:t xml:space="preserve">alternative measures under Article 11(3) and (6) DGSD and the need for several technical</w:t>
      </w:r>
      <w:r>
        <w:t xml:space="preserve"> </w:t>
      </w:r>
      <w:r>
        <w:t xml:space="preserve">clarifications. It also took the view that the financing of preventive measures alone</w:t>
      </w:r>
      <w:r>
        <w:t xml:space="preserve"> </w:t>
      </w:r>
      <w:r>
        <w:t xml:space="preserve">should not cause a FOLF determination. It turned out that in some instances those</w:t>
      </w:r>
      <w:r>
        <w:t xml:space="preserve"> </w:t>
      </w:r>
      <w:r>
        <w:t xml:space="preserve">interventions could be assessed as imputable to the State under the applicable State aid</w:t>
      </w:r>
      <w:r>
        <w:t xml:space="preserve"> </w:t>
      </w:r>
      <w:r>
        <w:t xml:space="preserve">rules and hence, have the potential to trigger a FOLF determination under the BRRD, and</w:t>
      </w:r>
      <w:r>
        <w:t xml:space="preserve"> </w:t>
      </w:r>
      <w:r>
        <w:t xml:space="preserve">othes not. The uncertain treatment of DGS interventions financing Article 11(3) DGSD</w:t>
      </w:r>
      <w:r>
        <w:t xml:space="preserve"> </w:t>
      </w:r>
      <w:r>
        <w:t xml:space="preserve">measures in light of Article 32(4)(d) BRRD raises unlevel playing field concerns.</w:t>
      </w:r>
      <w:r>
        <w:br/>
      </w:r>
      <w:r>
        <w:t xml:space="preserve">Analysis</w:t>
      </w:r>
      <w:r>
        <w:t xml:space="preserve"> </w:t>
      </w:r>
      <w:r>
        <w:t xml:space="preserve">Overall, the current provisions provide for a high-level determination of the least cost</w:t>
      </w:r>
      <w:r>
        <w:t xml:space="preserve"> </w:t>
      </w:r>
      <w:r>
        <w:t xml:space="preserve">test, subject to inconsistent application417. There is no clear methodology under the</w:t>
      </w:r>
      <w:r>
        <w:t xml:space="preserve"> </w:t>
      </w:r>
      <w:r>
        <w:t xml:space="preserve">current legal framework to calculate this least cost test. The feedback from the EGBPI</w:t>
      </w:r>
      <w:r>
        <w:t xml:space="preserve"> </w:t>
      </w:r>
      <w:r>
        <w:t xml:space="preserve">supported clarifying the main principles of the least cost test in a Level 1 text and</w:t>
      </w:r>
      <w:r>
        <w:t xml:space="preserve"> </w:t>
      </w:r>
      <w:r>
        <w:t xml:space="preserve">specifying the technical details in a delegated act. The views were split as regards the</w:t>
      </w:r>
      <w:r>
        <w:t xml:space="preserve"> </w:t>
      </w:r>
      <w:r>
        <w:t xml:space="preserve">appropriate methodology.</w:t>
      </w:r>
      <w:r>
        <w:br/>
      </w:r>
      <w:r>
        <w:t xml:space="preserve">The Commission services set out below the respective findings as regards the application</w:t>
      </w:r>
      <w:r>
        <w:t xml:space="preserve"> </w:t>
      </w:r>
      <w:r>
        <w:t xml:space="preserve">of preventive and alternative measures and available policy options, taking into account</w:t>
      </w:r>
      <w:r>
        <w:t xml:space="preserve"> </w:t>
      </w:r>
      <w:r>
        <w:t xml:space="preserve">the EGBPI feedback.</w:t>
      </w:r>
      <w:r>
        <w:t xml:space="preserve"> </w:t>
      </w:r>
      <w:r>
        <w:t xml:space="preserve">(i)</w:t>
      </w:r>
      <w:r>
        <w:t xml:space="preserve"> </w:t>
      </w:r>
      <w:r>
        <w:t xml:space="preserve">Preventive measures under Article 11(3) DGSD</w:t>
      </w:r>
      <w:r>
        <w:t xml:space="preserve"> </w:t>
      </w:r>
      <w:r>
        <w:t xml:space="preserve">Currently, preventive measures are applied for non-failing banks by DGSs including</w:t>
      </w:r>
      <w:r>
        <w:t xml:space="preserve"> </w:t>
      </w:r>
      <w:r>
        <w:t xml:space="preserve">those IPSs that qualify as DGSs whose interventions comply with the applicable State aid</w:t>
      </w:r>
      <w:r>
        <w:t xml:space="preserve"> </w:t>
      </w:r>
      <w:r>
        <w:t xml:space="preserve">rules to be qualified as private support (i.e. non-aid). By contrast, if such interventions</w:t>
      </w:r>
      <w:r>
        <w:t xml:space="preserve"> </w:t>
      </w:r>
      <w:r>
        <w:t xml:space="preserve">amounted to a State aid, they would trigger resolution418.</w:t>
      </w:r>
      <w:r>
        <w:t xml:space="preserve"> </w:t>
      </w:r>
      <w:r>
        <w:t xml:space="preserve">Article 11(3) DGSD provides also a set of safeguards for preventive measures. These aim</w:t>
      </w:r>
      <w:r>
        <w:t xml:space="preserve"> </w:t>
      </w:r>
      <w:r>
        <w:t xml:space="preserve">to ensure that the intervention (i) is limited in amount, (ii) precedes resolution, and (iii) is</w:t>
      </w:r>
      <w:r>
        <w:t xml:space="preserve"> </w:t>
      </w:r>
      <w:r>
        <w:t xml:space="preserve">accompanied by adequate commitments and monitoring processes. The available</w:t>
      </w:r>
      <w:r>
        <w:t xml:space="preserve"> </w:t>
      </w:r>
      <w:r>
        <w:t xml:space="preserve">experience reveals inconsistent approaches across Member States regarding the</w:t>
      </w:r>
      <w:r>
        <w:t xml:space="preserve"> </w:t>
      </w:r>
      <w:r>
        <w:t xml:space="preserve">conditions around the preventive measures, including their cost limitations. While some</w:t>
      </w:r>
      <w:r>
        <w:t xml:space="preserve"> </w:t>
      </w:r>
      <w:r>
        <w:t xml:space="preserve">DGSs use the same least cost test for both preventive and alternative measures, others do</w:t>
      </w:r>
      <w:r>
        <w:t xml:space="preserve"> </w:t>
      </w:r>
      <w:r>
        <w:t xml:space="preserve">not use any least cost assessment at all.</w:t>
      </w:r>
      <w:r>
        <w:br/>
      </w:r>
      <w:r>
        <w:t xml:space="preserve">Since the entry of DGSD into force in 2014, preventive measures were applied in five</w:t>
      </w:r>
      <w:r>
        <w:t xml:space="preserve"> </w:t>
      </w:r>
      <w:r>
        <w:t xml:space="preserve">instances. In all cases, the preventive measures led to a recapitalisation of the bank in line</w:t>
      </w:r>
      <w:r>
        <w:t xml:space="preserve"> </w:t>
      </w:r>
      <w:r>
        <w:t xml:space="preserve">with its prudential requirements or to an acquisition from a buyer or industrial partner.</w:t>
      </w:r>
      <w:r>
        <w:t xml:space="preserve"> </w:t>
      </w:r>
      <w:r>
        <w:t xml:space="preserve">Two of these institutions were placed under temporary administration. The period</w:t>
      </w:r>
    </w:p>
    <w:p>
      <w:pPr>
        <w:pStyle w:val="BodyText"/>
      </w:pPr>
      <w:r>
        <w:t xml:space="preserve">417 See Annex 5, section Error! Reference source not found..</w:t>
      </w:r>
      <w:r>
        <w:t xml:space="preserve"> </w:t>
      </w:r>
      <w:r>
        <w:t xml:space="preserve">418 See Chapter 2, Section Error! Reference source not found.; Chapter 5, sections Error! Reference</w:t>
      </w:r>
      <w:r>
        <w:t xml:space="preserve"> </w:t>
      </w:r>
      <w:r>
        <w:t xml:space="preserve">source not found. subsection (b) ‘Divergent access requirement for the resolution fund and for funding</w:t>
      </w:r>
      <w:r>
        <w:t xml:space="preserve"> </w:t>
      </w:r>
      <w:r>
        <w:t xml:space="preserve">outside resolution’ and 7.1.4.2, Annex 9, see overview of Error! Reference source not found..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between the moment the DGS was informed of the distress situation of the bank and the</w:t>
      </w:r>
      <w:r>
        <w:t xml:space="preserve"> </w:t>
      </w:r>
      <w:r>
        <w:t xml:space="preserve">conclusion of the case involving the preventive measure ranged from nine to 16 months.</w:t>
      </w:r>
      <w:r>
        <w:t xml:space="preserve"> </w:t>
      </w:r>
      <w:r>
        <w:t xml:space="preserve">In these instances, the preventive measures were also combined with interventions by</w:t>
      </w:r>
      <w:r>
        <w:t xml:space="preserve"> </w:t>
      </w:r>
      <w:r>
        <w:t xml:space="preserve">other stakeholders (DGS ‘voluntary fund’, shareholders, acquiring bank/buyer). They</w:t>
      </w:r>
      <w:r>
        <w:t xml:space="preserve"> </w:t>
      </w:r>
      <w:r>
        <w:t xml:space="preserve">took various forms, e.g. capital injections, guarantees, loans, often aiming to reduce with</w:t>
      </w:r>
      <w:r>
        <w:t xml:space="preserve"> </w:t>
      </w:r>
      <w:r>
        <w:t xml:space="preserve">capital relief measures the amount needed in core capital and so facilitate the merger with</w:t>
      </w:r>
      <w:r>
        <w:t xml:space="preserve"> </w:t>
      </w:r>
      <w:r>
        <w:t xml:space="preserve">another bank. As regards the financial impact on the DGS, the final cost of these</w:t>
      </w:r>
      <w:r>
        <w:t xml:space="preserve"> </w:t>
      </w:r>
      <w:r>
        <w:t xml:space="preserve">operations was not always certain in advance (for instance for guarantees or capital</w:t>
      </w:r>
      <w:r>
        <w:t xml:space="preserve"> </w:t>
      </w:r>
      <w:r>
        <w:t xml:space="preserve">injection) and had been estimated in the least cost test.</w:t>
      </w:r>
      <w:r>
        <w:t xml:space="preserve"> </w:t>
      </w:r>
      <w:r>
        <w:t xml:space="preserve">Box 17: Examples of least cost test calculations under Article 11(3) DGSD419</w:t>
      </w:r>
    </w:p>
    <w:p>
      <w:pPr>
        <w:pStyle w:val="BodyText"/>
      </w:pPr>
      <w:r>
        <w:t xml:space="preserve">Based on anonymised information received from the EBA, a detailed least cost test</w:t>
      </w:r>
      <w:r>
        <w:t xml:space="preserve"> </w:t>
      </w:r>
      <w:r>
        <w:t xml:space="preserve">methodology was applied in three cases.420 The different consecutive steps applied for</w:t>
      </w:r>
      <w:r>
        <w:t xml:space="preserve"> </w:t>
      </w:r>
      <w:r>
        <w:t xml:space="preserve">the calculation of the least cost test are explained below:</w:t>
      </w:r>
    </w:p>
    <w:p>
      <w:pPr>
        <w:pStyle w:val="Compact"/>
        <w:numPr>
          <w:ilvl w:val="0"/>
          <w:numId w:val="1022"/>
        </w:numPr>
      </w:pPr>
      <w:r>
        <w:t xml:space="preserve">Step 1 aims to calculate the costs of the payout for the DGS.</w:t>
      </w:r>
    </w:p>
    <w:p>
      <w:pPr>
        <w:pStyle w:val="Compact"/>
        <w:numPr>
          <w:ilvl w:val="0"/>
          <w:numId w:val="1023"/>
        </w:numPr>
      </w:pPr>
      <w:r>
        <w:t xml:space="preserve">The direct cost of the payout for the DGS is mainly related to the value of the</w:t>
      </w:r>
      <w:r>
        <w:t xml:space="preserve"> </w:t>
      </w:r>
      <w:r>
        <w:t xml:space="preserve">assets of the bank in a piecemeal liquidation. The value of the assets of the bank</w:t>
      </w:r>
      <w:r>
        <w:t xml:space="preserve"> </w:t>
      </w:r>
      <w:r>
        <w:t xml:space="preserve">in liquidation is calculated based on the amount of estimated losses. This amount</w:t>
      </w:r>
      <w:r>
        <w:t xml:space="preserve"> </w:t>
      </w:r>
      <w:r>
        <w:t xml:space="preserve">represents the funds that could be recovered during the insolvency proceeding.</w:t>
      </w:r>
    </w:p>
    <w:p>
      <w:pPr>
        <w:pStyle w:val="Compact"/>
        <w:numPr>
          <w:ilvl w:val="0"/>
          <w:numId w:val="1023"/>
        </w:numPr>
      </w:pPr>
      <w:r>
        <w:t xml:space="preserve">However, some of these assets will be used to pay (i) the preferred liabilities (i.e. </w:t>
      </w:r>
      <w:r>
        <w:t xml:space="preserve"> </w:t>
      </w:r>
      <w:r>
        <w:t xml:space="preserve">the liabilities with a higher rank than the covered deposits, like employees or</w:t>
      </w:r>
      <w:r>
        <w:t xml:space="preserve"> </w:t>
      </w:r>
      <w:r>
        <w:t xml:space="preserve">tax), and (ii) the secured liabilities. The amount of preferred and covered</w:t>
      </w:r>
      <w:r>
        <w:t xml:space="preserve"> </w:t>
      </w:r>
      <w:r>
        <w:t xml:space="preserve">liabilities are then deducted from the value of the assets in liquidation.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The operational costs related to the payout are also deducted from the value of</w:t>
      </w:r>
      <w:r>
        <w:t xml:space="preserve"> </w:t>
      </w:r>
      <w:r>
        <w:t xml:space="preserve">the assets (legal costs, valuation expertise and so on).</w:t>
      </w:r>
    </w:p>
    <w:p>
      <w:pPr>
        <w:pStyle w:val="FirstParagraph"/>
      </w:pPr>
      <w:r>
        <w:t xml:space="preserve">Accordingly, the direct cost of the payout for the DGS is calculated by deducting from</w:t>
      </w:r>
      <w:r>
        <w:t xml:space="preserve"> </w:t>
      </w:r>
      <w:r>
        <w:t xml:space="preserve">the value of assets in liquidation (A), the assets used for paying preferred and secured</w:t>
      </w:r>
      <w:r>
        <w:t xml:space="preserve"> </w:t>
      </w:r>
      <w:r>
        <w:t xml:space="preserve">liabilities (B), the operational and administrative costs (C), and the amount of covered</w:t>
      </w:r>
      <w:r>
        <w:t xml:space="preserve"> </w:t>
      </w:r>
      <w:r>
        <w:t xml:space="preserve">deposits (D). A positive result means that the DGS will recover, during the insolvency</w:t>
      </w:r>
      <w:r>
        <w:t xml:space="preserve"> </w:t>
      </w:r>
      <w:r>
        <w:t xml:space="preserve">proceedings, 100% of its funds. In other words, the direct costs for the DGS, after the</w:t>
      </w:r>
      <w:r>
        <w:t xml:space="preserve"> </w:t>
      </w:r>
      <w:r>
        <w:t xml:space="preserve">insolvency proceedings, is 0.</w:t>
      </w:r>
    </w:p>
    <w:p>
      <w:pPr>
        <w:pStyle w:val="BodyText"/>
      </w:pPr>
      <w:r>
        <w:t xml:space="preserve">Subsequently, indirect costs are estimated421. In the cases at hand, the indirect costs</w:t>
      </w:r>
      <w:r>
        <w:t xml:space="preserve"> </w:t>
      </w:r>
      <w:r>
        <w:t xml:space="preserve">included the opportunity cost for the DGS (i.e. the lack of profitability resulting from the</w:t>
      </w:r>
      <w:r>
        <w:t xml:space="preserve"> </w:t>
      </w:r>
      <w:r>
        <w:t xml:space="preserve">use of DGS funds), the costs for the member institutions of this DGS that may have to</w:t>
      </w:r>
      <w:r>
        <w:t xml:space="preserve"> </w:t>
      </w:r>
      <w:r>
        <w:t xml:space="preserve">pay ex post contributions, additional funding costs for the banks and financial contagion</w:t>
      </w:r>
      <w:r>
        <w:t xml:space="preserve"> </w:t>
      </w:r>
      <w:r>
        <w:t xml:space="preserve">effects to risky banks.</w:t>
      </w:r>
    </w:p>
    <w:p>
      <w:pPr>
        <w:pStyle w:val="Compact"/>
        <w:numPr>
          <w:ilvl w:val="0"/>
          <w:numId w:val="1024"/>
        </w:numPr>
      </w:pPr>
      <w:r>
        <w:t xml:space="preserve">Step 2 aims to calculate the cost of the measure.</w:t>
      </w:r>
    </w:p>
    <w:p>
      <w:pPr>
        <w:pStyle w:val="FirstParagraph"/>
      </w:pPr>
      <w:r>
        <w:t xml:space="preserve">419 These examples are for information only and should not be seen as an opinion of the European</w:t>
      </w:r>
      <w:r>
        <w:t xml:space="preserve"> </w:t>
      </w:r>
      <w:r>
        <w:t xml:space="preserve">Commission. The objective is to illustrate what a least cost test could be, based on an existing methodology</w:t>
      </w:r>
      <w:r>
        <w:t xml:space="preserve"> </w:t>
      </w:r>
      <w:r>
        <w:t xml:space="preserve">applied on real cases.</w:t>
      </w:r>
      <w:r>
        <w:t xml:space="preserve"> </w:t>
      </w:r>
      <w:r>
        <w:t xml:space="preserve">420 These cases were notified to the EBA under the Decision of 23 July 2018 on notifications to the EBA</w:t>
      </w:r>
      <w:r>
        <w:t xml:space="preserve"> </w:t>
      </w:r>
      <w:r>
        <w:t xml:space="preserve">relating to the DGSD.</w:t>
      </w:r>
      <w:r>
        <w:t xml:space="preserve"> </w:t>
      </w:r>
      <w:r>
        <w:t xml:space="preserve">421 The Commission services do not have at disposal a detailed methodology used to calculate the indirect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The cost of the preventive measure depends on the tools used by the DGS and is a case-</w:t>
      </w:r>
      <w:r>
        <w:t xml:space="preserve"> </w:t>
      </w:r>
      <w:r>
        <w:t xml:space="preserve">by-case assessment. For instance:</w:t>
      </w:r>
      <w:r>
        <w:t xml:space="preserve"> </w:t>
      </w:r>
      <w:r>
        <w:t xml:space="preserve">- Under case A, the DGS injected capital in the bank and then sold the shares for 1</w:t>
      </w:r>
      <w:r>
        <w:t xml:space="preserve"> </w:t>
      </w:r>
      <w:r>
        <w:t xml:space="preserve">euro to a buyer. The final cost for the DGS was equal to the amount of the</w:t>
      </w:r>
      <w:r>
        <w:t xml:space="preserve"> </w:t>
      </w:r>
      <w:r>
        <w:t xml:space="preserve">capital injection.</w:t>
      </w:r>
      <w:r>
        <w:t xml:space="preserve"> </w:t>
      </w:r>
      <w:r>
        <w:t xml:space="preserve">- Under case B, the DGS also injected capital in the bank but considered that it</w:t>
      </w:r>
      <w:r>
        <w:t xml:space="preserve"> </w:t>
      </w:r>
      <w:r>
        <w:t xml:space="preserve">would be able to sell the shares with a discount in several years. The final cost</w:t>
      </w:r>
      <w:r>
        <w:t xml:space="preserve"> </w:t>
      </w:r>
      <w:r>
        <w:t xml:space="preserve">for the DGS was then equal to the amount of the capital injection, minus the</w:t>
      </w:r>
      <w:r>
        <w:t xml:space="preserve"> </w:t>
      </w:r>
      <w:r>
        <w:t xml:space="preserve">following sale of the shares.</w:t>
      </w:r>
      <w:r>
        <w:t xml:space="preserve"> </w:t>
      </w:r>
      <w:r>
        <w:t xml:space="preserve">- Under case C, the DGS provided a guarantee. It is assumed in this case that the</w:t>
      </w:r>
      <w:r>
        <w:t xml:space="preserve"> </w:t>
      </w:r>
      <w:r>
        <w:t xml:space="preserve">guarantee will be called.</w:t>
      </w:r>
    </w:p>
    <w:p>
      <w:pPr>
        <w:pStyle w:val="Compact"/>
        <w:numPr>
          <w:ilvl w:val="0"/>
          <w:numId w:val="1025"/>
        </w:numPr>
      </w:pPr>
      <w:r>
        <w:t xml:space="preserve">Step 3 is a comparison between the cost of the payout and the cost of the</w:t>
      </w:r>
      <w:r>
        <w:t xml:space="preserve"> </w:t>
      </w:r>
      <w:r>
        <w:t xml:space="preserve">measure.</w:t>
      </w:r>
    </w:p>
    <w:p>
      <w:pPr>
        <w:pStyle w:val="FirstParagraph"/>
      </w:pPr>
      <w:r>
        <w:t xml:space="preserve">The DGS opted for the less costly option. It appears that, in these cases, the DGS would</w:t>
      </w:r>
      <w:r>
        <w:t xml:space="preserve"> </w:t>
      </w:r>
      <w:r>
        <w:t xml:space="preserve">not be allowed to finance the measure without the indirect costs and would have been</w:t>
      </w:r>
      <w:r>
        <w:t xml:space="preserve"> </w:t>
      </w:r>
      <w:r>
        <w:t xml:space="preserve">required to reimburse the depositors.</w:t>
      </w:r>
    </w:p>
    <w:p>
      <w:pPr>
        <w:pStyle w:val="BodyText"/>
      </w:pPr>
      <w:r>
        <w:t xml:space="preserve">Table 7: Examples of least cost test calculations</w:t>
      </w:r>
      <w:r>
        <w:t xml:space="preserve"> </w:t>
      </w:r>
      <w:r>
        <w:t xml:space="preserve">The numbers in this table</w:t>
      </w:r>
      <w:r>
        <w:t xml:space="preserve"> </w:t>
      </w:r>
      <w:r>
        <w:t xml:space="preserve">were rescaled for</w:t>
      </w:r>
      <w:r>
        <w:t xml:space="preserve"> </w:t>
      </w:r>
      <w:r>
        <w:t xml:space="preserve">confidentiality purposes. For</w:t>
      </w:r>
      <w:r>
        <w:t xml:space="preserve"> </w:t>
      </w:r>
      <w:r>
        <w:t xml:space="preserve">each case, the</w:t>
      </w:r>
      <w:r>
        <w:t xml:space="preserve"> </w:t>
      </w:r>
      <w:r>
        <w:t xml:space="preserve">proportionality between the</w:t>
      </w:r>
      <w:r>
        <w:t xml:space="preserve"> </w:t>
      </w:r>
      <w:r>
        <w:t xml:space="preserve">numbers is preserved</w:t>
      </w:r>
      <w:r>
        <w:t xml:space="preserve"> </w:t>
      </w:r>
      <w:r>
        <w:t xml:space="preserve">Case A</w:t>
      </w:r>
      <w:r>
        <w:t xml:space="preserve"> </w:t>
      </w:r>
      <w:r>
        <w:t xml:space="preserve">Case B</w:t>
      </w:r>
      <w:r>
        <w:t xml:space="preserve"> </w:t>
      </w:r>
      <w:r>
        <w:t xml:space="preserve">Case C</w:t>
      </w:r>
      <w:r>
        <w:t xml:space="preserve"> </w:t>
      </w:r>
      <w:r>
        <w:t xml:space="preserve">Step 1 : calculating the cost of a payout</w:t>
      </w:r>
      <w:r>
        <w:t xml:space="preserve"> </w:t>
      </w:r>
      <w:r>
        <w:t xml:space="preserve">1.1 Direct costs for the DGS</w:t>
      </w:r>
      <w:r>
        <w:t xml:space="preserve"> </w:t>
      </w:r>
      <w:r>
        <w:t xml:space="preserve">A. Value of the assets of the</w:t>
      </w:r>
      <w:r>
        <w:t xml:space="preserve"> </w:t>
      </w:r>
      <w:r>
        <w:t xml:space="preserve">bank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piecemeal</w:t>
      </w:r>
      <w:r>
        <w:t xml:space="preserve"> </w:t>
      </w:r>
      <w:r>
        <w:t xml:space="preserve">liquidation</w:t>
      </w:r>
      <w:r>
        <w:t xml:space="preserve"> </w:t>
      </w:r>
      <w:r>
        <w:t xml:space="preserve">645</w:t>
      </w:r>
      <w:r>
        <w:t xml:space="preserve"> </w:t>
      </w:r>
      <w:r>
        <w:t xml:space="preserve">884</w:t>
      </w:r>
      <w:r>
        <w:t xml:space="preserve"> </w:t>
      </w:r>
      <w:r>
        <w:t xml:space="preserve">434</w:t>
      </w:r>
      <w:r>
        <w:t xml:space="preserve"> </w:t>
      </w:r>
      <w:r>
        <w:t xml:space="preserve">B. Preferred and covered</w:t>
      </w:r>
      <w:r>
        <w:t xml:space="preserve"> </w:t>
      </w:r>
      <w:r>
        <w:t xml:space="preserve">liabilities</w:t>
      </w:r>
      <w:r>
        <w:t xml:space="preserve"> </w:t>
      </w:r>
      <w:r>
        <w:t xml:space="preserve">261</w:t>
      </w:r>
      <w:r>
        <w:t xml:space="preserve"> </w:t>
      </w:r>
      <w:r>
        <w:t xml:space="preserve">312</w:t>
      </w:r>
      <w:r>
        <w:t xml:space="preserve"> </w:t>
      </w:r>
      <w:r>
        <w:t xml:space="preserve">156</w:t>
      </w:r>
      <w:r>
        <w:t xml:space="preserve"> </w:t>
      </w:r>
      <w:r>
        <w:t xml:space="preserve">C. Operational costs</w:t>
      </w:r>
      <w:r>
        <w:t xml:space="preserve"> </w:t>
      </w:r>
      <w:r>
        <w:t xml:space="preserve">66</w:t>
      </w:r>
      <w:r>
        <w:t xml:space="preserve"> </w:t>
      </w:r>
      <w:r>
        <w:t xml:space="preserve">64</w:t>
      </w:r>
      <w:r>
        <w:t xml:space="preserve"> </w:t>
      </w:r>
      <w:r>
        <w:t xml:space="preserve">48</w:t>
      </w:r>
      <w:r>
        <w:t xml:space="preserve"> </w:t>
      </w:r>
      <w:r>
        <w:t xml:space="preserve">D.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covered</w:t>
      </w:r>
      <w:r>
        <w:t xml:space="preserve"> </w:t>
      </w:r>
      <w:r>
        <w:t xml:space="preserve">deposits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200</w:t>
      </w:r>
      <w:r>
        <w:t xml:space="preserve"> </w:t>
      </w:r>
      <w:r>
        <w:t xml:space="preserve">E. Direct costs for the DGS</w:t>
      </w:r>
      <w:r>
        <w:br/>
      </w:r>
      <w:r>
        <w:t xml:space="preserve">(i.e. A-B-C-D). If positive,</w:t>
      </w:r>
      <w:r>
        <w:t xml:space="preserve"> </w:t>
      </w:r>
      <w:r>
        <w:t xml:space="preserve">the amount retained is O.</w:t>
      </w:r>
      <w:r>
        <w:t xml:space="preserve"> </w:t>
      </w:r>
      <w:r>
        <w:t xml:space="preserve">A-B-C-D=18</w:t>
      </w:r>
      <w:r>
        <w:t xml:space="preserve"> </w:t>
      </w:r>
      <w:r>
        <w:t xml:space="preserve">Direct costs for the</w:t>
      </w:r>
      <w:r>
        <w:t xml:space="preserve"> </w:t>
      </w:r>
      <w:r>
        <w:t xml:space="preserve">DGS = 0</w:t>
      </w:r>
      <w:r>
        <w:t xml:space="preserve"> </w:t>
      </w:r>
      <w:r>
        <w:t xml:space="preserve">A-B-C-D=108</w:t>
      </w:r>
      <w:r>
        <w:t xml:space="preserve"> </w:t>
      </w:r>
      <w:r>
        <w:t xml:space="preserve">Direct costs for the</w:t>
      </w:r>
      <w:r>
        <w:t xml:space="preserve"> </w:t>
      </w:r>
      <w:r>
        <w:t xml:space="preserve">DGS = 0</w:t>
      </w:r>
      <w:r>
        <w:t xml:space="preserve"> </w:t>
      </w:r>
      <w:r>
        <w:t xml:space="preserve">A-B-C-D=30</w:t>
      </w:r>
      <w:r>
        <w:t xml:space="preserve"> </w:t>
      </w:r>
      <w:r>
        <w:t xml:space="preserve">Direct cost for the</w:t>
      </w:r>
      <w:r>
        <w:t xml:space="preserve"> </w:t>
      </w:r>
      <w:r>
        <w:t xml:space="preserve">DGS = 0</w:t>
      </w:r>
      <w:r>
        <w:t xml:space="preserve"> </w:t>
      </w:r>
      <w:r>
        <w:t xml:space="preserve">1.2 Indirect costs</w:t>
      </w:r>
      <w:r>
        <w:t xml:space="preserve"> </w:t>
      </w:r>
      <w:r>
        <w:t xml:space="preserve">F. Opportunity costs</w:t>
      </w:r>
      <w:r>
        <w:t xml:space="preserve"> </w:t>
      </w:r>
      <w:r>
        <w:t xml:space="preserve">15</w:t>
      </w:r>
      <w:r>
        <w:t xml:space="preserve"> </w:t>
      </w:r>
      <w:r>
        <w:t xml:space="preserve">28</w:t>
      </w:r>
      <w:r>
        <w:t xml:space="preserve"> </w:t>
      </w:r>
      <w:r>
        <w:t xml:space="preserve">14</w:t>
      </w:r>
      <w:r>
        <w:t xml:space="preserve"> </w:t>
      </w:r>
      <w:r>
        <w:t xml:space="preserve">G. Costs for banks related to</w:t>
      </w:r>
      <w:r>
        <w:t xml:space="preserve"> </w:t>
      </w:r>
      <w:r>
        <w:t xml:space="preserve">the additional contributions</w:t>
      </w:r>
      <w:r>
        <w:t xml:space="preserve"> </w:t>
      </w:r>
      <w:r>
        <w:t xml:space="preserve">to the DGS</w:t>
      </w:r>
      <w:r>
        <w:t xml:space="preserve"> </w:t>
      </w:r>
      <w:r>
        <w:t xml:space="preserve">18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H.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funding for other banks</w:t>
      </w:r>
      <w:r>
        <w:t xml:space="preserve"> </w:t>
      </w:r>
      <w:r>
        <w:t xml:space="preserve">33</w:t>
      </w:r>
      <w:r>
        <w:t xml:space="preserve"> </w:t>
      </w:r>
      <w:r>
        <w:t xml:space="preserve">24</w:t>
      </w:r>
      <w:r>
        <w:t xml:space="preserve"> </w:t>
      </w:r>
      <w:r>
        <w:t xml:space="preserve">0</w:t>
      </w:r>
      <w:r>
        <w:t xml:space="preserve"> </w:t>
      </w:r>
      <w:r>
        <w:t xml:space="preserve">I. Financial contagion effect</w:t>
      </w:r>
      <w:r>
        <w:t xml:space="preserve"> </w:t>
      </w:r>
      <w:r>
        <w:t xml:space="preserve">on other high risk banks</w:t>
      </w:r>
      <w:r>
        <w:t xml:space="preserve"> </w:t>
      </w:r>
      <w:r>
        <w:t xml:space="preserve">30</w:t>
      </w:r>
      <w:r>
        <w:t xml:space="preserve"> </w:t>
      </w:r>
      <w:r>
        <w:t xml:space="preserve">36</w:t>
      </w:r>
      <w:r>
        <w:t xml:space="preserve"> </w:t>
      </w:r>
      <w:r>
        <w:t xml:space="preserve">0</w:t>
      </w:r>
      <w:r>
        <w:t xml:space="preserve"> </w:t>
      </w:r>
      <w:r>
        <w:t xml:space="preserve">J. Indirect costs (F+G+H+I) 96</w:t>
      </w:r>
      <w:r>
        <w:t xml:space="preserve"> </w:t>
      </w:r>
      <w:r>
        <w:t xml:space="preserve">(i.e. </w:t>
      </w:r>
      <w:r>
        <w:t xml:space="preserve"> </w:t>
      </w:r>
      <w:r>
        <w:t xml:space="preserve">15+18+33+30)</w:t>
      </w:r>
      <w:r>
        <w:t xml:space="preserve"> </w:t>
      </w:r>
      <w:r>
        <w:t xml:space="preserve">88 (i.e. 28+24+36) 18 (i.e. 14+4)</w:t>
      </w:r>
      <w:r>
        <w:t xml:space="preserve"> </w:t>
      </w:r>
      <w:r>
        <w:t xml:space="preserve">1.3 Total cost of the payout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K. Cost of the payout (E+J)</w:t>
      </w:r>
      <w:r>
        <w:t xml:space="preserve"> </w:t>
      </w:r>
      <w:r>
        <w:t xml:space="preserve">96 (i.e. 0+96)</w:t>
      </w:r>
      <w:r>
        <w:t xml:space="preserve"> </w:t>
      </w:r>
      <w:r>
        <w:t xml:space="preserve">88 (i.e. 0+88)</w:t>
      </w:r>
      <w:r>
        <w:t xml:space="preserve"> </w:t>
      </w:r>
      <w:r>
        <w:t xml:space="preserve">18 (i.e. 0+18)</w:t>
      </w:r>
      <w:r>
        <w:t xml:space="preserve"> </w:t>
      </w:r>
      <w:r>
        <w:t xml:space="preserve">Step 2 : Cost of the preventive measure for the DGS</w:t>
      </w:r>
      <w:r>
        <w:t xml:space="preserve"> </w:t>
      </w:r>
      <w:r>
        <w:t xml:space="preserve">Preventive measure</w:t>
      </w:r>
      <w:r>
        <w:t xml:space="preserve"> </w:t>
      </w:r>
      <w:r>
        <w:t xml:space="preserve">DGS</w:t>
      </w:r>
      <w:r>
        <w:t xml:space="preserve"> </w:t>
      </w:r>
      <w:r>
        <w:t xml:space="preserve">injected</w:t>
      </w:r>
      <w:r>
        <w:t xml:space="preserve"> </w:t>
      </w:r>
      <w:r>
        <w:t xml:space="preserve">capital,</w:t>
      </w:r>
      <w:r>
        <w:t xml:space="preserve"> </w:t>
      </w:r>
      <w:r>
        <w:t xml:space="preserve">and</w:t>
      </w:r>
      <w:r>
        <w:t xml:space="preserve"> </w:t>
      </w:r>
      <w:r>
        <w:t xml:space="preserve">immediately sold the</w:t>
      </w:r>
      <w:r>
        <w:t xml:space="preserve"> </w:t>
      </w:r>
      <w:r>
        <w:t xml:space="preserve">shares for EUR 1 to</w:t>
      </w:r>
      <w:r>
        <w:t xml:space="preserve"> </w:t>
      </w:r>
      <w:r>
        <w:t xml:space="preserve">a buyer.</w:t>
      </w:r>
      <w:r>
        <w:t xml:space="preserve"> </w:t>
      </w:r>
      <w:r>
        <w:t xml:space="preserve">DGS</w:t>
      </w:r>
      <w:r>
        <w:t xml:space="preserve"> </w:t>
      </w:r>
      <w:r>
        <w:t xml:space="preserve">injected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assumed to sell the</w:t>
      </w:r>
      <w:r>
        <w:t xml:space="preserve"> </w:t>
      </w:r>
      <w:r>
        <w:t xml:space="preserve">shares,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discount, within 4</w:t>
      </w:r>
      <w:r>
        <w:t xml:space="preserve"> </w:t>
      </w:r>
      <w:r>
        <w:t xml:space="preserve">years.</w:t>
      </w:r>
      <w:r>
        <w:t xml:space="preserve"> </w:t>
      </w:r>
      <w:r>
        <w:t xml:space="preserve">DGS provided a</w:t>
      </w:r>
      <w:r>
        <w:t xml:space="preserve"> </w:t>
      </w:r>
      <w:r>
        <w:t xml:space="preserve">guarantee to inject</w:t>
      </w:r>
      <w:r>
        <w:t xml:space="preserve"> </w:t>
      </w:r>
      <w:r>
        <w:t xml:space="preserve">capital.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preventive</w:t>
      </w:r>
      <w:r>
        <w:t xml:space="preserve"> </w:t>
      </w:r>
      <w:r>
        <w:t xml:space="preserve">measure for the DGS</w:t>
      </w:r>
      <w:r>
        <w:t xml:space="preserve"> </w:t>
      </w:r>
      <w:r>
        <w:t xml:space="preserve">93</w:t>
      </w:r>
      <w:r>
        <w:br/>
      </w:r>
      <w:r>
        <w:t xml:space="preserve">Between 8 and 16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Step 3 : Least cost test</w:t>
      </w:r>
      <w:r>
        <w:t xml:space="preserve"> </w:t>
      </w:r>
      <w:r>
        <w:t xml:space="preserve">Comparison of the cost of</w:t>
      </w:r>
      <w:r>
        <w:t xml:space="preserve"> </w:t>
      </w:r>
      <w:r>
        <w:t xml:space="preserve">the payout and the cost of</w:t>
      </w:r>
      <w:r>
        <w:t xml:space="preserve"> </w:t>
      </w:r>
      <w:r>
        <w:t xml:space="preserve">the preventive measure</w:t>
      </w:r>
      <w:r>
        <w:t xml:space="preserve"> </w:t>
      </w:r>
      <w:r>
        <w:t xml:space="preserve">Cost of the payout:</w:t>
      </w:r>
      <w:r>
        <w:t xml:space="preserve"> </w:t>
      </w:r>
      <w:r>
        <w:t xml:space="preserve">96</w:t>
      </w:r>
      <w:r>
        <w:t xml:space="preserve"> </w:t>
      </w:r>
      <w:r>
        <w:t xml:space="preserve">Cost of the measure:</w:t>
      </w:r>
      <w:r>
        <w:t xml:space="preserve"> </w:t>
      </w:r>
      <w:r>
        <w:t xml:space="preserve">93</w:t>
      </w:r>
      <w:r>
        <w:t xml:space="preserve"> </w:t>
      </w:r>
      <w:r>
        <w:t xml:space="preserve">Cost of the payout</w:t>
      </w:r>
      <w:r>
        <w:t xml:space="preserve"> </w:t>
      </w:r>
      <w:r>
        <w:t xml:space="preserve">: 88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measure: 8-16</w:t>
      </w:r>
      <w:r>
        <w:t xml:space="preserve"> </w:t>
      </w:r>
      <w:r>
        <w:t xml:space="preserve">Cost of the payout</w:t>
      </w:r>
      <w:r>
        <w:t xml:space="preserve"> </w:t>
      </w:r>
      <w:r>
        <w:t xml:space="preserve">: 18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measure: 6</w:t>
      </w:r>
      <w:r>
        <w:t xml:space="preserve"> </w:t>
      </w:r>
      <w:r>
        <w:t xml:space="preserve">Source: Commission services.</w:t>
      </w:r>
    </w:p>
    <w:p>
      <w:pPr>
        <w:pStyle w:val="BodyText"/>
      </w:pPr>
      <w:r>
        <w:t xml:space="preserve">In view of the above experience and as mentioned in Chapter 2, there is scope to improve</w:t>
      </w:r>
      <w:r>
        <w:t xml:space="preserve"> </w:t>
      </w:r>
      <w:r>
        <w:t xml:space="preserve">the provision, with a view to ensure more clarity and legal certainty on the use of these</w:t>
      </w:r>
      <w:r>
        <w:t xml:space="preserve"> </w:t>
      </w:r>
      <w:r>
        <w:t xml:space="preserve">measures with a view to preserve DGS financial means, as well as a more consistent</w:t>
      </w:r>
      <w:r>
        <w:t xml:space="preserve"> </w:t>
      </w:r>
      <w:r>
        <w:t xml:space="preserve">application. It would also be important to ensure that the intervention is granted at a</w:t>
      </w:r>
      <w:r>
        <w:t xml:space="preserve"> </w:t>
      </w:r>
      <w:r>
        <w:t xml:space="preserve">sufficiently early time, to avoid granting support to a bank that is too close to failure.</w:t>
      </w:r>
      <w:r>
        <w:br/>
      </w:r>
      <w:r>
        <w:t xml:space="preserve">Following the feedback from the EGBPI, the following policy options could appear</w:t>
      </w:r>
      <w:r>
        <w:t xml:space="preserve"> </w:t>
      </w:r>
      <w:r>
        <w:t xml:space="preserve">suitable:</w:t>
      </w:r>
      <w:r>
        <w:br/>
      </w:r>
      <w:r>
        <w:t xml:space="preserve">- applying the same least cost methodology as for any other use of DGS (see</w:t>
      </w:r>
      <w:r>
        <w:t xml:space="preserve"> </w:t>
      </w:r>
      <w:r>
        <w:t xml:space="preserve">further point (ii));</w:t>
      </w:r>
      <w:r>
        <w:t xml:space="preserve"> </w:t>
      </w:r>
      <w:r>
        <w:t xml:space="preserve">- applying a least cost methodology tailored to a specific nature of the preventive</w:t>
      </w:r>
      <w:r>
        <w:t xml:space="preserve"> </w:t>
      </w:r>
      <w:r>
        <w:t xml:space="preserve">measures;</w:t>
      </w:r>
      <w:r>
        <w:br/>
      </w:r>
      <w:r>
        <w:t xml:space="preserve">- using additional or strengthened criteria to ensure the timeliness of the</w:t>
      </w:r>
      <w:r>
        <w:t xml:space="preserve"> </w:t>
      </w:r>
      <w:r>
        <w:t xml:space="preserve">intervention and its economic rationale, combined with the least cost test used for</w:t>
      </w:r>
      <w:r>
        <w:t xml:space="preserve"> </w:t>
      </w:r>
      <w:r>
        <w:t xml:space="preserve">any other use of DGS as an additional safeguard.</w:t>
      </w:r>
      <w:r>
        <w:br/>
      </w:r>
      <w:r>
        <w:t xml:space="preserve">The first option would have the benefit of ensuring consistency across different DGS</w:t>
      </w:r>
      <w:r>
        <w:t xml:space="preserve"> </w:t>
      </w:r>
      <w:r>
        <w:t xml:space="preserve">uses. At the same time, a least cost based on an insolvency counterfactual might fail to</w:t>
      </w:r>
      <w:r>
        <w:t xml:space="preserve"> </w:t>
      </w:r>
      <w:r>
        <w:t xml:space="preserve">capture all aspects of such a preventive intervention. At the time of a preventive measure,</w:t>
      </w:r>
      <w:r>
        <w:t xml:space="preserve"> </w:t>
      </w:r>
      <w:r>
        <w:t xml:space="preserve">the bank is meant to be ‘not yet failing’ (or in going concern) and it would not be</w:t>
      </w:r>
      <w:r>
        <w:t xml:space="preserve"> </w:t>
      </w:r>
      <w:r>
        <w:t xml:space="preserve">possible to know whether, in the event of failure, the bank would go into resolution or</w:t>
      </w:r>
      <w:r>
        <w:t xml:space="preserve"> </w:t>
      </w:r>
      <w:r>
        <w:t xml:space="preserve">insolvency as reference for the counterfactual in the LCT. Moreover, such a solution</w:t>
      </w:r>
      <w:r>
        <w:t xml:space="preserve"> </w:t>
      </w:r>
      <w:r>
        <w:t xml:space="preserve">would not improve the necessary safeguards. In particular, the least cost test alone might</w:t>
      </w:r>
      <w:r>
        <w:t xml:space="preserve"> </w:t>
      </w:r>
      <w:r>
        <w:t xml:space="preserve">not help in ensuring that the DGS intervention is sufficiently timely or based on adequate</w:t>
      </w:r>
      <w:r>
        <w:t xml:space="preserve"> </w:t>
      </w:r>
      <w:r>
        <w:t xml:space="preserve">economic rationale (other than being less expensive than an insolvency payout or other</w:t>
      </w:r>
      <w:r>
        <w:t xml:space="preserve"> </w:t>
      </w:r>
      <w:r>
        <w:t xml:space="preserve">counterfactual).</w:t>
      </w:r>
      <w:r>
        <w:t xml:space="preserve"> </w:t>
      </w:r>
      <w:r>
        <w:t xml:space="preserve">The second option would entail a least cost test that reflects the specific nature of</w:t>
      </w:r>
      <w:r>
        <w:t xml:space="preserve"> </w:t>
      </w:r>
      <w:r>
        <w:t xml:space="preserve">preventive measures and the type of DGS, e.g. the existence of a statutory or contractual</w:t>
      </w:r>
      <w:r>
        <w:t xml:space="preserve"> </w:t>
      </w:r>
      <w:r>
        <w:t xml:space="preserve">mandate to intervene. As explained in Annex 10, Box 19, preventive measures are crucial</w:t>
      </w:r>
      <w:r>
        <w:t xml:space="preserve"> </w:t>
      </w:r>
      <w:r>
        <w:t xml:space="preserve">for IPSs and applying a least cost test before granting support to an IPS member should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take into account the main IPS functions. This option would also require additional</w:t>
      </w:r>
      <w:r>
        <w:t xml:space="preserve"> </w:t>
      </w:r>
      <w:r>
        <w:t xml:space="preserve">technical analysis, developed through regulatory technical standards.</w:t>
      </w:r>
      <w:r>
        <w:br/>
      </w:r>
      <w:r>
        <w:t xml:space="preserve">The third option, combining the first or second options, could reinforce the criteria to</w:t>
      </w:r>
      <w:r>
        <w:t xml:space="preserve"> </w:t>
      </w:r>
      <w:r>
        <w:t xml:space="preserve">ensure the timeliness and economic rationale of the intervention. For example, the</w:t>
      </w:r>
      <w:r>
        <w:t xml:space="preserve"> </w:t>
      </w:r>
      <w:r>
        <w:t xml:space="preserve">revised provision could ensure that the bank is solvent at the time of the intervention and</w:t>
      </w:r>
      <w:r>
        <w:t xml:space="preserve"> </w:t>
      </w:r>
      <w:r>
        <w:t xml:space="preserve">that there is no prospect of its failure within a certain period in the future. Also, further</w:t>
      </w:r>
      <w:r>
        <w:t xml:space="preserve"> </w:t>
      </w:r>
      <w:r>
        <w:t xml:space="preserve">conditions could require that the intervention is capable of ensuring the bank’s long term</w:t>
      </w:r>
      <w:r>
        <w:t xml:space="preserve"> </w:t>
      </w:r>
      <w:r>
        <w:t xml:space="preserve">viability. In addition to such safeguards, it would be sensible that the intervention meets</w:t>
      </w:r>
      <w:r>
        <w:t xml:space="preserve"> </w:t>
      </w:r>
      <w:r>
        <w:t xml:space="preserve">the least cost test, if compared with an appropriate counterfactual. Such an option would</w:t>
      </w:r>
      <w:r>
        <w:t xml:space="preserve"> </w:t>
      </w:r>
      <w:r>
        <w:t xml:space="preserve">merit further technical analysis through regulatory technical standards.</w:t>
      </w:r>
      <w:r>
        <w:t xml:space="preserve"> </w:t>
      </w:r>
      <w:r>
        <w:t xml:space="preserve">Finally, the interaction between this provision and Article 32 BRRD should be clarified.</w:t>
      </w:r>
      <w:r>
        <w:t xml:space="preserve"> </w:t>
      </w:r>
      <w:r>
        <w:t xml:space="preserve">At present, depending on the qualification of the intervention for State aid purposes,</w:t>
      </w:r>
      <w:r>
        <w:t xml:space="preserve"> </w:t>
      </w:r>
      <w:r>
        <w:t xml:space="preserve">there is a possibility that some DGSs cannot intervene in a preventive fashion because</w:t>
      </w:r>
      <w:r>
        <w:t xml:space="preserve"> </w:t>
      </w:r>
      <w:r>
        <w:t xml:space="preserve">the measure would trigger resolution. An option to avoid this problem would be to</w:t>
      </w:r>
      <w:r>
        <w:t xml:space="preserve"> </w:t>
      </w:r>
      <w:r>
        <w:t xml:space="preserve">explore a similar approach that already applies for precautionary measures, which</w:t>
      </w:r>
      <w:r>
        <w:t xml:space="preserve"> </w:t>
      </w:r>
      <w:r>
        <w:t xml:space="preserve">constitute an exception to the rule that extraordinary financial support should trigger a</w:t>
      </w:r>
      <w:r>
        <w:t xml:space="preserve"> </w:t>
      </w:r>
      <w:r>
        <w:t xml:space="preserve">FOLF determination for the bank. The exception is based on the fact that precautionary</w:t>
      </w:r>
      <w:r>
        <w:t xml:space="preserve"> </w:t>
      </w:r>
      <w:r>
        <w:t xml:space="preserve">measures are granted to solvent banks and under strict conditions (as to the amount for</w:t>
      </w:r>
      <w:r>
        <w:t xml:space="preserve"> </w:t>
      </w:r>
      <w:r>
        <w:t xml:space="preserve">example). Accordingly, under this approach, even in the event the DGS measures are</w:t>
      </w:r>
      <w:r>
        <w:t xml:space="preserve"> </w:t>
      </w:r>
      <w:r>
        <w:t xml:space="preserve">qualified as State aid (which is the basis to consider it as extraordinary public financial</w:t>
      </w:r>
      <w:r>
        <w:t xml:space="preserve"> </w:t>
      </w:r>
      <w:r>
        <w:t xml:space="preserve">support), it would be possible to use them without triggering resolution subject to</w:t>
      </w:r>
      <w:r>
        <w:t xml:space="preserve"> </w:t>
      </w:r>
      <w:r>
        <w:t xml:space="preserve">required conditions and safeguards.</w:t>
      </w:r>
      <w:r>
        <w:t xml:space="preserve"> </w:t>
      </w:r>
      <w:r>
        <w:t xml:space="preserve">(ii)</w:t>
      </w:r>
      <w:r>
        <w:t xml:space="preserve"> </w:t>
      </w:r>
      <w:r>
        <w:t xml:space="preserve">Alternative measures under Article 11(6) DGSD</w:t>
      </w:r>
      <w:r>
        <w:t xml:space="preserve"> </w:t>
      </w:r>
      <w:r>
        <w:t xml:space="preserve">Alternative measures are normally used for banks where there is no public interest in</w:t>
      </w:r>
      <w:r>
        <w:t xml:space="preserve"> </w:t>
      </w:r>
      <w:r>
        <w:t xml:space="preserve">resolution and which are to be liquidated under national insolvency proceedings (if</w:t>
      </w:r>
      <w:r>
        <w:t xml:space="preserve"> </w:t>
      </w:r>
      <w:r>
        <w:t xml:space="preserve">available under national law). In the context of the insolvency proceedings, the DGSs can</w:t>
      </w:r>
      <w:r>
        <w:t xml:space="preserve"> </w:t>
      </w:r>
      <w:r>
        <w:t xml:space="preserve">finance an alternative measure to payout, such as the transfer of the assets and liabilities</w:t>
      </w:r>
      <w:r>
        <w:t xml:space="preserve"> </w:t>
      </w:r>
      <w:r>
        <w:t xml:space="preserve">andor a deposit book, from a failing bank to an acquirer to preserve depositors’ access to</w:t>
      </w:r>
      <w:r>
        <w:t xml:space="preserve"> </w:t>
      </w:r>
      <w:r>
        <w:t xml:space="preserve">covered deposits and, at the same time, limit the destruction of value in a piecemeal</w:t>
      </w:r>
      <w:r>
        <w:t xml:space="preserve"> </w:t>
      </w:r>
      <w:r>
        <w:t xml:space="preserve">liquidation.</w:t>
      </w:r>
      <w:r>
        <w:br/>
      </w:r>
      <w:r>
        <w:t xml:space="preserve">The Commission services were informed of one instance in which a DGS financed</w:t>
      </w:r>
      <w:r>
        <w:t xml:space="preserve"> </w:t>
      </w:r>
      <w:r>
        <w:t xml:space="preserve">alternative measures. This intervention also involved a least cost assessment,</w:t>
      </w:r>
      <w:r>
        <w:t xml:space="preserve"> </w:t>
      </w:r>
      <w:r>
        <w:t xml:space="preserve">corresponding to the total amount required to reimburse covered depositors minus the</w:t>
      </w:r>
      <w:r>
        <w:t xml:space="preserve"> </w:t>
      </w:r>
      <w:r>
        <w:t xml:space="preserve">estimated amount of proceeds the DGS would have received from the insolvency estate.</w:t>
      </w:r>
      <w:r>
        <w:t xml:space="preserve"> </w:t>
      </w:r>
      <w:r>
        <w:t xml:space="preserve">The bank in question was experiencing significant liquidity outflows and facing</w:t>
      </w:r>
      <w:r>
        <w:t xml:space="preserve"> </w:t>
      </w:r>
      <w:r>
        <w:t xml:space="preserve">difficulties to meet its capital requirements. It was declared failing or likely to fail and</w:t>
      </w:r>
      <w:r>
        <w:t xml:space="preserve"> </w:t>
      </w:r>
      <w:r>
        <w:t xml:space="preserve">went in insolvency, while searching for a potential buyer who would be interested in a</w:t>
      </w:r>
      <w:r>
        <w:t xml:space="preserve"> </w:t>
      </w:r>
      <w:r>
        <w:t xml:space="preserve">transfer of the assets and liabilities from the failed bank. The principles of this least cost</w:t>
      </w:r>
      <w:r>
        <w:t xml:space="preserve"> </w:t>
      </w:r>
      <w:r>
        <w:t xml:space="preserve">assessment are set out below.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Box 18: Example of least cost test calculation under Article 11(6) DGSD422</w:t>
      </w:r>
    </w:p>
    <w:p>
      <w:pPr>
        <w:numPr>
          <w:ilvl w:val="0"/>
          <w:numId w:val="1026"/>
        </w:numPr>
      </w:pPr>
      <w:r>
        <w:t xml:space="preserve">Calculation of the cost of the payout</w:t>
      </w:r>
      <w:r>
        <w:t xml:space="preserve"> </w:t>
      </w:r>
      <w:r>
        <w:t xml:space="preserve">A. Value of the assets of the bank</w:t>
      </w:r>
      <w:r>
        <w:t xml:space="preserve"> </w:t>
      </w:r>
      <w:r>
        <w:t xml:space="preserve">600</w:t>
      </w:r>
      <w:r>
        <w:t xml:space="preserve"> </w:t>
      </w:r>
      <w:r>
        <w:t xml:space="preserve">B. Preferred liabilities</w:t>
      </w:r>
      <w:r>
        <w:t xml:space="preserve"> </w:t>
      </w:r>
      <w:r>
        <w:t xml:space="preserve">32</w:t>
      </w:r>
      <w:r>
        <w:t xml:space="preserve"> </w:t>
      </w:r>
      <w:r>
        <w:t xml:space="preserve">C. Direct and indirect costs related to the liquidation</w:t>
      </w:r>
      <w:r>
        <w:br/>
      </w:r>
      <w:r>
        <w:t xml:space="preserve">150</w:t>
      </w:r>
      <w:r>
        <w:t xml:space="preserve"> </w:t>
      </w:r>
      <w:r>
        <w:t xml:space="preserve">D. Covered deposits</w:t>
      </w:r>
      <w:r>
        <w:t xml:space="preserve"> </w:t>
      </w:r>
      <w:r>
        <w:t xml:space="preserve">540</w:t>
      </w:r>
      <w:r>
        <w:t xml:space="preserve"> </w:t>
      </w:r>
      <w:r>
        <w:t xml:space="preserve">Cost of the payout</w:t>
      </w:r>
      <w:r>
        <w:br/>
      </w:r>
      <w:r>
        <w:t xml:space="preserve">= A-B-C-D</w:t>
      </w:r>
      <w:r>
        <w:t xml:space="preserve"> </w:t>
      </w:r>
      <w:r>
        <w:t xml:space="preserve">-122</w:t>
      </w:r>
    </w:p>
    <w:p>
      <w:pPr>
        <w:numPr>
          <w:ilvl w:val="0"/>
          <w:numId w:val="1026"/>
        </w:numPr>
      </w:pPr>
      <w:r>
        <w:t xml:space="preserve">Calculation of the cost of the alternative measure</w:t>
      </w:r>
      <w:r>
        <w:t xml:space="preserve"> </w:t>
      </w:r>
      <w:r>
        <w:t xml:space="preserve">In order to facilitate the transaction of the assets and liabilities of the failed bank to a</w:t>
      </w:r>
      <w:r>
        <w:t xml:space="preserve"> </w:t>
      </w:r>
      <w:r>
        <w:t xml:space="preserve">buyer, the DGS compensated the negative value of balance sheet of the failed bank (i.e. </w:t>
      </w:r>
      <w:r>
        <w:t xml:space="preserve"> </w:t>
      </w:r>
      <w:r>
        <w:t xml:space="preserve">the difference between the value of its assets and the value of its liabilities). This</w:t>
      </w:r>
      <w:r>
        <w:t xml:space="preserve"> </w:t>
      </w:r>
      <w:r>
        <w:t xml:space="preserve">compensation represented a loss for the DGS, estimated to 90. As the cost of the</w:t>
      </w:r>
      <w:r>
        <w:t xml:space="preserve"> </w:t>
      </w:r>
      <w:r>
        <w:t xml:space="preserve">transaction (i.e. 90) was lower than the cost of the payout (i.e. 122), the DGS was allowed</w:t>
      </w:r>
      <w:r>
        <w:t xml:space="preserve"> </w:t>
      </w:r>
      <w:r>
        <w:t xml:space="preserve">to apply the alternative measure.</w:t>
      </w:r>
    </w:p>
    <w:p>
      <w:pPr>
        <w:pStyle w:val="FirstParagraph"/>
      </w:pPr>
      <w:r>
        <w:t xml:space="preserve">In line with the feedback from the EGBPI, regulatory technical standards on the least</w:t>
      </w:r>
      <w:r>
        <w:t xml:space="preserve"> </w:t>
      </w:r>
      <w:r>
        <w:t xml:space="preserve">cost methodology would be developed based on the principles to be set out in the Level 1</w:t>
      </w:r>
      <w:r>
        <w:t xml:space="preserve"> </w:t>
      </w:r>
      <w:r>
        <w:t xml:space="preserve">text423. The principles would align the calculation of the costs for a payout with the</w:t>
      </w:r>
      <w:r>
        <w:t xml:space="preserve"> </w:t>
      </w:r>
      <w:r>
        <w:t xml:space="preserve">methodology used in the resolution framework based on a so-called valuation 3424.</w:t>
      </w:r>
      <w:r>
        <w:br/>
      </w:r>
      <w:r>
        <w:t xml:space="preserve">The discussions also explored the inclusion of direct costs, such as the cost of</w:t>
      </w:r>
      <w:r>
        <w:t xml:space="preserve"> </w:t>
      </w:r>
      <w:r>
        <w:t xml:space="preserve">reimbursing covered deposits425, the valuation expertise, legal advisers, possible</w:t>
      </w:r>
      <w:r>
        <w:t xml:space="preserve"> </w:t>
      </w:r>
      <w:r>
        <w:t xml:space="preserve">litigation and costs for the receivers, and indirect costs related to a payout. The views</w:t>
      </w:r>
      <w:r>
        <w:t xml:space="preserve"> </w:t>
      </w:r>
      <w:r>
        <w:t xml:space="preserve">were split on the use of indirect costs, that may reflect the financial contagion effects,</w:t>
      </w:r>
      <w:r>
        <w:t xml:space="preserve"> </w:t>
      </w:r>
      <w:r>
        <w:t xml:space="preserve">additional costs for the banking sector related to the need to raise extraordinary</w:t>
      </w:r>
      <w:r>
        <w:t xml:space="preserve"> </w:t>
      </w:r>
      <w:r>
        <w:t xml:space="preserve">contributions to replenish the DGS and potential additional funding costs related to</w:t>
      </w:r>
      <w:r>
        <w:t xml:space="preserve"> </w:t>
      </w:r>
      <w:r>
        <w:t xml:space="preserve">disturbance on financial markets or opportunity costs for the DGS.</w:t>
      </w:r>
      <w:r>
        <w:br/>
      </w:r>
      <w:r>
        <w:t xml:space="preserve">In this respect, for some experts, the argument against including the indirect costs relates</w:t>
      </w:r>
      <w:r>
        <w:t xml:space="preserve"> </w:t>
      </w:r>
      <w:r>
        <w:t xml:space="preserve">to the complexity to quantify them426 or that they do not represent the direct costs for the</w:t>
      </w:r>
    </w:p>
    <w:p>
      <w:pPr>
        <w:pStyle w:val="BodyText"/>
      </w:pPr>
      <w:r>
        <w:t xml:space="preserve">422 These examples are for information only and should not be seen as an opinion of the Commission</w:t>
      </w:r>
      <w:r>
        <w:t xml:space="preserve"> </w:t>
      </w:r>
      <w:r>
        <w:t xml:space="preserve">services. The objective is to illustrate what a least cost test could be, based on an existing methodology</w:t>
      </w:r>
      <w:r>
        <w:t xml:space="preserve"> </w:t>
      </w:r>
      <w:r>
        <w:t xml:space="preserve">applied on real cases. The numbers have been rescaled for confidentiality purposes, but the proportionality</w:t>
      </w:r>
      <w:r>
        <w:t xml:space="preserve"> </w:t>
      </w:r>
      <w:r>
        <w:t xml:space="preserve">between the numbers is preserved.</w:t>
      </w:r>
      <w:r>
        <w:t xml:space="preserve"> </w:t>
      </w:r>
      <w:r>
        <w:t xml:space="preserve">423 10 Member States agreed on this principle and two disagreed in the replies to the survey circulated by</w:t>
      </w:r>
      <w:r>
        <w:t xml:space="preserve"> </w:t>
      </w:r>
      <w:r>
        <w:t xml:space="preserve">the Commission during the EGBPI of 28 September 2020.</w:t>
      </w:r>
      <w:r>
        <w:br/>
      </w:r>
      <w:r>
        <w:t xml:space="preserve">424 All respondents agreed on this principle in the survey circulated by the Commission during the EGBPI</w:t>
      </w:r>
      <w:r>
        <w:t xml:space="preserve"> </w:t>
      </w:r>
      <w:r>
        <w:t xml:space="preserve">of 28 September 2020.</w:t>
      </w:r>
      <w:r>
        <w:t xml:space="preserve"> </w:t>
      </w:r>
      <w:r>
        <w:t xml:space="preserve">425 The cost of reimbursing covered deposits are the amount of covered deposits minus the expected</w:t>
      </w:r>
      <w:r>
        <w:t xml:space="preserve"> </w:t>
      </w:r>
      <w:r>
        <w:t xml:space="preserve">amount recovered during by the DGS during the insolvency proceedings.</w:t>
      </w:r>
      <w:r>
        <w:t xml:space="preserve"> </w:t>
      </w:r>
      <w:r>
        <w:t xml:space="preserve">426 For instance, for the impact of a payout on the funding costs of the other banks or on the financial</w:t>
      </w:r>
      <w:r>
        <w:t xml:space="preserve"> </w:t>
      </w:r>
      <w:r>
        <w:t xml:space="preserve">stability.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DGS but for the contributing banks427. Some experts were open to including them as long</w:t>
      </w:r>
      <w:r>
        <w:t xml:space="preserve"> </w:t>
      </w:r>
      <w:r>
        <w:t xml:space="preserve">as they allow a more accurate estimation of the overall impact of payout and are based on</w:t>
      </w:r>
      <w:r>
        <w:t xml:space="preserve"> </w:t>
      </w:r>
      <w:r>
        <w:t xml:space="preserve">clear rules enabling their quantification and/or subject to safeguards, e.g. by introducing</w:t>
      </w:r>
      <w:r>
        <w:t xml:space="preserve"> </w:t>
      </w:r>
      <w:r>
        <w:t xml:space="preserve">a cap limiting their amount. Some also considered that, under the current legal</w:t>
      </w:r>
      <w:r>
        <w:t xml:space="preserve"> </w:t>
      </w:r>
      <w:r>
        <w:t xml:space="preserve">framework, the least cost test is unlikely to be met without indirect costs. Indeed, due to</w:t>
      </w:r>
      <w:r>
        <w:t xml:space="preserve"> </w:t>
      </w:r>
      <w:r>
        <w:t xml:space="preserve">the current high ranking of covered deposits in the creditor hierarchy, the likelihood of a</w:t>
      </w:r>
      <w:r>
        <w:t xml:space="preserve"> </w:t>
      </w:r>
      <w:r>
        <w:t xml:space="preserve">loss for a DGS in a payout is very limited and close to zero428.</w:t>
      </w:r>
      <w:r>
        <w:t xml:space="preserve"> </w:t>
      </w:r>
      <w:r>
        <w:t xml:space="preserve">The analysis in Annex 7, section Error! Reference source not found., demonstrated</w:t>
      </w:r>
      <w:r>
        <w:t xml:space="preserve"> </w:t>
      </w:r>
      <w:r>
        <w:t xml:space="preserve">that, under the proposed options including notably the changes to the creditor hierarchy</w:t>
      </w:r>
      <w:r>
        <w:t xml:space="preserve"> </w:t>
      </w:r>
      <w:r>
        <w:t xml:space="preserve">(i.e. single-tier class for all deposits), the direct costs would allow 80%429 of the banks,</w:t>
      </w:r>
      <w:r>
        <w:t xml:space="preserve"> </w:t>
      </w:r>
      <w:r>
        <w:t xml:space="preserve">which cannot reach the 8% TLOF without affecting the deposits, to finance the gap to the</w:t>
      </w:r>
      <w:r>
        <w:t xml:space="preserve"> </w:t>
      </w:r>
      <w:r>
        <w:t xml:space="preserve">8% TLOF threshold. For the remaining banks (i.e. 20% of the banks that cannot access</w:t>
      </w:r>
      <w:r>
        <w:t xml:space="preserve"> </w:t>
      </w:r>
      <w:r>
        <w:t xml:space="preserve">the RF/SRF without affecting the deposits), the amount of funds meeting the least cost</w:t>
      </w:r>
      <w:r>
        <w:t xml:space="preserve"> </w:t>
      </w:r>
      <w:r>
        <w:t xml:space="preserve">test would not be sufficient to reach the 8% TLOF threshold. If the objective were to</w:t>
      </w:r>
      <w:r>
        <w:t xml:space="preserve"> </w:t>
      </w:r>
      <w:r>
        <w:t xml:space="preserve">allow the DGSs to bridge the gap for more banks, indirect costs would need to be</w:t>
      </w:r>
      <w:r>
        <w:t xml:space="preserve"> </w:t>
      </w:r>
      <w:r>
        <w:t xml:space="preserve">included in the calculation of the least cost test. On average, for the subset of banks,</w:t>
      </w:r>
      <w:r>
        <w:t xml:space="preserve"> </w:t>
      </w:r>
      <w:r>
        <w:t xml:space="preserve">unlikely to meet the least cost test according to the simulation, the funds missing to</w:t>
      </w:r>
      <w:r>
        <w:t xml:space="preserve"> </w:t>
      </w:r>
      <w:r>
        <w:t xml:space="preserve">finance the gap to the 8% TLOF threshold would represent 0.25% of covered deposits430.</w:t>
      </w:r>
      <w:r>
        <w:t xml:space="preserve"> </w:t>
      </w:r>
      <w:r>
        <w:t xml:space="preserve">In this context, the impact assessment tested several scenarios of a financial crisis under</w:t>
      </w:r>
      <w:r>
        <w:t xml:space="preserve"> </w:t>
      </w:r>
      <w:r>
        <w:t xml:space="preserve">different versions of creditor hierarchy. The results confirm a low likelihood that DGS</w:t>
      </w:r>
      <w:r>
        <w:t xml:space="preserve"> </w:t>
      </w:r>
      <w:r>
        <w:t xml:space="preserve">funds could be used in crisis management for purposes other than payout under the</w:t>
      </w:r>
      <w:r>
        <w:t xml:space="preserve"> </w:t>
      </w:r>
      <w:r>
        <w:t xml:space="preserve">current least cost test, articulated as in the current framework and including only direct</w:t>
      </w:r>
      <w:r>
        <w:t xml:space="preserve"> </w:t>
      </w:r>
      <w:r>
        <w:t xml:space="preserve">costs. These results also confirm the four examples of least cost tests outlined above in</w:t>
      </w:r>
      <w:r>
        <w:t xml:space="preserve"> </w:t>
      </w:r>
      <w:r>
        <w:t xml:space="preserve">which the DGS would not have been allowed to finance a measure other than payout</w:t>
      </w:r>
      <w:r>
        <w:t xml:space="preserve"> </w:t>
      </w:r>
      <w:r>
        <w:t xml:space="preserve">without including indirect costs.</w:t>
      </w:r>
      <w:r>
        <w:t xml:space="preserve"> </w:t>
      </w:r>
      <w:r>
        <w:t xml:space="preserve">Therefore, the best option would be to develop a methodology, which includes both</w:t>
      </w:r>
      <w:r>
        <w:t xml:space="preserve"> </w:t>
      </w:r>
      <w:r>
        <w:t xml:space="preserve">direct and, at least to some extent, quantifiable indirect costs subject to further technical</w:t>
      </w:r>
      <w:r>
        <w:t xml:space="preserve"> </w:t>
      </w:r>
      <w:r>
        <w:t xml:space="preserve">analysis performed in the context of the regulatory technical standards. This least cost</w:t>
      </w:r>
      <w:r>
        <w:t xml:space="preserve"> </w:t>
      </w:r>
      <w:r>
        <w:t xml:space="preserve">test should apply also in resolution because of the same counterfactual, i.e. the losses</w:t>
      </w:r>
      <w:r>
        <w:t xml:space="preserve"> </w:t>
      </w:r>
      <w:r>
        <w:t xml:space="preserve">incurred in insolvency in case of payout, to ensure the aligned incentives between</w:t>
      </w:r>
      <w:r>
        <w:t xml:space="preserve"> </w:t>
      </w:r>
      <w:r>
        <w:t xml:space="preserve">resolution and insolvency.</w:t>
      </w:r>
      <w:r>
        <w:t xml:space="preserve"> </w:t>
      </w:r>
      <w:r>
        <w:t xml:space="preserve">3.2.14. Reference date for covered deposits data for the calculation of the target</w:t>
      </w:r>
      <w:r>
        <w:t xml:space="preserve"> </w:t>
      </w:r>
      <w:r>
        <w:t xml:space="preserve">level in 2024</w:t>
      </w:r>
      <w:r>
        <w:t xml:space="preserve"> </w:t>
      </w:r>
      <w:r>
        <w:t xml:space="preserve">Issue</w:t>
      </w:r>
      <w:r>
        <w:t xml:space="preserve"> </w:t>
      </w:r>
      <w:r>
        <w:t xml:space="preserve">The EBA recommended to clarify that the reference date for the calculation of the target</w:t>
      </w:r>
      <w:r>
        <w:t xml:space="preserve"> </w:t>
      </w:r>
      <w:r>
        <w:t xml:space="preserve">level in 2024 should be no earlier than 31 December 2023 and no later than 3 July 2024.</w:t>
      </w:r>
    </w:p>
    <w:p>
      <w:pPr>
        <w:pStyle w:val="BodyText"/>
      </w:pPr>
      <w:r>
        <w:t xml:space="preserve">427 Some indirect costs are costs for the banks (additional costs of funding, ex post contributions to</w:t>
      </w:r>
      <w:r>
        <w:t xml:space="preserve"> </w:t>
      </w:r>
      <w:r>
        <w:t xml:space="preserve">replenish the DGS funds).</w:t>
      </w:r>
      <w:r>
        <w:t xml:space="preserve"> </w:t>
      </w:r>
      <w:r>
        <w:t xml:space="preserve">428 In addition, in case a loss is expected, its amount is probably very limited, leaving little room to finance</w:t>
      </w:r>
      <w:r>
        <w:t xml:space="preserve"> </w:t>
      </w:r>
      <w:r>
        <w:t xml:space="preserve">an alternative measure.</w:t>
      </w:r>
      <w:r>
        <w:t xml:space="preserve"> </w:t>
      </w:r>
      <w:r>
        <w:t xml:space="preserve">429 This conclusion would be different without any change in the creditor hierarchy.</w:t>
      </w:r>
      <w:r>
        <w:t xml:space="preserve"> </w:t>
      </w:r>
      <w:r>
        <w:t xml:space="preserve">430 This amount considers a recovery rate set at 85%. It is to be noted that results are strongly dependent on</w:t>
      </w:r>
      <w:r>
        <w:t xml:space="preserve"> </w:t>
      </w:r>
      <w:r>
        <w:t xml:space="preserve">the assumed percentage of recovery rate.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Analysis</w:t>
      </w:r>
      <w:r>
        <w:t xml:space="preserve"> </w:t>
      </w:r>
      <w:r>
        <w:t xml:space="preserve">While experts largely supported the EBA’s clarification, the discussions in the EGBPI</w:t>
      </w:r>
      <w:r>
        <w:t xml:space="preserve"> </w:t>
      </w:r>
      <w:r>
        <w:t xml:space="preserve">subsequently explored another alternative option. According to the latter, the available</w:t>
      </w:r>
      <w:r>
        <w:t xml:space="preserve"> </w:t>
      </w:r>
      <w:r>
        <w:t xml:space="preserve">financial means would at least reach a target level of 0.8% of covered deposits by 31</w:t>
      </w:r>
      <w:r>
        <w:t xml:space="preserve"> </w:t>
      </w:r>
      <w:r>
        <w:t xml:space="preserve">December 2024. This could take into account the differences in the collection of</w:t>
      </w:r>
      <w:r>
        <w:t xml:space="preserve"> </w:t>
      </w:r>
      <w:r>
        <w:t xml:space="preserve">contributions and allow Member States to report the DGS data for 2024 by March 2025.</w:t>
      </w:r>
      <w:r>
        <w:t xml:space="preserve"> </w:t>
      </w:r>
      <w:r>
        <w:t xml:space="preserve">As the views were split, the best option would be to follow the EBA’s advice.</w:t>
      </w:r>
      <w:r>
        <w:br/>
      </w:r>
      <w:r>
        <w:t xml:space="preserve">3.2.15. Treatment of third country branches</w:t>
      </w:r>
      <w:r>
        <w:t xml:space="preserve"> </w:t>
      </w:r>
      <w:r>
        <w:t xml:space="preserve">Issue</w:t>
      </w:r>
      <w:r>
        <w:t xml:space="preserve"> </w:t>
      </w:r>
      <w:r>
        <w:t xml:space="preserve">The EBA pointed out the inconsistent treatment of third country branches located in the</w:t>
      </w:r>
      <w:r>
        <w:t xml:space="preserve"> </w:t>
      </w:r>
      <w:r>
        <w:t xml:space="preserve">EU and the various practices regarding the national equivalence assessments across</w:t>
      </w:r>
      <w:r>
        <w:t xml:space="preserve"> </w:t>
      </w:r>
      <w:r>
        <w:t xml:space="preserve">Member States. In EBA’s view, third country branches should be required to join a DGS</w:t>
      </w:r>
      <w:r>
        <w:t xml:space="preserve"> </w:t>
      </w:r>
      <w:r>
        <w:t xml:space="preserve">in the EU without an equivalence assessment to reduce administrative burden and to</w:t>
      </w:r>
      <w:r>
        <w:t xml:space="preserve"> </w:t>
      </w:r>
      <w:r>
        <w:t xml:space="preserve">align the different approaches. Given that most third country branches are presently</w:t>
      </w:r>
      <w:r>
        <w:t xml:space="preserve"> </w:t>
      </w:r>
      <w:r>
        <w:t xml:space="preserve">members of DGSs in the EU, the impact of this recommendation would be limited.</w:t>
      </w:r>
      <w:r>
        <w:t xml:space="preserve"> </w:t>
      </w:r>
      <w:r>
        <w:t xml:space="preserve">Further, it also proposed clarifications regarding the deposits in third country branches of</w:t>
      </w:r>
      <w:r>
        <w:t xml:space="preserve"> </w:t>
      </w:r>
      <w:r>
        <w:t xml:space="preserve">EU credit institutions, located abroad.</w:t>
      </w:r>
      <w:r>
        <w:t xml:space="preserve"> </w:t>
      </w:r>
      <w:r>
        <w:t xml:space="preserve">Analysis</w:t>
      </w:r>
      <w:r>
        <w:t xml:space="preserve"> </w:t>
      </w:r>
      <w:r>
        <w:t xml:space="preserve">The subsequent feedback from the EGBPI supported such clarifications.</w:t>
      </w:r>
      <w:r>
        <w:br/>
      </w:r>
      <w:r>
        <w:t xml:space="preserve">There was a broad support for requiring third country branches to join DGSs in the EU</w:t>
      </w:r>
      <w:r>
        <w:t xml:space="preserve"> </w:t>
      </w:r>
      <w:r>
        <w:t xml:space="preserve">without prior equivalence assessment. However, some Member States suggested a</w:t>
      </w:r>
      <w:r>
        <w:t xml:space="preserve"> </w:t>
      </w:r>
      <w:r>
        <w:t xml:space="preserve">possible derogation from the participation of a third country branch in a national DGS.</w:t>
      </w:r>
      <w:r>
        <w:t xml:space="preserve"> </w:t>
      </w:r>
      <w:r>
        <w:t xml:space="preserve">This derogation, to be granted by national authorities, would be contingent on an</w:t>
      </w:r>
      <w:r>
        <w:t xml:space="preserve"> </w:t>
      </w:r>
      <w:r>
        <w:t xml:space="preserve">equivalent DGS protection of the third country at least in terms of coverage and a</w:t>
      </w:r>
      <w:r>
        <w:t xml:space="preserve"> </w:t>
      </w:r>
      <w:r>
        <w:t xml:space="preserve">deadline for repayment. However, any such derogations would also run against the</w:t>
      </w:r>
      <w:r>
        <w:t xml:space="preserve"> </w:t>
      </w:r>
      <w:r>
        <w:t xml:space="preserve">Banking Union objectives, in particular these aiming to decrease unnecessary national</w:t>
      </w:r>
      <w:r>
        <w:t xml:space="preserve"> </w:t>
      </w:r>
      <w:r>
        <w:t xml:space="preserve">discretions and the risk of regulatory arbitrage. The treatment of third country branches</w:t>
      </w:r>
      <w:r>
        <w:t xml:space="preserve"> </w:t>
      </w:r>
      <w:r>
        <w:t xml:space="preserve">and their possible authorisation requirements is currently assessed in the ongoing</w:t>
      </w:r>
      <w:r>
        <w:t xml:space="preserve"> </w:t>
      </w:r>
      <w:r>
        <w:t xml:space="preserve">revision of the CRD/CRR framework. These developments could address the concerns</w:t>
      </w:r>
      <w:r>
        <w:t xml:space="preserve"> </w:t>
      </w:r>
      <w:r>
        <w:t xml:space="preserve">raised in the context of the CWP discussion on EDIS431 regarding the risk of third</w:t>
      </w:r>
      <w:r>
        <w:t xml:space="preserve"> </w:t>
      </w:r>
      <w:r>
        <w:t xml:space="preserve">country branches for the common scheme although the latter would remain under</w:t>
      </w:r>
      <w:r>
        <w:t xml:space="preserve"> </w:t>
      </w:r>
      <w:r>
        <w:t xml:space="preserve">national supervision and/or where they cumulate larger amounts of deposits in the EU.</w:t>
      </w:r>
      <w:r>
        <w:br/>
      </w:r>
      <w:r>
        <w:t xml:space="preserve">Likewise, the clarification of the territorial scope of the DGS protection also received</w:t>
      </w:r>
      <w:r>
        <w:t xml:space="preserve"> </w:t>
      </w:r>
      <w:r>
        <w:t xml:space="preserve">broad support in the EGBPI to avoid exposing DGSs to risks in the third countries, which</w:t>
      </w:r>
      <w:r>
        <w:t xml:space="preserve"> </w:t>
      </w:r>
      <w:r>
        <w:t xml:space="preserve">is also important in the context of the common scheme. Taking this forward, this</w:t>
      </w:r>
      <w:r>
        <w:t xml:space="preserve"> </w:t>
      </w:r>
      <w:r>
        <w:t xml:space="preserve">discussion also highlighted a possible coverage of the deposits outside the EU as an area</w:t>
      </w:r>
      <w:r>
        <w:t xml:space="preserve"> </w:t>
      </w:r>
      <w:r>
        <w:t xml:space="preserve">for further work, mainly from the perspective of better competitiveness of EU banks and</w:t>
      </w:r>
      <w:r>
        <w:t xml:space="preserve"> </w:t>
      </w:r>
      <w:r>
        <w:t xml:space="preserve">the fact that branches are not separate legal entities.</w:t>
      </w:r>
    </w:p>
    <w:p>
      <w:pPr>
        <w:pStyle w:val="BodyText"/>
      </w:pPr>
      <w:r>
        <w:t xml:space="preserve">431 European Council (2 June 2021), Portuguese Presidency Progress Report on strengthening the Banking</w:t>
      </w:r>
      <w:r>
        <w:t xml:space="preserve"> </w:t>
      </w:r>
      <w:r>
        <w:t xml:space="preserve">Union.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4.</w:t>
      </w:r>
      <w:r>
        <w:t xml:space="preserve"> </w:t>
      </w:r>
      <w:r>
        <w:t xml:space="preserve">OVERALL ASSESSMENT OF BENEFITS AND COSTS UNDER OPTION 2 (FOLLOWING</w:t>
      </w:r>
      <w:r>
        <w:t xml:space="preserve"> </w:t>
      </w:r>
      <w:r>
        <w:t xml:space="preserve">EBA’S ADVICE)</w:t>
      </w:r>
      <w:r>
        <w:t xml:space="preserve"> </w:t>
      </w:r>
      <w:r>
        <w:t xml:space="preserve">4.1. Benefits</w:t>
      </w:r>
      <w:r>
        <w:t xml:space="preserve"> </w:t>
      </w:r>
      <w:r>
        <w:t xml:space="preserve">Option 2 (following EBA’s advice) would foster a consistent application across Member</w:t>
      </w:r>
      <w:r>
        <w:t xml:space="preserve"> </w:t>
      </w:r>
      <w:r>
        <w:t xml:space="preserve">States and clarify the interplay with other sectoral legislation. This would also enhance</w:t>
      </w:r>
      <w:r>
        <w:t xml:space="preserve"> </w:t>
      </w:r>
      <w:r>
        <w:t xml:space="preserve">legal certainty and depositor confidence as depositors increasingly navigate through</w:t>
      </w:r>
      <w:r>
        <w:t xml:space="preserve"> </w:t>
      </w:r>
      <w:r>
        <w:t xml:space="preserve">different legal regimes as the consequence of the cross-border and Fintech services. New,</w:t>
      </w:r>
      <w:r>
        <w:t xml:space="preserve"> </w:t>
      </w:r>
      <w:r>
        <w:t xml:space="preserve">or more detailed, rules would mainly reassert the principles laid down in the DGSD</w:t>
      </w:r>
      <w:r>
        <w:t xml:space="preserve"> </w:t>
      </w:r>
      <w:r>
        <w:t xml:space="preserve">where the evidence suggests ineffective outcomes, insufficient transparency and scope</w:t>
      </w:r>
      <w:r>
        <w:t xml:space="preserve"> </w:t>
      </w:r>
      <w:r>
        <w:t xml:space="preserve">for improvements compared to the current rules. Some of these modifications would aim</w:t>
      </w:r>
      <w:r>
        <w:t xml:space="preserve"> </w:t>
      </w:r>
      <w:r>
        <w:t xml:space="preserve">to improve the administrative burden of DGSs, while leaving the administrative burden</w:t>
      </w:r>
      <w:r>
        <w:t xml:space="preserve"> </w:t>
      </w:r>
      <w:r>
        <w:t xml:space="preserve">of the banking sector broadly unaltered. More harmonised rules would be necessary to</w:t>
      </w:r>
      <w:r>
        <w:t xml:space="preserve"> </w:t>
      </w:r>
      <w:r>
        <w:t xml:space="preserve">address divergences among Member States that have significant adverse impacts on</w:t>
      </w:r>
      <w:r>
        <w:t xml:space="preserve"> </w:t>
      </w:r>
      <w:r>
        <w:t xml:space="preserve">depositors. The DGSD framework should also be consistent across all EU Member</w:t>
      </w:r>
      <w:r>
        <w:t xml:space="preserve"> </w:t>
      </w:r>
      <w:r>
        <w:t xml:space="preserve">States, irrespective of whether these are members of the Banking Union, to ensure their</w:t>
      </w:r>
      <w:r>
        <w:t xml:space="preserve"> </w:t>
      </w:r>
      <w:r>
        <w:t xml:space="preserve">equal treatment. In several instances, detailed rules to be adopted through empowerments</w:t>
      </w:r>
      <w:r>
        <w:t xml:space="preserve"> </w:t>
      </w:r>
      <w:r>
        <w:t xml:space="preserve">for the delegated and implementing acts would be more suitable to prevent from</w:t>
      </w:r>
      <w:r>
        <w:t xml:space="preserve"> </w:t>
      </w:r>
      <w:r>
        <w:t xml:space="preserve">overburdening the generally applicable legal framework and ensure a consistent use of</w:t>
      </w:r>
      <w:r>
        <w:t xml:space="preserve"> </w:t>
      </w:r>
      <w:r>
        <w:t xml:space="preserve">DGS funding (e.g. through a least cost assessment). Overall, following EBA’s advice</w:t>
      </w:r>
      <w:r>
        <w:t xml:space="preserve"> </w:t>
      </w:r>
      <w:r>
        <w:t xml:space="preserve">would better contribute to the objectives to protect depositors and financial stability.</w:t>
      </w:r>
      <w:r>
        <w:t xml:space="preserve"> </w:t>
      </w:r>
      <w:r>
        <w:t xml:space="preserve">4.2. Costs</w:t>
      </w:r>
      <w:r>
        <w:t xml:space="preserve"> </w:t>
      </w:r>
      <w:r>
        <w:t xml:space="preserve">Option 2 (following EBA’s advice) would extend the coverage for certain types of</w:t>
      </w:r>
      <w:r>
        <w:t xml:space="preserve"> </w:t>
      </w:r>
      <w:r>
        <w:t xml:space="preserve">depositors and deposits, such as the inclusion of public authorities within the scope of</w:t>
      </w:r>
      <w:r>
        <w:t xml:space="preserve"> </w:t>
      </w:r>
      <w:r>
        <w:t xml:space="preserve">covered depositors (Issue 6), which could create additional costs for the contributing</w:t>
      </w:r>
      <w:r>
        <w:t xml:space="preserve"> </w:t>
      </w:r>
      <w:r>
        <w:t xml:space="preserve">banks and the DGS. Currently, the concrete costs for such an amendment cannot be</w:t>
      </w:r>
      <w:r>
        <w:t xml:space="preserve"> </w:t>
      </w:r>
      <w:r>
        <w:t xml:space="preserve">quantified as only eligible deposits are reported to the EBA. However, the subset of such</w:t>
      </w:r>
      <w:r>
        <w:t xml:space="preserve"> </w:t>
      </w:r>
      <w:r>
        <w:t xml:space="preserve">public authorities, currently protected in several Member States, as well as the reflection</w:t>
      </w:r>
      <w:r>
        <w:t xml:space="preserve"> </w:t>
      </w:r>
      <w:r>
        <w:t xml:space="preserve">in the contribution for all affiliated institutions, suggest the overall financial impact to be</w:t>
      </w:r>
      <w:r>
        <w:t xml:space="preserve"> </w:t>
      </w:r>
      <w:r>
        <w:t xml:space="preserve">relatively small. Conversely, other policy options likely to impact the coverage, e.g. </w:t>
      </w:r>
      <w:r>
        <w:t xml:space="preserve"> </w:t>
      </w:r>
      <w:r>
        <w:t xml:space="preserve">temporary high balances, client funds or other (Issues 4, 5, 14), would have a limited</w:t>
      </w:r>
      <w:r>
        <w:t xml:space="preserve"> </w:t>
      </w:r>
      <w:r>
        <w:t xml:space="preserve">financial impact for the DGS and contributing banks because such deposits are either</w:t>
      </w:r>
      <w:r>
        <w:t xml:space="preserve"> </w:t>
      </w:r>
      <w:r>
        <w:t xml:space="preserve">rare, relatively small in terms of volume and/or already covered by the DGS. Likewise,</w:t>
      </w:r>
      <w:r>
        <w:t xml:space="preserve"> </w:t>
      </w:r>
      <w:r>
        <w:t xml:space="preserve">as explained in Annex 7, the changes to the least cost test for the use of DGS other than</w:t>
      </w:r>
      <w:r>
        <w:t xml:space="preserve"> </w:t>
      </w:r>
      <w:r>
        <w:t xml:space="preserve">for payout and to the creditor hierarchy, could also have a financial impact for the DGS,</w:t>
      </w:r>
      <w:r>
        <w:t xml:space="preserve"> </w:t>
      </w:r>
      <w:r>
        <w:t xml:space="preserve">although difficult to quantify in net terms ex ante. However, more robust deposit</w:t>
      </w:r>
      <w:r>
        <w:t xml:space="preserve"> </w:t>
      </w:r>
      <w:r>
        <w:t xml:space="preserve">protection and effective CMDI framework constitute sufficient trade-offs of these</w:t>
      </w:r>
      <w:r>
        <w:t xml:space="preserve"> </w:t>
      </w:r>
      <w:r>
        <w:t xml:space="preserve">potential costs.</w:t>
      </w:r>
      <w:r>
        <w:br/>
      </w:r>
      <w:r>
        <w:t xml:space="preserve">The revised rules may lead to certain implementation costs. However, as the revised</w:t>
      </w:r>
      <w:r>
        <w:t xml:space="preserve"> </w:t>
      </w:r>
      <w:r>
        <w:t xml:space="preserve">criteria aim to enhance clarity and hence reduce the incurred costs under the current</w:t>
      </w:r>
      <w:r>
        <w:t xml:space="preserve"> </w:t>
      </w:r>
      <w:r>
        <w:t xml:space="preserve">framework, the implementation costs are expected to decrease quickly over time.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ANNEX 7: ANALYTICAL METHODS</w:t>
      </w:r>
    </w:p>
    <w:p>
      <w:pPr>
        <w:pStyle w:val="Compact"/>
        <w:numPr>
          <w:ilvl w:val="0"/>
          <w:numId w:val="1027"/>
        </w:numPr>
      </w:pPr>
      <w:r>
        <w:t xml:space="preserve">OBJECTIVE AND SCOPE</w:t>
      </w:r>
      <w:r>
        <w:t xml:space="preserve"> </w:t>
      </w:r>
      <w:r>
        <w:t xml:space="preserve">The objective of this Annex is to provide detailed quantitative information (static statistical</w:t>
      </w:r>
      <w:r>
        <w:t xml:space="preserve"> </w:t>
      </w:r>
      <w:r>
        <w:t xml:space="preserve">analysis and model-based simulations) to support the assessment of the policy options set out</w:t>
      </w:r>
      <w:r>
        <w:t xml:space="preserve"> </w:t>
      </w:r>
      <w:r>
        <w:t xml:space="preserve">in Chapters 5, 6 and 7 as well as certain aspects pertaining to funding in Chapter 2 and the</w:t>
      </w:r>
      <w:r>
        <w:t xml:space="preserve"> </w:t>
      </w:r>
      <w:r>
        <w:t xml:space="preserve">evaluation (Annex 5). In terms of scope, this Annex covers a wide range of technical topics</w:t>
      </w:r>
      <w:r>
        <w:t xml:space="preserve"> </w:t>
      </w:r>
      <w:r>
        <w:t xml:space="preserve">linked to the components of the CMDI framework and the design of EDIS, as well as</w:t>
      </w:r>
      <w:r>
        <w:t xml:space="preserve"> </w:t>
      </w:r>
      <w:r>
        <w:t xml:space="preserve">methodological sections. More specifically, it covers:</w:t>
      </w:r>
    </w:p>
    <w:p>
      <w:pPr>
        <w:pStyle w:val="Compact"/>
        <w:numPr>
          <w:ilvl w:val="0"/>
          <w:numId w:val="1028"/>
        </w:numPr>
      </w:pPr>
      <w:r>
        <w:t xml:space="preserve">An overview of the methodology (section 2)</w:t>
      </w:r>
    </w:p>
    <w:p>
      <w:pPr>
        <w:pStyle w:val="Compact"/>
        <w:numPr>
          <w:ilvl w:val="0"/>
          <w:numId w:val="1028"/>
        </w:numPr>
      </w:pPr>
      <w:r>
        <w:t xml:space="preserve">Analysis of banks’ capabilities to meet the condition to access the RF/SRF (section 3)</w:t>
      </w:r>
    </w:p>
    <w:p>
      <w:pPr>
        <w:pStyle w:val="Compact"/>
        <w:numPr>
          <w:ilvl w:val="0"/>
          <w:numId w:val="1028"/>
        </w:numPr>
      </w:pPr>
      <w:r>
        <w:t xml:space="preserve">The potential for DGS intervention under the least cost test (LCT) and related</w:t>
      </w:r>
      <w:r>
        <w:t xml:space="preserve"> </w:t>
      </w:r>
      <w:r>
        <w:t xml:space="preserve">considerations (section 4)</w:t>
      </w:r>
    </w:p>
    <w:p>
      <w:pPr>
        <w:pStyle w:val="Compact"/>
        <w:numPr>
          <w:ilvl w:val="0"/>
          <w:numId w:val="1028"/>
        </w:numPr>
      </w:pPr>
      <w:r>
        <w:t xml:space="preserve">Caveats and disclaimers (section 5)</w:t>
      </w:r>
    </w:p>
    <w:p>
      <w:pPr>
        <w:pStyle w:val="Compact"/>
        <w:numPr>
          <w:ilvl w:val="0"/>
          <w:numId w:val="1028"/>
        </w:numPr>
      </w:pPr>
      <w:r>
        <w:t xml:space="preserve">Other methodological considerations (section 6).</w:t>
      </w:r>
    </w:p>
    <w:p>
      <w:pPr>
        <w:pStyle w:val="FirstParagraph"/>
      </w:pPr>
      <w:r>
        <w:t xml:space="preserve">The analyses on the banks’ capabilities to meet the conditions to access the RF/SRF and the</w:t>
      </w:r>
      <w:r>
        <w:t xml:space="preserve"> </w:t>
      </w:r>
      <w:r>
        <w:t xml:space="preserve">potential for DGS intervention are featuring a static statistical part and a model-based dynamic</w:t>
      </w:r>
      <w:r>
        <w:t xml:space="preserve"> </w:t>
      </w:r>
      <w:r>
        <w:t xml:space="preserve">approach. For the static and model-based analyses, the Annex refers to the EBA report replying</w:t>
      </w:r>
      <w:r>
        <w:t xml:space="preserve"> </w:t>
      </w:r>
      <w:r>
        <w:t xml:space="preserve">to the Commission’s Call for Advice regarding funding in resolution and insolvency as part of</w:t>
      </w:r>
      <w:r>
        <w:t xml:space="preserve"> </w:t>
      </w:r>
      <w:r>
        <w:t xml:space="preserve">the CMDI review (hereafter “EBA CfA report”), presenting the main conclusions in the</w:t>
      </w:r>
      <w:r>
        <w:t xml:space="preserve"> </w:t>
      </w:r>
      <w:r>
        <w:t xml:space="preserve">context of the assessment of the policy options following different scenarios. The EBA’s CfA</w:t>
      </w:r>
      <w:r>
        <w:t xml:space="preserve"> </w:t>
      </w:r>
      <w:r>
        <w:t xml:space="preserve">report was prepared in cooperation with the Commission’s Joint Research Centre that provided</w:t>
      </w:r>
      <w:r>
        <w:t xml:space="preserve"> </w:t>
      </w:r>
      <w:r>
        <w:t xml:space="preserve">the underlying quantitative analysis necessary to conduct the assessments included in that</w:t>
      </w:r>
      <w:r>
        <w:t xml:space="preserve"> </w:t>
      </w:r>
      <w:r>
        <w:t xml:space="preserve">report. Detailed information on methodological assumptions is available in each section where</w:t>
      </w:r>
      <w:r>
        <w:t xml:space="preserve"> </w:t>
      </w:r>
      <w:r>
        <w:t xml:space="preserve">these analyses are presented.</w:t>
      </w:r>
      <w:r>
        <w:br/>
      </w:r>
      <w:r>
        <w:t xml:space="preserve">2.</w:t>
      </w:r>
      <w:r>
        <w:t xml:space="preserve"> </w:t>
      </w:r>
      <w:r>
        <w:t xml:space="preserve">OVERVIEW OF THE METHODOLOGY</w:t>
      </w:r>
      <w:r>
        <w:t xml:space="preserve"> </w:t>
      </w:r>
      <w:r>
        <w:t xml:space="preserve">2.1. Data sources and references</w:t>
      </w:r>
      <w:r>
        <w:t xml:space="preserve"> </w:t>
      </w:r>
      <w:r>
        <w:t xml:space="preserve">Each area of analysis outlined above builds on the data provided by the SRB and the data used</w:t>
      </w:r>
      <w:r>
        <w:t xml:space="preserve"> </w:t>
      </w:r>
      <w:r>
        <w:t xml:space="preserve">in the EBA CfA report collected by the EBA directly from resolution authorities. Table 8</w:t>
      </w:r>
      <w:r>
        <w:t xml:space="preserve"> </w:t>
      </w:r>
      <w:r>
        <w:t xml:space="preserve">provides a mapping of the data sources used in this Annex.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Table 8: Mapping data sources and references</w:t>
      </w:r>
      <w:r>
        <w:t xml:space="preserve"> </w:t>
      </w:r>
      <w:r>
        <w:t xml:space="preserve">Section #</w:t>
      </w:r>
      <w:r>
        <w:t xml:space="preserve"> </w:t>
      </w:r>
      <w:r>
        <w:t xml:space="preserve">Data sources and references</w:t>
      </w:r>
      <w:r>
        <w:t xml:space="preserve"> </w:t>
      </w:r>
      <w:r>
        <w:t xml:space="preserve">Conditions to access the RF/SRF</w:t>
      </w:r>
      <w:r>
        <w:t xml:space="preserve"> </w:t>
      </w:r>
      <w:r>
        <w:t xml:space="preserve">EBA CfA report432</w:t>
      </w:r>
      <w:r>
        <w:t xml:space="preserve"> </w:t>
      </w:r>
      <w:r>
        <w:t xml:space="preserve">SRB data</w:t>
      </w:r>
      <w:r>
        <w:t xml:space="preserve"> </w:t>
      </w:r>
      <w:r>
        <w:t xml:space="preserve">DGS interventions</w:t>
      </w:r>
      <w:r>
        <w:t xml:space="preserve"> </w:t>
      </w:r>
      <w:r>
        <w:t xml:space="preserve">Least cost test</w:t>
      </w:r>
      <w:r>
        <w:t xml:space="preserve"> </w:t>
      </w:r>
      <w:r>
        <w:t xml:space="preserve">Use of DGS in resolution</w:t>
      </w:r>
      <w:r>
        <w:t xml:space="preserve"> </w:t>
      </w:r>
      <w:r>
        <w:t xml:space="preserve">Use of resolution fund</w:t>
      </w:r>
      <w:r>
        <w:t xml:space="preserve"> </w:t>
      </w:r>
      <w:r>
        <w:t xml:space="preserve">Availability of DGS funds and EDIS design</w:t>
      </w:r>
    </w:p>
    <w:p>
      <w:pPr>
        <w:pStyle w:val="BodyText"/>
      </w:pPr>
      <w:r>
        <w:t xml:space="preserve">2.2. Use of models</w:t>
      </w:r>
      <w:r>
        <w:t xml:space="preserve"> </w:t>
      </w:r>
      <w:r>
        <w:t xml:space="preserve">The simulations reported in this Annex and in the EBA CfA report are based on the Systemic</w:t>
      </w:r>
      <w:r>
        <w:t xml:space="preserve"> </w:t>
      </w:r>
      <w:r>
        <w:t xml:space="preserve">Model of Banking Originated Losses (SYMBOL). SYMBOL simulates crisis scenarios in the</w:t>
      </w:r>
      <w:r>
        <w:t xml:space="preserve"> </w:t>
      </w:r>
      <w:r>
        <w:t xml:space="preserve">banking sector. In each scenario, a number representing a realization of the single risk factor is</w:t>
      </w:r>
      <w:r>
        <w:t xml:space="preserve"> </w:t>
      </w:r>
      <w:r>
        <w:t xml:space="preserve">randomly generated for each bank. To represent the fact that all banks operate in the same</w:t>
      </w:r>
      <w:r>
        <w:t xml:space="preserve"> </w:t>
      </w:r>
      <w:r>
        <w:t xml:space="preserve">economy, the risk factors are correlated between themselves. Given the realisation of the risk</w:t>
      </w:r>
      <w:r>
        <w:t xml:space="preserve"> </w:t>
      </w:r>
      <w:r>
        <w:t xml:space="preserve">factors, individual banks’ losses are generated via Monte Carlo simulations using the Basel III</w:t>
      </w:r>
      <w:r>
        <w:t xml:space="preserve"> </w:t>
      </w:r>
      <w:r>
        <w:t xml:space="preserve">Fundamental Internal Risk Based (FIRB) loss distribution function and are based on an</w:t>
      </w:r>
      <w:r>
        <w:t xml:space="preserve"> </w:t>
      </w:r>
      <w:r>
        <w:t xml:space="preserve">estimate of the average default probability of the portfolio of assets of any individual bank,</w:t>
      </w:r>
      <w:r>
        <w:t xml:space="preserve"> </w:t>
      </w:r>
      <w:r>
        <w:t xml:space="preserve">which is derived from data on banks’ minimum capital requirements and total assets. These</w:t>
      </w:r>
      <w:r>
        <w:t xml:space="preserve"> </w:t>
      </w:r>
      <w:r>
        <w:t xml:space="preserve">losses can then be applied to the bank’s liabilities by respecting the waterfall in the hierarchy of</w:t>
      </w:r>
      <w:r>
        <w:t xml:space="preserve"> </w:t>
      </w:r>
      <w:r>
        <w:t xml:space="preserve">claims, possibly triggering the use of resolution/insolvency tools and corresponding funding</w:t>
      </w:r>
      <w:r>
        <w:t xml:space="preserve"> </w:t>
      </w:r>
      <w:r>
        <w:t xml:space="preserve">sources. Given a sufficient number of loss scenario simulations (hundreds of thousands to</w:t>
      </w:r>
      <w:r>
        <w:t xml:space="preserve"> </w:t>
      </w:r>
      <w:r>
        <w:t xml:space="preserve">millions), it is possible to obtain statistical distributions of outcomes for the banking sector as a</w:t>
      </w:r>
      <w:r>
        <w:t xml:space="preserve"> </w:t>
      </w:r>
      <w:r>
        <w:t xml:space="preserve">whole. This concerns mainly the dynamic simulation related to DGS interventions (section 4).</w:t>
      </w:r>
      <w:r>
        <w:t xml:space="preserve"> </w:t>
      </w:r>
      <w:r>
        <w:t xml:space="preserve">More detailed information on SYMBOL, including model structure, analytical approach, key</w:t>
      </w:r>
      <w:r>
        <w:t xml:space="preserve"> </w:t>
      </w:r>
      <w:r>
        <w:t xml:space="preserve">assumptions, limitations and simplifications are available in section 3.2 of the EBA’s CfA</w:t>
      </w:r>
      <w:r>
        <w:t xml:space="preserve"> </w:t>
      </w:r>
      <w:r>
        <w:t xml:space="preserve">report.</w:t>
      </w:r>
      <w:r>
        <w:t xml:space="preserve"> </w:t>
      </w:r>
      <w:r>
        <w:t xml:space="preserve">2.3. Assumptions and scenarios for the static and model-based analyses</w:t>
      </w:r>
      <w:r>
        <w:t xml:space="preserve"> </w:t>
      </w:r>
      <w:r>
        <w:t xml:space="preserve">The static analyses and the simulations are based on a set of common assumptions to address</w:t>
      </w:r>
      <w:r>
        <w:t xml:space="preserve"> </w:t>
      </w:r>
      <w:r>
        <w:t xml:space="preserve">data quality issues (e.g. missing values), data processing (e.g. size classification criteria, level</w:t>
      </w:r>
      <w:r>
        <w:t xml:space="preserve"> </w:t>
      </w:r>
      <w:r>
        <w:t xml:space="preserve">of consolidation of the analyses, mapping of national creditor hierarchies into a simplified</w:t>
      </w:r>
      <w:r>
        <w:t xml:space="preserve"> </w:t>
      </w:r>
      <w:r>
        <w:t xml:space="preserve">hierarchy of claims which is used for all banks in a Member State) and data aggregation (e.g. </w:t>
      </w:r>
      <w:r>
        <w:t xml:space="preserve"> </w:t>
      </w:r>
      <w:r>
        <w:t xml:space="preserve">presentation of the results). The main scenarios tested relate to equity (CET1) depletion,</w:t>
      </w:r>
      <w:r>
        <w:t xml:space="preserve"> </w:t>
      </w:r>
      <w:r>
        <w:t xml:space="preserve">depositor preference in the hierarchy of claims, loss simulations and loss allocation within</w:t>
      </w:r>
      <w:r>
        <w:t xml:space="preserve"> </w:t>
      </w:r>
      <w:r>
        <w:t xml:space="preserve">banking groups depending whether the resolution group structure holds or not in resolution and</w:t>
      </w:r>
      <w:r>
        <w:t xml:space="preserve"> </w:t>
      </w:r>
      <w:r>
        <w:t xml:space="preserve">the run on short-term liabilities. Detailed information on these assumptions and scenarios is</w:t>
      </w:r>
      <w:r>
        <w:t xml:space="preserve"> </w:t>
      </w:r>
      <w:r>
        <w:t xml:space="preserve">available in sections 3.1 and 3.2 of the EBA CfA report.</w:t>
      </w:r>
    </w:p>
    <w:p>
      <w:pPr>
        <w:pStyle w:val="BodyText"/>
      </w:pPr>
      <w:r>
        <w:t xml:space="preserve">432 EBA (2021), Call for advice regarding funding in resolution and insolvency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The most relevant assumptions and scenarios used in analyses relying on the EBA CfA report</w:t>
      </w:r>
      <w:r>
        <w:t xml:space="preserve"> </w:t>
      </w:r>
      <w:r>
        <w:t xml:space="preserve">are described below.</w:t>
      </w:r>
      <w:r>
        <w:t xml:space="preserve"> </w:t>
      </w:r>
      <w:r>
        <w:t xml:space="preserve">-</w:t>
      </w:r>
      <w:r>
        <w:t xml:space="preserve"> </w:t>
      </w:r>
      <w:r>
        <w:t xml:space="preserve">Size classification</w:t>
      </w:r>
    </w:p>
    <w:p>
      <w:pPr>
        <w:pStyle w:val="BodyText"/>
      </w:pPr>
      <w:r>
        <w:t xml:space="preserve"> For the purpose of the assessments conducted in sections 3 and 4, institutions are</w:t>
      </w:r>
      <w:r>
        <w:t xml:space="preserve"> </w:t>
      </w:r>
      <w:r>
        <w:t xml:space="preserve">classified as “large”, “medium” or “small and non-complex” by the EBA in</w:t>
      </w:r>
      <w:r>
        <w:t xml:space="preserve"> </w:t>
      </w:r>
      <w:r>
        <w:t xml:space="preserve">accordance with the criteria in CRR.433 Such criteria relate to balance sheet size and</w:t>
      </w:r>
      <w:r>
        <w:t xml:space="preserve"> </w:t>
      </w:r>
      <w:r>
        <w:t xml:space="preserve">systemic risk importance, but also elements of complexity such as trading activities</w:t>
      </w:r>
      <w:r>
        <w:t xml:space="preserve"> </w:t>
      </w:r>
      <w:r>
        <w:t xml:space="preserve">and the location of activity outside of the European Economic Area.</w:t>
      </w:r>
      <w:r>
        <w:br/>
      </w:r>
      <w:r>
        <w:t xml:space="preserve"> On the basis of this classification, the sample used in the EBA CfA report is made</w:t>
      </w:r>
      <w:r>
        <w:t xml:space="preserve"> </w:t>
      </w:r>
      <w:r>
        <w:t xml:space="preserve">of 368 institutions (parent and standalone entities)434, out of which 49 large, 124</w:t>
      </w:r>
      <w:r>
        <w:t xml:space="preserve"> </w:t>
      </w:r>
      <w:r>
        <w:t xml:space="preserve">medium and 195 small and non-complex institutions located in 27 Member States.</w:t>
      </w:r>
      <w:r>
        <w:t xml:space="preserve"> </w:t>
      </w:r>
      <w:r>
        <w:t xml:space="preserve">When also considering subsidiaries, the total sample of entities is made of 862</w:t>
      </w:r>
      <w:r>
        <w:t xml:space="preserve"> </w:t>
      </w:r>
      <w:r>
        <w:t xml:space="preserve">entities out of which 58 large, 304 medium and 500 small and non-complex entities.</w:t>
      </w:r>
      <w:r>
        <w:br/>
      </w:r>
      <w:r>
        <w:t xml:space="preserve"> Where appropriate, other analyses use size classification based on total assets.</w:t>
      </w:r>
    </w:p>
    <w:p>
      <w:pPr>
        <w:pStyle w:val="BodyText"/>
      </w:pPr>
      <w:r>
        <w:t xml:space="preserve">Table 9: Size clustering criteria used in the EBA CfA report</w:t>
      </w:r>
      <w:r>
        <w:br/>
      </w:r>
      <w:r>
        <w:t xml:space="preserve">Category</w:t>
      </w:r>
      <w:r>
        <w:t xml:space="preserve"> </w:t>
      </w:r>
      <w:r>
        <w:t xml:space="preserve">Criteria</w:t>
      </w:r>
      <w:r>
        <w:t xml:space="preserve"> </w:t>
      </w:r>
      <w:r>
        <w:t xml:space="preserve">Large</w:t>
      </w:r>
      <w:r>
        <w:t xml:space="preserve"> </w:t>
      </w:r>
      <w:r>
        <w:t xml:space="preserve">The institution meets any of the following conditions, with the exception of</w:t>
      </w:r>
      <w:r>
        <w:t xml:space="preserve"> </w:t>
      </w:r>
      <w:r>
        <w:t xml:space="preserve">condition (d) which acts like a binding threshold for all other conditions435:</w:t>
      </w:r>
      <w:r>
        <w:t xml:space="preserve"> </w:t>
      </w:r>
      <w:r>
        <w:t xml:space="preserve">(a) Identified as G-SII in accordance with Article 131(1) and (2) of Directive</w:t>
      </w:r>
      <w:r>
        <w:t xml:space="preserve"> </w:t>
      </w:r>
      <w:r>
        <w:t xml:space="preserve">2013/36/EU</w:t>
      </w:r>
      <w:r>
        <w:t xml:space="preserve"> </w:t>
      </w:r>
      <w:r>
        <w:t xml:space="preserve">(b) Identified as O-SII in accordance with Article 131(1) and (2) of Directive</w:t>
      </w:r>
      <w:r>
        <w:t xml:space="preserve"> </w:t>
      </w:r>
      <w:r>
        <w:t xml:space="preserve">2013/36/EU</w:t>
      </w:r>
      <w:r>
        <w:t xml:space="preserve"> </w:t>
      </w:r>
      <w:r>
        <w:t xml:space="preserve">(c) One of the three largest institutions in terms of total value of assets in the</w:t>
      </w:r>
      <w:r>
        <w:t xml:space="preserve"> </w:t>
      </w:r>
      <w:r>
        <w:t xml:space="preserve">Member State in which it is established</w:t>
      </w:r>
      <w:r>
        <w:t xml:space="preserve"> </w:t>
      </w:r>
      <w:r>
        <w:t xml:space="preserve">(d) The total value of the institution’s assets on the basis of its consolidated</w:t>
      </w:r>
      <w:r>
        <w:t xml:space="preserve"> </w:t>
      </w:r>
      <w:r>
        <w:t xml:space="preserve">situation is equal to or larger than EUR 30 bn</w:t>
      </w:r>
    </w:p>
    <w:p>
      <w:pPr>
        <w:pStyle w:val="BodyText"/>
      </w:pPr>
      <w:r>
        <w:t xml:space="preserve">Small</w:t>
      </w:r>
      <w:r>
        <w:t xml:space="preserve"> </w:t>
      </w:r>
      <w:r>
        <w:t xml:space="preserve">(and</w:t>
      </w:r>
      <w:r>
        <w:t xml:space="preserve"> </w:t>
      </w:r>
      <w:r>
        <w:t xml:space="preserve">non-</w:t>
      </w:r>
      <w:r>
        <w:t xml:space="preserve"> </w:t>
      </w:r>
      <w:r>
        <w:t xml:space="preserve">complex)</w:t>
      </w:r>
      <w:r>
        <w:t xml:space="preserve"> </w:t>
      </w:r>
      <w:r>
        <w:t xml:space="preserve">The institution is not a</w:t>
      </w:r>
      <w:r>
        <w:t xml:space="preserve"> </w:t>
      </w:r>
      <w:r>
        <w:t xml:space="preserve">‘large’</w:t>
      </w:r>
      <w:r>
        <w:t xml:space="preserve"> </w:t>
      </w:r>
      <w:r>
        <w:t xml:space="preserve">institution and meets all of the following</w:t>
      </w:r>
      <w:r>
        <w:t xml:space="preserve"> </w:t>
      </w:r>
      <w:r>
        <w:t xml:space="preserve">conditions:</w:t>
      </w:r>
      <w:r>
        <w:t xml:space="preserve"> </w:t>
      </w:r>
      <w:r>
        <w:t xml:space="preserve">(a) The total value of its assets on an individual basis or, where applicable, on a</w:t>
      </w:r>
      <w:r>
        <w:t xml:space="preserve"> </w:t>
      </w:r>
      <w:r>
        <w:t xml:space="preserve">consolidated basis in accordance with Regulation (EU) No 575/2013 and</w:t>
      </w:r>
      <w:r>
        <w:t xml:space="preserve"> </w:t>
      </w:r>
      <w:r>
        <w:t xml:space="preserve">Directive 2013/36/EU is on average equal or less than the threshold of</w:t>
      </w:r>
      <w:r>
        <w:t xml:space="preserve"> </w:t>
      </w:r>
      <w:r>
        <w:t xml:space="preserve">EUR 5 bn over the four-year period immediately preceding the current annual</w:t>
      </w:r>
      <w:r>
        <w:t xml:space="preserve"> </w:t>
      </w:r>
      <w:r>
        <w:t xml:space="preserve">disclosure period</w:t>
      </w:r>
      <w:r>
        <w:t xml:space="preserve"> </w:t>
      </w:r>
      <w:r>
        <w:t xml:space="preserve">(b) The total value of its derivative positions is less than or equal 2% of its total</w:t>
      </w:r>
      <w:r>
        <w:t xml:space="preserve"> </w:t>
      </w:r>
      <w:r>
        <w:t xml:space="preserve">on- and off-balance sheet assets, whereby only derivatives which qualify as</w:t>
      </w:r>
    </w:p>
    <w:p>
      <w:pPr>
        <w:pStyle w:val="BodyText"/>
      </w:pPr>
      <w:r>
        <w:t xml:space="preserve">433 Regulation (EU) 2019/876 of the European Parliament and of the Council of 20 May 2019, OJ L 150,</w:t>
      </w:r>
      <w:r>
        <w:t xml:space="preserve"> </w:t>
      </w:r>
      <w:r>
        <w:t xml:space="preserve">7.6.2019, p. 1–225. The proposed criteria were simplified; see section 2.3.1 of the EBA CfA report.</w:t>
      </w:r>
      <w:r>
        <w:br/>
      </w:r>
      <w:r>
        <w:t xml:space="preserve">434 This statistic is based on the sample of institutions at point of entry or parent entity level, irrespective whether</w:t>
      </w:r>
      <w:r>
        <w:t xml:space="preserve"> </w:t>
      </w:r>
      <w:r>
        <w:t xml:space="preserve">they have strategy resolution or liquidation (i.e. excluding subsidiaries).</w:t>
      </w:r>
      <w:r>
        <w:br/>
      </w:r>
      <w:r>
        <w:t xml:space="preserve">435 i.e. banks with a balance sheet size below EUR 30 bn are not captured in the “large” category even if they are</w:t>
      </w:r>
      <w:r>
        <w:t xml:space="preserve"> </w:t>
      </w:r>
      <w:r>
        <w:t xml:space="preserve">O-SIIs or among the third largest institutions in their Member State.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positions held with trading intent are included in the calculating the derivative</w:t>
      </w:r>
      <w:r>
        <w:t xml:space="preserve"> </w:t>
      </w:r>
      <w:r>
        <w:t xml:space="preserve">positions</w:t>
      </w:r>
      <w:r>
        <w:t xml:space="preserve"> </w:t>
      </w:r>
      <w:r>
        <w:t xml:space="preserve">(c) More than 75% of both the institution’s consolidated total assets and liabilities,</w:t>
      </w:r>
      <w:r>
        <w:t xml:space="preserve"> </w:t>
      </w:r>
      <w:r>
        <w:t xml:space="preserve">excluding in both cases the intragroup exposures, relate to activities with</w:t>
      </w:r>
      <w:r>
        <w:t xml:space="preserve"> </w:t>
      </w:r>
      <w:r>
        <w:t xml:space="preserve">counterparties located in the European Economic Area</w:t>
      </w:r>
      <w:r>
        <w:t xml:space="preserve"> </w:t>
      </w:r>
      <w:r>
        <w:t xml:space="preserve">Medium</w:t>
      </w:r>
      <w:r>
        <w:t xml:space="preserve"> </w:t>
      </w:r>
      <w:r>
        <w:t xml:space="preserve">The institution is neither “large” nor “small”</w:t>
      </w:r>
      <w:r>
        <w:t xml:space="preserve"> </w:t>
      </w:r>
      <w:r>
        <w:t xml:space="preserve">Source: EBA CfA report.</w:t>
      </w:r>
      <w:r>
        <w:t xml:space="preserve"> </w:t>
      </w:r>
      <w:r>
        <w:t xml:space="preserve">-</w:t>
      </w:r>
      <w:r>
        <w:t xml:space="preserve"> </w:t>
      </w:r>
      <w:r>
        <w:t xml:space="preserve">Funding structure classification</w:t>
      </w:r>
    </w:p>
    <w:p>
      <w:pPr>
        <w:pStyle w:val="BodyText"/>
      </w:pPr>
      <w:r>
        <w:t xml:space="preserve">For the purpose of the assessments conducted in sections 3 and 4, institutions are also classified</w:t>
      </w:r>
      <w:r>
        <w:t xml:space="preserve"> </w:t>
      </w:r>
      <w:r>
        <w:t xml:space="preserve">according to their funding structure through an indicator describing the prevalence of deposits</w:t>
      </w:r>
      <w:r>
        <w:t xml:space="preserve"> </w:t>
      </w:r>
      <w:r>
        <w:t xml:space="preserve">in their balance sheet. The indicator takes into account all forms of deposits, irrespective of the</w:t>
      </w:r>
      <w:r>
        <w:t xml:space="preserve"> </w:t>
      </w:r>
      <w:r>
        <w:t xml:space="preserve">counterparty or the nature of the deposit (non-preferred, preferred, covered). Banks are</w:t>
      </w:r>
      <w:r>
        <w:t xml:space="preserve"> </w:t>
      </w:r>
      <w:r>
        <w:t xml:space="preserve">distributed in four categories of deposit prevalence: “low”, “mid”, “mid-high” and “high”. On</w:t>
      </w:r>
      <w:r>
        <w:t xml:space="preserve"> </w:t>
      </w:r>
      <w:r>
        <w:t xml:space="preserve">the basis of this classification, the sample used in the EBA CfA report is made of 368</w:t>
      </w:r>
      <w:r>
        <w:t xml:space="preserve"> </w:t>
      </w:r>
      <w:r>
        <w:t xml:space="preserve">institutions, out of which 107 with a low, 44 with a medium, 63 with a medium-high and 154</w:t>
      </w:r>
      <w:r>
        <w:t xml:space="preserve"> </w:t>
      </w:r>
      <w:r>
        <w:t xml:space="preserve">with a high prevalence of deposits.</w:t>
      </w:r>
      <w:r>
        <w:t xml:space="preserve"> </w:t>
      </w:r>
      <w:r>
        <w:t xml:space="preserve">Table 10: Funding structure – deposit prevalence as per criteria used in the EBA CfA report</w:t>
      </w:r>
      <w:r>
        <w:t xml:space="preserve"> </w:t>
      </w:r>
      <w:r>
        <w:t xml:space="preserve">Category</w:t>
      </w:r>
      <w:r>
        <w:t xml:space="preserve"> </w:t>
      </w:r>
      <w:r>
        <w:t xml:space="preserve">Share of deposits over TLOF</w:t>
      </w:r>
      <w:r>
        <w:t xml:space="preserve"> </w:t>
      </w:r>
      <w:r>
        <w:t xml:space="preserve">Low</w:t>
      </w:r>
      <w:r>
        <w:t xml:space="preserve"> </w:t>
      </w:r>
      <w:r>
        <w:t xml:space="preserve">[0-60%]</w:t>
      </w:r>
      <w:r>
        <w:t xml:space="preserve"> </w:t>
      </w:r>
      <w:r>
        <w:t xml:space="preserve">Mid</w:t>
      </w:r>
      <w:r>
        <w:t xml:space="preserve"> </w:t>
      </w:r>
      <w:r>
        <w:t xml:space="preserve">]60-70]</w:t>
      </w:r>
      <w:r>
        <w:t xml:space="preserve"> </w:t>
      </w:r>
      <w:r>
        <w:t xml:space="preserve">Mid-High</w:t>
      </w:r>
      <w:r>
        <w:t xml:space="preserve"> </w:t>
      </w:r>
      <w:r>
        <w:t xml:space="preserve">]70-80]</w:t>
      </w:r>
      <w:r>
        <w:t xml:space="preserve"> </w:t>
      </w:r>
      <w:r>
        <w:t xml:space="preserve">High</w:t>
      </w:r>
      <w:r>
        <w:t xml:space="preserve"> </w:t>
      </w:r>
      <w:r>
        <w:t xml:space="preserve">&gt;80%</w:t>
      </w:r>
      <w:r>
        <w:t xml:space="preserve"> </w:t>
      </w:r>
      <w:r>
        <w:t xml:space="preserve">Source: EBA CfA report.</w:t>
      </w:r>
      <w:r>
        <w:t xml:space="preserve"> </w:t>
      </w:r>
      <w:r>
        <w:t xml:space="preserve">-</w:t>
      </w:r>
      <w:r>
        <w:t xml:space="preserve"> </w:t>
      </w:r>
      <w:r>
        <w:t xml:space="preserve">CET1 depletion scenarios</w:t>
      </w:r>
    </w:p>
    <w:p>
      <w:pPr>
        <w:pStyle w:val="BodyText"/>
      </w:pPr>
      <w:r>
        <w:t xml:space="preserve">Five scenarios of CET1 depletion (presented in decreasing order of severity) are envisaged in</w:t>
      </w:r>
      <w:r>
        <w:t xml:space="preserve"> </w:t>
      </w:r>
      <w:r>
        <w:t xml:space="preserve">the analyses:</w:t>
      </w:r>
      <w:r>
        <w:br/>
      </w:r>
      <w:r>
        <w:t xml:space="preserve"> Baseline (Scenario 1): assume no CET1 depletion, i.e. all the CET1 (including the</w:t>
      </w:r>
      <w:r>
        <w:t xml:space="preserve"> </w:t>
      </w:r>
      <w:r>
        <w:t xml:space="preserve">Pillar 1, Pillar 2 requirement, combined buffer and any management buffer) is</w:t>
      </w:r>
      <w:r>
        <w:t xml:space="preserve"> </w:t>
      </w:r>
      <w:r>
        <w:t xml:space="preserve">available to absorb losses at the moment of failure (in addition to other bail-inable</w:t>
      </w:r>
      <w:r>
        <w:t xml:space="preserve"> </w:t>
      </w:r>
      <w:r>
        <w:t xml:space="preserve">liabilities);</w:t>
      </w:r>
      <w:r>
        <w:t xml:space="preserve"> </w:t>
      </w:r>
      <w:r>
        <w:t xml:space="preserve"> Scenario 2: assume a 75% depletion of the combined buffer requirement at the</w:t>
      </w:r>
      <w:r>
        <w:t xml:space="preserve"> </w:t>
      </w:r>
      <w:r>
        <w:t xml:space="preserve">moment of failure (including any management buffer in addition to the buffer</w:t>
      </w:r>
      <w:r>
        <w:t xml:space="preserve"> </w:t>
      </w:r>
      <w:r>
        <w:t xml:space="preserve">requirements) i.e. CET1 held as Pillar 1, Pillar 2 requirement and 25% of the</w:t>
      </w:r>
      <w:r>
        <w:t xml:space="preserve"> </w:t>
      </w:r>
      <w:r>
        <w:t xml:space="preserve">combined buffer requirement are available to absorb losses at the moment of failure</w:t>
      </w:r>
      <w:r>
        <w:t xml:space="preserve"> </w:t>
      </w:r>
      <w:r>
        <w:t xml:space="preserve">(in addition to other bail-inable liabilities);</w:t>
      </w:r>
      <w:r>
        <w:t xml:space="preserve"> </w:t>
      </w:r>
      <w:r>
        <w:t xml:space="preserve"> Scenario 3: assume a 100% depletion of CET1 held as capital buffers, i.e. CET1</w:t>
      </w:r>
      <w:r>
        <w:t xml:space="preserve"> </w:t>
      </w:r>
      <w:r>
        <w:t xml:space="preserve">held as Pillar 1, Pillar 2 requirement are available to absorb losses at the moment of</w:t>
      </w:r>
      <w:r>
        <w:t xml:space="preserve"> </w:t>
      </w:r>
      <w:r>
        <w:t xml:space="preserve">failure (in addition to other bail-inable liabilities);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 Scenario 4: assume the depletion of CET1 where only Pillar 1 and 50% of Pillar 2</w:t>
      </w:r>
      <w:r>
        <w:t xml:space="preserve"> </w:t>
      </w:r>
      <w:r>
        <w:t xml:space="preserve">requirement are available to absorb losses at the moment of failure (in addition to</w:t>
      </w:r>
      <w:r>
        <w:t xml:space="preserve"> </w:t>
      </w:r>
      <w:r>
        <w:t xml:space="preserve">other bail-inable liabilities);</w:t>
      </w:r>
      <w:r>
        <w:br/>
      </w:r>
      <w:r>
        <w:t xml:space="preserve"> Scenario 5: assume only Pillar 1 is still available to absorb losses at the moment of</w:t>
      </w:r>
      <w:r>
        <w:t xml:space="preserve"> </w:t>
      </w:r>
      <w:r>
        <w:t xml:space="preserve">failure (in addition to other bail-inable liabilities).</w:t>
      </w:r>
      <w:r>
        <w:t xml:space="preserve"> </w:t>
      </w:r>
      <w:r>
        <w:t xml:space="preserve">Five scenarios of equity depletion are considered when assessing the institutions’ ability to</w:t>
      </w:r>
      <w:r>
        <w:t xml:space="preserve"> </w:t>
      </w:r>
      <w:r>
        <w:t xml:space="preserve">reach 8% TLOF and access the RF/SRF. As explained in Chapter 2 and Annex 8, the timing of</w:t>
      </w:r>
      <w:r>
        <w:t xml:space="preserve"> </w:t>
      </w:r>
      <w:r>
        <w:t xml:space="preserve">triggering FOLF determines the amount of capital and liquidity remaining in the bank. At the</w:t>
      </w:r>
      <w:r>
        <w:t xml:space="preserve"> </w:t>
      </w:r>
      <w:r>
        <w:t xml:space="preserve">same time, the supervisor can only make the FOLF determination if the conditions foreseen in</w:t>
      </w:r>
      <w:r>
        <w:t xml:space="preserve"> </w:t>
      </w:r>
      <w:r>
        <w:t xml:space="preserve">Article 32 BRRD are fulfilled, which in the case of FOLF due to (likely) breaches of capital</w:t>
      </w:r>
      <w:r>
        <w:t xml:space="preserve"> </w:t>
      </w:r>
      <w:r>
        <w:t xml:space="preserve">requirements foresee that the (likely) breach needs to be severe enough to justify withdrawal of</w:t>
      </w:r>
      <w:r>
        <w:t xml:space="preserve"> </w:t>
      </w:r>
      <w:r>
        <w:t xml:space="preserve">the authorisation. It should therefore be acknowledged that in particular scenarios 1 and 2</w:t>
      </w:r>
      <w:r>
        <w:t xml:space="preserve"> </w:t>
      </w:r>
      <w:r>
        <w:t xml:space="preserve">would only be possible under very exceptional circumstances based on the existing legal</w:t>
      </w:r>
      <w:r>
        <w:t xml:space="preserve"> </w:t>
      </w:r>
      <w:r>
        <w:t xml:space="preserve">framework. It has been decided to include these scenarios in order to provide a more</w:t>
      </w:r>
      <w:r>
        <w:t xml:space="preserve"> </w:t>
      </w:r>
      <w:r>
        <w:t xml:space="preserve">comprehensive sensitivity analysis, also taking into account the possible impact resulting from</w:t>
      </w:r>
      <w:r>
        <w:t xml:space="preserve"> </w:t>
      </w:r>
      <w:r>
        <w:t xml:space="preserve">the treatment of historical losses according to the BRRD II which establishes that all equity</w:t>
      </w:r>
      <w:r>
        <w:t xml:space="preserve"> </w:t>
      </w:r>
      <w:r>
        <w:t xml:space="preserve">used to absorb losses identified in the resolution valuations counts toward the calculation of the</w:t>
      </w:r>
      <w:r>
        <w:t xml:space="preserve"> </w:t>
      </w:r>
      <w:r>
        <w:t xml:space="preserve">8% TLOF benchmark, even if depleted at the moment of FOLF triggering (Article 59(1b)</w:t>
      </w:r>
      <w:r>
        <w:t xml:space="preserve"> </w:t>
      </w:r>
      <w:r>
        <w:t xml:space="preserve">BRRD).</w:t>
      </w:r>
    </w:p>
    <w:p>
      <w:pPr>
        <w:pStyle w:val="Compact"/>
        <w:numPr>
          <w:ilvl w:val="0"/>
          <w:numId w:val="1029"/>
        </w:numPr>
      </w:pPr>
      <w:r>
        <w:t xml:space="preserve">Short-term funding with a remaining maturity of less than 1 month</w:t>
      </w:r>
    </w:p>
    <w:p>
      <w:pPr>
        <w:pStyle w:val="FirstParagraph"/>
      </w:pPr>
      <w:r>
        <w:t xml:space="preserve">When allocating losses or analysing the incidence of the 8% TLOF to access the RF/SRF, one</w:t>
      </w:r>
      <w:r>
        <w:t xml:space="preserve"> </w:t>
      </w:r>
      <w:r>
        <w:t xml:space="preserve">relevant question is whether short-term liabilities can be relied upon to absorb losses or</w:t>
      </w:r>
      <w:r>
        <w:t xml:space="preserve"> </w:t>
      </w:r>
      <w:r>
        <w:t xml:space="preserve">whether those investors are likely to withdraw or not roll over their claims in the bank. A single</w:t>
      </w:r>
      <w:r>
        <w:t xml:space="preserve"> </w:t>
      </w:r>
      <w:r>
        <w:t xml:space="preserve">assumption is considered, namely that short-term liabilities with a remaining maturity below 1</w:t>
      </w:r>
      <w:r>
        <w:t xml:space="preserve"> </w:t>
      </w:r>
      <w:r>
        <w:t xml:space="preserve">month cannot be relied upon at the moment of failure and only liabilities with a longer</w:t>
      </w:r>
      <w:r>
        <w:t xml:space="preserve"> </w:t>
      </w:r>
      <w:r>
        <w:t xml:space="preserve">remaining maturity can be used to absorb losses. However, it is assumed that the exclusion of</w:t>
      </w:r>
      <w:r>
        <w:t xml:space="preserve"> </w:t>
      </w:r>
      <w:r>
        <w:t xml:space="preserve">short-term liabilities below 1 month does not affect the total size of the balance sheet or the</w:t>
      </w:r>
      <w:r>
        <w:t xml:space="preserve"> </w:t>
      </w:r>
      <w:r>
        <w:t xml:space="preserve">TLOF, as these liabilities would be replaced by secured ones. Other types of short-term</w:t>
      </w:r>
      <w:r>
        <w:t xml:space="preserve"> </w:t>
      </w:r>
      <w:r>
        <w:t xml:space="preserve">instruments such as sight deposits are included in the analysis because their exclusion would</w:t>
      </w:r>
      <w:r>
        <w:t xml:space="preserve"> </w:t>
      </w:r>
      <w:r>
        <w:t xml:space="preserve">require additional assumptions of deposit runs difficult to extrapolate to the entire sample.</w:t>
      </w:r>
    </w:p>
    <w:p>
      <w:pPr>
        <w:pStyle w:val="Compact"/>
        <w:numPr>
          <w:ilvl w:val="0"/>
          <w:numId w:val="1030"/>
        </w:numPr>
      </w:pPr>
      <w:r>
        <w:t xml:space="preserve">Loss allocation within banking groups</w:t>
      </w:r>
    </w:p>
    <w:p>
      <w:pPr>
        <w:pStyle w:val="FirstParagraph"/>
      </w:pPr>
      <w:r>
        <w:t xml:space="preserve">When performing the allocation of losses, the group structure should be considered. In</w:t>
      </w:r>
      <w:r>
        <w:t xml:space="preserve"> </w:t>
      </w:r>
      <w:r>
        <w:t xml:space="preserve">particular, for subsidiaries which are part of resolution group and which are not resolution</w:t>
      </w:r>
      <w:r>
        <w:t xml:space="preserve"> </w:t>
      </w:r>
      <w:r>
        <w:t xml:space="preserve">entities themselves, two scenarios are relevant when performing the allocation of losses in</w:t>
      </w:r>
      <w:r>
        <w:t xml:space="preserve"> </w:t>
      </w:r>
      <w:r>
        <w:t xml:space="preserve">cases where the losses exceed the internal MREL requirement:</w:t>
      </w:r>
      <w:r>
        <w:t xml:space="preserve"> </w:t>
      </w:r>
      <w:r>
        <w:t xml:space="preserve"> Scenario 1: The resolution group structure holds and the losses of a subsidiary</w:t>
      </w:r>
      <w:r>
        <w:t xml:space="preserve"> </w:t>
      </w:r>
      <w:r>
        <w:t xml:space="preserve">exceeding its pre-positioned internal MREL requirement are transferred to the</w:t>
      </w:r>
      <w:r>
        <w:t xml:space="preserve"> </w:t>
      </w:r>
      <w:r>
        <w:t xml:space="preserve">resolution entity. Under this scenario, only the instruments pre-positioned by the</w:t>
      </w:r>
      <w:r>
        <w:t xml:space="preserve"> </w:t>
      </w:r>
      <w:r>
        <w:t xml:space="preserve">parent to the subsidiary can be written down (up-streamed to the parent) and it is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assumed that the parent entity will support its subsidiary beyond the internal MREL</w:t>
      </w:r>
      <w:r>
        <w:t xml:space="preserve"> </w:t>
      </w:r>
      <w:r>
        <w:t xml:space="preserve">eligible instruments present in the subsidiary. Concretely, at subsidiary level, the</w:t>
      </w:r>
      <w:r>
        <w:t xml:space="preserve"> </w:t>
      </w:r>
      <w:r>
        <w:t xml:space="preserve">allocation of losses starts with own funds and other internal MREL eligible</w:t>
      </w:r>
      <w:r>
        <w:t xml:space="preserve"> </w:t>
      </w:r>
      <w:r>
        <w:t xml:space="preserve">liabilities of the subsidiary at solo level up until the internal MREL requirement is</w:t>
      </w:r>
      <w:r>
        <w:t xml:space="preserve"> </w:t>
      </w:r>
      <w:r>
        <w:t xml:space="preserve">exhausted. Possible remaining losses are transferred to the parent level, where</w:t>
      </w:r>
      <w:r>
        <w:t xml:space="preserve"> </w:t>
      </w:r>
      <w:r>
        <w:t xml:space="preserve">together with the parent’s own losses they will be covered by taking into account</w:t>
      </w:r>
      <w:r>
        <w:t xml:space="preserve"> </w:t>
      </w:r>
      <w:r>
        <w:t xml:space="preserve">the own funds and liabilities in the order of hierarchy of the parent from its solo</w:t>
      </w:r>
      <w:r>
        <w:t xml:space="preserve"> </w:t>
      </w:r>
      <w:r>
        <w:t xml:space="preserve">balance sheet.</w:t>
      </w:r>
      <w:r>
        <w:br/>
      </w:r>
      <w:r>
        <w:t xml:space="preserve"> Scenario 2: The resolution group structure breaks-down triggering the resolution of</w:t>
      </w:r>
      <w:r>
        <w:t xml:space="preserve"> </w:t>
      </w:r>
      <w:r>
        <w:t xml:space="preserve">the subsidiary and the allocation of the subsidiary’s losses is done at the subsidiary</w:t>
      </w:r>
      <w:r>
        <w:t xml:space="preserve"> </w:t>
      </w:r>
      <w:r>
        <w:t xml:space="preserve">solo level only, covering all the subsidiary’s balance sheet, according to the</w:t>
      </w:r>
      <w:r>
        <w:t xml:space="preserve"> </w:t>
      </w:r>
      <w:r>
        <w:t xml:space="preserve">applicable hierarchy of claims.</w:t>
      </w:r>
      <w:r>
        <w:t xml:space="preserve"> </w:t>
      </w:r>
      <w:r>
        <w:t xml:space="preserve">-</w:t>
      </w:r>
      <w:r>
        <w:t xml:space="preserve"> </w:t>
      </w:r>
      <w:r>
        <w:t xml:space="preserve">National creditor hierarchy assumptions</w:t>
      </w:r>
    </w:p>
    <w:p>
      <w:pPr>
        <w:pStyle w:val="BodyText"/>
      </w:pPr>
      <w:r>
        <w:t xml:space="preserve">As also described in Annex 8, the hierarchies of claims are defined by national laws and differ</w:t>
      </w:r>
      <w:r>
        <w:t xml:space="preserve"> </w:t>
      </w:r>
      <w:r>
        <w:t xml:space="preserve">across Member States. While the ranking of certain types of claims are more harmonised across</w:t>
      </w:r>
      <w:r>
        <w:t xml:space="preserve"> </w:t>
      </w:r>
      <w:r>
        <w:t xml:space="preserve">Member States than others (own funds and subordinated instruments, preferred and covered</w:t>
      </w:r>
      <w:r>
        <w:t xml:space="preserve"> </w:t>
      </w:r>
      <w:r>
        <w:t xml:space="preserve">deposits) the ranking of a certain claim in a bank balance sheet may also be driven by</w:t>
      </w:r>
      <w:r>
        <w:t xml:space="preserve"> </w:t>
      </w:r>
      <w:r>
        <w:t xml:space="preserve">contractual clauses, which banks report to NRAs/SRB. Since the same typology of claim can</w:t>
      </w:r>
      <w:r>
        <w:t xml:space="preserve"> </w:t>
      </w:r>
      <w:r>
        <w:t xml:space="preserve">rank differently for the same bank and/or among banks within the same Member State in</w:t>
      </w:r>
      <w:r>
        <w:t xml:space="preserve"> </w:t>
      </w:r>
      <w:r>
        <w:t xml:space="preserve">function of contractual clauses, an assumption was necessary in order to generate an allocation</w:t>
      </w:r>
      <w:r>
        <w:t xml:space="preserve"> </w:t>
      </w:r>
      <w:r>
        <w:t xml:space="preserve">of claims to a simplified creditor hierarchy and build the scenarios of depositor preference</w:t>
      </w:r>
      <w:r>
        <w:t xml:space="preserve"> </w:t>
      </w:r>
      <w:r>
        <w:t xml:space="preserve">upon this foundation.</w:t>
      </w:r>
      <w:r>
        <w:br/>
      </w:r>
      <w:r>
        <w:t xml:space="preserve">In this context, for liabilities in the dataset, which had an outstanding amount different from</w:t>
      </w:r>
      <w:r>
        <w:t xml:space="preserve"> </w:t>
      </w:r>
      <w:r>
        <w:t xml:space="preserve">zero, a mapping was performed into a simplified hierarchy of claims (section</w:t>
      </w:r>
      <w:r>
        <w:t xml:space="preserve"> </w:t>
      </w:r>
      <w:hyperlink w:anchor="x">
        <w:r>
          <w:rPr>
            <w:rStyle w:val="Hyperlink"/>
          </w:rPr>
          <w:t xml:space="preserve">X</w:t>
        </w:r>
      </w:hyperlink>
      <w:r>
        <w:t xml:space="preserve"> </w:t>
      </w:r>
      <w:r>
        <w:t xml:space="preserve">of the EBA</w:t>
      </w:r>
      <w:r>
        <w:t xml:space="preserve"> </w:t>
      </w:r>
      <w:r>
        <w:t xml:space="preserve">CfA report).</w:t>
      </w:r>
      <w:r>
        <w:br/>
      </w:r>
      <w:r>
        <w:t xml:space="preserve">-</w:t>
      </w:r>
      <w:r>
        <w:t xml:space="preserve"> </w:t>
      </w:r>
      <w:r>
        <w:t xml:space="preserve">Depositor preference</w:t>
      </w:r>
    </w:p>
    <w:p>
      <w:pPr>
        <w:pStyle w:val="BodyText"/>
      </w:pPr>
      <w:r>
        <w:t xml:space="preserve">In order to assess the possibility to access resolution financing arrangements, the degree of</w:t>
      </w:r>
      <w:r>
        <w:t xml:space="preserve"> </w:t>
      </w:r>
      <w:r>
        <w:t xml:space="preserve">depositor protection or exposure to losses in this context (section 3 of this Annex) and the</w:t>
      </w:r>
      <w:r>
        <w:t xml:space="preserve"> </w:t>
      </w:r>
      <w:r>
        <w:t xml:space="preserve">potential use of DGS funds in resolution or under alternative measures in insolvency under the</w:t>
      </w:r>
      <w:r>
        <w:t xml:space="preserve"> </w:t>
      </w:r>
      <w:r>
        <w:t xml:space="preserve">LCT (section 4), five scenarios of depositor preference have been considered:</w:t>
      </w:r>
      <w:r>
        <w:br/>
      </w:r>
      <w:r>
        <w:t xml:space="preserve"> Baseline (Scenario 1): current hierarchy of claims, i.e. three-tier depositor</w:t>
      </w:r>
      <w:r>
        <w:t xml:space="preserve"> </w:t>
      </w:r>
      <w:r>
        <w:t xml:space="preserve">preference unharmonised across Member States. In most Member States, covered</w:t>
      </w:r>
      <w:r>
        <w:t xml:space="preserve"> </w:t>
      </w:r>
      <w:r>
        <w:t xml:space="preserve">deposits are super-preferred, ranking above preferred deposits (natural persons and</w:t>
      </w:r>
      <w:r>
        <w:t xml:space="preserve"> </w:t>
      </w:r>
      <w:r>
        <w:t xml:space="preserve">SMEs above EUR 100 000), which in turn rank above other deposits, the latter</w:t>
      </w:r>
      <w:r>
        <w:t xml:space="preserve"> </w:t>
      </w:r>
      <w:r>
        <w:t xml:space="preserve">ranking pari passu with ordinary unsecured claims. However, some Member States</w:t>
      </w:r>
      <w:r>
        <w:t xml:space="preserve"> </w:t>
      </w:r>
      <w:r>
        <w:t xml:space="preserve">have a three-tier depositor preference where covered deposits rank above preferred</w:t>
      </w:r>
      <w:r>
        <w:t xml:space="preserve"> </w:t>
      </w:r>
      <w:r>
        <w:t xml:space="preserve">deposits, which rank above non-preferred deposits, the latter also ranking above</w:t>
      </w:r>
      <w:r>
        <w:t xml:space="preserve"> </w:t>
      </w:r>
      <w:r>
        <w:t xml:space="preserve">ordinary unsecured claims);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 Scenario 2: a single-tier depositor preference for all Member States, i.e. all types of</w:t>
      </w:r>
      <w:r>
        <w:t xml:space="preserve"> </w:t>
      </w:r>
      <w:r>
        <w:t xml:space="preserve">deposits rank pari passu among themselves and above ordinary unsecured claims;</w:t>
      </w:r>
      <w:r>
        <w:t xml:space="preserve"> </w:t>
      </w:r>
      <w:r>
        <w:t xml:space="preserve"> Scenario 3: a three-tier depositor preference harmonised for all Member States, i.e. </w:t>
      </w:r>
      <w:r>
        <w:t xml:space="preserve"> </w:t>
      </w:r>
      <w:r>
        <w:t xml:space="preserve">covered deposits rank above preferred deposits, which rank above non-preferred</w:t>
      </w:r>
      <w:r>
        <w:t xml:space="preserve"> </w:t>
      </w:r>
      <w:r>
        <w:t xml:space="preserve">deposits, the latter also ranking above ordinary unsecured claims;</w:t>
      </w:r>
      <w:r>
        <w:t xml:space="preserve"> </w:t>
      </w:r>
      <w:r>
        <w:t xml:space="preserve"> Scenario 4: a two-tier depositor preference in all Member States, where covered</w:t>
      </w:r>
      <w:r>
        <w:t xml:space="preserve"> </w:t>
      </w:r>
      <w:r>
        <w:t xml:space="preserve">deposits are super-preferred to preferred deposits, which rank pari passu with non-</w:t>
      </w:r>
      <w:r>
        <w:t xml:space="preserve"> </w:t>
      </w:r>
      <w:r>
        <w:t xml:space="preserve">preferred deposits, the latter ranking above ordinary unsecured claims;</w:t>
      </w:r>
      <w:r>
        <w:t xml:space="preserve"> </w:t>
      </w:r>
      <w:r>
        <w:t xml:space="preserve"> Scenario 5: a two-tier depositor preference in all Member States, where covered</w:t>
      </w:r>
      <w:r>
        <w:t xml:space="preserve"> </w:t>
      </w:r>
      <w:r>
        <w:t xml:space="preserve">deposits rank pari passu with preferred deposits, all of which rank above non-</w:t>
      </w:r>
      <w:r>
        <w:t xml:space="preserve"> </w:t>
      </w:r>
      <w:r>
        <w:t xml:space="preserve">preferred deposits, the latter ranking above ordinary unsecured claims.</w:t>
      </w:r>
      <w:r>
        <w:t xml:space="preserve"> </w:t>
      </w:r>
      <w:r>
        <w:t xml:space="preserve">All these alternative scenarios prefer depositors in relation to ordinary unsecured claims,</w:t>
      </w:r>
      <w:r>
        <w:t xml:space="preserve"> </w:t>
      </w:r>
      <w:r>
        <w:t xml:space="preserve">however with varying distinctions in terms of the relative order of deposits covered by DGSs,</w:t>
      </w:r>
      <w:r>
        <w:t xml:space="preserve"> </w:t>
      </w:r>
      <w:r>
        <w:t xml:space="preserve">preferred and non-preferred deposits. Out of the four alternative scenarios, two propose</w:t>
      </w:r>
      <w:r>
        <w:t xml:space="preserve"> </w:t>
      </w:r>
      <w:r>
        <w:t xml:space="preserve">removing the super-preference of covered deposits (scenarios 2 and 5), while the other two</w:t>
      </w:r>
      <w:r>
        <w:t xml:space="preserve"> </w:t>
      </w:r>
      <w:r>
        <w:t xml:space="preserve">scenarios retain the super-preference of covered deposits in a tiered approach (scenarios 3 and</w:t>
      </w:r>
      <w:r>
        <w:t xml:space="preserve"> </w:t>
      </w:r>
      <w:r>
        <w:t xml:space="preserve">4).</w:t>
      </w:r>
      <w:r>
        <w:br/>
      </w:r>
      <w:r>
        <w:t xml:space="preserve">These scenarios (including the baseline) are applied under various quantitative analyses</w:t>
      </w:r>
      <w:r>
        <w:t xml:space="preserve"> </w:t>
      </w:r>
      <w:r>
        <w:t xml:space="preserve">throughout sections 3 and 4 of this Annex, aiming at assessing the access condition to the</w:t>
      </w:r>
      <w:r>
        <w:t xml:space="preserve"> </w:t>
      </w:r>
      <w:r>
        <w:t xml:space="preserve">RF/SRF (8% TLOF minimum bail-in requirement) and the DGS contribution to resolution and</w:t>
      </w:r>
      <w:r>
        <w:t xml:space="preserve"> </w:t>
      </w:r>
      <w:r>
        <w:t xml:space="preserve">insolvency under the LCT respectively. The quantitative outcome of these analyses are</w:t>
      </w:r>
      <w:r>
        <w:t xml:space="preserve"> </w:t>
      </w:r>
      <w:r>
        <w:t xml:space="preserve">presented in detail under the respective sections. The outcome of the analyses of the different</w:t>
      </w:r>
      <w:r>
        <w:t xml:space="preserve"> </w:t>
      </w:r>
      <w:r>
        <w:t xml:space="preserve">scenarios of depositor preference informed the assessments in Chapters 2, 5, 6, 7 as well as</w:t>
      </w:r>
      <w:r>
        <w:t xml:space="preserve"> </w:t>
      </w:r>
      <w:r>
        <w:t xml:space="preserve">Annexes 5 and 8 of this impact assessment.</w:t>
      </w:r>
      <w:r>
        <w:br/>
      </w:r>
      <w:r>
        <w:t xml:space="preserve">-</w:t>
      </w:r>
      <w:r>
        <w:t xml:space="preserve"> </w:t>
      </w:r>
      <w:r>
        <w:t xml:space="preserve">Mandatory exclusions from bail-in</w:t>
      </w:r>
    </w:p>
    <w:p>
      <w:pPr>
        <w:pStyle w:val="BodyText"/>
      </w:pPr>
      <w:r>
        <w:t xml:space="preserve">Mandatory exclusions from bail-in under Article 44(2) BRRD were considered in the analyses</w:t>
      </w:r>
      <w:r>
        <w:t xml:space="preserve"> </w:t>
      </w:r>
      <w:r>
        <w:t xml:space="preserve">presented in this Annex. For a complete view of the types of liabilities excluded from bail-in</w:t>
      </w:r>
      <w:r>
        <w:t xml:space="preserve"> </w:t>
      </w:r>
      <w:r>
        <w:t xml:space="preserve">and their materiality in the banks’ balance sheets, please see Annex 8.</w:t>
      </w:r>
      <w:r>
        <w:br/>
      </w:r>
      <w:r>
        <w:t xml:space="preserve">The ranking of these liabilities diverges across Member States, in line with national</w:t>
      </w:r>
      <w:r>
        <w:t xml:space="preserve"> </w:t>
      </w:r>
      <w:r>
        <w:t xml:space="preserve">specificities pertaining to areas such as taxation, employee protection, social security or civil</w:t>
      </w:r>
      <w:r>
        <w:t xml:space="preserve"> </w:t>
      </w:r>
      <w:r>
        <w:t xml:space="preserve">law. In some Member States some of these excluded liabilities rank above deposits, in others,</w:t>
      </w:r>
      <w:r>
        <w:t xml:space="preserve"> </w:t>
      </w:r>
      <w:r>
        <w:t xml:space="preserve">some they rank below or among deposits. The relative ranking of these liabilities in relation to</w:t>
      </w:r>
      <w:r>
        <w:t xml:space="preserve"> </w:t>
      </w:r>
      <w:r>
        <w:t xml:space="preserve">deposits (in particular when ranking below or among deposits) has an impact on the allocation</w:t>
      </w:r>
      <w:r>
        <w:t xml:space="preserve"> </w:t>
      </w:r>
      <w:r>
        <w:t xml:space="preserve">of losses in the waterfall of claims and the assessment of banks’ ability to meet 8% TLOF to</w:t>
      </w:r>
      <w:r>
        <w:t xml:space="preserve"> </w:t>
      </w:r>
      <w:r>
        <w:t xml:space="preserve">access the RF/SRF, including the potential for DGS intervention. In order to reflect this,</w:t>
      </w:r>
      <w:r>
        <w:t xml:space="preserve"> </w:t>
      </w:r>
      <w:r>
        <w:t xml:space="preserve">assumptions were taken with regard to the ranking of excluded claims at the level of each</w:t>
      </w:r>
      <w:r>
        <w:t xml:space="preserve"> </w:t>
      </w:r>
      <w:r>
        <w:t xml:space="preserve">Member State, by extrapolating the ranking occurring most frequently by type of excluded</w:t>
      </w:r>
      <w:r>
        <w:t xml:space="preserve"> </w:t>
      </w:r>
      <w:r>
        <w:t xml:space="preserve">liability, as reported by banks.</w:t>
      </w:r>
    </w:p>
    <w:bookmarkEnd w:id="19"/>
    <w:bookmarkStart w:id="20" w:name="section"/>
    <w:p>
      <w:pPr>
        <w:pStyle w:val="Heading2"/>
      </w:pPr>
      <w:r>
        <w:t xml:space="preserve">244</w:t>
      </w:r>
    </w:p>
    <w:p>
      <w:pPr>
        <w:pStyle w:val="FirstParagraph"/>
      </w:pPr>
      <w:r>
        <w:t xml:space="preserve">Least cost test (LCT) – Insolvency haircut scenario</w:t>
      </w:r>
    </w:p>
    <w:p>
      <w:pPr>
        <w:pStyle w:val="BodyText"/>
      </w:pPr>
      <w:r>
        <w:t xml:space="preserve">The objective of the LCT is to safeguard the DGS against losses when contributing to various</w:t>
      </w:r>
      <w:r>
        <w:t xml:space="preserve"> </w:t>
      </w:r>
      <w:r>
        <w:t xml:space="preserve">measures alternative to payout and to determine whether and for what maximum amount (if</w:t>
      </w:r>
      <w:r>
        <w:t xml:space="preserve"> </w:t>
      </w:r>
      <w:r>
        <w:t xml:space="preserve">any) the DGS could make such contributions in a less costly way than under a payout event in</w:t>
      </w:r>
      <w:r>
        <w:t xml:space="preserve"> </w:t>
      </w:r>
      <w:r>
        <w:t xml:space="preserve">insolvency. Assumptions with respect to losses in an insolvency counterfactual with a payout</w:t>
      </w:r>
      <w:r>
        <w:t xml:space="preserve"> </w:t>
      </w:r>
      <w:r>
        <w:t xml:space="preserve">event are therefore required for the purpose of conducting the LCT. The following primary</w:t>
      </w:r>
      <w:r>
        <w:t xml:space="preserve"> </w:t>
      </w:r>
      <w:r>
        <w:t xml:space="preserve">assumption is considered for all banks in the sample:</w:t>
      </w:r>
      <w:r>
        <w:br/>
      </w:r>
      <w:r>
        <w:t xml:space="preserve">-</w:t>
      </w:r>
      <w:r>
        <w:t xml:space="preserve"> </w:t>
      </w:r>
      <w:r>
        <w:t xml:space="preserve">a 15% average haircut (loss) on all assets in insolvency (corresponding to a recovery</w:t>
      </w:r>
      <w:r>
        <w:t xml:space="preserve"> </w:t>
      </w:r>
      <w:r>
        <w:t xml:space="preserve">rate of 85%), on top of the entity’s losses.</w:t>
      </w:r>
    </w:p>
    <w:p>
      <w:pPr>
        <w:pStyle w:val="BodyText"/>
      </w:pPr>
      <w:r>
        <w:t xml:space="preserve">The assumption takes into account the fact that a haircut on assets in insolvency is greater than</w:t>
      </w:r>
      <w:r>
        <w:t xml:space="preserve"> </w:t>
      </w:r>
      <w:r>
        <w:t xml:space="preserve">a haircut on assets in a scenario of sale of business using “disposal value” in the resolution</w:t>
      </w:r>
      <w:r>
        <w:t xml:space="preserve"> </w:t>
      </w:r>
      <w:r>
        <w:t xml:space="preserve">valuation. The assumption of 15% haircut in insolvency which is applied to EU banks in the</w:t>
      </w:r>
      <w:r>
        <w:t xml:space="preserve"> </w:t>
      </w:r>
      <w:r>
        <w:t xml:space="preserve">sample is slightly higher than the one taken by the SRB in its internal policy on the NCWO</w:t>
      </w:r>
      <w:r>
        <w:t xml:space="preserve"> </w:t>
      </w:r>
      <w:r>
        <w:t xml:space="preserve">assessment (10%) for banks under its remit, which also requires a comparison against a loss in</w:t>
      </w:r>
      <w:r>
        <w:t xml:space="preserve"> </w:t>
      </w:r>
      <w:r>
        <w:t xml:space="preserve">an insolvency counterfactual. The insolvency haircut of 15% on total assets has been already</w:t>
      </w:r>
      <w:r>
        <w:t xml:space="preserve"> </w:t>
      </w:r>
      <w:r>
        <w:t xml:space="preserve">used by the Commission when presenting quantitative examples of DGS intervention in its</w:t>
      </w:r>
      <w:r>
        <w:t xml:space="preserve"> </w:t>
      </w:r>
      <w:r>
        <w:t xml:space="preserve">Expert Group and the HLWG.</w:t>
      </w:r>
      <w:r>
        <w:br/>
      </w:r>
      <w:r>
        <w:t xml:space="preserve">However, because the levels of insolvency haircuts (losses) and related recovery rates vary</w:t>
      </w:r>
      <w:r>
        <w:t xml:space="preserve"> </w:t>
      </w:r>
      <w:r>
        <w:t xml:space="preserve">greatly across banks and Member States, this Annex aims to show some of the results also for a</w:t>
      </w:r>
      <w:r>
        <w:t xml:space="preserve"> </w:t>
      </w:r>
      <w:r>
        <w:t xml:space="preserve">50% haircut in insolvency and 50% related recovery rate, as a secondary assumption, in order</w:t>
      </w:r>
      <w:r>
        <w:t xml:space="preserve"> </w:t>
      </w:r>
      <w:r>
        <w:t xml:space="preserve">to give a flavour of the scale of the differences in results (see section 4.5).</w:t>
      </w:r>
      <w:r>
        <w:t xml:space="preserve"> </w:t>
      </w:r>
      <w:r>
        <w:t xml:space="preserve">The assumptions on insolvency haircuts and recovery rates come with important caveats and</w:t>
      </w:r>
      <w:r>
        <w:t xml:space="preserve"> </w:t>
      </w:r>
      <w:r>
        <w:t xml:space="preserve">limitations. The heterogeneity of recovery rates across banks and Member States is driven by a</w:t>
      </w:r>
      <w:r>
        <w:t xml:space="preserve"> </w:t>
      </w:r>
      <w:r>
        <w:t xml:space="preserve">series of factors: (i) they are bank-specific, depending on asset quality, bank’s financial</w:t>
      </w:r>
      <w:r>
        <w:t xml:space="preserve"> </w:t>
      </w:r>
      <w:r>
        <w:t xml:space="preserve">position and market situation; (ii) they are strongly influenced by the national insolvency laws</w:t>
      </w:r>
      <w:r>
        <w:t xml:space="preserve"> </w:t>
      </w:r>
      <w:r>
        <w:t xml:space="preserve">and judicial systems, and in particular the duration of the proceedings; (iii) an EU benchmark</w:t>
      </w:r>
      <w:r>
        <w:t xml:space="preserve"> </w:t>
      </w:r>
      <w:r>
        <w:t xml:space="preserve">on average recovery rates or insolvency haircuts is absent and (iv) they may be also influenced</w:t>
      </w:r>
      <w:r>
        <w:t xml:space="preserve"> </w:t>
      </w:r>
      <w:r>
        <w:t xml:space="preserve">by the severity of the crisis. These limitations are also confirmed by the EBA’s findings on</w:t>
      </w:r>
      <w:r>
        <w:t xml:space="preserve"> </w:t>
      </w:r>
      <w:r>
        <w:t xml:space="preserve">DGS funding and uses of DGS funds published in 2020. An EBA-led survey of Member States</w:t>
      </w:r>
      <w:r>
        <w:t xml:space="preserve"> </w:t>
      </w:r>
      <w:r>
        <w:t xml:space="preserve">concluded that, 13 respondents reported recovery rates between 1-100% in cases of DGS</w:t>
      </w:r>
      <w:r>
        <w:t xml:space="preserve"> </w:t>
      </w:r>
      <w:r>
        <w:t xml:space="preserve">payout since the implementation of the DGSD, while two respondents reported recovery rates</w:t>
      </w:r>
      <w:r>
        <w:t xml:space="preserve"> </w:t>
      </w:r>
      <w:r>
        <w:t xml:space="preserve">between 20-95% in cases prior to the implementation of the DGSD436.</w:t>
      </w:r>
      <w:r>
        <w:t xml:space="preserve"> </w:t>
      </w:r>
      <w:r>
        <w:t xml:space="preserve">To mitigate the uncertainties deriving from these limitations, the interpretation of the results</w:t>
      </w:r>
      <w:r>
        <w:t xml:space="preserve"> </w:t>
      </w:r>
      <w:r>
        <w:t xml:space="preserve">provides qualitative clarifications to show how the results would be impacted if higher or lower</w:t>
      </w:r>
      <w:r>
        <w:t xml:space="preserve"> </w:t>
      </w:r>
      <w:r>
        <w:t xml:space="preserve">insolvency haircuts/recovery rates were considered.</w:t>
      </w:r>
    </w:p>
    <w:p>
      <w:pPr>
        <w:pStyle w:val="BodyText"/>
      </w:pPr>
      <w:r>
        <w:t xml:space="preserve">436 EBA (January 2020), Opinion of the European Banking Authority on deposit guarantee scheme funding and</w:t>
      </w:r>
      <w:r>
        <w:t xml:space="preserve"> </w:t>
      </w:r>
      <w:r>
        <w:t xml:space="preserve">uses of deposit guarantee scheme funds, paragraph 27, p. 23, 24.</w:t>
      </w:r>
    </w:p>
    <w:bookmarkEnd w:id="20"/>
    <w:bookmarkStart w:id="21" w:name="section-1"/>
    <w:p>
      <w:pPr>
        <w:pStyle w:val="Heading2"/>
      </w:pPr>
      <w:r>
        <w:t xml:space="preserve">245</w:t>
      </w:r>
    </w:p>
    <w:p>
      <w:pPr>
        <w:pStyle w:val="FirstParagraph"/>
      </w:pPr>
      <w:r>
        <w:t xml:space="preserve">Bail-inable capacity</w:t>
      </w:r>
    </w:p>
    <w:p>
      <w:pPr>
        <w:pStyle w:val="BodyText"/>
      </w:pPr>
      <w:r>
        <w:t xml:space="preserve">In order to assess the possibility to access resolution financing arrangements and the related use</w:t>
      </w:r>
      <w:r>
        <w:t xml:space="preserve"> </w:t>
      </w:r>
      <w:r>
        <w:t xml:space="preserve">of DGS in resolution or under alternative measures in insolvency, sections 3 and 4 of this</w:t>
      </w:r>
      <w:r>
        <w:t xml:space="preserve"> </w:t>
      </w:r>
      <w:r>
        <w:t xml:space="preserve">Annex also look at the banks’ internal loss-absorbing capacity under two scenarios of bail-</w:t>
      </w:r>
      <w:r>
        <w:t xml:space="preserve"> </w:t>
      </w:r>
      <w:r>
        <w:t xml:space="preserve">inable capacity to assess whether deposits would be bailed-in to access resolution financing</w:t>
      </w:r>
      <w:r>
        <w:t xml:space="preserve"> </w:t>
      </w:r>
      <w:r>
        <w:t xml:space="preserve">arrangements, and what is the eventual bail-inable capacity:</w:t>
      </w:r>
      <w:r>
        <w:t xml:space="preserve"> </w:t>
      </w:r>
      <w:r>
        <w:t xml:space="preserve">Scenario 1: Use of the amount of bail-inable liabilities with complete or partial</w:t>
      </w:r>
      <w:r>
        <w:t xml:space="preserve"> </w:t>
      </w:r>
      <w:r>
        <w:t xml:space="preserve">exclusion of deposits, including MREL eligible deposits (shown in the tables</w:t>
      </w:r>
      <w:r>
        <w:t xml:space="preserve"> </w:t>
      </w:r>
      <w:r>
        <w:t xml:space="preserve">presented in the next sections);</w:t>
      </w:r>
      <w:r>
        <w:t xml:space="preserve"> </w:t>
      </w:r>
      <w:r>
        <w:t xml:space="preserve">Scenario 2: Use of a proxy of the bail-inable capacity at least equal to steady-state</w:t>
      </w:r>
      <w:r>
        <w:t xml:space="preserve"> </w:t>
      </w:r>
      <w:r>
        <w:t xml:space="preserve">MREL requirements.</w:t>
      </w:r>
      <w:r>
        <w:br/>
      </w:r>
      <w:r>
        <w:t xml:space="preserve">The first scenario allows measuring various degrees of severity based on the current bail-inable</w:t>
      </w:r>
      <w:r>
        <w:t xml:space="preserve"> </w:t>
      </w:r>
      <w:r>
        <w:t xml:space="preserve">capacity, singling out the types of deposits affected by the simulations. The complete or partial</w:t>
      </w:r>
      <w:r>
        <w:t xml:space="preserve"> </w:t>
      </w:r>
      <w:r>
        <w:t xml:space="preserve">exclusion of deposits also serves to cater for possible concerns related to the bail-in of deposits</w:t>
      </w:r>
      <w:r>
        <w:t xml:space="preserve"> </w:t>
      </w:r>
      <w:r>
        <w:t xml:space="preserve">for financial stability reasons. The second scenario assumes an estimated stock of eligible</w:t>
      </w:r>
      <w:r>
        <w:t xml:space="preserve"> </w:t>
      </w:r>
      <w:r>
        <w:t xml:space="preserve">liabilities held by the institutions assuming they will meet their MREL requirements by the end</w:t>
      </w:r>
      <w:r>
        <w:t xml:space="preserve"> </w:t>
      </w:r>
      <w:r>
        <w:t xml:space="preserve">of the transition period. This latter scenario does not take into account a change in the structure</w:t>
      </w:r>
      <w:r>
        <w:t xml:space="preserve"> </w:t>
      </w:r>
      <w:r>
        <w:t xml:space="preserve">of the balance sheets due to compliance with future MREL levels, as institutions retain</w:t>
      </w:r>
      <w:r>
        <w:t xml:space="preserve"> </w:t>
      </w:r>
      <w:r>
        <w:t xml:space="preserve">discretion on how they plan to comply with the requirements by the end of the transition</w:t>
      </w:r>
      <w:r>
        <w:t xml:space="preserve"> </w:t>
      </w:r>
      <w:r>
        <w:t xml:space="preserve">period437.</w:t>
      </w:r>
      <w:r>
        <w:t xml:space="preserve"> </w:t>
      </w:r>
      <w:r>
        <w:t xml:space="preserve">-</w:t>
      </w:r>
      <w:r>
        <w:t xml:space="preserve"> </w:t>
      </w:r>
      <w:r>
        <w:t xml:space="preserve">MREL requirements</w:t>
      </w:r>
    </w:p>
    <w:p>
      <w:pPr>
        <w:pStyle w:val="BodyText"/>
      </w:pPr>
      <w:r>
        <w:t xml:space="preserve">When the MREL requirement is not reported for some resolution entities, a proxy is used, in</w:t>
      </w:r>
      <w:r>
        <w:t xml:space="preserve"> </w:t>
      </w:r>
      <w:r>
        <w:t xml:space="preserve">function of the strategy: for banks with liquidation strategy, the proxy MREL requirement</w:t>
      </w:r>
      <w:r>
        <w:t xml:space="preserve"> </w:t>
      </w:r>
      <w:r>
        <w:t xml:space="preserve">equals own funds requirements and for banks with resolution strategy, the proxy MREL</w:t>
      </w:r>
      <w:r>
        <w:t xml:space="preserve"> </w:t>
      </w:r>
      <w:r>
        <w:t xml:space="preserve">requirement is twice own funds requirements.</w:t>
      </w:r>
      <w:r>
        <w:br/>
      </w:r>
      <w:r>
        <w:t xml:space="preserve">Where internal MREL requirement is not available for subsidiaries, a proxy is used, in function</w:t>
      </w:r>
      <w:r>
        <w:t xml:space="preserve"> </w:t>
      </w:r>
      <w:r>
        <w:t xml:space="preserve">of the materiality438 and the strategy defined for the entity. For non-material entities and</w:t>
      </w:r>
      <w:r>
        <w:t xml:space="preserve"> </w:t>
      </w:r>
      <w:r>
        <w:t xml:space="preserve">entities with strategy liquidation, internal MREL is assumed to equal own funds requirements.</w:t>
      </w:r>
      <w:r>
        <w:t xml:space="preserve"> </w:t>
      </w:r>
      <w:r>
        <w:t xml:space="preserve">For material subsidiaries and those with strategy resolution, internal MREL is assumed to be</w:t>
      </w:r>
      <w:r>
        <w:t xml:space="preserve"> </w:t>
      </w:r>
      <w:r>
        <w:t xml:space="preserve">equal to twice own funds requirements.</w:t>
      </w:r>
      <w:r>
        <w:br/>
      </w:r>
      <w:r>
        <w:t xml:space="preserve">-</w:t>
      </w:r>
      <w:r>
        <w:t xml:space="preserve"> </w:t>
      </w:r>
      <w:r>
        <w:t xml:space="preserve">Hybrid EDIS scenarios</w:t>
      </w:r>
    </w:p>
    <w:p>
      <w:pPr>
        <w:pStyle w:val="BodyText"/>
      </w:pPr>
      <w:r>
        <w:t xml:space="preserve">437 In particular, the impact assessment does not make general assumptions applied to all banks on the type of</w:t>
      </w:r>
      <w:r>
        <w:t xml:space="preserve"> </w:t>
      </w:r>
      <w:r>
        <w:t xml:space="preserve">liabilities that would be issued, replaced or renewed and their relative location in the hierarchy of claims, nor on</w:t>
      </w:r>
      <w:r>
        <w:t xml:space="preserve"> </w:t>
      </w:r>
      <w:r>
        <w:t xml:space="preserve">other strategic choices made to comply with future requirements (restructuring, disposal of assets, etc.).</w:t>
      </w:r>
      <w:r>
        <w:t xml:space="preserve"> </w:t>
      </w:r>
      <w:r>
        <w:t xml:space="preserve">438 Material subsidiaries defined as representing 5% of resolution group TREA for non-Banking Union entities</w:t>
      </w:r>
      <w:r>
        <w:t xml:space="preserve"> </w:t>
      </w:r>
      <w:r>
        <w:t xml:space="preserve">and 4% for Banking Union entities.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For the purpose of assessing the effectiveness and efficiency of the hybrid/EDIS439 models</w:t>
      </w:r>
      <w:r>
        <w:t xml:space="preserve"> </w:t>
      </w:r>
      <w:r>
        <w:t xml:space="preserve">compared to national DGSs to finance banks in resolution and insolvency, three scenarios of</w:t>
      </w:r>
      <w:r>
        <w:t xml:space="preserve"> </w:t>
      </w:r>
      <w:r>
        <w:t xml:space="preserve">hybrid EDIS calibration are considered, where the total DGS financial means amounting to</w:t>
      </w:r>
      <w:r>
        <w:t xml:space="preserve"> </w:t>
      </w:r>
      <w:r>
        <w:t xml:space="preserve">0.8% of covered deposits are distributed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Scenario 1: Central fund 75% of the available funds, DGS 25%.</w:t>
      </w:r>
      <w:r>
        <w:t xml:space="preserve"> </w:t>
      </w:r>
      <w:r>
        <w:t xml:space="preserve">-</w:t>
      </w:r>
      <w:r>
        <w:t xml:space="preserve"> </w:t>
      </w:r>
      <w:r>
        <w:t xml:space="preserve">Scenario 2: Central fund 50% of the available means, DGS 50%.</w:t>
      </w:r>
      <w:r>
        <w:br/>
      </w:r>
      <w:r>
        <w:t xml:space="preserve">-</w:t>
      </w:r>
      <w:r>
        <w:t xml:space="preserve"> </w:t>
      </w:r>
      <w:r>
        <w:t xml:space="preserve">Scenario 3: Central fund 25% of the available means, DGS 75%.</w:t>
      </w:r>
    </w:p>
    <w:p>
      <w:pPr>
        <w:pStyle w:val="BodyText"/>
      </w:pPr>
      <w:r>
        <w:t xml:space="preserve">2.4. Key steps in the static and model-based approaches</w:t>
      </w:r>
      <w:r>
        <w:t xml:space="preserve"> </w:t>
      </w:r>
      <w:r>
        <w:t xml:space="preserve">In line with the policy options presented in Chapter 6, the analyses related to the access to</w:t>
      </w:r>
      <w:r>
        <w:t xml:space="preserve"> </w:t>
      </w:r>
      <w:r>
        <w:t xml:space="preserve">resolution financing arrangements and the DGS interventions are inter-related. Sections 3 and 4</w:t>
      </w:r>
      <w:r>
        <w:t xml:space="preserve"> </w:t>
      </w:r>
      <w:r>
        <w:t xml:space="preserve">of this Annex cover the analysis of banks’ ability to reach 8% TLOF to access the RF/SRF and</w:t>
      </w:r>
      <w:r>
        <w:t xml:space="preserve"> </w:t>
      </w:r>
      <w:r>
        <w:t xml:space="preserve">the potential to unlock DGS funding under the LCT for DGS interventions in resolution (i.e. </w:t>
      </w:r>
      <w:r>
        <w:t xml:space="preserve"> </w:t>
      </w:r>
      <w:r>
        <w:t xml:space="preserve">stand-alone or to bridge the gap towards 8% TLOF and accessing RF/SRF) and alternative</w:t>
      </w:r>
      <w:r>
        <w:t xml:space="preserve"> </w:t>
      </w:r>
      <w:r>
        <w:t xml:space="preserve">measures in insolvency, and must be considered following a consistent sequence of steps.</w:t>
      </w:r>
      <w:r>
        <w:t xml:space="preserve"> </w:t>
      </w:r>
      <w:r>
        <w:t xml:space="preserve">The assessments described in sections 3 and 4 are based on a two-fold approach.</w:t>
      </w:r>
      <w:r>
        <w:br/>
      </w:r>
      <w:r>
        <w:t xml:space="preserve">First, a statistical analysis of the 8% TLOF requirement, the ability of DGS to intervene under</w:t>
      </w:r>
      <w:r>
        <w:t xml:space="preserve"> </w:t>
      </w:r>
      <w:r>
        <w:t xml:space="preserve">the LCT safeguard and the availability of DGS financial means are carried out under a baseline</w:t>
      </w:r>
      <w:r>
        <w:t xml:space="preserve"> </w:t>
      </w:r>
      <w:r>
        <w:t xml:space="preserve">scenario as well as under various assumptions related to CET1 depletion, depositor preference</w:t>
      </w:r>
      <w:r>
        <w:t xml:space="preserve"> </w:t>
      </w:r>
      <w:r>
        <w:t xml:space="preserve">and bail-inable capacity. This approach allows to test a wide variety of assumptions and</w:t>
      </w:r>
      <w:r>
        <w:t xml:space="preserve"> </w:t>
      </w:r>
      <w:r>
        <w:t xml:space="preserve">determine the relative and incremental impacts of changes to certain dimensions that can</w:t>
      </w:r>
      <w:r>
        <w:t xml:space="preserve"> </w:t>
      </w:r>
      <w:r>
        <w:t xml:space="preserve">support the design of policy options.</w:t>
      </w:r>
      <w:r>
        <w:br/>
      </w:r>
      <w:r>
        <w:t xml:space="preserve">The outcome of this first analysis serves as a basis for comparison and defines the most</w:t>
      </w:r>
      <w:r>
        <w:t xml:space="preserve"> </w:t>
      </w:r>
      <w:r>
        <w:t xml:space="preserve">relevant scenarios (notably of depositor preference) to be used in a second approach, where a</w:t>
      </w:r>
      <w:r>
        <w:t xml:space="preserve"> </w:t>
      </w:r>
      <w:r>
        <w:t xml:space="preserve">model-based analysis relying on SYMBOL-generated losses is carried out, using a dynamic</w:t>
      </w:r>
      <w:r>
        <w:t xml:space="preserve"> </w:t>
      </w:r>
      <w:r>
        <w:t xml:space="preserve">approach whereby losses are allocated to each entity according to the waterfall of liabilities as</w:t>
      </w:r>
      <w:r>
        <w:t xml:space="preserve"> </w:t>
      </w:r>
      <w:r>
        <w:t xml:space="preserve">per the applicable hierarchy of claims, in line with the resolution group structure. The outcome</w:t>
      </w:r>
      <w:r>
        <w:t xml:space="preserve"> </w:t>
      </w:r>
      <w:r>
        <w:t xml:space="preserve">of the model-based approach is used to test the ability of DGS to intervene under the LCT,</w:t>
      </w:r>
      <w:r>
        <w:t xml:space="preserve"> </w:t>
      </w:r>
      <w:r>
        <w:t xml:space="preserve">assess the 8% TLOF requirement and the possible contribution of resolution funds, and</w:t>
      </w:r>
      <w:r>
        <w:t xml:space="preserve"> </w:t>
      </w:r>
      <w:r>
        <w:t xml:space="preserve">ultimately stress the DGS financial means under various hybrid EDIS designs, in particular</w:t>
      </w:r>
      <w:r>
        <w:t xml:space="preserve"> </w:t>
      </w:r>
      <w:r>
        <w:t xml:space="preserve">with different distributions of funds between national DGSs and the central fund.</w:t>
      </w:r>
      <w:r>
        <w:t xml:space="preserve"> </w:t>
      </w:r>
      <w:r>
        <w:t xml:space="preserve">This modelling approach complements the statistical analysis by using actual losses</w:t>
      </w:r>
      <w:r>
        <w:t xml:space="preserve"> </w:t>
      </w:r>
      <w:r>
        <w:t xml:space="preserve">simulations based on bank-specific characteristics and by adding a resolution group</w:t>
      </w:r>
    </w:p>
    <w:p>
      <w:pPr>
        <w:pStyle w:val="BodyText"/>
      </w:pPr>
      <w:r>
        <w:t xml:space="preserve">439 The hybrid EDIS is built on the idea of coexistence of a deposit insurance fund at central level and funds</w:t>
      </w:r>
      <w:r>
        <w:t xml:space="preserve"> </w:t>
      </w:r>
      <w:r>
        <w:t xml:space="preserve">remaining within the national DGSs. The central fund aims at providing liquidity to DGS in the Banking Union,</w:t>
      </w:r>
      <w:r>
        <w:t xml:space="preserve"> </w:t>
      </w:r>
      <w:r>
        <w:t xml:space="preserve">once the latter have exhausted their funds. If the central fund were depleted at the time an intervention is needed,</w:t>
      </w:r>
      <w:r>
        <w:t xml:space="preserve"> </w:t>
      </w:r>
      <w:r>
        <w:t xml:space="preserve">the SRB, on behalf of the central fund, would be able to borrow from national DGSs through a mandatory lending</w:t>
      </w:r>
      <w:r>
        <w:t xml:space="preserve"> </w:t>
      </w:r>
      <w:r>
        <w:t xml:space="preserve">mechanism. See Annex 10 for more details on the hybrid models.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perspective, making the analysis closer to the effective implementation of the strategy defined</w:t>
      </w:r>
      <w:r>
        <w:t xml:space="preserve"> </w:t>
      </w:r>
      <w:r>
        <w:t xml:space="preserve">for the resolution group. It offers a more concrete, economically consistent, opportunity to</w:t>
      </w:r>
      <w:r>
        <w:t xml:space="preserve"> </w:t>
      </w:r>
      <w:r>
        <w:t xml:space="preserve">deepen the analysis and investigate credible scenarios related to the materiality and limits of</w:t>
      </w:r>
      <w:r>
        <w:t xml:space="preserve"> </w:t>
      </w:r>
      <w:r>
        <w:t xml:space="preserve">DGS and resolution fund interventions.</w:t>
      </w:r>
      <w:r>
        <w:br/>
      </w:r>
      <w:r>
        <w:t xml:space="preserve">By design and for an improved readability of the results, the model-based approach relies on a</w:t>
      </w:r>
      <w:r>
        <w:t xml:space="preserve"> </w:t>
      </w:r>
      <w:r>
        <w:t xml:space="preserve">subset of assumptions that differ from the statistical approach: the analysis does not assume</w:t>
      </w:r>
      <w:r>
        <w:t xml:space="preserve"> </w:t>
      </w:r>
      <w:r>
        <w:t xml:space="preserve">standard CET1 depletion scenarios, but relies on the generation of simulated losses based on</w:t>
      </w:r>
      <w:r>
        <w:t xml:space="preserve"> </w:t>
      </w:r>
      <w:r>
        <w:t xml:space="preserve">bank-specific characteristics using SYMBOL, depositor preference and bail-inable scenarios</w:t>
      </w:r>
      <w:r>
        <w:t xml:space="preserve"> </w:t>
      </w:r>
      <w:r>
        <w:t xml:space="preserve">are limited to the most relevant ones for the purpose of the dynamic analysis. Still, the</w:t>
      </w:r>
      <w:r>
        <w:t xml:space="preserve"> </w:t>
      </w:r>
      <w:r>
        <w:t xml:space="preserve">incremental effects of each assumptions independently will have been described previously</w:t>
      </w:r>
      <w:r>
        <w:t xml:space="preserve"> </w:t>
      </w:r>
      <w:r>
        <w:t xml:space="preserve">through the outcome of the static statistical approach and can therefore provide valuable insight</w:t>
      </w:r>
      <w:r>
        <w:t xml:space="preserve"> </w:t>
      </w:r>
      <w:r>
        <w:t xml:space="preserve">on the possible impact of changing parameters in the modelling approach.</w:t>
      </w:r>
      <w:r>
        <w:t xml:space="preserve"> </w:t>
      </w:r>
      <w:r>
        <w:t xml:space="preserve">Based on the assumptions and scenarios detailed above, the data analysis related to the sections</w:t>
      </w:r>
      <w:r>
        <w:t xml:space="preserve"> </w:t>
      </w:r>
      <w:r>
        <w:t xml:space="preserve">3 and 4, building on the EBA CfA report, can be broken down into the following sequence of</w:t>
      </w:r>
      <w:r>
        <w:t xml:space="preserve"> </w:t>
      </w:r>
      <w:r>
        <w:t xml:space="preserve">steps.</w:t>
      </w:r>
      <w:r>
        <w:br/>
      </w:r>
      <w:r>
        <w:t xml:space="preserve">Figure 19: Key steps in the data analysis – Access to 8% TLOF and DGS interventions</w:t>
      </w:r>
    </w:p>
    <w:p>
      <w:pPr>
        <w:pStyle w:val="BodyText"/>
      </w:pPr>
      <w:r>
        <w:t xml:space="preserve">Source: Commission services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Table 11: Key steps in the data analysis (details) – Access to 8% TLOF and DGS interventions</w:t>
      </w:r>
      <w:r>
        <w:t xml:space="preserve"> </w:t>
      </w:r>
      <w:r>
        <w:t xml:space="preserve">Sections</w:t>
      </w:r>
      <w:r>
        <w:t xml:space="preserve"> </w:t>
      </w:r>
      <w:r>
        <w:t xml:space="preserve">Steps</w:t>
      </w:r>
      <w:r>
        <w:t xml:space="preserve"> </w:t>
      </w:r>
      <w:r>
        <w:t xml:space="preserve">Objective</w:t>
      </w:r>
      <w:r>
        <w:br/>
      </w:r>
      <w:r>
        <w:t xml:space="preserve">Scenarios/ assumptions</w:t>
      </w:r>
      <w:r>
        <w:t xml:space="preserve"> </w:t>
      </w:r>
      <w:r>
        <w:t xml:space="preserve">Scope</w:t>
      </w:r>
      <w:r>
        <w:t xml:space="preserve"> </w:t>
      </w:r>
      <w:r>
        <w:t xml:space="preserve">Perimeter</w:t>
      </w:r>
      <w:r>
        <w:t xml:space="preserve"> </w:t>
      </w:r>
      <w:r>
        <w:t xml:space="preserve">Section 3:</w:t>
      </w:r>
      <w:r>
        <w:t xml:space="preserve"> </w:t>
      </w:r>
      <w:r>
        <w:t xml:space="preserve">Conditions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the</w:t>
      </w:r>
      <w:r>
        <w:t xml:space="preserve"> </w:t>
      </w:r>
      <w:r>
        <w:t xml:space="preserve">RF/SRF</w:t>
      </w:r>
      <w:r>
        <w:t xml:space="preserve"> </w:t>
      </w:r>
      <w:r>
        <w:t xml:space="preserve">A: Static -</w:t>
      </w:r>
      <w:r>
        <w:t xml:space="preserve"> </w:t>
      </w:r>
      <w:r>
        <w:t xml:space="preserve">8% TLOF</w:t>
      </w:r>
      <w:r>
        <w:t xml:space="preserve"> </w:t>
      </w:r>
      <w:r>
        <w:t xml:space="preserve">(baseline)</w:t>
      </w:r>
      <w:r>
        <w:t xml:space="preserve"> </w:t>
      </w:r>
      <w:r>
        <w:t xml:space="preserve">Identify the incidence of 8%</w:t>
      </w:r>
      <w:r>
        <w:t xml:space="preserve"> </w:t>
      </w:r>
      <w:r>
        <w:t xml:space="preserve">TLOF in the hierarchy of</w:t>
      </w:r>
      <w:r>
        <w:t xml:space="preserve"> </w:t>
      </w:r>
      <w:r>
        <w:t xml:space="preserve">claims (impact on deposits)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loss-</w:t>
      </w:r>
      <w:r>
        <w:t xml:space="preserve"> </w:t>
      </w:r>
      <w:r>
        <w:t xml:space="preserve">absorbing</w:t>
      </w:r>
      <w:r>
        <w:t xml:space="preserve"> </w:t>
      </w:r>
      <w:r>
        <w:t xml:space="preserve">capacity</w:t>
      </w:r>
      <w:r>
        <w:t xml:space="preserve"> </w:t>
      </w:r>
      <w:r>
        <w:t xml:space="preserve">under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Balance sheet as reported,</w:t>
      </w:r>
      <w:r>
        <w:t xml:space="preserve"> </w:t>
      </w:r>
      <w:r>
        <w:t xml:space="preserve">depositor</w:t>
      </w:r>
      <w:r>
        <w:t xml:space="preserve"> </w:t>
      </w:r>
      <w:r>
        <w:t xml:space="preserve">preference</w:t>
      </w:r>
      <w:r>
        <w:t xml:space="preserve"> </w:t>
      </w:r>
      <w:r>
        <w:t xml:space="preserve">applicable in the Member</w:t>
      </w:r>
      <w:r>
        <w:t xml:space="preserve"> </w:t>
      </w:r>
      <w:r>
        <w:t xml:space="preserve">State, available bail-inable</w:t>
      </w:r>
      <w:r>
        <w:t xml:space="preserve"> </w:t>
      </w:r>
      <w:r>
        <w:t xml:space="preserve">capacity.</w:t>
      </w:r>
      <w:r>
        <w:t xml:space="preserve"> </w:t>
      </w:r>
      <w:r>
        <w:t xml:space="preserve">All banks</w:t>
      </w:r>
      <w:r>
        <w:t xml:space="preserve"> </w:t>
      </w:r>
      <w:r>
        <w:t xml:space="preserve">Resolution</w:t>
      </w:r>
      <w:r>
        <w:t xml:space="preserve"> </w:t>
      </w:r>
      <w:r>
        <w:t xml:space="preserve">entity (solo)</w:t>
      </w:r>
      <w:r>
        <w:t xml:space="preserve"> </w:t>
      </w:r>
      <w:r>
        <w:t xml:space="preserve">level</w:t>
      </w:r>
      <w:r>
        <w:t xml:space="preserve"> </w:t>
      </w:r>
      <w:r>
        <w:t xml:space="preserve">B: Static -</w:t>
      </w:r>
      <w:r>
        <w:t xml:space="preserve"> </w:t>
      </w:r>
      <w:r>
        <w:t xml:space="preserve">8% TLOF</w:t>
      </w:r>
      <w:r>
        <w:t xml:space="preserve"> </w:t>
      </w:r>
      <w:r>
        <w:t xml:space="preserve">(combined</w:t>
      </w:r>
      <w:r>
        <w:t xml:space="preserve"> </w:t>
      </w:r>
      <w:r>
        <w:t xml:space="preserve">scenarios)</w:t>
      </w:r>
      <w:r>
        <w:t xml:space="preserve"> </w:t>
      </w:r>
      <w:r>
        <w:t xml:space="preserve">Identify the incidence of 8%</w:t>
      </w:r>
      <w:r>
        <w:t xml:space="preserve"> </w:t>
      </w:r>
      <w:r>
        <w:t xml:space="preserve">TLOF in the hierarchy of</w:t>
      </w:r>
      <w:r>
        <w:t xml:space="preserve"> </w:t>
      </w:r>
      <w:r>
        <w:t xml:space="preserve">claims (impact on deposits)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loss-</w:t>
      </w:r>
      <w:r>
        <w:t xml:space="preserve"> </w:t>
      </w:r>
      <w:r>
        <w:t xml:space="preserve">absorbing</w:t>
      </w:r>
      <w:r>
        <w:t xml:space="preserve"> </w:t>
      </w:r>
      <w:r>
        <w:t xml:space="preserve">capacity</w:t>
      </w:r>
      <w:r>
        <w:t xml:space="preserve"> </w:t>
      </w:r>
      <w:r>
        <w:t xml:space="preserve">under</w:t>
      </w:r>
      <w:r>
        <w:t xml:space="preserve"> </w:t>
      </w:r>
      <w:r>
        <w:t xml:space="preserve">alternative</w:t>
      </w:r>
      <w:r>
        <w:t xml:space="preserve"> </w:t>
      </w:r>
      <w:r>
        <w:t xml:space="preserve">and</w:t>
      </w:r>
      <w:r>
        <w:t xml:space="preserve"> </w:t>
      </w:r>
      <w:r>
        <w:t xml:space="preserve">combined</w:t>
      </w:r>
      <w:r>
        <w:t xml:space="preserve"> </w:t>
      </w:r>
      <w:r>
        <w:t xml:space="preserve">scenarios.</w:t>
      </w:r>
      <w:r>
        <w:br/>
      </w:r>
      <w:r>
        <w:t xml:space="preserve">Four additional scenarios</w:t>
      </w:r>
      <w:r>
        <w:t xml:space="preserve"> </w:t>
      </w:r>
      <w:r>
        <w:t xml:space="preserve">of CET1 depletion</w:t>
      </w:r>
      <w:r>
        <w:t xml:space="preserve"> </w:t>
      </w:r>
      <w:r>
        <w:t xml:space="preserve">Four additional scenarios</w:t>
      </w:r>
      <w:r>
        <w:t xml:space="preserve"> </w:t>
      </w:r>
      <w:r>
        <w:t xml:space="preserve">of depositor preference</w:t>
      </w:r>
      <w:r>
        <w:t xml:space="preserve"> </w:t>
      </w:r>
      <w:r>
        <w:t xml:space="preserve">Two additional scenarios</w:t>
      </w:r>
      <w:r>
        <w:t xml:space="preserve"> </w:t>
      </w:r>
      <w:r>
        <w:t xml:space="preserve">of bail-inable capacity</w:t>
      </w:r>
      <w:r>
        <w:t xml:space="preserve"> </w:t>
      </w:r>
      <w:r>
        <w:t xml:space="preserve">All banks</w:t>
      </w:r>
      <w:r>
        <w:t xml:space="preserve"> </w:t>
      </w:r>
      <w:r>
        <w:t xml:space="preserve">Resolution</w:t>
      </w:r>
      <w:r>
        <w:t xml:space="preserve"> </w:t>
      </w:r>
      <w:r>
        <w:t xml:space="preserve">entity (solo)</w:t>
      </w:r>
      <w:r>
        <w:t xml:space="preserve"> </w:t>
      </w:r>
      <w:r>
        <w:t xml:space="preserve">level</w:t>
      </w:r>
      <w:r>
        <w:t xml:space="preserve"> </w:t>
      </w:r>
      <w:r>
        <w:t xml:space="preserve">The outcome of Step B serves to quantify the magnitude of the difficulty to reach 8% TLOF and is used as a</w:t>
      </w:r>
      <w:r>
        <w:t xml:space="preserve"> </w:t>
      </w:r>
      <w:r>
        <w:t xml:space="preserve">benchmark for policy options addressing the issue</w:t>
      </w:r>
      <w:r>
        <w:t xml:space="preserve"> </w:t>
      </w:r>
      <w:r>
        <w:t xml:space="preserve">Section 4:</w:t>
      </w:r>
      <w:r>
        <w:t xml:space="preserve"> </w:t>
      </w:r>
      <w:r>
        <w:t xml:space="preserve">DGS</w:t>
      </w:r>
      <w:r>
        <w:t xml:space="preserve"> </w:t>
      </w:r>
      <w:r>
        <w:t xml:space="preserve">interventio</w:t>
      </w:r>
      <w:r>
        <w:t xml:space="preserve"> </w:t>
      </w:r>
      <w:r>
        <w:t xml:space="preserve">ns</w:t>
      </w:r>
      <w:r>
        <w:t xml:space="preserve"> </w:t>
      </w:r>
      <w:r>
        <w:t xml:space="preserve">C: Static -</w:t>
      </w:r>
      <w:r>
        <w:t xml:space="preserve"> </w:t>
      </w:r>
      <w:r>
        <w:t xml:space="preserve">LCT</w:t>
      </w:r>
      <w:r>
        <w:t xml:space="preserve"> </w:t>
      </w:r>
      <w:r>
        <w:t xml:space="preserve">(baseline,</w:t>
      </w:r>
      <w:r>
        <w:t xml:space="preserve"> </w:t>
      </w:r>
      <w:r>
        <w:t xml:space="preserve">combined</w:t>
      </w:r>
      <w:r>
        <w:t xml:space="preserve"> </w:t>
      </w:r>
      <w:r>
        <w:t xml:space="preserve">scenarios)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Step</w:t>
      </w:r>
      <w:r>
        <w:t xml:space="preserve"> </w:t>
      </w:r>
      <w:r>
        <w:t xml:space="preserve">B,</w:t>
      </w:r>
      <w:r>
        <w:t xml:space="preserve"> </w:t>
      </w:r>
      <w:r>
        <w:t xml:space="preserve">assessing whether, based on</w:t>
      </w:r>
      <w:r>
        <w:t xml:space="preserve"> </w:t>
      </w:r>
      <w:r>
        <w:t xml:space="preserve">the LCT, institutions would be</w:t>
      </w:r>
      <w:r>
        <w:t xml:space="preserve"> </w:t>
      </w:r>
      <w:r>
        <w:t xml:space="preserve">able to reach 8% TLOF via</w:t>
      </w:r>
      <w:r>
        <w:t xml:space="preserve"> </w:t>
      </w:r>
      <w:r>
        <w:t xml:space="preserve">DGS interventions under the</w:t>
      </w:r>
      <w:r>
        <w:t xml:space="preserve"> </w:t>
      </w:r>
      <w:r>
        <w:t xml:space="preserve">baseline,</w:t>
      </w:r>
      <w:r>
        <w:t xml:space="preserve"> </w:t>
      </w:r>
      <w:r>
        <w:t xml:space="preserve">alternative</w:t>
      </w:r>
      <w:r>
        <w:t xml:space="preserve"> </w:t>
      </w:r>
      <w:r>
        <w:t xml:space="preserve">and</w:t>
      </w:r>
      <w:r>
        <w:t xml:space="preserve"> </w:t>
      </w:r>
      <w:r>
        <w:t xml:space="preserve">combined scenarios.</w:t>
      </w:r>
      <w:r>
        <w:t xml:space="preserve"> </w:t>
      </w:r>
      <w:r>
        <w:t xml:space="preserve">Counterfactual: insolvency</w:t>
      </w:r>
      <w:r>
        <w:t xml:space="preserve"> </w:t>
      </w:r>
      <w:r>
        <w:t xml:space="preserve">haircut 15% of assets</w:t>
      </w:r>
      <w:r>
        <w:br/>
      </w:r>
      <w:r>
        <w:t xml:space="preserve">Four additional scenarios</w:t>
      </w:r>
      <w:r>
        <w:t xml:space="preserve"> </w:t>
      </w:r>
      <w:r>
        <w:t xml:space="preserve">of CET1 depletion</w:t>
      </w:r>
      <w:r>
        <w:t xml:space="preserve"> </w:t>
      </w:r>
      <w:r>
        <w:t xml:space="preserve">Four additional scenarios</w:t>
      </w:r>
      <w:r>
        <w:t xml:space="preserve"> </w:t>
      </w:r>
      <w:r>
        <w:t xml:space="preserve">of depositor preference</w:t>
      </w:r>
      <w:r>
        <w:t xml:space="preserve"> </w:t>
      </w:r>
      <w:r>
        <w:t xml:space="preserve">Two additional scenarios</w:t>
      </w:r>
      <w:r>
        <w:t xml:space="preserve"> </w:t>
      </w:r>
      <w:r>
        <w:t xml:space="preserve">of bail-inable capacity</w:t>
      </w:r>
      <w:r>
        <w:t xml:space="preserve"> </w:t>
      </w:r>
      <w:r>
        <w:t xml:space="preserve">All banks</w:t>
      </w:r>
      <w:r>
        <w:t xml:space="preserve"> </w:t>
      </w:r>
      <w:r>
        <w:t xml:space="preserve">Resolution</w:t>
      </w:r>
      <w:r>
        <w:t xml:space="preserve"> </w:t>
      </w:r>
      <w:r>
        <w:t xml:space="preserve">entity (solo)</w:t>
      </w:r>
      <w:r>
        <w:t xml:space="preserve"> </w:t>
      </w:r>
      <w:r>
        <w:t xml:space="preserve">level</w:t>
      </w:r>
      <w:r>
        <w:br/>
      </w:r>
      <w:r>
        <w:t xml:space="preserve">The outcome of Step C serves to define the most relevant scenarios (notably of depositor preference) to be used</w:t>
      </w:r>
      <w:r>
        <w:t xml:space="preserve"> </w:t>
      </w:r>
      <w:r>
        <w:t xml:space="preserve">in the dynamic assessment using SYMBOL</w:t>
      </w:r>
      <w:r>
        <w:t xml:space="preserve"> </w:t>
      </w:r>
      <w:r>
        <w:t xml:space="preserve">D: Dynamic</w:t>
      </w:r>
      <w:r>
        <w:t xml:space="preserve"> </w:t>
      </w:r>
      <w:r>
        <w:t xml:space="preserve">- LCT, DGS</w:t>
      </w:r>
      <w:r>
        <w:t xml:space="preserve"> </w:t>
      </w:r>
      <w:r>
        <w:t xml:space="preserve">contributions</w:t>
      </w:r>
      <w:r>
        <w:t xml:space="preserve"> </w:t>
      </w:r>
      <w:r>
        <w:t xml:space="preserve">and 8%</w:t>
      </w:r>
      <w:r>
        <w:t xml:space="preserve"> </w:t>
      </w:r>
      <w:r>
        <w:t xml:space="preserve">TLOF</w:t>
      </w:r>
      <w:r>
        <w:t xml:space="preserve"> </w:t>
      </w:r>
      <w:r>
        <w:t xml:space="preserve">(model)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Step</w:t>
      </w:r>
      <w:r>
        <w:t xml:space="preserve"> </w:t>
      </w:r>
      <w:r>
        <w:t xml:space="preserve">C,</w:t>
      </w:r>
      <w:r>
        <w:t xml:space="preserve"> </w:t>
      </w:r>
      <w:r>
        <w:t xml:space="preserve">relying on the model-based</w:t>
      </w:r>
      <w:r>
        <w:t xml:space="preserve"> </w:t>
      </w:r>
      <w:r>
        <w:t xml:space="preserve">approach using SYMBOL-</w:t>
      </w:r>
      <w:r>
        <w:t xml:space="preserve"> </w:t>
      </w:r>
      <w:r>
        <w:t xml:space="preserve">generated losses.</w:t>
      </w:r>
      <w:r>
        <w:t xml:space="preserve"> </w:t>
      </w:r>
      <w:r>
        <w:t xml:space="preserve">Counterfactual: insolvency</w:t>
      </w:r>
      <w:r>
        <w:t xml:space="preserve"> </w:t>
      </w:r>
      <w:r>
        <w:t xml:space="preserve">haircut 15% of assets</w:t>
      </w:r>
      <w:r>
        <w:br/>
      </w:r>
      <w:r>
        <w:t xml:space="preserve">Most relevant combined</w:t>
      </w:r>
      <w:r>
        <w:t xml:space="preserve"> </w:t>
      </w:r>
      <w:r>
        <w:t xml:space="preserve">scenarios</w:t>
      </w:r>
      <w:r>
        <w:t xml:space="preserve"> </w:t>
      </w:r>
      <w:r>
        <w:t xml:space="preserve">(depositor</w:t>
      </w:r>
      <w:r>
        <w:t xml:space="preserve"> </w:t>
      </w:r>
      <w:r>
        <w:t xml:space="preserve">preference,</w:t>
      </w:r>
      <w:r>
        <w:t xml:space="preserve"> </w:t>
      </w:r>
      <w:r>
        <w:t xml:space="preserve">bail-inable</w:t>
      </w:r>
      <w:r>
        <w:t xml:space="preserve"> </w:t>
      </w:r>
      <w:r>
        <w:t xml:space="preserve">capacity)</w:t>
      </w:r>
      <w:r>
        <w:t xml:space="preserve"> </w:t>
      </w:r>
      <w:r>
        <w:t xml:space="preserve">Two scenarios of loss</w:t>
      </w:r>
      <w:r>
        <w:t xml:space="preserve"> </w:t>
      </w:r>
      <w:r>
        <w:t xml:space="preserve">allocation at entity level</w:t>
      </w:r>
      <w:r>
        <w:t xml:space="preserve"> </w:t>
      </w:r>
      <w:r>
        <w:t xml:space="preserve">where the resolution group</w:t>
      </w:r>
      <w:r>
        <w:t xml:space="preserve"> </w:t>
      </w:r>
      <w:r>
        <w:t xml:space="preserve">structure holds or breaks.</w:t>
      </w:r>
      <w:r>
        <w:t xml:space="preserve"> </w:t>
      </w:r>
      <w:r>
        <w:t xml:space="preserve">All banks</w:t>
      </w:r>
      <w:r>
        <w:t xml:space="preserve"> </w:t>
      </w:r>
      <w:r>
        <w:t xml:space="preserve">where the</w:t>
      </w:r>
      <w:r>
        <w:t xml:space="preserve"> </w:t>
      </w:r>
      <w:r>
        <w:t xml:space="preserve">resolution</w:t>
      </w:r>
      <w:r>
        <w:t xml:space="preserve"> </w:t>
      </w:r>
      <w:r>
        <w:t xml:space="preserve">group</w:t>
      </w:r>
      <w:r>
        <w:t xml:space="preserve"> </w:t>
      </w:r>
      <w:r>
        <w:t xml:space="preserve">structure</w:t>
      </w:r>
      <w:r>
        <w:t xml:space="preserve"> </w:t>
      </w:r>
      <w:r>
        <w:t xml:space="preserve">can be</w:t>
      </w:r>
      <w:r>
        <w:t xml:space="preserve"> </w:t>
      </w:r>
      <w:r>
        <w:t xml:space="preserve">identified</w:t>
      </w:r>
      <w:r>
        <w:t xml:space="preserve"> </w:t>
      </w:r>
      <w:r>
        <w:t xml:space="preserve">Resolution</w:t>
      </w:r>
      <w:r>
        <w:t xml:space="preserve"> </w:t>
      </w:r>
      <w:r>
        <w:t xml:space="preserve">entity (solo)</w:t>
      </w:r>
      <w:r>
        <w:t xml:space="preserve"> </w:t>
      </w:r>
      <w:r>
        <w:t xml:space="preserve">level</w:t>
      </w:r>
      <w:r>
        <w:t xml:space="preserve"> </w:t>
      </w:r>
      <w:r>
        <w:t xml:space="preserve">Entity (solo)</w:t>
      </w:r>
      <w:r>
        <w:t xml:space="preserve"> </w:t>
      </w:r>
      <w:r>
        <w:t xml:space="preserve">level when</w:t>
      </w:r>
      <w:r>
        <w:t xml:space="preserve"> </w:t>
      </w:r>
      <w:r>
        <w:t xml:space="preserve">resolution group</w:t>
      </w:r>
      <w:r>
        <w:t xml:space="preserve"> </w:t>
      </w:r>
      <w:r>
        <w:t xml:space="preserve">structure breaks</w:t>
      </w:r>
    </w:p>
    <w:p>
      <w:pPr>
        <w:pStyle w:val="BodyText"/>
      </w:pPr>
      <w:r>
        <w:t xml:space="preserve">E: Dynamic</w:t>
      </w:r>
      <w:r>
        <w:t xml:space="preserve"> </w:t>
      </w:r>
      <w:r>
        <w:t xml:space="preserve">- Use of</w:t>
      </w:r>
      <w:r>
        <w:t xml:space="preserve"> </w:t>
      </w:r>
      <w:r>
        <w:t xml:space="preserve">resolution</w:t>
      </w:r>
      <w:r>
        <w:t xml:space="preserve"> </w:t>
      </w:r>
      <w:r>
        <w:t xml:space="preserve">funds</w:t>
      </w:r>
      <w:r>
        <w:t xml:space="preserve"> </w:t>
      </w:r>
      <w:r>
        <w:t xml:space="preserve">(model)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Step</w:t>
      </w:r>
      <w:r>
        <w:t xml:space="preserve"> </w:t>
      </w:r>
      <w:r>
        <w:t xml:space="preserve">D</w:t>
      </w:r>
      <w:r>
        <w:t xml:space="preserve"> </w:t>
      </w:r>
      <w:r>
        <w:t xml:space="preserve">assessing</w:t>
      </w:r>
      <w:r>
        <w:t xml:space="preserve"> </w:t>
      </w:r>
      <w:r>
        <w:t xml:space="preserve">whether</w:t>
      </w:r>
      <w:r>
        <w:t xml:space="preserve"> </w:t>
      </w:r>
      <w:r>
        <w:t xml:space="preserve">contributions from resolution</w:t>
      </w:r>
      <w:r>
        <w:t xml:space="preserve"> </w:t>
      </w:r>
      <w:r>
        <w:t xml:space="preserve">funds (5% TLOF) can be used</w:t>
      </w:r>
      <w:r>
        <w:t xml:space="preserve"> </w:t>
      </w:r>
      <w:r>
        <w:t xml:space="preserve">and cover all losses</w:t>
      </w:r>
      <w:r>
        <w:t xml:space="preserve"> </w:t>
      </w:r>
      <w:r>
        <w:t xml:space="preserve">F: Dynamic</w:t>
      </w:r>
      <w:r>
        <w:t xml:space="preserve"> </w:t>
      </w:r>
      <w:r>
        <w:t xml:space="preserve">- DGS</w:t>
      </w:r>
      <w:r>
        <w:t xml:space="preserve"> </w:t>
      </w:r>
      <w:r>
        <w:t xml:space="preserve">financial</w:t>
      </w:r>
      <w:r>
        <w:t xml:space="preserve"> </w:t>
      </w:r>
      <w:r>
        <w:t xml:space="preserve">means</w:t>
      </w:r>
      <w:r>
        <w:t xml:space="preserve"> </w:t>
      </w:r>
      <w:r>
        <w:t xml:space="preserve">(model)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Step</w:t>
      </w:r>
      <w:r>
        <w:t xml:space="preserve"> </w:t>
      </w:r>
      <w:r>
        <w:t xml:space="preserve">E</w:t>
      </w:r>
      <w:r>
        <w:t xml:space="preserve"> </w:t>
      </w:r>
      <w:r>
        <w:t xml:space="preserve">assessing</w:t>
      </w:r>
      <w:r>
        <w:t xml:space="preserve"> </w:t>
      </w:r>
      <w:r>
        <w:t xml:space="preserve">whether</w:t>
      </w:r>
      <w:r>
        <w:t xml:space="preserve"> </w:t>
      </w:r>
      <w:r>
        <w:t xml:space="preserve">DGS</w:t>
      </w:r>
      <w:r>
        <w:t xml:space="preserve"> </w:t>
      </w:r>
      <w:r>
        <w:t xml:space="preserve">financial means are sufficient</w:t>
      </w:r>
      <w:r>
        <w:t xml:space="preserve"> </w:t>
      </w:r>
      <w:r>
        <w:t xml:space="preserve">to cover the maximum amount</w:t>
      </w:r>
      <w:r>
        <w:t xml:space="preserve"> </w:t>
      </w:r>
      <w:r>
        <w:t xml:space="preserve">usable under the LCT.</w:t>
      </w:r>
      <w:r>
        <w:br/>
      </w:r>
      <w:r>
        <w:t xml:space="preserve">Resolution</w:t>
      </w:r>
      <w:r>
        <w:t xml:space="preserve"> </w:t>
      </w:r>
      <w:r>
        <w:t xml:space="preserve">entity (solo)</w:t>
      </w:r>
      <w:r>
        <w:t xml:space="preserve"> </w:t>
      </w:r>
      <w:r>
        <w:t xml:space="preserve">level</w:t>
      </w:r>
      <w:r>
        <w:t xml:space="preserve"> </w:t>
      </w:r>
      <w:r>
        <w:t xml:space="preserve">G: Static -</w:t>
      </w:r>
      <w:r>
        <w:t xml:space="preserve"> </w:t>
      </w:r>
      <w:r>
        <w:t xml:space="preserve">DGS</w:t>
      </w:r>
      <w:r>
        <w:t xml:space="preserve"> </w:t>
      </w:r>
      <w:r>
        <w:t xml:space="preserve">contributions</w:t>
      </w:r>
      <w:r>
        <w:t xml:space="preserve"> </w:t>
      </w:r>
      <w:r>
        <w:t xml:space="preserve">and financial</w:t>
      </w:r>
      <w:r>
        <w:t xml:space="preserve"> </w:t>
      </w:r>
      <w:r>
        <w:t xml:space="preserve">means</w:t>
      </w:r>
      <w:r>
        <w:t xml:space="preserve"> </w:t>
      </w:r>
      <w:r>
        <w:t xml:space="preserve">(combined</w:t>
      </w:r>
      <w:r>
        <w:t xml:space="preserve"> </w:t>
      </w:r>
      <w:r>
        <w:t xml:space="preserve">scenarios)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Step</w:t>
      </w:r>
      <w:r>
        <w:t xml:space="preserve"> </w:t>
      </w:r>
      <w:r>
        <w:t xml:space="preserve">C</w:t>
      </w:r>
      <w:r>
        <w:t xml:space="preserve"> </w:t>
      </w:r>
      <w:r>
        <w:t xml:space="preserve">assessing</w:t>
      </w:r>
      <w:r>
        <w:t xml:space="preserve"> </w:t>
      </w:r>
      <w:r>
        <w:t xml:space="preserve">whether</w:t>
      </w:r>
      <w:r>
        <w:t xml:space="preserve"> </w:t>
      </w:r>
      <w:r>
        <w:t xml:space="preserve">DGS</w:t>
      </w:r>
      <w:r>
        <w:t xml:space="preserve"> </w:t>
      </w:r>
      <w:r>
        <w:t xml:space="preserve">financial means are sufficient</w:t>
      </w:r>
      <w:r>
        <w:t xml:space="preserve"> </w:t>
      </w:r>
      <w:r>
        <w:t xml:space="preserve">to cover the maximum amount</w:t>
      </w:r>
      <w:r>
        <w:t xml:space="preserve"> </w:t>
      </w:r>
      <w:r>
        <w:t xml:space="preserve">usable under the LCT.</w:t>
      </w:r>
      <w:r>
        <w:t xml:space="preserve"> </w:t>
      </w:r>
      <w:r>
        <w:t xml:space="preserve">Counterfactual: insolvency</w:t>
      </w:r>
      <w:r>
        <w:t xml:space="preserve"> </w:t>
      </w:r>
      <w:r>
        <w:t xml:space="preserve">haircut 15% of assets</w:t>
      </w:r>
      <w:r>
        <w:t xml:space="preserve"> </w:t>
      </w:r>
      <w:r>
        <w:t xml:space="preserve">Most relevant combined</w:t>
      </w:r>
      <w:r>
        <w:t xml:space="preserve"> </w:t>
      </w:r>
      <w:r>
        <w:t xml:space="preserve">scenarios (CET1 depletion,</w:t>
      </w:r>
      <w:r>
        <w:t xml:space="preserve"> </w:t>
      </w:r>
      <w:r>
        <w:t xml:space="preserve">depositor preference, bail-</w:t>
      </w:r>
      <w:r>
        <w:t xml:space="preserve"> </w:t>
      </w:r>
      <w:r>
        <w:t xml:space="preserve">inable capacity)</w:t>
      </w:r>
      <w:r>
        <w:t xml:space="preserve"> </w:t>
      </w:r>
      <w:r>
        <w:t xml:space="preserve">All banks</w:t>
      </w:r>
      <w:r>
        <w:t xml:space="preserve"> </w:t>
      </w:r>
      <w:r>
        <w:t xml:space="preserve">Resolution</w:t>
      </w:r>
      <w:r>
        <w:t xml:space="preserve"> </w:t>
      </w:r>
      <w:r>
        <w:t xml:space="preserve">entity (solo)</w:t>
      </w:r>
      <w:r>
        <w:t xml:space="preserve"> </w:t>
      </w:r>
      <w:r>
        <w:t xml:space="preserve">level</w:t>
      </w:r>
      <w:r>
        <w:br/>
      </w:r>
      <w:r>
        <w:t xml:space="preserve">The outcome of Step G serves as a basis for comparison with the dynamic assessment based on economic and</w:t>
      </w:r>
      <w:r>
        <w:t xml:space="preserve"> </w:t>
      </w:r>
      <w:r>
        <w:t xml:space="preserve">bank-specific assumptions using SYMBOL (see Step F)</w:t>
      </w:r>
      <w:r>
        <w:t xml:space="preserve"> </w:t>
      </w:r>
      <w:r>
        <w:t xml:space="preserve">H: Dynamic</w:t>
      </w:r>
      <w:r>
        <w:t xml:space="preserve"> </w:t>
      </w:r>
      <w:r>
        <w:t xml:space="preserve">-Hybrid</w:t>
      </w:r>
      <w:r>
        <w:t xml:space="preserve"> </w:t>
      </w:r>
      <w:r>
        <w:t xml:space="preserve">EDIS</w:t>
      </w:r>
      <w:r>
        <w:t xml:space="preserve"> </w:t>
      </w:r>
      <w:r>
        <w:t xml:space="preserve">(model)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Step</w:t>
      </w:r>
      <w:r>
        <w:t xml:space="preserve"> </w:t>
      </w:r>
      <w:r>
        <w:t xml:space="preserve">G</w:t>
      </w:r>
      <w:r>
        <w:t xml:space="preserve"> </w:t>
      </w:r>
      <w:r>
        <w:t xml:space="preserve">assessing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extent</w:t>
      </w:r>
      <w:r>
        <w:t xml:space="preserve"> </w:t>
      </w:r>
      <w:r>
        <w:t xml:space="preserve">hybrid/EDIS models are more</w:t>
      </w:r>
      <w:r>
        <w:t xml:space="preserve"> </w:t>
      </w:r>
      <w:r>
        <w:t xml:space="preserve">efficient than national DGSs</w:t>
      </w:r>
      <w:r>
        <w:t xml:space="preserve"> </w:t>
      </w:r>
      <w:r>
        <w:t xml:space="preserve">to finance banks in resolution</w:t>
      </w:r>
      <w:r>
        <w:t xml:space="preserve"> </w:t>
      </w:r>
      <w:r>
        <w:t xml:space="preserve">and insolvency and the scope</w:t>
      </w:r>
      <w:r>
        <w:t xml:space="preserve"> </w:t>
      </w:r>
      <w:r>
        <w:t xml:space="preserve">for target level reduction.</w:t>
      </w:r>
      <w:r>
        <w:br/>
      </w:r>
      <w:r>
        <w:t xml:space="preserve">Same as E, F and G</w:t>
      </w:r>
      <w:r>
        <w:t xml:space="preserve"> </w:t>
      </w:r>
      <w:r>
        <w:t xml:space="preserve">Three scenarios of hybrid</w:t>
      </w:r>
      <w:r>
        <w:t xml:space="preserve"> </w:t>
      </w:r>
      <w:r>
        <w:t xml:space="preserve">EDIS ambition</w:t>
      </w:r>
    </w:p>
    <w:p>
      <w:pPr>
        <w:pStyle w:val="BodyText"/>
      </w:pPr>
      <w:r>
        <w:t xml:space="preserve">Resolution</w:t>
      </w:r>
      <w:r>
        <w:t xml:space="preserve"> </w:t>
      </w:r>
      <w:r>
        <w:t xml:space="preserve">entity (solo)</w:t>
      </w:r>
      <w:r>
        <w:t xml:space="preserve"> </w:t>
      </w:r>
      <w:r>
        <w:t xml:space="preserve">level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3.</w:t>
      </w:r>
      <w:r>
        <w:t xml:space="preserve"> </w:t>
      </w:r>
      <w:r>
        <w:t xml:space="preserve">CONDITION TO ACCESS THE RF/SRF</w:t>
      </w:r>
      <w:r>
        <w:t xml:space="preserve"> </w:t>
      </w:r>
      <w:r>
        <w:t xml:space="preserve">The objectives of this section are to assess to what extent institutions can access, after a</w:t>
      </w:r>
      <w:r>
        <w:t xml:space="preserve"> </w:t>
      </w:r>
      <w:r>
        <w:t xml:space="preserve">contribution of 8% TLOF through the bail-in of their own funds and eligible liabilities, the</w:t>
      </w:r>
      <w:r>
        <w:t xml:space="preserve"> </w:t>
      </w:r>
      <w:r>
        <w:t xml:space="preserve">RF/SRF, and to analyse to what extent deposits would need to bear losses to reach a level of</w:t>
      </w:r>
      <w:r>
        <w:t xml:space="preserve"> </w:t>
      </w:r>
      <w:r>
        <w:t xml:space="preserve">8% TLOF.</w:t>
      </w:r>
      <w:r>
        <w:br/>
      </w:r>
      <w:r>
        <w:t xml:space="preserve">As underlined previously, the assessment is based on a static statistical approach using</w:t>
      </w:r>
      <w:r>
        <w:t xml:space="preserve"> </w:t>
      </w:r>
      <w:r>
        <w:t xml:space="preserve">predefined loss scenarios (see section 2.3), taking into account cross-dimensional impacts, i.e. </w:t>
      </w:r>
      <w:r>
        <w:t xml:space="preserve"> </w:t>
      </w:r>
      <w:r>
        <w:t xml:space="preserve">the amendments to the creditor hierarchy with respect to depositor preference and the scenarios</w:t>
      </w:r>
      <w:r>
        <w:t xml:space="preserve"> </w:t>
      </w:r>
      <w:r>
        <w:t xml:space="preserve">of bail-inable capacity. It intends to show how many institutions would be able to reach the 8%</w:t>
      </w:r>
      <w:r>
        <w:t xml:space="preserve"> </w:t>
      </w:r>
      <w:r>
        <w:t xml:space="preserve">TLOF threshold, under various scenarios and assumptions.</w:t>
      </w:r>
      <w:r>
        <w:br/>
      </w:r>
      <w:r>
        <w:t xml:space="preserve">Baseline scenario. In a first step, the assessments are based on a baseline scenario:</w:t>
      </w:r>
      <w:r>
        <w:t xml:space="preserve"> </w:t>
      </w:r>
      <w:r>
        <w:t xml:space="preserve">Baseline</w:t>
      </w:r>
      <w:r>
        <w:t xml:space="preserve"> </w:t>
      </w:r>
      <w:r>
        <w:t xml:space="preserve">Scope</w:t>
      </w:r>
      <w:r>
        <w:t xml:space="preserve"> </w:t>
      </w:r>
      <w:r>
        <w:t xml:space="preserve">Loss</w:t>
      </w:r>
      <w:r>
        <w:t xml:space="preserve"> </w:t>
      </w:r>
      <w:r>
        <w:t xml:space="preserve">simulation</w:t>
      </w:r>
      <w:r>
        <w:t xml:space="preserve"> </w:t>
      </w:r>
      <w:r>
        <w:t xml:space="preserve">Loss allocation</w:t>
      </w:r>
      <w:r>
        <w:t xml:space="preserve"> </w:t>
      </w:r>
      <w:r>
        <w:t xml:space="preserve">Creditor</w:t>
      </w:r>
      <w:r>
        <w:t xml:space="preserve"> </w:t>
      </w:r>
      <w:r>
        <w:t xml:space="preserve">hierarchy</w:t>
      </w:r>
      <w:r>
        <w:t xml:space="preserve"> </w:t>
      </w:r>
      <w:r>
        <w:t xml:space="preserve">Bail-inable</w:t>
      </w:r>
      <w:r>
        <w:t xml:space="preserve"> </w:t>
      </w:r>
      <w:r>
        <w:t xml:space="preserve">capacity</w:t>
      </w:r>
      <w:r>
        <w:t xml:space="preserve"> </w:t>
      </w:r>
      <w:r>
        <w:t xml:space="preserve">Statistical</w:t>
      </w:r>
      <w:r>
        <w:t xml:space="preserve"> </w:t>
      </w:r>
      <w:r>
        <w:t xml:space="preserve">approach</w:t>
      </w:r>
      <w:r>
        <w:t xml:space="preserve"> </w:t>
      </w:r>
      <w:r>
        <w:t xml:space="preserve">Resolution</w:t>
      </w:r>
      <w:r>
        <w:t xml:space="preserve"> </w:t>
      </w:r>
      <w:r>
        <w:t xml:space="preserve">entities</w:t>
      </w:r>
      <w:r>
        <w:t xml:space="preserve"> </w:t>
      </w:r>
      <w:r>
        <w:t xml:space="preserve">(irrespective</w:t>
      </w:r>
      <w:r>
        <w:t xml:space="preserve"> </w:t>
      </w:r>
      <w:r>
        <w:t xml:space="preserve">of the</w:t>
      </w:r>
      <w:r>
        <w:t xml:space="preserve"> </w:t>
      </w:r>
      <w:r>
        <w:t xml:space="preserve">strategy)</w:t>
      </w:r>
      <w:r>
        <w:t xml:space="preserve"> </w:t>
      </w:r>
      <w:r>
        <w:t xml:space="preserve">All CET1</w:t>
      </w:r>
      <w:r>
        <w:t xml:space="preserve"> </w:t>
      </w:r>
      <w:r>
        <w:t xml:space="preserve">available</w:t>
      </w:r>
      <w:r>
        <w:t xml:space="preserve"> </w:t>
      </w:r>
      <w:r>
        <w:t xml:space="preserve">Not relevant</w:t>
      </w:r>
      <w:r>
        <w:t xml:space="preserve"> </w:t>
      </w:r>
      <w:r>
        <w:t xml:space="preserve">(simulated losses</w:t>
      </w:r>
      <w:r>
        <w:t xml:space="preserve"> </w:t>
      </w:r>
      <w:r>
        <w:t xml:space="preserve">applied directly on</w:t>
      </w:r>
      <w:r>
        <w:t xml:space="preserve"> </w:t>
      </w:r>
      <w:r>
        <w:t xml:space="preserve">the balance sheet of</w:t>
      </w:r>
      <w:r>
        <w:t xml:space="preserve"> </w:t>
      </w:r>
      <w:r>
        <w:t xml:space="preserve">the resolution</w:t>
      </w:r>
      <w:r>
        <w:t xml:space="preserve"> </w:t>
      </w:r>
      <w:r>
        <w:t xml:space="preserve">entity)</w:t>
      </w:r>
      <w:r>
        <w:t xml:space="preserve"> </w:t>
      </w:r>
      <w:r>
        <w:t xml:space="preserve">Applicable</w:t>
      </w:r>
      <w:r>
        <w:t xml:space="preserve"> </w:t>
      </w:r>
      <w:r>
        <w:t xml:space="preserve">creditor</w:t>
      </w:r>
      <w:r>
        <w:t xml:space="preserve"> </w:t>
      </w:r>
      <w:r>
        <w:t xml:space="preserve">hierarchy in</w:t>
      </w:r>
      <w:r>
        <w:t xml:space="preserve"> </w:t>
      </w:r>
      <w:r>
        <w:t xml:space="preserve">the Member</w:t>
      </w:r>
      <w:r>
        <w:t xml:space="preserve"> </w:t>
      </w:r>
      <w:r>
        <w:t xml:space="preserve">State</w:t>
      </w:r>
      <w:r>
        <w:t xml:space="preserve"> </w:t>
      </w:r>
      <w:r>
        <w:t xml:space="preserve">All bail-inable</w:t>
      </w:r>
      <w:r>
        <w:t xml:space="preserve"> </w:t>
      </w:r>
      <w:r>
        <w:t xml:space="preserve">liabilities</w:t>
      </w:r>
      <w:r>
        <w:t xml:space="preserve"> </w:t>
      </w:r>
      <w:r>
        <w:t xml:space="preserve">(except those</w:t>
      </w:r>
      <w:r>
        <w:t xml:space="preserve"> </w:t>
      </w:r>
      <w:r>
        <w:t xml:space="preserve">with maturity</w:t>
      </w:r>
      <w:r>
        <w:t xml:space="preserve"> </w:t>
      </w:r>
      <w:r>
        <w:t xml:space="preserve">below 1</w:t>
      </w:r>
      <w:r>
        <w:t xml:space="preserve"> </w:t>
      </w:r>
      <w:r>
        <w:t xml:space="preserve">month) with</w:t>
      </w:r>
      <w:r>
        <w:t xml:space="preserve"> </w:t>
      </w:r>
      <w:r>
        <w:t xml:space="preserve">gradual</w:t>
      </w:r>
      <w:r>
        <w:t xml:space="preserve"> </w:t>
      </w:r>
      <w:r>
        <w:t xml:space="preserve">exclusion of</w:t>
      </w:r>
      <w:r>
        <w:t xml:space="preserve"> </w:t>
      </w:r>
      <w:r>
        <w:t xml:space="preserve">deposits</w:t>
      </w:r>
    </w:p>
    <w:p>
      <w:pPr>
        <w:pStyle w:val="BodyText"/>
      </w:pPr>
      <w:r>
        <w:t xml:space="preserve">In a second step, the baseline scenario is further stressed by gradually amending each</w:t>
      </w:r>
      <w:r>
        <w:t xml:space="preserve"> </w:t>
      </w:r>
      <w:r>
        <w:t xml:space="preserve">dimension (level of CET1 depletion, creditor hierarchy and bail-inable capacity), all other</w:t>
      </w:r>
      <w:r>
        <w:t xml:space="preserve"> </w:t>
      </w:r>
      <w:r>
        <w:t xml:space="preserve">things remaining equal. These gradual changes will show the incremental impact of each</w:t>
      </w:r>
      <w:r>
        <w:t xml:space="preserve"> </w:t>
      </w:r>
      <w:r>
        <w:t xml:space="preserve">adjustment against the baseline scenario and allow for explanations on the independent effects</w:t>
      </w:r>
      <w:r>
        <w:t xml:space="preserve"> </w:t>
      </w:r>
      <w:r>
        <w:t xml:space="preserve">of each variable on the ability to reach the 8% TLOF threshold.</w:t>
      </w:r>
      <w:r>
        <w:t xml:space="preserve"> </w:t>
      </w:r>
      <w:r>
        <w:t xml:space="preserve">In a third step, the assessment focuses on several combined scenarios taking into account each</w:t>
      </w:r>
      <w:r>
        <w:t xml:space="preserve"> </w:t>
      </w:r>
      <w:r>
        <w:t xml:space="preserve">dimension in order to test the cumulative impact of such adjustments. Combined scenarios</w:t>
      </w:r>
      <w:r>
        <w:t xml:space="preserve"> </w:t>
      </w:r>
      <w:r>
        <w:t xml:space="preserve">provide a more accurate picture of the likely impact of a package of policy options, beyond the</w:t>
      </w:r>
      <w:r>
        <w:t xml:space="preserve"> </w:t>
      </w:r>
      <w:r>
        <w:t xml:space="preserve">mere incremental effects tested previously. For the sake of simplification, not all possible</w:t>
      </w:r>
      <w:r>
        <w:t xml:space="preserve"> </w:t>
      </w:r>
      <w:r>
        <w:t xml:space="preserve">combinations are represented in this Annex. However, the narrative attached to each section</w:t>
      </w:r>
      <w:r>
        <w:t xml:space="preserve"> </w:t>
      </w:r>
      <w:r>
        <w:t xml:space="preserve">intends to describe the main impacts stemming from further modifications, more or less severe,</w:t>
      </w:r>
      <w:r>
        <w:t xml:space="preserve"> </w:t>
      </w:r>
      <w:r>
        <w:t xml:space="preserve">of the combined scenarios.</w:t>
      </w:r>
      <w:r>
        <w:t xml:space="preserve"> </w:t>
      </w:r>
      <w:r>
        <w:t xml:space="preserve">All assessments include specific breakdowns, by size, strategy and funding structure aimed at</w:t>
      </w:r>
      <w:r>
        <w:t xml:space="preserve"> </w:t>
      </w:r>
      <w:r>
        <w:t xml:space="preserve">providing detailed information of the impact from multiple perspectives.</w:t>
      </w:r>
      <w:r>
        <w:t xml:space="preserve"> </w:t>
      </w:r>
      <w:r>
        <w:t xml:space="preserve">3.1. Composition of the liability structure</w:t>
      </w:r>
      <w:r>
        <w:t xml:space="preserve"> </w:t>
      </w:r>
      <w:r>
        <w:t xml:space="preserve">The liability structure of the institutions in the sample vary substantially, in particular</w:t>
      </w:r>
      <w:r>
        <w:t xml:space="preserve"> </w:t>
      </w:r>
      <w:r>
        <w:t xml:space="preserve">depending on their size and business model. Figure 20 and Table 12 show the breakdown of the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liability structure for the resolution entities covered in the analysis. The results are based on</w:t>
      </w:r>
      <w:r>
        <w:t xml:space="preserve"> </w:t>
      </w:r>
      <w:r>
        <w:t xml:space="preserve">aggregated amounts per instrument type shown as a percentage of aggregated TLOF.</w:t>
      </w:r>
      <w:r>
        <w:br/>
      </w:r>
      <w:r>
        <w:t xml:space="preserve">The proportion of deposits represents 71.2% of the aggregated total liabilities and own funds of</w:t>
      </w:r>
      <w:r>
        <w:t xml:space="preserve"> </w:t>
      </w:r>
      <w:r>
        <w:t xml:space="preserve">the small and non-complex institutions and decreases to 46.5% for the large institutions. This</w:t>
      </w:r>
      <w:r>
        <w:t xml:space="preserve"> </w:t>
      </w:r>
      <w:r>
        <w:t xml:space="preserve">difference is sizeable with respect to covered and non-covered but preferred deposits,</w:t>
      </w:r>
      <w:r>
        <w:t xml:space="preserve"> </w:t>
      </w:r>
      <w:r>
        <w:t xml:space="preserve">highlighting the prevalence of retail-based funding structure for the smallest banks, compared</w:t>
      </w:r>
      <w:r>
        <w:t xml:space="preserve"> </w:t>
      </w:r>
      <w:r>
        <w:t xml:space="preserve">to non-preferred deposits that have a comparable share across the population of banks.</w:t>
      </w:r>
      <w:r>
        <w:br/>
      </w:r>
      <w:r>
        <w:t xml:space="preserve">The composition of own funds also differs based on the size classification. In particular, CET1</w:t>
      </w:r>
      <w:r>
        <w:t xml:space="preserve"> </w:t>
      </w:r>
      <w:r>
        <w:t xml:space="preserve">represents 94% and 73.2% of the own funds for the small and non-complex and the large</w:t>
      </w:r>
      <w:r>
        <w:t xml:space="preserve"> </w:t>
      </w:r>
      <w:r>
        <w:t xml:space="preserve">institutions respectively. The use of other own funds instruments also varies across institutions.</w:t>
      </w:r>
      <w:r>
        <w:t xml:space="preserve"> </w:t>
      </w:r>
      <w:r>
        <w:t xml:space="preserve">AT1 instruments only represent a small share of the small and medium-sized institutions’ total</w:t>
      </w:r>
      <w:r>
        <w:t xml:space="preserve"> </w:t>
      </w:r>
      <w:r>
        <w:t xml:space="preserve">liabilities (0.2%), four times lower than that of large institutions440. Tier 2 instruments also</w:t>
      </w:r>
      <w:r>
        <w:t xml:space="preserve"> </w:t>
      </w:r>
      <w:r>
        <w:t xml:space="preserve">appear more frequently in medium and large institutions than in small ones.</w:t>
      </w:r>
      <w:r>
        <w:t xml:space="preserve"> </w:t>
      </w:r>
      <w:r>
        <w:t xml:space="preserve">Figure 20: Share of deposits in total liabilities and own funds (% based on aggregate</w:t>
      </w:r>
      <w:r>
        <w:t xml:space="preserve"> </w:t>
      </w:r>
      <w:r>
        <w:t xml:space="preserve">amounts)</w:t>
      </w:r>
    </w:p>
    <w:p>
      <w:pPr>
        <w:pStyle w:val="BodyText"/>
      </w:pPr>
      <w:r>
        <w:t xml:space="preserve">Source: Commission services analysis, based on EBA CfA report and SRB data as of Q4 2019.</w:t>
      </w:r>
      <w:r>
        <w:t xml:space="preserve"> </w:t>
      </w:r>
      <w:r>
        <w:t xml:space="preserve">The composition of the liability structure also differs, although to a lesser extent, depending on</w:t>
      </w:r>
      <w:r>
        <w:t xml:space="preserve"> </w:t>
      </w:r>
      <w:r>
        <w:t xml:space="preserve">whether the strategy is resolution or liquidation. On average, institutions earmarked for</w:t>
      </w:r>
      <w:r>
        <w:t xml:space="preserve"> </w:t>
      </w:r>
      <w:r>
        <w:t xml:space="preserve">resolution tend to have a higher share of deposits, in particular non-covered non-preferred in</w:t>
      </w:r>
      <w:r>
        <w:t xml:space="preserve"> </w:t>
      </w:r>
      <w:r>
        <w:t xml:space="preserve">their balance sheet compared to institutions earmarked for liquidation. AT1 and Tier 2</w:t>
      </w:r>
      <w:r>
        <w:t xml:space="preserve"> </w:t>
      </w:r>
      <w:r>
        <w:t xml:space="preserve">instruments also represent a higher proportion of TLOF for banks with resolution strategies.</w:t>
      </w:r>
      <w:r>
        <w:t xml:space="preserve"> </w:t>
      </w:r>
      <w:r>
        <w:t xml:space="preserve">As shown in the following sections, the funding structure has an impact on the ability to reach</w:t>
      </w:r>
      <w:r>
        <w:t xml:space="preserve"> </w:t>
      </w:r>
      <w:r>
        <w:t xml:space="preserve">8% TLOF with or without bailing in deposits, in particular for smaller institutions.</w:t>
      </w:r>
    </w:p>
    <w:p>
      <w:pPr>
        <w:pStyle w:val="BodyText"/>
      </w:pPr>
      <w:r>
        <w:t xml:space="preserve">440 Note: this is consistent with the outcome of the analysis on public issuances of own funds and eligible</w:t>
      </w:r>
      <w:r>
        <w:t xml:space="preserve"> </w:t>
      </w:r>
      <w:r>
        <w:t xml:space="preserve">liabilities, see Annex 13.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Table 12: Composition of the liability structure (resolution entities, % TLOF based on</w:t>
      </w:r>
      <w:r>
        <w:t xml:space="preserve"> </w:t>
      </w:r>
      <w:r>
        <w:t xml:space="preserve">aggregate amounts per category)</w:t>
      </w:r>
      <w:r>
        <w:t xml:space="preserve"> </w:t>
      </w:r>
      <w:r>
        <w:t xml:space="preserve">Type of liability</w:t>
      </w:r>
      <w:r>
        <w:t xml:space="preserve"> </w:t>
      </w:r>
      <w:r>
        <w:t xml:space="preserve">(% of TLOF)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Resolution</w:t>
      </w:r>
      <w:r>
        <w:t xml:space="preserve"> </w:t>
      </w:r>
      <w:r>
        <w:t xml:space="preserve">Liquidation</w:t>
      </w:r>
      <w:r>
        <w:t xml:space="preserve"> </w:t>
      </w:r>
      <w:r>
        <w:t xml:space="preserve">Deposits</w:t>
      </w:r>
      <w:r>
        <w:t xml:space="preserve"> </w:t>
      </w:r>
      <w:r>
        <w:t xml:space="preserve">71.2%</w:t>
      </w:r>
      <w:r>
        <w:t xml:space="preserve"> </w:t>
      </w:r>
      <w:r>
        <w:t xml:space="preserve">57.0%</w:t>
      </w:r>
      <w:r>
        <w:t xml:space="preserve"> </w:t>
      </w:r>
      <w:r>
        <w:t xml:space="preserve">46.5%</w:t>
      </w:r>
    </w:p>
    <w:p>
      <w:pPr>
        <w:pStyle w:val="BodyText"/>
      </w:pPr>
      <w:r>
        <w:t xml:space="preserve">49.9%</w:t>
      </w:r>
      <w:r>
        <w:t xml:space="preserve"> </w:t>
      </w:r>
      <w:r>
        <w:t xml:space="preserve">44.3%</w:t>
      </w:r>
      <w:r>
        <w:t xml:space="preserve"> </w:t>
      </w:r>
      <w:r>
        <w:t xml:space="preserve">-</w:t>
      </w:r>
      <w:r>
        <w:t xml:space="preserve"> </w:t>
      </w:r>
      <w:r>
        <w:t xml:space="preserve">Covered</w:t>
      </w:r>
      <w:r>
        <w:t xml:space="preserve"> </w:t>
      </w:r>
      <w:r>
        <w:t xml:space="preserve">38.5%</w:t>
      </w:r>
      <w:r>
        <w:t xml:space="preserve"> </w:t>
      </w:r>
      <w:r>
        <w:t xml:space="preserve">28.1%</w:t>
      </w:r>
      <w:r>
        <w:t xml:space="preserve"> </w:t>
      </w:r>
      <w:r>
        <w:t xml:space="preserve">19.2%</w:t>
      </w:r>
    </w:p>
    <w:p>
      <w:pPr>
        <w:pStyle w:val="BodyText"/>
      </w:pPr>
      <w:r>
        <w:t xml:space="preserve">21.8%</w:t>
      </w:r>
      <w:r>
        <w:t xml:space="preserve"> </w:t>
      </w:r>
      <w:r>
        <w:t xml:space="preserve">19.3%</w:t>
      </w:r>
      <w:r>
        <w:t xml:space="preserve"> </w:t>
      </w:r>
      <w:r>
        <w:t xml:space="preserve">-</w:t>
      </w:r>
      <w:r>
        <w:t xml:space="preserve"> </w:t>
      </w:r>
      <w:r>
        <w:t xml:space="preserve">Non-covered but preferred</w:t>
      </w:r>
      <w:r>
        <w:t xml:space="preserve"> </w:t>
      </w:r>
      <w:r>
        <w:t xml:space="preserve">13.8%</w:t>
      </w:r>
      <w:r>
        <w:t xml:space="preserve"> </w:t>
      </w:r>
      <w:r>
        <w:t xml:space="preserve">10.5%</w:t>
      </w:r>
      <w:r>
        <w:t xml:space="preserve"> </w:t>
      </w:r>
      <w:r>
        <w:t xml:space="preserve">7.7%</w:t>
      </w:r>
    </w:p>
    <w:p>
      <w:pPr>
        <w:pStyle w:val="BodyText"/>
      </w:pPr>
      <w:r>
        <w:t xml:space="preserve">8.3%</w:t>
      </w:r>
      <w:r>
        <w:t xml:space="preserve"> </w:t>
      </w:r>
      <w:r>
        <w:t xml:space="preserve">9.2%</w:t>
      </w:r>
      <w:r>
        <w:t xml:space="preserve"> </w:t>
      </w:r>
      <w:r>
        <w:t xml:space="preserve">-</w:t>
      </w:r>
      <w:r>
        <w:t xml:space="preserve"> </w:t>
      </w:r>
      <w:r>
        <w:t xml:space="preserve">Non-covered non preferred</w:t>
      </w:r>
      <w:r>
        <w:t xml:space="preserve"> </w:t>
      </w:r>
      <w:r>
        <w:t xml:space="preserve">18.9%</w:t>
      </w:r>
      <w:r>
        <w:t xml:space="preserve"> </w:t>
      </w:r>
      <w:r>
        <w:t xml:space="preserve">18.4%</w:t>
      </w:r>
      <w:r>
        <w:t xml:space="preserve"> </w:t>
      </w:r>
      <w:r>
        <w:t xml:space="preserve">19.7%</w:t>
      </w:r>
    </w:p>
    <w:p>
      <w:pPr>
        <w:pStyle w:val="BodyText"/>
      </w:pPr>
      <w:r>
        <w:t xml:space="preserve">19.8%</w:t>
      </w:r>
      <w:r>
        <w:t xml:space="preserve"> </w:t>
      </w:r>
      <w:r>
        <w:t xml:space="preserve">15.7%</w:t>
      </w:r>
      <w:r>
        <w:t xml:space="preserve"> </w:t>
      </w:r>
      <w:r>
        <w:t xml:space="preserve">Own funds</w:t>
      </w:r>
      <w:r>
        <w:t xml:space="preserve"> </w:t>
      </w:r>
      <w:r>
        <w:t xml:space="preserve">13.2%</w:t>
      </w:r>
      <w:r>
        <w:t xml:space="preserve"> </w:t>
      </w:r>
      <w:r>
        <w:t xml:space="preserve">7.9%</w:t>
      </w:r>
      <w:r>
        <w:t xml:space="preserve"> </w:t>
      </w:r>
      <w:r>
        <w:t xml:space="preserve">8.3%</w:t>
      </w:r>
    </w:p>
    <w:p>
      <w:pPr>
        <w:pStyle w:val="BodyText"/>
      </w:pPr>
      <w:r>
        <w:t xml:space="preserve">8.4%</w:t>
      </w:r>
      <w:r>
        <w:t xml:space="preserve"> </w:t>
      </w:r>
      <w:r>
        <w:t xml:space="preserve">8.1%</w:t>
      </w:r>
      <w:r>
        <w:t xml:space="preserve"> </w:t>
      </w:r>
      <w:r>
        <w:t xml:space="preserve">-</w:t>
      </w:r>
      <w:r>
        <w:t xml:space="preserve"> </w:t>
      </w:r>
      <w:r>
        <w:t xml:space="preserve">Tier 2</w:t>
      </w:r>
      <w:r>
        <w:t xml:space="preserve"> </w:t>
      </w:r>
      <w:r>
        <w:t xml:space="preserve">0.6%</w:t>
      </w:r>
      <w:r>
        <w:t xml:space="preserve"> </w:t>
      </w:r>
      <w:r>
        <w:t xml:space="preserve">1.0%</w:t>
      </w:r>
      <w:r>
        <w:t xml:space="preserve"> </w:t>
      </w:r>
      <w:r>
        <w:t xml:space="preserve">1.5%</w:t>
      </w:r>
    </w:p>
    <w:p>
      <w:pPr>
        <w:pStyle w:val="BodyText"/>
      </w:pPr>
      <w:r>
        <w:t xml:space="preserve">1.4%</w:t>
      </w:r>
      <w:r>
        <w:t xml:space="preserve"> </w:t>
      </w:r>
      <w:r>
        <w:t xml:space="preserve">0.9%</w:t>
      </w:r>
      <w:r>
        <w:t xml:space="preserve"> </w:t>
      </w:r>
      <w:r>
        <w:t xml:space="preserve">-</w:t>
      </w:r>
      <w:r>
        <w:t xml:space="preserve"> </w:t>
      </w:r>
      <w:r>
        <w:t xml:space="preserve">AT1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0.8%</w:t>
      </w:r>
    </w:p>
    <w:p>
      <w:pPr>
        <w:pStyle w:val="BodyText"/>
      </w:pPr>
      <w:r>
        <w:t xml:space="preserve">0.7%</w:t>
      </w:r>
      <w:r>
        <w:t xml:space="preserve"> </w:t>
      </w:r>
      <w:r>
        <w:t xml:space="preserve">0.2%</w:t>
      </w:r>
      <w:r>
        <w:t xml:space="preserve"> </w:t>
      </w:r>
      <w:r>
        <w:t xml:space="preserve">-</w:t>
      </w:r>
      <w:r>
        <w:t xml:space="preserve"> </w:t>
      </w:r>
      <w:r>
        <w:t xml:space="preserve">CET1</w:t>
      </w:r>
      <w:r>
        <w:t xml:space="preserve"> </w:t>
      </w:r>
      <w:r>
        <w:t xml:space="preserve">12.4%</w:t>
      </w:r>
      <w:r>
        <w:t xml:space="preserve"> </w:t>
      </w:r>
      <w:r>
        <w:t xml:space="preserve">6.6%</w:t>
      </w:r>
      <w:r>
        <w:t xml:space="preserve"> </w:t>
      </w:r>
      <w:r>
        <w:t xml:space="preserve">6.1%</w:t>
      </w:r>
    </w:p>
    <w:p>
      <w:pPr>
        <w:pStyle w:val="BodyText"/>
      </w:pPr>
      <w:r>
        <w:t xml:space="preserve">6.3%</w:t>
      </w:r>
      <w:r>
        <w:t xml:space="preserve"> </w:t>
      </w:r>
      <w:r>
        <w:t xml:space="preserve">6.9%</w:t>
      </w:r>
      <w:r>
        <w:t xml:space="preserve"> </w:t>
      </w:r>
      <w:r>
        <w:t xml:space="preserve">Other liabilities</w:t>
      </w:r>
      <w:r>
        <w:t xml:space="preserve"> </w:t>
      </w:r>
      <w:r>
        <w:t xml:space="preserve">15.6%</w:t>
      </w:r>
      <w:r>
        <w:t xml:space="preserve"> </w:t>
      </w:r>
      <w:r>
        <w:t xml:space="preserve">35.2%</w:t>
      </w:r>
      <w:r>
        <w:t xml:space="preserve"> </w:t>
      </w:r>
      <w:r>
        <w:t xml:space="preserve">45.1%</w:t>
      </w:r>
    </w:p>
    <w:p>
      <w:pPr>
        <w:pStyle w:val="BodyText"/>
      </w:pPr>
      <w:r>
        <w:t xml:space="preserve">41.7%</w:t>
      </w:r>
      <w:r>
        <w:t xml:space="preserve"> </w:t>
      </w:r>
      <w:r>
        <w:t xml:space="preserve">47.6%</w:t>
      </w:r>
      <w:r>
        <w:t xml:space="preserve"> </w:t>
      </w:r>
      <w:r>
        <w:t xml:space="preserve">Total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</w:p>
    <w:p>
      <w:pPr>
        <w:pStyle w:val="BodyText"/>
      </w:pP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Commission services analysis, based on EBA CfA report and SRB data as of Q4 2019.</w:t>
      </w:r>
      <w:r>
        <w:t xml:space="preserve"> </w:t>
      </w:r>
      <w:r>
        <w:t xml:space="preserve">3.2. Reaching 8% TLOF - Outcome of the statistical approach (Steps A and B)</w:t>
      </w:r>
      <w:r>
        <w:t xml:space="preserve"> </w:t>
      </w:r>
      <w:r>
        <w:t xml:space="preserve">3.2.1. Baseline</w:t>
      </w:r>
      <w:r>
        <w:t xml:space="preserve"> </w:t>
      </w:r>
      <w:r>
        <w:t xml:space="preserve">Table 13 shows, in aggregate, the ability of institutions to reach the 8% TLOF threshold under</w:t>
      </w:r>
      <w:r>
        <w:t xml:space="preserve"> </w:t>
      </w:r>
      <w:r>
        <w:t xml:space="preserve">the baseline scenario (i.e. no CET1 depletion, assuming the applicable creditor hierarchy in</w:t>
      </w:r>
      <w:r>
        <w:t xml:space="preserve"> </w:t>
      </w:r>
      <w:r>
        <w:t xml:space="preserve">each Member State and the use of the entire bail-inable capacity except liabilities with maturity</w:t>
      </w:r>
      <w:r>
        <w:t xml:space="preserve"> </w:t>
      </w:r>
      <w:r>
        <w:t xml:space="preserve">shorter than one month). Since the resolution strategy (resolution versus liquidation) of each</w:t>
      </w:r>
      <w:r>
        <w:t xml:space="preserve"> </w:t>
      </w:r>
      <w:r>
        <w:t xml:space="preserve">bank is based on past PIA decisions as of Q4 2019, and in view of the policy intention to</w:t>
      </w:r>
      <w:r>
        <w:t xml:space="preserve"> </w:t>
      </w:r>
      <w:r>
        <w:t xml:space="preserve">expand the PIA to a larger number of smaller/medium-sized banks441, the presentation of the</w:t>
      </w:r>
      <w:r>
        <w:t xml:space="preserve"> </w:t>
      </w:r>
      <w:r>
        <w:t xml:space="preserve">results is covering both perimeters: the whole sample (parent level or point of entry entities442),</w:t>
      </w:r>
      <w:r>
        <w:t xml:space="preserve"> </w:t>
      </w:r>
      <w:r>
        <w:t xml:space="preserve">irrespective of the current strategy (resolution or liquidation) and only banks with resolution</w:t>
      </w:r>
      <w:r>
        <w:t xml:space="preserve"> </w:t>
      </w:r>
      <w:r>
        <w:t xml:space="preserve">strategies.</w:t>
      </w:r>
      <w:r>
        <w:br/>
      </w:r>
      <w:r>
        <w:t xml:space="preserve">Summary assessment – Baseline</w:t>
      </w:r>
      <w:r>
        <w:t xml:space="preserve"> </w:t>
      </w:r>
      <w:r>
        <w:t xml:space="preserve">When considering no CET1 equity depletion under the baseline scenario of depositor</w:t>
      </w:r>
      <w:r>
        <w:t xml:space="preserve"> </w:t>
      </w:r>
      <w:r>
        <w:t xml:space="preserve">preference (status quo), the majority of banks in the sample would be able to reach</w:t>
      </w:r>
      <w:r>
        <w:t xml:space="preserve"> </w:t>
      </w:r>
      <w:r>
        <w:t xml:space="preserve">8% TLOF in order to access the RF/SRF without imposing losses on any types of</w:t>
      </w:r>
      <w:r>
        <w:t xml:space="preserve"> </w:t>
      </w:r>
      <w:r>
        <w:t xml:space="preserve">deposits. However, deposits in 96 banks (26.1%) located in 20 Member States would</w:t>
      </w:r>
      <w:r>
        <w:t xml:space="preserve"> </w:t>
      </w:r>
      <w:r>
        <w:t xml:space="preserve">suffer losses when reaching the 8% TLOF threshold, up to an aggregate amount of</w:t>
      </w:r>
      <w:r>
        <w:t xml:space="preserve"> </w:t>
      </w:r>
      <w:r>
        <w:t xml:space="preserve">EUR 18.3 bn. In three Member States, deposits in more than half of the banks in the</w:t>
      </w:r>
      <w:r>
        <w:t xml:space="preserve"> </w:t>
      </w:r>
      <w:r>
        <w:t xml:space="preserve">sample would be affected. When only institutions with resolution strategies under the</w:t>
      </w:r>
      <w:r>
        <w:t xml:space="preserve"> </w:t>
      </w:r>
      <w:r>
        <w:t xml:space="preserve">2019 PIA decision are considered, deposits in 44 banks would be affected, up to an</w:t>
      </w:r>
      <w:r>
        <w:t xml:space="preserve"> </w:t>
      </w:r>
      <w:r>
        <w:t xml:space="preserve">aggregate amount of EUR 14.2 bn in 18 Member States.</w:t>
      </w:r>
    </w:p>
    <w:p>
      <w:pPr>
        <w:pStyle w:val="BodyText"/>
      </w:pPr>
      <w:r>
        <w:t xml:space="preserve">441 See policy options on broadening the PIA in Chapter 6.</w:t>
      </w:r>
      <w:r>
        <w:t xml:space="preserve"> </w:t>
      </w:r>
      <w:r>
        <w:t xml:space="preserve">442 The sample of institutions referred to consists of so-called “point of entry” or parent level institutions,</w:t>
      </w:r>
      <w:r>
        <w:t xml:space="preserve"> </w:t>
      </w:r>
      <w:r>
        <w:t xml:space="preserve">irrespective whether they have strategy resolution or liquidation (i.e. excluding subsidiaries).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Detailed analysis</w:t>
      </w:r>
      <w:r>
        <w:t xml:space="preserve"> </w:t>
      </w:r>
      <w:r>
        <w:t xml:space="preserve">The analysis under the baseline scenario shows that overall, out of 368 banks in the sample,</w:t>
      </w:r>
      <w:r>
        <w:t xml:space="preserve"> </w:t>
      </w:r>
      <w:r>
        <w:t xml:space="preserve">272 banks (73.9%) would be able to reach 8% TLOF without impacting deposits (non-</w:t>
      </w:r>
      <w:r>
        <w:t xml:space="preserve"> </w:t>
      </w:r>
      <w:r>
        <w:t xml:space="preserve">preferred, preferred and covered) when all equity is taken into account under the baseline</w:t>
      </w:r>
      <w:r>
        <w:t xml:space="preserve"> </w:t>
      </w:r>
      <w:r>
        <w:t xml:space="preserve">creditor hierarchy (54.4% of these banks are small, 30.5% are medium-sized and 15.1% large).</w:t>
      </w:r>
      <w:r>
        <w:t xml:space="preserve"> </w:t>
      </w:r>
      <w:r>
        <w:t xml:space="preserve">The share of banks with resolution strategies as per the 2019 PIA decisions out of the total</w:t>
      </w:r>
      <w:r>
        <w:t xml:space="preserve"> </w:t>
      </w:r>
      <w:r>
        <w:t xml:space="preserve">sample is 187 (50.8%). Deposits would bear losses to reach 8% TLOF in 96 banks representing</w:t>
      </w:r>
      <w:r>
        <w:t xml:space="preserve"> </w:t>
      </w:r>
      <w:r>
        <w:t xml:space="preserve">26.1% of the sample (44 banks with resolution strategy, representing 23.5% of that sample).</w:t>
      </w:r>
      <w:r>
        <w:br/>
      </w:r>
      <w:r>
        <w:t xml:space="preserve">In terms of geographical distribution, all banks in six Member States can reach 8% TLOF</w:t>
      </w:r>
      <w:r>
        <w:t xml:space="preserve"> </w:t>
      </w:r>
      <w:r>
        <w:t xml:space="preserve">without affecting deposits, while more than half of the banks in three Member States would</w:t>
      </w:r>
      <w:r>
        <w:t xml:space="preserve"> </w:t>
      </w:r>
      <w:r>
        <w:t xml:space="preserve">require the bail-in of deposits in order to reach 8% TLOF. When focusing on the size of banks,</w:t>
      </w:r>
      <w:r>
        <w:t xml:space="preserve"> </w:t>
      </w:r>
      <w:r>
        <w:t xml:space="preserve">deposits would bear losses when reaching 8% TLOF in 41 medium sized banks (of which 29</w:t>
      </w:r>
      <w:r>
        <w:t xml:space="preserve"> </w:t>
      </w:r>
      <w:r>
        <w:t xml:space="preserve">with resolution strategy) and 47 small banks (of which 10 with resolution strategy). Five banks</w:t>
      </w:r>
      <w:r>
        <w:t xml:space="preserve"> </w:t>
      </w:r>
      <w:r>
        <w:t xml:space="preserve">(of which two with resolution strategy) would not be able to reach the threshold at all.</w:t>
      </w:r>
      <w:r>
        <w:t xml:space="preserve"> </w:t>
      </w:r>
      <w:r>
        <w:t xml:space="preserve">In terms of materiality, approximately EUR 18.3 bn deposits would be impacted based on the</w:t>
      </w:r>
      <w:r>
        <w:t xml:space="preserve"> </w:t>
      </w:r>
      <w:r>
        <w:t xml:space="preserve">entire sample (EUR 14.2 bn for banks with resolution strategies). The impacted non-preferred</w:t>
      </w:r>
      <w:r>
        <w:t xml:space="preserve"> </w:t>
      </w:r>
      <w:r>
        <w:t xml:space="preserve">deposits represent EUR 14.2 bn or 1.3% TLOF for all medium-sized banks (EUR 11.6 bn or</w:t>
      </w:r>
      <w:r>
        <w:t xml:space="preserve"> </w:t>
      </w:r>
      <w:r>
        <w:t xml:space="preserve">1.3% TLOF for resolution strategies only) and EUR 0.8 bn or 1.5% TLOF for small banks</w:t>
      </w:r>
      <w:r>
        <w:t xml:space="preserve"> </w:t>
      </w:r>
      <w:r>
        <w:t xml:space="preserve">(EUR 0.2 bn or 1.1% TLOF for resolution strategies only). Expressed differently, the total</w:t>
      </w:r>
      <w:r>
        <w:t xml:space="preserve"> </w:t>
      </w:r>
      <w:r>
        <w:t xml:space="preserve">amount of deposits impacted when reaching 8% TLOF represent 0.7% of covered deposits for</w:t>
      </w:r>
      <w:r>
        <w:t xml:space="preserve"> </w:t>
      </w:r>
      <w:r>
        <w:t xml:space="preserve">all banks, the largest impact observed for medium banks (0.6%).</w:t>
      </w:r>
      <w:r>
        <w:br/>
      </w:r>
      <w:r>
        <w:t xml:space="preserve">Table 13: Reaching 8% TLOF – Baseline</w:t>
      </w:r>
    </w:p>
    <w:p>
      <w:pPr>
        <w:pStyle w:val="Compact"/>
        <w:numPr>
          <w:ilvl w:val="0"/>
          <w:numId w:val="1031"/>
        </w:numPr>
      </w:pPr>
      <w:r>
        <w:t xml:space="preserve">Institutions</w:t>
      </w:r>
      <w:r>
        <w:t xml:space="preserve"> </w:t>
      </w:r>
      <w:r>
        <w:t xml:space="preserve">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 non-</w:t>
      </w:r>
      <w:r>
        <w:t xml:space="preserve"> </w:t>
      </w:r>
      <w:r>
        <w:t xml:space="preserve">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preferred non-</w:t>
      </w:r>
      <w:r>
        <w:t xml:space="preserve"> </w:t>
      </w:r>
      <w:r>
        <w:t xml:space="preserve">covered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</w:t>
      </w:r>
      <w:r>
        <w:t xml:space="preserve"> </w:t>
      </w:r>
      <w:r>
        <w:t xml:space="preserve">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deposits and</w:t>
      </w:r>
      <w:r>
        <w:t xml:space="preserve"> </w:t>
      </w:r>
      <w:r>
        <w:t xml:space="preserve">additional amount</w:t>
      </w:r>
      <w:r>
        <w:t xml:space="preserve"> </w:t>
      </w:r>
      <w:r>
        <w:t xml:space="preserve">required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148</w:t>
      </w:r>
      <w:r>
        <w:t xml:space="preserve"> </w:t>
      </w:r>
      <w:r>
        <w:t xml:space="preserve">38</w:t>
      </w:r>
      <w:r>
        <w:t xml:space="preserve"> </w:t>
      </w:r>
      <w:r>
        <w:t xml:space="preserve">1.48%</w:t>
      </w:r>
      <w:r>
        <w:t xml:space="preserve"> </w:t>
      </w:r>
      <w:r>
        <w:t xml:space="preserve">7</w:t>
      </w:r>
      <w:r>
        <w:t xml:space="preserve"> </w:t>
      </w:r>
      <w:r>
        <w:t xml:space="preserve">1.99%</w:t>
      </w:r>
      <w:r>
        <w:t xml:space="preserve"> </w:t>
      </w:r>
      <w:r>
        <w:t xml:space="preserve">1</w:t>
      </w:r>
      <w:r>
        <w:t xml:space="preserve"> </w:t>
      </w:r>
      <w:r>
        <w:t xml:space="preserve">1.06%</w:t>
      </w:r>
      <w:r>
        <w:t xml:space="preserve"> </w:t>
      </w:r>
      <w:r>
        <w:t xml:space="preserve">1</w:t>
      </w:r>
      <w:r>
        <w:t xml:space="preserve"> </w:t>
      </w:r>
      <w:r>
        <w:t xml:space="preserve">0.38%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83</w:t>
      </w:r>
      <w:r>
        <w:t xml:space="preserve"> </w:t>
      </w:r>
      <w:r>
        <w:t xml:space="preserve">37</w:t>
      </w:r>
      <w:r>
        <w:t xml:space="preserve"> </w:t>
      </w:r>
      <w:r>
        <w:t xml:space="preserve">1.30%</w:t>
      </w:r>
      <w:r>
        <w:t xml:space="preserve"> </w:t>
      </w:r>
      <w:r>
        <w:t xml:space="preserve">1</w:t>
      </w:r>
      <w:r>
        <w:t xml:space="preserve"> </w:t>
      </w:r>
      <w:r>
        <w:t xml:space="preserve">1.94%</w:t>
      </w:r>
      <w:r>
        <w:t xml:space="preserve"> </w:t>
      </w:r>
      <w:r>
        <w:t xml:space="preserve">1</w:t>
      </w:r>
      <w:r>
        <w:t xml:space="preserve"> </w:t>
      </w:r>
      <w:r>
        <w:t xml:space="preserve">4.45%</w:t>
      </w:r>
      <w:r>
        <w:t xml:space="preserve"> </w:t>
      </w:r>
      <w:r>
        <w:t xml:space="preserve">2</w:t>
      </w:r>
      <w:r>
        <w:t xml:space="preserve"> </w:t>
      </w:r>
      <w:r>
        <w:t xml:space="preserve">0.46%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41</w:t>
      </w:r>
      <w:r>
        <w:t xml:space="preserve"> </w:t>
      </w:r>
      <w:r>
        <w:t xml:space="preserve">6</w:t>
      </w:r>
      <w:r>
        <w:t xml:space="preserve"> </w:t>
      </w:r>
      <w:r>
        <w:t xml:space="preserve">0.14%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0.24%</w:t>
      </w:r>
    </w:p>
    <w:p>
      <w:pPr>
        <w:pStyle w:val="FirstParagraph"/>
      </w:pP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143</w:t>
      </w:r>
      <w:r>
        <w:t xml:space="preserve"> </w:t>
      </w:r>
      <w:r>
        <w:t xml:space="preserve">39</w:t>
      </w:r>
      <w:r>
        <w:t xml:space="preserve"> </w:t>
      </w:r>
      <w:r>
        <w:t xml:space="preserve">0.57%</w:t>
      </w:r>
      <w:r>
        <w:t xml:space="preserve"> </w:t>
      </w:r>
      <w:r>
        <w:t xml:space="preserve">1</w:t>
      </w:r>
      <w:r>
        <w:t xml:space="preserve"> </w:t>
      </w:r>
      <w:r>
        <w:t xml:space="preserve">1.93%</w:t>
      </w:r>
      <w:r>
        <w:t xml:space="preserve"> </w:t>
      </w:r>
      <w:r>
        <w:t xml:space="preserve">2</w:t>
      </w:r>
      <w:r>
        <w:t xml:space="preserve"> </w:t>
      </w:r>
      <w:r>
        <w:t xml:space="preserve">4.35%</w:t>
      </w:r>
      <w:r>
        <w:t xml:space="preserve"> </w:t>
      </w:r>
      <w:r>
        <w:t xml:space="preserve">2</w:t>
      </w:r>
      <w:r>
        <w:t xml:space="preserve"> </w:t>
      </w:r>
      <w:r>
        <w:t xml:space="preserve">0.31%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129</w:t>
      </w:r>
      <w:r>
        <w:t xml:space="preserve"> </w:t>
      </w:r>
      <w:r>
        <w:t xml:space="preserve">42</w:t>
      </w:r>
      <w:r>
        <w:t xml:space="preserve"> </w:t>
      </w:r>
      <w:r>
        <w:t xml:space="preserve">0.98%</w:t>
      </w:r>
      <w:r>
        <w:t xml:space="preserve"> </w:t>
      </w:r>
      <w:r>
        <w:t xml:space="preserve">7</w:t>
      </w:r>
      <w:r>
        <w:t xml:space="preserve"> </w:t>
      </w:r>
      <w:r>
        <w:t xml:space="preserve">2.02%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3</w:t>
      </w:r>
      <w:r>
        <w:t xml:space="preserve"> </w:t>
      </w:r>
      <w:r>
        <w:t xml:space="preserve">0.37%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86</w:t>
      </w:r>
      <w:r>
        <w:t xml:space="preserve"> </w:t>
      </w:r>
      <w:r>
        <w:t xml:space="preserve">15</w:t>
      </w:r>
      <w:r>
        <w:t xml:space="preserve"> </w:t>
      </w:r>
      <w:r>
        <w:t xml:space="preserve">0.47%</w:t>
      </w:r>
      <w:r>
        <w:t xml:space="preserve"> </w:t>
      </w:r>
      <w:r>
        <w:t xml:space="preserve">1</w:t>
      </w:r>
      <w:r>
        <w:t xml:space="preserve"> </w:t>
      </w:r>
      <w:r>
        <w:t xml:space="preserve">1.93%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5</w:t>
      </w:r>
      <w:r>
        <w:t xml:space="preserve"> </w:t>
      </w:r>
      <w:r>
        <w:t xml:space="preserve">0.34%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32</w:t>
      </w:r>
      <w:r>
        <w:t xml:space="preserve"> </w:t>
      </w:r>
      <w:r>
        <w:t xml:space="preserve">12</w:t>
      </w:r>
      <w:r>
        <w:t xml:space="preserve"> </w:t>
      </w:r>
      <w:r>
        <w:t xml:space="preserve">0.66%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52</w:t>
      </w:r>
      <w:r>
        <w:t xml:space="preserve"> </w:t>
      </w:r>
      <w:r>
        <w:t xml:space="preserve">11</w:t>
      </w:r>
      <w:r>
        <w:t xml:space="preserve"> </w:t>
      </w:r>
      <w:r>
        <w:t xml:space="preserve">0.58%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102</w:t>
      </w:r>
      <w:r>
        <w:t xml:space="preserve"> </w:t>
      </w:r>
      <w:r>
        <w:t xml:space="preserve">43</w:t>
      </w:r>
      <w:r>
        <w:t xml:space="preserve"> </w:t>
      </w:r>
      <w:r>
        <w:t xml:space="preserve">1.66%</w:t>
      </w:r>
      <w:r>
        <w:t xml:space="preserve"> </w:t>
      </w:r>
      <w:r>
        <w:t xml:space="preserve">7</w:t>
      </w:r>
      <w:r>
        <w:t xml:space="preserve"> </w:t>
      </w:r>
      <w:r>
        <w:t xml:space="preserve">1.96%</w:t>
      </w:r>
      <w:r>
        <w:t xml:space="preserve"> </w:t>
      </w:r>
      <w:r>
        <w:t xml:space="preserve">2</w:t>
      </w:r>
      <w:r>
        <w:t xml:space="preserve"> </w:t>
      </w:r>
      <w:r>
        <w:t xml:space="preserve">4.35%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272</w:t>
      </w:r>
      <w:r>
        <w:t xml:space="preserve"> </w:t>
      </w:r>
      <w:r>
        <w:t xml:space="preserve">81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Source: Commission services analysis, based on EBA CfA report and SRB data as of Q4 2019.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Figure 21 shows the outcome of the baseline scenario when considering additional granularity.</w:t>
      </w:r>
      <w:r>
        <w:t xml:space="preserve"> </w:t>
      </w:r>
      <w:r>
        <w:t xml:space="preserve">Among institutions earmarked for resolution, 82% and 67% of small and medium banks</w:t>
      </w:r>
      <w:r>
        <w:t xml:space="preserve"> </w:t>
      </w:r>
      <w:r>
        <w:t xml:space="preserve">respectively would reach 8% TLOF without bailing-in deposits. This proportion rises to 98%</w:t>
      </w:r>
      <w:r>
        <w:t xml:space="preserve"> </w:t>
      </w:r>
      <w:r>
        <w:t xml:space="preserve">and 97% when non-preferred deposits are affected, leaving a residual number of banks for</w:t>
      </w:r>
      <w:r>
        <w:t xml:space="preserve"> </w:t>
      </w:r>
      <w:r>
        <w:t xml:space="preserve">which more senior forms of deposits would have to be bailed-in to reach the 8% TLOF</w:t>
      </w:r>
      <w:r>
        <w:t xml:space="preserve"> </w:t>
      </w:r>
      <w:r>
        <w:t xml:space="preserve">threshold.</w:t>
      </w:r>
      <w:r>
        <w:br/>
      </w:r>
      <w:r>
        <w:t xml:space="preserve">The proportions are slightly lower for small banks and stable for medium-sized banks</w:t>
      </w:r>
      <w:r>
        <w:t xml:space="preserve"> </w:t>
      </w:r>
      <w:r>
        <w:t xml:space="preserve">earmarked for liquidation443. In particular, 5% of these small institutions would need preferred</w:t>
      </w:r>
      <w:r>
        <w:t xml:space="preserve"> </w:t>
      </w:r>
      <w:r>
        <w:t xml:space="preserve">deposits to reach the threshold, and one medium-sized institution (out of 37) would not reach</w:t>
      </w:r>
      <w:r>
        <w:t xml:space="preserve"> </w:t>
      </w:r>
      <w:r>
        <w:t xml:space="preserve">the level of 8% TLOF even including covered deposits. Only 40% of the few large banks</w:t>
      </w:r>
      <w:r>
        <w:t xml:space="preserve"> </w:t>
      </w:r>
      <w:r>
        <w:t xml:space="preserve">earmarked for liquidation would access 8% TLOF without deposits.</w:t>
      </w:r>
      <w:r>
        <w:t xml:space="preserve"> </w:t>
      </w:r>
      <w:r>
        <w:t xml:space="preserve">In terms of funding structure, institutions going in resolution tend to have a similar proportion</w:t>
      </w:r>
      <w:r>
        <w:t xml:space="preserve"> </w:t>
      </w:r>
      <w:r>
        <w:t xml:space="preserve">for accessing 8% TLOF without deposits, ranging between 79% and 80%, except for the</w:t>
      </w:r>
      <w:r>
        <w:t xml:space="preserve"> </w:t>
      </w:r>
      <w:r>
        <w:t xml:space="preserve">category with the highest prevalence of deposits (i.e. deposits accounting for more than 80% of</w:t>
      </w:r>
      <w:r>
        <w:t xml:space="preserve"> </w:t>
      </w:r>
      <w:r>
        <w:t xml:space="preserve">TLOF), where this proportion falls to 70%. Covered deposits would be impacted by losses in</w:t>
      </w:r>
      <w:r>
        <w:t xml:space="preserve"> </w:t>
      </w:r>
      <w:r>
        <w:t xml:space="preserve">3% of the cases with a high deposit prevalence. The proportions vary more significantly for</w:t>
      </w:r>
      <w:r>
        <w:t xml:space="preserve"> </w:t>
      </w:r>
      <w:r>
        <w:t xml:space="preserve">institutions earmarked for liquidation, where 82% to 88% of the banks with a low or mid-high</w:t>
      </w:r>
      <w:r>
        <w:t xml:space="preserve"> </w:t>
      </w:r>
      <w:r>
        <w:t xml:space="preserve">prevalence of deposits, compared to 63% and 64% for banks with a mid and high proportion of</w:t>
      </w:r>
      <w:r>
        <w:t xml:space="preserve"> </w:t>
      </w:r>
      <w:r>
        <w:t xml:space="preserve">deposits in their balance sheet.</w:t>
      </w:r>
      <w:r>
        <w:br/>
      </w:r>
      <w:r>
        <w:t xml:space="preserve">Figure 21: Reaching 8% TLOF – Baseline (granular), in function of depositor prevalence444</w:t>
      </w:r>
    </w:p>
    <w:p>
      <w:pPr>
        <w:pStyle w:val="BodyText"/>
      </w:pPr>
      <w:r>
        <w:t xml:space="preserve">Source: Commission services analysis, based on EBA CfA report and SRB data as of Q4 2019.</w:t>
      </w:r>
    </w:p>
    <w:p>
      <w:pPr>
        <w:pStyle w:val="BodyText"/>
      </w:pPr>
      <w:r>
        <w:t xml:space="preserve">443 Presenting also results for banks with liquidation strategy may be relevant in case the PIA would be</w:t>
      </w:r>
      <w:r>
        <w:t xml:space="preserve"> </w:t>
      </w:r>
      <w:r>
        <w:t xml:space="preserve">broadened.</w:t>
      </w:r>
      <w:r>
        <w:br/>
      </w:r>
      <w:r>
        <w:t xml:space="preserve">444 See section 2.3 of this Annex for details on the categories of banks in function of deposit prevalence.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3.2.2. Baseline versus more severe CET1 depletion scenarios</w:t>
      </w:r>
      <w:r>
        <w:t xml:space="preserve"> </w:t>
      </w:r>
      <w:r>
        <w:t xml:space="preserve">The Table 14 shows the ability of institutions to reach the 8% TLOF threshold under various</w:t>
      </w:r>
      <w:r>
        <w:t xml:space="preserve"> </w:t>
      </w:r>
      <w:r>
        <w:t xml:space="preserve">scenarios of losses in line with the CET1 depletion assumptions described in section 2.3. All</w:t>
      </w:r>
      <w:r>
        <w:t xml:space="preserve"> </w:t>
      </w:r>
      <w:r>
        <w:t xml:space="preserve">other dimensions remain as per the baseline scenario.</w:t>
      </w:r>
      <w:r>
        <w:t xml:space="preserve"> </w:t>
      </w:r>
      <w:r>
        <w:t xml:space="preserve">Summary assessment – Baseline versus more severe CET1 depletion scenarios</w:t>
      </w:r>
      <w:r>
        <w:t xml:space="preserve"> </w:t>
      </w:r>
      <w:r>
        <w:t xml:space="preserve">As a general observation, increasing the severity of CET1 equity depletion, while</w:t>
      </w:r>
      <w:r>
        <w:t xml:space="preserve"> </w:t>
      </w:r>
      <w:r>
        <w:t xml:space="preserve">retaining the baseline scenario of depositor preference (status quo), triggers a</w:t>
      </w:r>
      <w:r>
        <w:t xml:space="preserve"> </w:t>
      </w:r>
      <w:r>
        <w:t xml:space="preserve">significant increase in the number of banks where deposits would need to be bailed-in</w:t>
      </w:r>
      <w:r>
        <w:t xml:space="preserve"> </w:t>
      </w:r>
      <w:r>
        <w:t xml:space="preserve">to reach 8% TLOF and in the amounts of affected deposits.</w:t>
      </w:r>
      <w:r>
        <w:br/>
      </w:r>
      <w:r>
        <w:t xml:space="preserve">In particular, the number of banks where deposits would be affected would increase</w:t>
      </w:r>
      <w:r>
        <w:t xml:space="preserve"> </w:t>
      </w:r>
      <w:r>
        <w:t xml:space="preserve">from 96 with an aggregate EUR 18.3 bn affected deposits (44 banks with resolution</w:t>
      </w:r>
      <w:r>
        <w:t xml:space="preserve"> </w:t>
      </w:r>
      <w:r>
        <w:t xml:space="preserve">strategy and an aggregate EUR 14.2 bn affected deposits) under the baseline to 246</w:t>
      </w:r>
      <w:r>
        <w:t xml:space="preserve"> </w:t>
      </w:r>
      <w:r>
        <w:t xml:space="preserve">banks with an aggregate EUR 83.1 bn affected deposits (117 banks with resolution</w:t>
      </w:r>
      <w:r>
        <w:t xml:space="preserve"> </w:t>
      </w:r>
      <w:r>
        <w:t xml:space="preserve">strategy and an aggregate EUR 71.6 bn affected deposits) under the next more severe</w:t>
      </w:r>
      <w:r>
        <w:t xml:space="preserve"> </w:t>
      </w:r>
      <w:r>
        <w:t xml:space="preserve">CET1 depletion scenario assuming 75% depletion of buffers. For more severe</w:t>
      </w:r>
      <w:r>
        <w:t xml:space="preserve"> </w:t>
      </w:r>
      <w:r>
        <w:t xml:space="preserve">depletion scenarios, the impact is more significant.</w:t>
      </w:r>
      <w:r>
        <w:br/>
      </w:r>
      <w:r>
        <w:t xml:space="preserve">While the bulk of affected deposits are non-preferred deposits, covered deposits</w:t>
      </w:r>
      <w:r>
        <w:t xml:space="preserve"> </w:t>
      </w:r>
      <w:r>
        <w:t xml:space="preserve">would also be more affected as the severity of the equity depletion scenarios</w:t>
      </w:r>
      <w:r>
        <w:t xml:space="preserve"> </w:t>
      </w:r>
      <w:r>
        <w:t xml:space="preserve">increases.</w:t>
      </w:r>
      <w:r>
        <w:br/>
      </w:r>
      <w:r>
        <w:t xml:space="preserve">Detailed analysis</w:t>
      </w:r>
      <w:r>
        <w:t xml:space="preserve"> </w:t>
      </w:r>
      <w:r>
        <w:t xml:space="preserve">When considering all 368 banks in the sample (resolution and liquidation strategies), the</w:t>
      </w:r>
      <w:r>
        <w:t xml:space="preserve"> </w:t>
      </w:r>
      <w:r>
        <w:t xml:space="preserve">proportion of banks where deposits would be bailed-in increases significantly from 96 banks</w:t>
      </w:r>
      <w:r>
        <w:t xml:space="preserve"> </w:t>
      </w:r>
      <w:r>
        <w:t xml:space="preserve">(26.1%) under the baseline to 246 banks (66.8%), 282 (76.6%), 294 (79.9%) and 308 (83.7%)</w:t>
      </w:r>
      <w:r>
        <w:t xml:space="preserve"> </w:t>
      </w:r>
      <w:r>
        <w:t xml:space="preserve">under the four analysed CET1 depletion scenarios respectively. When considering only banks</w:t>
      </w:r>
      <w:r>
        <w:t xml:space="preserve"> </w:t>
      </w:r>
      <w:r>
        <w:t xml:space="preserve">with resolution strategies as per 2019 PIA decisions (187 banks), the share of banks where</w:t>
      </w:r>
      <w:r>
        <w:t xml:space="preserve"> </w:t>
      </w:r>
      <w:r>
        <w:t xml:space="preserve">deposits would be bailed-in increases from 23.5% under the baseline to 62.6%, 71.7%, 74.3%</w:t>
      </w:r>
      <w:r>
        <w:t xml:space="preserve"> </w:t>
      </w:r>
      <w:r>
        <w:t xml:space="preserve">and 80.2% under the four CET1 depletion scenarios respectively. The significant jump in the</w:t>
      </w:r>
      <w:r>
        <w:t xml:space="preserve"> </w:t>
      </w:r>
      <w:r>
        <w:t xml:space="preserve">number of banks with impacted deposits under the second scenario in order of severity</w:t>
      </w:r>
      <w:r>
        <w:t xml:space="preserve"> </w:t>
      </w:r>
      <w:r>
        <w:t xml:space="preserve">(depletion of 75% of buffers) compared to the baseline (full CET1 availability) is noteworthy,</w:t>
      </w:r>
      <w:r>
        <w:t xml:space="preserve"> </w:t>
      </w:r>
      <w:r>
        <w:t xml:space="preserve">which demonstrates the sensitivity of the treatment of equity in these hypothetical scenarios.</w:t>
      </w:r>
      <w:r>
        <w:br/>
      </w:r>
      <w:r>
        <w:t xml:space="preserve">In terms of materiality, when considering all 368 banks in the sample, the aggregated amount</w:t>
      </w:r>
      <w:r>
        <w:t xml:space="preserve"> </w:t>
      </w:r>
      <w:r>
        <w:t xml:space="preserve">of deposits impacted increases from EUR 18.3 bn (0.7% of covered deposits) under the</w:t>
      </w:r>
      <w:r>
        <w:t xml:space="preserve"> </w:t>
      </w:r>
      <w:r>
        <w:t xml:space="preserve">baseline scenario to EUR 123.7 bn (4.6% of covered deposits) under the third (middle way)</w:t>
      </w:r>
      <w:r>
        <w:t xml:space="preserve"> </w:t>
      </w:r>
      <w:r>
        <w:t xml:space="preserve">CET1 depletion scenario (i.e. depletion of CET1 counting as buffers) and further to</w:t>
      </w:r>
      <w:r>
        <w:t xml:space="preserve"> </w:t>
      </w:r>
      <w:r>
        <w:t xml:space="preserve">EUR 147.8 bn (5.5% of covered deposits) under the most severe scenario (i.e. depletion of</w:t>
      </w:r>
      <w:r>
        <w:t xml:space="preserve"> </w:t>
      </w:r>
      <w:r>
        <w:t xml:space="preserve">CET1 except for Pillar 1). Over 90% of deposits impacted are non-preferred deposits. When</w:t>
      </w:r>
      <w:r>
        <w:t xml:space="preserve"> </w:t>
      </w:r>
      <w:r>
        <w:t xml:space="preserve">considering only 187 banks with resolution strategies as per Q4 2019 PIA decisions, the</w:t>
      </w:r>
      <w:r>
        <w:t xml:space="preserve"> </w:t>
      </w:r>
      <w:r>
        <w:t xml:space="preserve">aggregated amount of deposits impacted increases from a total of EUR 14.2 bn (0.5% of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covered deposits) under the baseline scenario to EUR 107.6 bn (4.0% of covered deposits)</w:t>
      </w:r>
      <w:r>
        <w:t xml:space="preserve"> </w:t>
      </w:r>
      <w:r>
        <w:t xml:space="preserve">under the mid-depletion scenario to EUR 129.7 bn (4.8% of covered deposits) under the most</w:t>
      </w:r>
      <w:r>
        <w:t xml:space="preserve"> </w:t>
      </w:r>
      <w:r>
        <w:t xml:space="preserve">severe scenario. Over 97% of impacted deposits are non-preferred deposits.</w:t>
      </w:r>
      <w:r>
        <w:br/>
      </w:r>
      <w:r>
        <w:t xml:space="preserve">The breakdown by size of banks in the sample indicates that, the amount of impacted deposits</w:t>
      </w:r>
      <w:r>
        <w:t xml:space="preserve"> </w:t>
      </w:r>
      <w:r>
        <w:t xml:space="preserve">for medium-sized banks increases from 0.6% of covered deposits under the baseline scenario to</w:t>
      </w:r>
      <w:r>
        <w:t xml:space="preserve"> </w:t>
      </w:r>
      <w:r>
        <w:t xml:space="preserve">2.2% of covered deposits and 2.5% of covered deposits under the third and the most severe</w:t>
      </w:r>
      <w:r>
        <w:t xml:space="preserve"> </w:t>
      </w:r>
      <w:r>
        <w:t xml:space="preserve">scenario respectively.</w:t>
      </w:r>
      <w:r>
        <w:br/>
      </w:r>
      <w:r>
        <w:t xml:space="preserve">In terms of geographical distribution, under the baseline scenario, covered deposits are</w:t>
      </w:r>
      <w:r>
        <w:t xml:space="preserve"> </w:t>
      </w:r>
      <w:r>
        <w:t xml:space="preserve">impacted in two Member States, the intensity of the impact ranging between 1.1% TLOF445</w:t>
      </w:r>
      <w:r>
        <w:t xml:space="preserve"> </w:t>
      </w:r>
      <w:r>
        <w:t xml:space="preserve">and 4.5% TLOF, while the impact on non-preferred deposits ranges between 0.2% TLOF and</w:t>
      </w:r>
      <w:r>
        <w:t xml:space="preserve"> </w:t>
      </w:r>
      <w:r>
        <w:t xml:space="preserve">3.2% TLOF. Under the third scenario, the covered deposits are impacted in six Member States</w:t>
      </w:r>
      <w:r>
        <w:t xml:space="preserve"> </w:t>
      </w:r>
      <w:r>
        <w:t xml:space="preserve">with an impact ranging between 1.7% TLOF and 5.7% TLOF, while the impact on non-</w:t>
      </w:r>
      <w:r>
        <w:t xml:space="preserve"> </w:t>
      </w:r>
      <w:r>
        <w:t xml:space="preserve">preferred deposits ranges between 0.8% TLOF and 4.6% TLOF (with two Member States</w:t>
      </w:r>
      <w:r>
        <w:t xml:space="preserve"> </w:t>
      </w:r>
      <w:r>
        <w:t xml:space="preserve">recording values between 4-5% TLOF and eight Member States between 3-4% TLOF). Under</w:t>
      </w:r>
      <w:r>
        <w:t xml:space="preserve"> </w:t>
      </w:r>
      <w:r>
        <w:t xml:space="preserve">the most severe scenario, covered deposits are impacted in eight Member States for an average</w:t>
      </w:r>
      <w:r>
        <w:t xml:space="preserve"> </w:t>
      </w:r>
      <w:r>
        <w:t xml:space="preserve">ranging between 0.9% TLOF and 6.3% TLOF, while the impact on non-preferred deposits</w:t>
      </w:r>
      <w:r>
        <w:t xml:space="preserve"> </w:t>
      </w:r>
      <w:r>
        <w:t xml:space="preserve">ranges between 0.9% TLOF and 5.1% TLOF with four Member States recording values above</w:t>
      </w:r>
      <w:r>
        <w:t xml:space="preserve"> </w:t>
      </w:r>
      <w:r>
        <w:t xml:space="preserve">4% TLOF and six between 3-4% TLOF.</w:t>
      </w:r>
    </w:p>
    <w:p>
      <w:pPr>
        <w:pStyle w:val="BodyText"/>
      </w:pPr>
      <w:r>
        <w:t xml:space="preserve">445 I.e. covered deposits which would bear losses when reaching the 8% TLOF threshold represent 1.1% of the</w:t>
      </w:r>
      <w:r>
        <w:t xml:space="preserve"> </w:t>
      </w:r>
      <w:r>
        <w:t xml:space="preserve">TLOF of the concerned bank(s) where those deposits would be affected in that particular Member State.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Table 14: Reaching 8% TLOF – Baseline versus CET1 depletion scenarios</w:t>
      </w:r>
    </w:p>
    <w:p>
      <w:pPr>
        <w:pStyle w:val="Compact"/>
        <w:numPr>
          <w:ilvl w:val="0"/>
          <w:numId w:val="1032"/>
        </w:numPr>
      </w:pPr>
      <w:r>
        <w:t xml:space="preserve">Institution</w:t>
      </w:r>
      <w:r>
        <w:t xml:space="preserve"> </w:t>
      </w:r>
      <w:r>
        <w:t xml:space="preserve">s 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 non-</w:t>
      </w:r>
      <w:r>
        <w:t xml:space="preserve"> </w:t>
      </w:r>
      <w:r>
        <w:t xml:space="preserve">preferred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CET1</w:t>
      </w:r>
      <w:r>
        <w:t xml:space="preserve"> </w:t>
      </w:r>
      <w:r>
        <w:t xml:space="preserve">Depletion</w:t>
      </w:r>
      <w:r>
        <w:t xml:space="preserve"> </w:t>
      </w:r>
      <w:r>
        <w:t xml:space="preserve">2 - Depletion 75% of buffers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60</w:t>
      </w:r>
      <w:r>
        <w:t xml:space="preserve"> </w:t>
      </w:r>
      <w:r>
        <w:t xml:space="preserve">98</w:t>
      </w:r>
      <w:r>
        <w:t xml:space="preserve"> </w:t>
      </w:r>
      <w:r>
        <w:t xml:space="preserve">2.30%</w:t>
      </w:r>
      <w:r>
        <w:t xml:space="preserve"> </w:t>
      </w:r>
      <w:r>
        <w:t xml:space="preserve">32</w:t>
      </w:r>
      <w:r>
        <w:t xml:space="preserve"> </w:t>
      </w:r>
      <w:r>
        <w:t xml:space="preserve">1.82%</w:t>
      </w:r>
      <w:r>
        <w:t xml:space="preserve"> </w:t>
      </w:r>
      <w:r>
        <w:t xml:space="preserve">4</w:t>
      </w:r>
      <w:r>
        <w:t xml:space="preserve"> </w:t>
      </w:r>
      <w:r>
        <w:t xml:space="preserve">1.23%</w:t>
      </w:r>
      <w:r>
        <w:t xml:space="preserve"> </w:t>
      </w:r>
      <w:r>
        <w:t xml:space="preserve">1</w:t>
      </w:r>
      <w:r>
        <w:t xml:space="preserve"> </w:t>
      </w:r>
      <w:r>
        <w:t xml:space="preserve">0.48%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37</w:t>
      </w:r>
      <w:r>
        <w:t xml:space="preserve"> </w:t>
      </w:r>
      <w:r>
        <w:t xml:space="preserve">78</w:t>
      </w:r>
      <w:r>
        <w:t xml:space="preserve"> </w:t>
      </w:r>
      <w:r>
        <w:t xml:space="preserve">2.35%</w:t>
      </w:r>
      <w:r>
        <w:t xml:space="preserve"> </w:t>
      </w:r>
      <w:r>
        <w:t xml:space="preserve">4</w:t>
      </w:r>
      <w:r>
        <w:t xml:space="preserve"> </w:t>
      </w:r>
      <w:r>
        <w:t xml:space="preserve">1.72%</w:t>
      </w:r>
      <w:r>
        <w:t xml:space="preserve"> </w:t>
      </w:r>
      <w:r>
        <w:t xml:space="preserve">1</w:t>
      </w:r>
      <w:r>
        <w:t xml:space="preserve"> </w:t>
      </w:r>
      <w:r>
        <w:t xml:space="preserve">5.42%</w:t>
      </w:r>
      <w:r>
        <w:t xml:space="preserve"> </w:t>
      </w:r>
      <w:r>
        <w:t xml:space="preserve">4</w:t>
      </w:r>
      <w:r>
        <w:t xml:space="preserve"> </w:t>
      </w:r>
      <w:r>
        <w:t xml:space="preserve">0.40%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25</w:t>
      </w:r>
      <w:r>
        <w:t xml:space="preserve"> </w:t>
      </w:r>
      <w:r>
        <w:t xml:space="preserve">22</w:t>
      </w:r>
      <w:r>
        <w:t xml:space="preserve"> </w:t>
      </w:r>
      <w:r>
        <w:t xml:space="preserve">0.75%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</w:p>
    <w:p>
      <w:pPr>
        <w:pStyle w:val="FirstParagraph"/>
      </w:pPr>
      <w:r>
        <w:t xml:space="preserve">Resolution</w:t>
      </w:r>
      <w:r>
        <w:br/>
      </w:r>
      <w:r>
        <w:t xml:space="preserve">187</w:t>
      </w:r>
      <w:r>
        <w:t xml:space="preserve"> </w:t>
      </w:r>
      <w:r>
        <w:t xml:space="preserve">70</w:t>
      </w:r>
      <w:r>
        <w:t xml:space="preserve"> </w:t>
      </w:r>
      <w:r>
        <w:t xml:space="preserve">107</w:t>
      </w:r>
      <w:r>
        <w:t xml:space="preserve"> </w:t>
      </w:r>
      <w:r>
        <w:t xml:space="preserve">1.18%</w:t>
      </w:r>
      <w:r>
        <w:t xml:space="preserve"> </w:t>
      </w:r>
      <w:r>
        <w:t xml:space="preserve">5</w:t>
      </w:r>
      <w:r>
        <w:t xml:space="preserve"> </w:t>
      </w:r>
      <w:r>
        <w:t xml:space="preserve">2.27%</w:t>
      </w:r>
      <w:r>
        <w:t xml:space="preserve"> </w:t>
      </w:r>
      <w:r>
        <w:t xml:space="preserve">2</w:t>
      </w:r>
      <w:r>
        <w:t xml:space="preserve"> </w:t>
      </w:r>
      <w:r>
        <w:t xml:space="preserve">5.32%</w:t>
      </w:r>
      <w:r>
        <w:t xml:space="preserve"> </w:t>
      </w:r>
      <w:r>
        <w:t xml:space="preserve">3</w:t>
      </w:r>
      <w:r>
        <w:t xml:space="preserve"> </w:t>
      </w:r>
      <w:r>
        <w:t xml:space="preserve">0.36%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52</w:t>
      </w:r>
      <w:r>
        <w:t xml:space="preserve"> </w:t>
      </w:r>
      <w:r>
        <w:t xml:space="preserve">91</w:t>
      </w:r>
      <w:r>
        <w:t xml:space="preserve"> </w:t>
      </w:r>
      <w:r>
        <w:t xml:space="preserve">1.80%</w:t>
      </w:r>
      <w:r>
        <w:t xml:space="preserve"> </w:t>
      </w:r>
      <w:r>
        <w:t xml:space="preserve">31</w:t>
      </w:r>
      <w:r>
        <w:t xml:space="preserve"> </w:t>
      </w:r>
      <w:r>
        <w:t xml:space="preserve">1.40%</w:t>
      </w:r>
      <w:r>
        <w:t xml:space="preserve"> </w:t>
      </w:r>
      <w:r>
        <w:t xml:space="preserve">3</w:t>
      </w:r>
      <w:r>
        <w:t xml:space="preserve"> </w:t>
      </w:r>
      <w:r>
        <w:t xml:space="preserve">1.19%</w:t>
      </w:r>
      <w:r>
        <w:t xml:space="preserve"> </w:t>
      </w:r>
      <w:r>
        <w:t xml:space="preserve">4</w:t>
      </w:r>
      <w:r>
        <w:t xml:space="preserve"> </w:t>
      </w:r>
      <w:r>
        <w:t xml:space="preserve">0.48%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62</w:t>
      </w:r>
      <w:r>
        <w:t xml:space="preserve"> </w:t>
      </w:r>
      <w:r>
        <w:t xml:space="preserve">37</w:t>
      </w:r>
      <w:r>
        <w:t xml:space="preserve"> </w:t>
      </w:r>
      <w:r>
        <w:t xml:space="preserve">0.83%</w:t>
      </w:r>
      <w:r>
        <w:t xml:space="preserve"> </w:t>
      </w:r>
      <w:r>
        <w:t xml:space="preserve">1</w:t>
      </w:r>
      <w:r>
        <w:t xml:space="preserve"> </w:t>
      </w:r>
      <w:r>
        <w:t xml:space="preserve">3.50%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7</w:t>
      </w:r>
      <w:r>
        <w:t xml:space="preserve"> </w:t>
      </w:r>
      <w:r>
        <w:t xml:space="preserve">0.42%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14</w:t>
      </w:r>
      <w:r>
        <w:t xml:space="preserve"> </w:t>
      </w:r>
      <w:r>
        <w:t xml:space="preserve">29</w:t>
      </w:r>
      <w:r>
        <w:t xml:space="preserve"> </w:t>
      </w:r>
      <w:r>
        <w:t xml:space="preserve">1.41%</w:t>
      </w:r>
      <w:r>
        <w:t xml:space="preserve"> </w:t>
      </w:r>
      <w:r>
        <w:t xml:space="preserve">1</w:t>
      </w:r>
      <w:r>
        <w:t xml:space="preserve"> </w:t>
      </w:r>
      <w:r>
        <w:t xml:space="preserve">0.63%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22</w:t>
      </w:r>
      <w:r>
        <w:t xml:space="preserve"> </w:t>
      </w:r>
      <w:r>
        <w:t xml:space="preserve">40</w:t>
      </w:r>
      <w:r>
        <w:t xml:space="preserve"> </w:t>
      </w:r>
      <w:r>
        <w:t xml:space="preserve">1.72%</w:t>
      </w:r>
      <w:r>
        <w:t xml:space="preserve"> </w:t>
      </w:r>
      <w:r>
        <w:t xml:space="preserve">1</w:t>
      </w:r>
      <w:r>
        <w:t xml:space="preserve"> </w:t>
      </w:r>
      <w:r>
        <w:t xml:space="preserve">0.27%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24</w:t>
      </w:r>
      <w:r>
        <w:t xml:space="preserve"> </w:t>
      </w:r>
      <w:r>
        <w:t xml:space="preserve">92</w:t>
      </w:r>
      <w:r>
        <w:t xml:space="preserve"> </w:t>
      </w:r>
      <w:r>
        <w:t xml:space="preserve">2.78%</w:t>
      </w:r>
      <w:r>
        <w:t xml:space="preserve"> </w:t>
      </w:r>
      <w:r>
        <w:t xml:space="preserve">33</w:t>
      </w:r>
      <w:r>
        <w:t xml:space="preserve"> </w:t>
      </w:r>
      <w:r>
        <w:t xml:space="preserve">1.74%</w:t>
      </w:r>
      <w:r>
        <w:t xml:space="preserve"> </w:t>
      </w:r>
      <w:r>
        <w:t xml:space="preserve">5</w:t>
      </w:r>
      <w:r>
        <w:t xml:space="preserve"> </w:t>
      </w:r>
      <w:r>
        <w:t xml:space="preserve">3.48%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122</w:t>
      </w:r>
      <w:r>
        <w:t xml:space="preserve"> </w:t>
      </w:r>
      <w:r>
        <w:t xml:space="preserve">198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Institutions</w:t>
      </w:r>
      <w:r>
        <w:t xml:space="preserve"> </w:t>
      </w:r>
      <w:r>
        <w:t xml:space="preserve">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 non-</w:t>
      </w:r>
      <w:r>
        <w:t xml:space="preserve"> </w:t>
      </w:r>
      <w:r>
        <w:t xml:space="preserve">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CET1</w:t>
      </w:r>
      <w:r>
        <w:t xml:space="preserve"> </w:t>
      </w:r>
      <w:r>
        <w:t xml:space="preserve">Depletion</w:t>
      </w:r>
      <w:r>
        <w:t xml:space="preserve"> </w:t>
      </w:r>
      <w:r>
        <w:t xml:space="preserve">3 - Depletion of all buffers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36</w:t>
      </w:r>
      <w:r>
        <w:t xml:space="preserve"> </w:t>
      </w:r>
      <w:r>
        <w:t xml:space="preserve">109</w:t>
      </w:r>
      <w:r>
        <w:t xml:space="preserve"> </w:t>
      </w:r>
      <w:r>
        <w:t xml:space="preserve">3.16%</w:t>
      </w:r>
      <w:r>
        <w:t xml:space="preserve"> </w:t>
      </w:r>
      <w:r>
        <w:t xml:space="preserve">41</w:t>
      </w:r>
      <w:r>
        <w:t xml:space="preserve"> </w:t>
      </w:r>
      <w:r>
        <w:t xml:space="preserve">2.52%</w:t>
      </w:r>
      <w:r>
        <w:t xml:space="preserve"> </w:t>
      </w:r>
      <w:r>
        <w:t xml:space="preserve">6</w:t>
      </w:r>
      <w:r>
        <w:t xml:space="preserve"> </w:t>
      </w:r>
      <w:r>
        <w:t xml:space="preserve">2.77%</w:t>
      </w:r>
      <w:r>
        <w:t xml:space="preserve"> </w:t>
      </w:r>
      <w:r>
        <w:t xml:space="preserve">4</w:t>
      </w:r>
      <w:r>
        <w:t xml:space="preserve"> </w:t>
      </w:r>
      <w:r>
        <w:t xml:space="preserve">0.55%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28</w:t>
      </w:r>
      <w:r>
        <w:t xml:space="preserve"> </w:t>
      </w:r>
      <w:r>
        <w:t xml:space="preserve">83</w:t>
      </w:r>
      <w:r>
        <w:t xml:space="preserve"> </w:t>
      </w:r>
      <w:r>
        <w:t xml:space="preserve">2.90%</w:t>
      </w:r>
      <w:r>
        <w:t xml:space="preserve"> </w:t>
      </w:r>
      <w:r>
        <w:t xml:space="preserve">8</w:t>
      </w:r>
      <w:r>
        <w:t xml:space="preserve"> </w:t>
      </w:r>
      <w:r>
        <w:t xml:space="preserve">1.91%</w:t>
      </w:r>
      <w:r>
        <w:t xml:space="preserve"> </w:t>
      </w:r>
      <w:r>
        <w:t xml:space="preserve">1</w:t>
      </w:r>
      <w:r>
        <w:t xml:space="preserve"> </w:t>
      </w:r>
      <w:r>
        <w:t xml:space="preserve">5.74%</w:t>
      </w:r>
      <w:r>
        <w:t xml:space="preserve"> </w:t>
      </w:r>
      <w:r>
        <w:t xml:space="preserve">4</w:t>
      </w:r>
      <w:r>
        <w:t xml:space="preserve"> </w:t>
      </w:r>
      <w:r>
        <w:t xml:space="preserve">0.44%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22</w:t>
      </w:r>
      <w:r>
        <w:t xml:space="preserve"> </w:t>
      </w:r>
      <w:r>
        <w:t xml:space="preserve">24</w:t>
      </w:r>
      <w:r>
        <w:t xml:space="preserve"> </w:t>
      </w:r>
      <w:r>
        <w:t xml:space="preserve">1.20%</w:t>
      </w:r>
      <w:r>
        <w:t xml:space="preserve"> </w:t>
      </w:r>
      <w:r>
        <w:t xml:space="preserve">1</w:t>
      </w:r>
      <w:r>
        <w:t xml:space="preserve"> </w:t>
      </w:r>
      <w:r>
        <w:t xml:space="preserve">0.33%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0.52%</w:t>
      </w:r>
      <w:r>
        <w:t xml:space="preserve"> </w:t>
      </w:r>
      <w:r>
        <w:t xml:space="preserve">Resolution</w:t>
      </w:r>
      <w:r>
        <w:br/>
      </w:r>
      <w:r>
        <w:t xml:space="preserve">187</w:t>
      </w:r>
      <w:r>
        <w:t xml:space="preserve"> </w:t>
      </w:r>
      <w:r>
        <w:t xml:space="preserve">53</w:t>
      </w:r>
      <w:r>
        <w:t xml:space="preserve"> </w:t>
      </w:r>
      <w:r>
        <w:t xml:space="preserve">117</w:t>
      </w:r>
      <w:r>
        <w:t xml:space="preserve"> </w:t>
      </w:r>
      <w:r>
        <w:t xml:space="preserve">1.69%</w:t>
      </w:r>
      <w:r>
        <w:t xml:space="preserve"> </w:t>
      </w:r>
      <w:r>
        <w:t xml:space="preserve">12</w:t>
      </w:r>
      <w:r>
        <w:t xml:space="preserve"> </w:t>
      </w:r>
      <w:r>
        <w:t xml:space="preserve">1.34%</w:t>
      </w:r>
      <w:r>
        <w:t xml:space="preserve"> </w:t>
      </w:r>
      <w:r>
        <w:t xml:space="preserve">2</w:t>
      </w:r>
      <w:r>
        <w:t xml:space="preserve"> </w:t>
      </w:r>
      <w:r>
        <w:t xml:space="preserve">5.65%</w:t>
      </w:r>
      <w:r>
        <w:t xml:space="preserve"> </w:t>
      </w:r>
      <w:r>
        <w:t xml:space="preserve">3</w:t>
      </w:r>
      <w:r>
        <w:t xml:space="preserve"> </w:t>
      </w:r>
      <w:r>
        <w:t xml:space="preserve">0.41%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33</w:t>
      </w:r>
      <w:r>
        <w:t xml:space="preserve"> </w:t>
      </w:r>
      <w:r>
        <w:t xml:space="preserve">99</w:t>
      </w:r>
      <w:r>
        <w:t xml:space="preserve"> </w:t>
      </w:r>
      <w:r>
        <w:t xml:space="preserve">2.21%</w:t>
      </w:r>
      <w:r>
        <w:t xml:space="preserve"> </w:t>
      </w:r>
      <w:r>
        <w:t xml:space="preserve">38</w:t>
      </w:r>
      <w:r>
        <w:t xml:space="preserve"> </w:t>
      </w:r>
      <w:r>
        <w:t xml:space="preserve">2.20%</w:t>
      </w:r>
      <w:r>
        <w:t xml:space="preserve"> </w:t>
      </w:r>
      <w:r>
        <w:t xml:space="preserve">5</w:t>
      </w:r>
      <w:r>
        <w:t xml:space="preserve"> </w:t>
      </w:r>
      <w:r>
        <w:t xml:space="preserve">2.78%</w:t>
      </w:r>
      <w:r>
        <w:t xml:space="preserve"> </w:t>
      </w:r>
      <w:r>
        <w:t xml:space="preserve">7</w:t>
      </w:r>
      <w:r>
        <w:t xml:space="preserve"> </w:t>
      </w:r>
      <w:r>
        <w:t xml:space="preserve">0.54%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51</w:t>
      </w:r>
      <w:r>
        <w:t xml:space="preserve"> </w:t>
      </w:r>
      <w:r>
        <w:t xml:space="preserve">45</w:t>
      </w:r>
      <w:r>
        <w:t xml:space="preserve"> </w:t>
      </w:r>
      <w:r>
        <w:t xml:space="preserve">1.16%</w:t>
      </w:r>
      <w:r>
        <w:t xml:space="preserve"> </w:t>
      </w:r>
      <w:r>
        <w:t xml:space="preserve">1</w:t>
      </w:r>
      <w:r>
        <w:t xml:space="preserve"> </w:t>
      </w:r>
      <w:r>
        <w:t xml:space="preserve">4.02%</w:t>
      </w:r>
      <w:r>
        <w:t xml:space="preserve"> </w:t>
      </w:r>
      <w:r>
        <w:t xml:space="preserve">1</w:t>
      </w:r>
      <w:r>
        <w:t xml:space="preserve"> </w:t>
      </w:r>
      <w:r>
        <w:t xml:space="preserve">1.66%</w:t>
      </w:r>
      <w:r>
        <w:t xml:space="preserve"> </w:t>
      </w:r>
      <w:r>
        <w:t xml:space="preserve">10</w:t>
      </w:r>
      <w:r>
        <w:t xml:space="preserve"> </w:t>
      </w:r>
      <w:r>
        <w:t xml:space="preserve">0.48%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10</w:t>
      </w:r>
      <w:r>
        <w:t xml:space="preserve"> </w:t>
      </w:r>
      <w:r>
        <w:t xml:space="preserve">32</w:t>
      </w:r>
      <w:r>
        <w:t xml:space="preserve"> </w:t>
      </w:r>
      <w:r>
        <w:t xml:space="preserve">2.00%</w:t>
      </w:r>
      <w:r>
        <w:t xml:space="preserve"> </w:t>
      </w:r>
      <w:r>
        <w:t xml:space="preserve">2</w:t>
      </w:r>
      <w:r>
        <w:t xml:space="preserve"> </w:t>
      </w:r>
      <w:r>
        <w:t xml:space="preserve">1.96%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12</w:t>
      </w:r>
      <w:r>
        <w:t xml:space="preserve"> </w:t>
      </w:r>
      <w:r>
        <w:t xml:space="preserve">43</w:t>
      </w:r>
      <w:r>
        <w:t xml:space="preserve"> </w:t>
      </w:r>
      <w:r>
        <w:t xml:space="preserve">2.35%</w:t>
      </w:r>
      <w:r>
        <w:t xml:space="preserve"> </w:t>
      </w:r>
      <w:r>
        <w:t xml:space="preserve">7</w:t>
      </w:r>
      <w:r>
        <w:t xml:space="preserve"> </w:t>
      </w:r>
      <w:r>
        <w:t xml:space="preserve">0.43%</w:t>
      </w:r>
      <w:r>
        <w:t xml:space="preserve"> </w:t>
      </w:r>
      <w:r>
        <w:t xml:space="preserve">1</w:t>
      </w:r>
      <w:r>
        <w:t xml:space="preserve"> </w:t>
      </w:r>
      <w:r>
        <w:t xml:space="preserve">3.53%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13</w:t>
      </w:r>
      <w:r>
        <w:t xml:space="preserve"> </w:t>
      </w:r>
      <w:r>
        <w:t xml:space="preserve">96</w:t>
      </w:r>
      <w:r>
        <w:t xml:space="preserve"> </w:t>
      </w:r>
      <w:r>
        <w:t xml:space="preserve">3.60%</w:t>
      </w:r>
      <w:r>
        <w:t xml:space="preserve"> </w:t>
      </w:r>
      <w:r>
        <w:t xml:space="preserve">40</w:t>
      </w:r>
      <w:r>
        <w:t xml:space="preserve"> </w:t>
      </w:r>
      <w:r>
        <w:t xml:space="preserve">2.37%</w:t>
      </w:r>
      <w:r>
        <w:t xml:space="preserve"> </w:t>
      </w:r>
      <w:r>
        <w:t xml:space="preserve">5</w:t>
      </w:r>
      <w:r>
        <w:t xml:space="preserve"> </w:t>
      </w:r>
      <w:r>
        <w:t xml:space="preserve">4.37%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86</w:t>
      </w:r>
      <w:r>
        <w:t xml:space="preserve"> </w:t>
      </w:r>
      <w:r>
        <w:t xml:space="preserve">216</w:t>
      </w:r>
    </w:p>
    <w:p>
      <w:pPr>
        <w:pStyle w:val="FirstParagraph"/>
      </w:pPr>
      <w:r>
        <w:t xml:space="preserve">50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257</w:t>
      </w:r>
    </w:p>
    <w:p>
      <w:pPr>
        <w:pStyle w:val="Compact"/>
        <w:numPr>
          <w:ilvl w:val="0"/>
          <w:numId w:val="1034"/>
        </w:numPr>
      </w:pPr>
      <w:r>
        <w:t xml:space="preserve">Institution</w:t>
      </w:r>
      <w:r>
        <w:t xml:space="preserve"> </w:t>
      </w:r>
      <w:r>
        <w:t xml:space="preserve">s 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 non-</w:t>
      </w:r>
      <w:r>
        <w:t xml:space="preserve"> </w:t>
      </w:r>
      <w:r>
        <w:t xml:space="preserve">preferred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CET1</w:t>
      </w:r>
      <w:r>
        <w:t xml:space="preserve"> </w:t>
      </w:r>
      <w:r>
        <w:t xml:space="preserve">Depletion</w:t>
      </w:r>
      <w:r>
        <w:t xml:space="preserve"> </w:t>
      </w:r>
      <w:r>
        <w:t xml:space="preserve">4 - Depletion of all buffers and 50% of P2R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28</w:t>
      </w:r>
      <w:r>
        <w:t xml:space="preserve"> </w:t>
      </w:r>
      <w:r>
        <w:t xml:space="preserve">113</w:t>
      </w:r>
      <w:r>
        <w:t xml:space="preserve"> </w:t>
      </w:r>
      <w:r>
        <w:t xml:space="preserve">3.39%</w:t>
      </w:r>
      <w:r>
        <w:t xml:space="preserve"> </w:t>
      </w:r>
      <w:r>
        <w:t xml:space="preserve">44</w:t>
      </w:r>
      <w:r>
        <w:t xml:space="preserve"> </w:t>
      </w:r>
      <w:r>
        <w:t xml:space="preserve">2.41%</w:t>
      </w:r>
      <w:r>
        <w:t xml:space="preserve"> </w:t>
      </w:r>
      <w:r>
        <w:t xml:space="preserve">7</w:t>
      </w:r>
      <w:r>
        <w:t xml:space="preserve"> </w:t>
      </w:r>
      <w:r>
        <w:t xml:space="preserve">2.97%</w:t>
      </w:r>
      <w:r>
        <w:t xml:space="preserve"> </w:t>
      </w:r>
      <w:r>
        <w:t xml:space="preserve">4</w:t>
      </w:r>
      <w:r>
        <w:t xml:space="preserve"> </w:t>
      </w:r>
      <w:r>
        <w:t xml:space="preserve">0.55%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26</w:t>
      </w:r>
      <w:r>
        <w:t xml:space="preserve"> </w:t>
      </w:r>
      <w:r>
        <w:t xml:space="preserve">86</w:t>
      </w:r>
      <w:r>
        <w:t xml:space="preserve"> </w:t>
      </w:r>
      <w:r>
        <w:t xml:space="preserve">3.05%</w:t>
      </w:r>
      <w:r>
        <w:t xml:space="preserve"> </w:t>
      </w:r>
      <w:r>
        <w:t xml:space="preserve">7</w:t>
      </w:r>
      <w:r>
        <w:t xml:space="preserve"> </w:t>
      </w:r>
      <w:r>
        <w:t xml:space="preserve">2.10%</w:t>
      </w:r>
      <w:r>
        <w:t xml:space="preserve"> </w:t>
      </w:r>
      <w:r>
        <w:t xml:space="preserve">2</w:t>
      </w:r>
      <w:r>
        <w:t xml:space="preserve"> </w:t>
      </w:r>
      <w:r>
        <w:t xml:space="preserve">2.87%</w:t>
      </w:r>
      <w:r>
        <w:t xml:space="preserve"> </w:t>
      </w:r>
      <w:r>
        <w:t xml:space="preserve">4</w:t>
      </w:r>
      <w:r>
        <w:t xml:space="preserve"> </w:t>
      </w:r>
      <w:r>
        <w:t xml:space="preserve">0.42%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20</w:t>
      </w:r>
      <w:r>
        <w:t xml:space="preserve"> </w:t>
      </w:r>
      <w:r>
        <w:t xml:space="preserve">26</w:t>
      </w:r>
      <w:r>
        <w:t xml:space="preserve"> </w:t>
      </w:r>
      <w:r>
        <w:t xml:space="preserve">1.31%</w:t>
      </w:r>
      <w:r>
        <w:t xml:space="preserve"> </w:t>
      </w:r>
      <w:r>
        <w:t xml:space="preserve">1</w:t>
      </w:r>
      <w:r>
        <w:t xml:space="preserve"> </w:t>
      </w:r>
      <w:r>
        <w:t xml:space="preserve">0.53%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0.52%</w:t>
      </w:r>
    </w:p>
    <w:p>
      <w:pPr>
        <w:pStyle w:val="FirstParagraph"/>
      </w:pPr>
      <w:r>
        <w:t xml:space="preserve">Resolution</w:t>
      </w:r>
      <w:r>
        <w:br/>
      </w:r>
      <w:r>
        <w:t xml:space="preserve">187</w:t>
      </w:r>
      <w:r>
        <w:t xml:space="preserve"> </w:t>
      </w:r>
      <w:r>
        <w:t xml:space="preserve">49</w:t>
      </w:r>
      <w:r>
        <w:t xml:space="preserve"> </w:t>
      </w:r>
      <w:r>
        <w:t xml:space="preserve">122</w:t>
      </w:r>
      <w:r>
        <w:t xml:space="preserve"> </w:t>
      </w:r>
      <w:r>
        <w:t xml:space="preserve">1.83%</w:t>
      </w:r>
      <w:r>
        <w:t xml:space="preserve"> </w:t>
      </w:r>
      <w:r>
        <w:t xml:space="preserve">11</w:t>
      </w:r>
      <w:r>
        <w:t xml:space="preserve"> </w:t>
      </w:r>
      <w:r>
        <w:t xml:space="preserve">1.57%</w:t>
      </w:r>
      <w:r>
        <w:t xml:space="preserve"> </w:t>
      </w:r>
      <w:r>
        <w:t xml:space="preserve">3</w:t>
      </w:r>
      <w:r>
        <w:t xml:space="preserve"> </w:t>
      </w:r>
      <w:r>
        <w:t xml:space="preserve">2.87%</w:t>
      </w:r>
      <w:r>
        <w:t xml:space="preserve"> </w:t>
      </w:r>
      <w:r>
        <w:t xml:space="preserve">3</w:t>
      </w:r>
      <w:r>
        <w:t xml:space="preserve"> </w:t>
      </w:r>
      <w:r>
        <w:t xml:space="preserve">0.38%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25</w:t>
      </w:r>
      <w:r>
        <w:t xml:space="preserve"> </w:t>
      </w:r>
      <w:r>
        <w:t xml:space="preserve">103</w:t>
      </w:r>
      <w:r>
        <w:t xml:space="preserve"> </w:t>
      </w:r>
      <w:r>
        <w:t xml:space="preserve">2.10%</w:t>
      </w:r>
      <w:r>
        <w:t xml:space="preserve"> </w:t>
      </w:r>
      <w:r>
        <w:t xml:space="preserve">41</w:t>
      </w:r>
      <w:r>
        <w:t xml:space="preserve"> </w:t>
      </w:r>
      <w:r>
        <w:t xml:space="preserve">2.19%</w:t>
      </w:r>
      <w:r>
        <w:t xml:space="preserve"> </w:t>
      </w:r>
      <w:r>
        <w:t xml:space="preserve">6</w:t>
      </w:r>
      <w:r>
        <w:t xml:space="preserve"> </w:t>
      </w:r>
      <w:r>
        <w:t xml:space="preserve">2.98%</w:t>
      </w:r>
      <w:r>
        <w:t xml:space="preserve"> </w:t>
      </w:r>
      <w:r>
        <w:t xml:space="preserve">7</w:t>
      </w:r>
      <w:r>
        <w:t xml:space="preserve"> </w:t>
      </w:r>
      <w:r>
        <w:t xml:space="preserve">0.55%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48</w:t>
      </w:r>
      <w:r>
        <w:t xml:space="preserve"> </w:t>
      </w:r>
      <w:r>
        <w:t xml:space="preserve">48</w:t>
      </w:r>
      <w:r>
        <w:t xml:space="preserve"> </w:t>
      </w:r>
      <w:r>
        <w:t xml:space="preserve">1.22%</w:t>
      </w:r>
      <w:r>
        <w:t xml:space="preserve"> </w:t>
      </w:r>
      <w:r>
        <w:t xml:space="preserve">1</w:t>
      </w:r>
      <w:r>
        <w:t xml:space="preserve"> </w:t>
      </w:r>
      <w:r>
        <w:t xml:space="preserve">4.10%</w:t>
      </w:r>
      <w:r>
        <w:t xml:space="preserve"> </w:t>
      </w:r>
      <w:r>
        <w:t xml:space="preserve">2</w:t>
      </w:r>
      <w:r>
        <w:t xml:space="preserve"> </w:t>
      </w:r>
      <w:r>
        <w:t xml:space="preserve">1.69%</w:t>
      </w:r>
      <w:r>
        <w:t xml:space="preserve"> </w:t>
      </w:r>
      <w:r>
        <w:t xml:space="preserve">10</w:t>
      </w:r>
      <w:r>
        <w:t xml:space="preserve"> </w:t>
      </w:r>
      <w:r>
        <w:t xml:space="preserve">0.48%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10</w:t>
      </w:r>
      <w:r>
        <w:t xml:space="preserve"> </w:t>
      </w:r>
      <w:r>
        <w:t xml:space="preserve">31</w:t>
      </w:r>
      <w:r>
        <w:t xml:space="preserve"> </w:t>
      </w:r>
      <w:r>
        <w:t xml:space="preserve">2.20%</w:t>
      </w:r>
      <w:r>
        <w:t xml:space="preserve"> </w:t>
      </w:r>
      <w:r>
        <w:t xml:space="preserve">3</w:t>
      </w:r>
      <w:r>
        <w:t xml:space="preserve"> </w:t>
      </w:r>
      <w:r>
        <w:t xml:space="preserve">0.88%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9</w:t>
      </w:r>
      <w:r>
        <w:t xml:space="preserve"> </w:t>
      </w:r>
      <w:r>
        <w:t xml:space="preserve">46</w:t>
      </w:r>
      <w:r>
        <w:t xml:space="preserve"> </w:t>
      </w:r>
      <w:r>
        <w:t xml:space="preserve">2.56%</w:t>
      </w:r>
      <w:r>
        <w:t xml:space="preserve"> </w:t>
      </w:r>
      <w:r>
        <w:t xml:space="preserve">7</w:t>
      </w:r>
      <w:r>
        <w:t xml:space="preserve"> </w:t>
      </w:r>
      <w:r>
        <w:t xml:space="preserve">0.64%</w:t>
      </w:r>
      <w:r>
        <w:t xml:space="preserve"> </w:t>
      </w:r>
      <w:r>
        <w:t xml:space="preserve">1</w:t>
      </w:r>
      <w:r>
        <w:t xml:space="preserve"> </w:t>
      </w:r>
      <w:r>
        <w:t xml:space="preserve">3.53%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7</w:t>
      </w:r>
      <w:r>
        <w:t xml:space="preserve"> </w:t>
      </w:r>
      <w:r>
        <w:t xml:space="preserve">100</w:t>
      </w:r>
      <w:r>
        <w:t xml:space="preserve"> </w:t>
      </w:r>
      <w:r>
        <w:t xml:space="preserve">3.75%</w:t>
      </w:r>
      <w:r>
        <w:t xml:space="preserve"> </w:t>
      </w:r>
      <w:r>
        <w:t xml:space="preserve">41</w:t>
      </w:r>
      <w:r>
        <w:t xml:space="preserve"> </w:t>
      </w:r>
      <w:r>
        <w:t xml:space="preserve">2.49%</w:t>
      </w:r>
      <w:r>
        <w:t xml:space="preserve"> </w:t>
      </w:r>
      <w:r>
        <w:t xml:space="preserve">6</w:t>
      </w:r>
      <w:r>
        <w:t xml:space="preserve"> </w:t>
      </w:r>
      <w:r>
        <w:t xml:space="preserve">2.91%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74</w:t>
      </w:r>
      <w:r>
        <w:t xml:space="preserve"> </w:t>
      </w:r>
      <w:r>
        <w:t xml:space="preserve">225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10</w:t>
      </w:r>
    </w:p>
    <w:p>
      <w:pPr>
        <w:pStyle w:val="Compact"/>
        <w:numPr>
          <w:ilvl w:val="0"/>
          <w:numId w:val="1035"/>
        </w:numPr>
      </w:pPr>
      <w:r>
        <w:t xml:space="preserve">Institutions</w:t>
      </w:r>
      <w:r>
        <w:t xml:space="preserve"> </w:t>
      </w:r>
      <w:r>
        <w:t xml:space="preserve">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 non-</w:t>
      </w:r>
      <w:r>
        <w:t xml:space="preserve"> </w:t>
      </w:r>
      <w:r>
        <w:t xml:space="preserve">preferred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preferred non-</w:t>
      </w:r>
      <w:r>
        <w:t xml:space="preserve"> </w:t>
      </w:r>
      <w:r>
        <w:t xml:space="preserve">covered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deposits and</w:t>
      </w:r>
      <w:r>
        <w:t xml:space="preserve"> </w:t>
      </w:r>
      <w:r>
        <w:t xml:space="preserve">additional amount</w:t>
      </w:r>
      <w:r>
        <w:t xml:space="preserve"> </w:t>
      </w:r>
      <w:r>
        <w:t xml:space="preserve">required</w:t>
      </w:r>
      <w:r>
        <w:t xml:space="preserve"> </w:t>
      </w:r>
      <w:r>
        <w:t xml:space="preserve">CET1</w:t>
      </w:r>
      <w:r>
        <w:t xml:space="preserve"> </w:t>
      </w:r>
      <w:r>
        <w:t xml:space="preserve">Depletion</w:t>
      </w:r>
      <w:r>
        <w:t xml:space="preserve"> </w:t>
      </w:r>
      <w:r>
        <w:t xml:space="preserve">5 - Depletion of all buffers and 100% of P2R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18</w:t>
      </w:r>
      <w:r>
        <w:t xml:space="preserve"> </w:t>
      </w:r>
      <w:r>
        <w:t xml:space="preserve">121</w:t>
      </w:r>
      <w:r>
        <w:t xml:space="preserve"> </w:t>
      </w:r>
      <w:r>
        <w:t xml:space="preserve">3.58%</w:t>
      </w:r>
      <w:r>
        <w:t xml:space="preserve"> </w:t>
      </w:r>
      <w:r>
        <w:t xml:space="preserve">45</w:t>
      </w:r>
      <w:r>
        <w:t xml:space="preserve"> </w:t>
      </w:r>
      <w:r>
        <w:t xml:space="preserve">2.68%</w:t>
      </w:r>
      <w:r>
        <w:t xml:space="preserve"> </w:t>
      </w:r>
      <w:r>
        <w:t xml:space="preserve">6</w:t>
      </w:r>
      <w:r>
        <w:t xml:space="preserve"> </w:t>
      </w:r>
      <w:r>
        <w:t xml:space="preserve">3.22%</w:t>
      </w:r>
      <w:r>
        <w:t xml:space="preserve"> </w:t>
      </w:r>
      <w:r>
        <w:t xml:space="preserve">6</w:t>
      </w:r>
      <w:r>
        <w:t xml:space="preserve"> </w:t>
      </w:r>
      <w:r>
        <w:t xml:space="preserve">0.49%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24</w:t>
      </w:r>
      <w:r>
        <w:t xml:space="preserve"> </w:t>
      </w:r>
      <w:r>
        <w:t xml:space="preserve">87</w:t>
      </w:r>
      <w:r>
        <w:t xml:space="preserve"> </w:t>
      </w:r>
      <w:r>
        <w:t xml:space="preserve">3.18%</w:t>
      </w:r>
      <w:r>
        <w:t xml:space="preserve"> </w:t>
      </w:r>
      <w:r>
        <w:t xml:space="preserve">9</w:t>
      </w:r>
      <w:r>
        <w:t xml:space="preserve"> </w:t>
      </w:r>
      <w:r>
        <w:t xml:space="preserve">2.09%</w:t>
      </w:r>
      <w:r>
        <w:t xml:space="preserve"> </w:t>
      </w:r>
      <w:r>
        <w:t xml:space="preserve">2</w:t>
      </w:r>
      <w:r>
        <w:t xml:space="preserve"> </w:t>
      </w:r>
      <w:r>
        <w:t xml:space="preserve">3.42%</w:t>
      </w:r>
      <w:r>
        <w:t xml:space="preserve"> </w:t>
      </w:r>
      <w:r>
        <w:t xml:space="preserve">4</w:t>
      </w:r>
      <w:r>
        <w:t xml:space="preserve"> </w:t>
      </w:r>
      <w:r>
        <w:t xml:space="preserve">0.42%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18</w:t>
      </w:r>
      <w:r>
        <w:t xml:space="preserve"> </w:t>
      </w:r>
      <w:r>
        <w:t xml:space="preserve">28</w:t>
      </w:r>
      <w:r>
        <w:t xml:space="preserve"> </w:t>
      </w:r>
      <w:r>
        <w:t xml:space="preserve">1.34%</w:t>
      </w:r>
      <w:r>
        <w:t xml:space="preserve"> </w:t>
      </w:r>
      <w:r>
        <w:t xml:space="preserve">1</w:t>
      </w:r>
      <w:r>
        <w:t xml:space="preserve"> </w:t>
      </w:r>
      <w:r>
        <w:t xml:space="preserve">0.73%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0.56%</w:t>
      </w:r>
      <w:r>
        <w:t xml:space="preserve"> </w:t>
      </w:r>
      <w:r>
        <w:t xml:space="preserve">Resolution</w:t>
      </w:r>
      <w:r>
        <w:br/>
      </w:r>
      <w:r>
        <w:t xml:space="preserve">187</w:t>
      </w:r>
      <w:r>
        <w:t xml:space="preserve"> </w:t>
      </w:r>
      <w:r>
        <w:t xml:space="preserve">39</w:t>
      </w:r>
      <w:r>
        <w:t xml:space="preserve"> </w:t>
      </w:r>
      <w:r>
        <w:t xml:space="preserve">130</w:t>
      </w:r>
      <w:r>
        <w:t xml:space="preserve"> </w:t>
      </w:r>
      <w:r>
        <w:t xml:space="preserve">1.87%</w:t>
      </w:r>
      <w:r>
        <w:t xml:space="preserve"> </w:t>
      </w:r>
      <w:r>
        <w:t xml:space="preserve">13</w:t>
      </w:r>
      <w:r>
        <w:t xml:space="preserve"> </w:t>
      </w:r>
      <w:r>
        <w:t xml:space="preserve">1.65%</w:t>
      </w:r>
      <w:r>
        <w:t xml:space="preserve"> </w:t>
      </w:r>
      <w:r>
        <w:t xml:space="preserve">3</w:t>
      </w:r>
      <w:r>
        <w:t xml:space="preserve"> </w:t>
      </w:r>
      <w:r>
        <w:t xml:space="preserve">3.42%</w:t>
      </w:r>
      <w:r>
        <w:t xml:space="preserve"> </w:t>
      </w:r>
      <w:r>
        <w:t xml:space="preserve">4</w:t>
      </w:r>
      <w:r>
        <w:t xml:space="preserve"> </w:t>
      </w:r>
      <w:r>
        <w:t xml:space="preserve">0.42%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21</w:t>
      </w:r>
      <w:r>
        <w:t xml:space="preserve"> </w:t>
      </w:r>
      <w:r>
        <w:t xml:space="preserve">106</w:t>
      </w:r>
      <w:r>
        <w:t xml:space="preserve"> </w:t>
      </w:r>
      <w:r>
        <w:t xml:space="preserve">2.22%</w:t>
      </w:r>
      <w:r>
        <w:t xml:space="preserve"> </w:t>
      </w:r>
      <w:r>
        <w:t xml:space="preserve">42</w:t>
      </w:r>
      <w:r>
        <w:t xml:space="preserve"> </w:t>
      </w:r>
      <w:r>
        <w:t xml:space="preserve">2.37%</w:t>
      </w:r>
      <w:r>
        <w:t xml:space="preserve"> </w:t>
      </w:r>
      <w:r>
        <w:t xml:space="preserve">5</w:t>
      </w:r>
      <w:r>
        <w:t xml:space="preserve"> </w:t>
      </w:r>
      <w:r>
        <w:t xml:space="preserve">3.22%</w:t>
      </w:r>
      <w:r>
        <w:t xml:space="preserve"> </w:t>
      </w:r>
      <w:r>
        <w:t xml:space="preserve">8</w:t>
      </w:r>
      <w:r>
        <w:t xml:space="preserve"> </w:t>
      </w:r>
      <w:r>
        <w:t xml:space="preserve">0.55%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43</w:t>
      </w:r>
      <w:r>
        <w:t xml:space="preserve"> </w:t>
      </w:r>
      <w:r>
        <w:t xml:space="preserve">52</w:t>
      </w:r>
      <w:r>
        <w:t xml:space="preserve"> </w:t>
      </w:r>
      <w:r>
        <w:t xml:space="preserve">1.19%</w:t>
      </w:r>
      <w:r>
        <w:t xml:space="preserve"> </w:t>
      </w:r>
      <w:r>
        <w:t xml:space="preserve">1</w:t>
      </w:r>
      <w:r>
        <w:t xml:space="preserve"> </w:t>
      </w:r>
      <w:r>
        <w:t xml:space="preserve">4.39%</w:t>
      </w:r>
      <w:r>
        <w:t xml:space="preserve"> </w:t>
      </w:r>
      <w:r>
        <w:t xml:space="preserve">1</w:t>
      </w:r>
      <w:r>
        <w:t xml:space="preserve"> </w:t>
      </w:r>
      <w:r>
        <w:t xml:space="preserve">2.58%</w:t>
      </w:r>
      <w:r>
        <w:t xml:space="preserve"> </w:t>
      </w:r>
      <w:r>
        <w:t xml:space="preserve">12</w:t>
      </w:r>
      <w:r>
        <w:t xml:space="preserve"> </w:t>
      </w:r>
      <w:r>
        <w:t xml:space="preserve">0.49%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9</w:t>
      </w:r>
      <w:r>
        <w:t xml:space="preserve"> </w:t>
      </w:r>
      <w:r>
        <w:t xml:space="preserve">31</w:t>
      </w:r>
      <w:r>
        <w:t xml:space="preserve"> </w:t>
      </w:r>
      <w:r>
        <w:t xml:space="preserve">2.36%</w:t>
      </w:r>
      <w:r>
        <w:t xml:space="preserve"> </w:t>
      </w:r>
      <w:r>
        <w:t xml:space="preserve">4</w:t>
      </w:r>
      <w:r>
        <w:t xml:space="preserve"> </w:t>
      </w:r>
      <w:r>
        <w:t xml:space="preserve">0.38%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4</w:t>
      </w:r>
      <w:r>
        <w:t xml:space="preserve"> </w:t>
      </w:r>
      <w:r>
        <w:t xml:space="preserve">50</w:t>
      </w:r>
      <w:r>
        <w:t xml:space="preserve"> </w:t>
      </w:r>
      <w:r>
        <w:t xml:space="preserve">2.82%</w:t>
      </w:r>
      <w:r>
        <w:t xml:space="preserve"> </w:t>
      </w:r>
      <w:r>
        <w:t xml:space="preserve">9</w:t>
      </w:r>
      <w:r>
        <w:t xml:space="preserve"> </w:t>
      </w:r>
      <w:r>
        <w:t xml:space="preserve">0.80%</w:t>
      </w:r>
      <w:r>
        <w:t xml:space="preserve"> </w:t>
      </w:r>
      <w:r>
        <w:t xml:space="preserve">1</w:t>
      </w:r>
      <w:r>
        <w:t xml:space="preserve"> </w:t>
      </w:r>
      <w:r>
        <w:t xml:space="preserve">3.53%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4</w:t>
      </w:r>
      <w:r>
        <w:t xml:space="preserve"> </w:t>
      </w:r>
      <w:r>
        <w:t xml:space="preserve">103</w:t>
      </w:r>
      <w:r>
        <w:t xml:space="preserve"> </w:t>
      </w:r>
      <w:r>
        <w:t xml:space="preserve">4.02%</w:t>
      </w:r>
      <w:r>
        <w:t xml:space="preserve"> </w:t>
      </w:r>
      <w:r>
        <w:t xml:space="preserve">41</w:t>
      </w:r>
      <w:r>
        <w:t xml:space="preserve"> </w:t>
      </w:r>
      <w:r>
        <w:t xml:space="preserve">2.67%</w:t>
      </w:r>
      <w:r>
        <w:t xml:space="preserve"> </w:t>
      </w:r>
      <w:r>
        <w:t xml:space="preserve">6</w:t>
      </w:r>
      <w:r>
        <w:t xml:space="preserve"> </w:t>
      </w:r>
      <w:r>
        <w:t xml:space="preserve">3.37%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60</w:t>
      </w:r>
      <w:r>
        <w:t xml:space="preserve"> </w:t>
      </w:r>
      <w:r>
        <w:t xml:space="preserve">236</w:t>
      </w:r>
    </w:p>
    <w:p>
      <w:pPr>
        <w:pStyle w:val="FirstParagraph"/>
      </w:pPr>
      <w:r>
        <w:t xml:space="preserve">55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Source: Commission services analysis, based on EBA CfA report and SRB data as of Q4 2019</w:t>
      </w:r>
    </w:p>
    <w:p>
      <w:pPr>
        <w:pStyle w:val="BodyText"/>
      </w:pPr>
      <w:r>
        <w:t xml:space="preserve">258</w:t>
      </w:r>
      <w:r>
        <w:t xml:space="preserve"> </w:t>
      </w:r>
      <w:r>
        <w:t xml:space="preserve">The impact of the increased severity embedded in each scenario is further highlighted in</w:t>
      </w:r>
      <w:r>
        <w:t xml:space="preserve"> </w:t>
      </w:r>
      <w:r>
        <w:t xml:space="preserve">Figure 22, focusing on those institutions, which can access the 8% TLOF threshold without</w:t>
      </w:r>
      <w:r>
        <w:t xml:space="preserve"> </w:t>
      </w:r>
      <w:r>
        <w:t xml:space="preserve">impacting any form of deposits in each scenario of CET1 depletion. Increasing the severity of</w:t>
      </w:r>
      <w:r>
        <w:t xml:space="preserve"> </w:t>
      </w:r>
      <w:r>
        <w:t xml:space="preserve">the CET1 depletion scenario has a material impact on the smaller and medium-sized banks’</w:t>
      </w:r>
      <w:r>
        <w:t xml:space="preserve"> </w:t>
      </w:r>
      <w:r>
        <w:t xml:space="preserve">ability to access 8% TLOF without deposits: compared to the baseline, assuming 75% of the</w:t>
      </w:r>
      <w:r>
        <w:t xml:space="preserve"> </w:t>
      </w:r>
      <w:r>
        <w:t xml:space="preserve">buffers are depleted leads to a reduction of 59% for small banks and 55% for medium banks</w:t>
      </w:r>
      <w:r>
        <w:t xml:space="preserve"> </w:t>
      </w:r>
      <w:r>
        <w:t xml:space="preserve">which can access 8% TLOF without deposits.</w:t>
      </w:r>
      <w:r>
        <w:t xml:space="preserve"> </w:t>
      </w:r>
      <w:r>
        <w:t xml:space="preserve">Figure 22: Institutions able to reach 8% TLOF without deposits, comparison between</w:t>
      </w:r>
      <w:r>
        <w:br/>
      </w:r>
      <w:r>
        <w:t xml:space="preserve">each scenario of CET1 depletion)</w:t>
      </w:r>
    </w:p>
    <w:p>
      <w:pPr>
        <w:pStyle w:val="BodyText"/>
      </w:pPr>
      <w:r>
        <w:t xml:space="preserve">Source: Commission services analysis, based on EBA CfA report and SRB data as of Q4 2019.</w:t>
      </w:r>
    </w:p>
    <w:p>
      <w:pPr>
        <w:pStyle w:val="BodyText"/>
      </w:pPr>
      <w:r>
        <w:t xml:space="preserve">3.2.3. Baseline versus alternative depositor preferences</w:t>
      </w:r>
      <w:r>
        <w:t xml:space="preserve"> </w:t>
      </w:r>
      <w:r>
        <w:t xml:space="preserve">Table 15 shows the ability of institutions to reach the 8% TLOF threshold under various</w:t>
      </w:r>
      <w:r>
        <w:t xml:space="preserve"> </w:t>
      </w:r>
      <w:r>
        <w:t xml:space="preserve">scenarios of depositor preference as described in section 2.3 and the share and amounts of</w:t>
      </w:r>
      <w:r>
        <w:t xml:space="preserve"> </w:t>
      </w:r>
      <w:r>
        <w:t xml:space="preserve">deposits impacted under each scenario. All other dimensions remain as per the baseline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259</w:t>
      </w:r>
      <w:r>
        <w:t xml:space="preserve"> </w:t>
      </w:r>
      <w:r>
        <w:t xml:space="preserve">Summary assessment – Baseline versus alternative depositor preference scenarios</w:t>
      </w:r>
      <w:r>
        <w:t xml:space="preserve"> </w:t>
      </w:r>
      <w:r>
        <w:t xml:space="preserve">As a general observation and by design, preferring all deposits in relation to ordinary</w:t>
      </w:r>
      <w:r>
        <w:t xml:space="preserve"> </w:t>
      </w:r>
      <w:r>
        <w:t xml:space="preserve">unsecured claims increases the protection of deposits by leading to a significantly</w:t>
      </w:r>
      <w:r>
        <w:t xml:space="preserve"> </w:t>
      </w:r>
      <w:r>
        <w:t xml:space="preserve">higher number of banks able to achieve the 8% TLOF threshold without impacting</w:t>
      </w:r>
      <w:r>
        <w:t xml:space="preserve"> </w:t>
      </w:r>
      <w:r>
        <w:t xml:space="preserve">deposits compared to the baseline hierarchy of claims. The aggregated amount of</w:t>
      </w:r>
      <w:r>
        <w:t xml:space="preserve"> </w:t>
      </w:r>
      <w:r>
        <w:t xml:space="preserve">impacted deposits decreases from EUR 18.3 bn under the baseline scenario to</w:t>
      </w:r>
      <w:r>
        <w:t xml:space="preserve"> </w:t>
      </w:r>
      <w:r>
        <w:t xml:space="preserve">EUR 6.4 bn under each of the four depositor hierarchy scenarios (and from</w:t>
      </w:r>
      <w:r>
        <w:t xml:space="preserve"> </w:t>
      </w:r>
      <w:r>
        <w:t xml:space="preserve">EUR 14.2 bn under the baseline to EUR 4.6 bn under each of the four depositor</w:t>
      </w:r>
      <w:r>
        <w:t xml:space="preserve"> </w:t>
      </w:r>
      <w:r>
        <w:t xml:space="preserve">hierarchy scenarios when considering only banks with resolution strategy under the</w:t>
      </w:r>
      <w:r>
        <w:t xml:space="preserve"> </w:t>
      </w:r>
      <w:r>
        <w:t xml:space="preserve">2019 PIA decisions).</w:t>
      </w:r>
      <w:r>
        <w:t xml:space="preserve"> </w:t>
      </w:r>
      <w:r>
        <w:t xml:space="preserve">The impact on the three categories of deposits is influenced by their relative ranking</w:t>
      </w:r>
      <w:r>
        <w:t xml:space="preserve"> </w:t>
      </w:r>
      <w:r>
        <w:t xml:space="preserve">in relation to each other under the four alternative scenarios. For a complete view on</w:t>
      </w:r>
      <w:r>
        <w:t xml:space="preserve"> </w:t>
      </w:r>
      <w:r>
        <w:t xml:space="preserve">the impact of each deposit type, the results from this section need to be read together</w:t>
      </w:r>
      <w:r>
        <w:t xml:space="preserve"> </w:t>
      </w:r>
      <w:r>
        <w:t xml:space="preserve">with the ones under the LCT section 4.1.3.</w:t>
      </w:r>
      <w:r>
        <w:t xml:space="preserve"> </w:t>
      </w:r>
      <w:r>
        <w:t xml:space="preserve">Detailed analysis</w:t>
      </w:r>
      <w:r>
        <w:t xml:space="preserve"> </w:t>
      </w:r>
      <w:r>
        <w:t xml:space="preserve">As a general observation and by design, preferring all deposits in relation to ordinary unsecured</w:t>
      </w:r>
      <w:r>
        <w:t xml:space="preserve"> </w:t>
      </w:r>
      <w:r>
        <w:t xml:space="preserve">claims increases significantly the number of banks able to achieve the 8% TLOF threshold</w:t>
      </w:r>
      <w:r>
        <w:t xml:space="preserve"> </w:t>
      </w:r>
      <w:r>
        <w:t xml:space="preserve">without impacting deposits compared to the baseline hierarchy of claims. The impact on the</w:t>
      </w:r>
      <w:r>
        <w:t xml:space="preserve"> </w:t>
      </w:r>
      <w:r>
        <w:t xml:space="preserve">three categories of deposits is influenced by their relative ranking in relation to each other</w:t>
      </w:r>
      <w:r>
        <w:t xml:space="preserve"> </w:t>
      </w:r>
      <w:r>
        <w:t xml:space="preserve">under the four alternative scenarios.</w:t>
      </w:r>
      <w:r>
        <w:br/>
      </w:r>
      <w:r>
        <w:t xml:space="preserve">When considering all 368 banks in the sample (resolution and liquidation strategies), the</w:t>
      </w:r>
      <w:r>
        <w:t xml:space="preserve"> </w:t>
      </w:r>
      <w:r>
        <w:t xml:space="preserve">number of banks able to reach the 8% TLOF threshold without impacting deposits increases by</w:t>
      </w:r>
      <w:r>
        <w:t xml:space="preserve"> </w:t>
      </w:r>
      <w:r>
        <w:t xml:space="preserve">16.5% from 272 under the baseline hierarchy of claims to 317 under each of the four</w:t>
      </w:r>
      <w:r>
        <w:t xml:space="preserve"> </w:t>
      </w:r>
      <w:r>
        <w:t xml:space="preserve">alternative scenarios of hierarchies of claims. In particular, no large banks would need deposits</w:t>
      </w:r>
      <w:r>
        <w:t xml:space="preserve"> </w:t>
      </w:r>
      <w:r>
        <w:t xml:space="preserve">to access 8% TLOF under the four alternative scenarios. When considering only banks with</w:t>
      </w:r>
      <w:r>
        <w:t xml:space="preserve"> </w:t>
      </w:r>
      <w:r>
        <w:t xml:space="preserve">resolution strategies as per 2019 PIA decisions (187 banks), the number of banks able to reach</w:t>
      </w:r>
      <w:r>
        <w:t xml:space="preserve"> </w:t>
      </w:r>
      <w:r>
        <w:t xml:space="preserve">the 8% TLOF threshold without impacting deposits increases by a similar percentage (16.1%)</w:t>
      </w:r>
      <w:r>
        <w:t xml:space="preserve"> </w:t>
      </w:r>
      <w:r>
        <w:t xml:space="preserve">from 143 under the baseline to 166 under each of the four alternative scenarios of hierarchies</w:t>
      </w:r>
      <w:r>
        <w:t xml:space="preserve"> </w:t>
      </w:r>
      <w:r>
        <w:t xml:space="preserve">of claims. However, the impact on non-preferred, preferred and covered deposits varies across</w:t>
      </w:r>
      <w:r>
        <w:t xml:space="preserve"> </w:t>
      </w:r>
      <w:r>
        <w:t xml:space="preserve">the four scenarios in function of when these rank pari passu or are preferred to each other. As</w:t>
      </w:r>
      <w:r>
        <w:t xml:space="preserve"> </w:t>
      </w:r>
      <w:r>
        <w:t xml:space="preserve">shown in Table 15, when comparing:</w:t>
      </w:r>
      <w:r>
        <w:br/>
      </w:r>
      <w:r>
        <w:t xml:space="preserve">-</w:t>
      </w:r>
      <w:r>
        <w:t xml:space="preserve"> </w:t>
      </w:r>
      <w:r>
        <w:t xml:space="preserve">Baseline versus 2nd scenario (single-tier deposit preference, all deposits pari passu): the</w:t>
      </w:r>
      <w:r>
        <w:t xml:space="preserve"> </w:t>
      </w:r>
      <w:r>
        <w:t xml:space="preserve">number of banks with impacted non-preferred, preferred and covered deposits changes</w:t>
      </w:r>
      <w:r>
        <w:t xml:space="preserve"> </w:t>
      </w:r>
      <w:r>
        <w:t xml:space="preserve">from 81, 8 and 2 respectively to 48 (when only banks with resolution strategies are</w:t>
      </w:r>
      <w:r>
        <w:t xml:space="preserve"> </w:t>
      </w:r>
      <w:r>
        <w:t xml:space="preserve">considered, it changes from 39, 1 and 2 banks respectively to 20);</w:t>
      </w:r>
      <w:r>
        <w:t xml:space="preserve"> </w:t>
      </w:r>
      <w:r>
        <w:t xml:space="preserve">-</w:t>
      </w:r>
      <w:r>
        <w:t xml:space="preserve"> </w:t>
      </w:r>
      <w:r>
        <w:t xml:space="preserve">Baseline versus 3rd scenario (three-tier deposit preference, no pari passu): the number</w:t>
      </w:r>
      <w:r>
        <w:t xml:space="preserve"> </w:t>
      </w:r>
      <w:r>
        <w:t xml:space="preserve">of banks with impacted non-preferred decreases from 81 to 38, while the number of</w:t>
      </w:r>
      <w:r>
        <w:t xml:space="preserve"> </w:t>
      </w:r>
      <w:r>
        <w:t xml:space="preserve">banks with impacted preferred and covered deposits stays the same (8 and 2</w:t>
      </w:r>
      <w:r>
        <w:t xml:space="preserve"> </w:t>
      </w:r>
      <w:r>
        <w:t xml:space="preserve">respectively) (when only banks with resolution strategies are considered the decrease in</w:t>
      </w:r>
    </w:p>
    <w:p>
      <w:pPr>
        <w:pStyle w:val="BodyText"/>
      </w:pPr>
      <w:r>
        <w:t xml:space="preserve">260</w:t>
      </w:r>
      <w:r>
        <w:t xml:space="preserve"> </w:t>
      </w:r>
      <w:r>
        <w:t xml:space="preserve">number of banks with impacted non-preferred deposits is from 39 to 17, from 2 to 1</w:t>
      </w:r>
      <w:r>
        <w:t xml:space="preserve"> </w:t>
      </w:r>
      <w:r>
        <w:t xml:space="preserve">with preferred deposits, and always one bank with covered deposits);</w:t>
      </w:r>
      <w:r>
        <w:t xml:space="preserve"> </w:t>
      </w:r>
      <w:r>
        <w:t xml:space="preserve">-</w:t>
      </w:r>
      <w:r>
        <w:t xml:space="preserve"> </w:t>
      </w:r>
      <w:r>
        <w:t xml:space="preserve">Baseline versus 4th scenario (two-tier deposit preference with super-preference of</w:t>
      </w:r>
      <w:r>
        <w:t xml:space="preserve"> </w:t>
      </w:r>
      <w:r>
        <w:t xml:space="preserve">covered deposits, non-preferred and preferred deposits pari passu): the number of</w:t>
      </w:r>
      <w:r>
        <w:t xml:space="preserve"> </w:t>
      </w:r>
      <w:r>
        <w:t xml:space="preserve">banks with impacted non-preferred and preferred deposits changes from 81 and 8</w:t>
      </w:r>
      <w:r>
        <w:t xml:space="preserve"> </w:t>
      </w:r>
      <w:r>
        <w:t xml:space="preserve">respectively to 46, while the number of banks with impacted covered deposits stays the</w:t>
      </w:r>
      <w:r>
        <w:t xml:space="preserve"> </w:t>
      </w:r>
      <w:r>
        <w:t xml:space="preserve">same (2) (when only banks with resolution strategies are considered the number of</w:t>
      </w:r>
      <w:r>
        <w:t xml:space="preserve"> </w:t>
      </w:r>
      <w:r>
        <w:t xml:space="preserve">banks with impacted non-preferred and preferred deposits changes from 39 and 1</w:t>
      </w:r>
      <w:r>
        <w:t xml:space="preserve"> </w:t>
      </w:r>
      <w:r>
        <w:t xml:space="preserve">respectively to 18);</w:t>
      </w:r>
      <w:r>
        <w:t xml:space="preserve"> </w:t>
      </w:r>
      <w:r>
        <w:t xml:space="preserve">-</w:t>
      </w:r>
      <w:r>
        <w:t xml:space="preserve"> </w:t>
      </w:r>
      <w:r>
        <w:t xml:space="preserve">Baseline versus 5th scenario (two-tier deposit preference with preferred and covered</w:t>
      </w:r>
      <w:r>
        <w:t xml:space="preserve"> </w:t>
      </w:r>
      <w:r>
        <w:t xml:space="preserve">deposits pari passu): the number of banks with impacted non-preferred deposits</w:t>
      </w:r>
      <w:r>
        <w:t xml:space="preserve"> </w:t>
      </w:r>
      <w:r>
        <w:t xml:space="preserve">decreases from 81 to 38, while the number of banks with impacted preferred and</w:t>
      </w:r>
      <w:r>
        <w:t xml:space="preserve"> </w:t>
      </w:r>
      <w:r>
        <w:t xml:space="preserve">covered deposits increase from 8 and 2 respectively to 10 (when only banks with</w:t>
      </w:r>
      <w:r>
        <w:t xml:space="preserve"> </w:t>
      </w:r>
      <w:r>
        <w:t xml:space="preserve">resolution strategies are considered, the number of banks with impacted non-preferred</w:t>
      </w:r>
      <w:r>
        <w:t xml:space="preserve"> </w:t>
      </w:r>
      <w:r>
        <w:t xml:space="preserve">deposits decreases from 39 to 17, while the number of banks with impacted preferred</w:t>
      </w:r>
      <w:r>
        <w:t xml:space="preserve"> </w:t>
      </w:r>
      <w:r>
        <w:t xml:space="preserve">and covered deposits increase from 1 and 2 respectively to 3).</w:t>
      </w:r>
    </w:p>
    <w:p>
      <w:pPr>
        <w:pStyle w:val="BodyText"/>
      </w:pPr>
      <w:r>
        <w:t xml:space="preserve">In terms of materiality, when considering all banks in the sample, the aggregated amount of</w:t>
      </w:r>
      <w:r>
        <w:t xml:space="preserve"> </w:t>
      </w:r>
      <w:r>
        <w:t xml:space="preserve">impacted deposits decreases from EUR 18.3 bn under the baseline scenario to EUR 6.4 bn</w:t>
      </w:r>
      <w:r>
        <w:t xml:space="preserve"> </w:t>
      </w:r>
      <w:r>
        <w:t xml:space="preserve">under each of the four depositor hierarchy scenarios. When considering only banks with</w:t>
      </w:r>
      <w:r>
        <w:t xml:space="preserve"> </w:t>
      </w:r>
      <w:r>
        <w:t xml:space="preserve">resolution strategies as per Q4 2019 PIA decisions, the aggregated amount of impacted</w:t>
      </w:r>
      <w:r>
        <w:t xml:space="preserve"> </w:t>
      </w:r>
      <w:r>
        <w:t xml:space="preserve">deposits decreases from EUR 14.2 bn under the baseline to EUR 4.6 bn under each of the four</w:t>
      </w:r>
      <w:r>
        <w:t xml:space="preserve"> </w:t>
      </w:r>
      <w:r>
        <w:t xml:space="preserve">depositor hierarchy scenarios. This significant improvement in terms of depositor protection is</w:t>
      </w:r>
      <w:r>
        <w:t xml:space="preserve"> </w:t>
      </w:r>
      <w:r>
        <w:t xml:space="preserve">enabled by the preference of deposits in relation to senior unsecured claims.</w:t>
      </w:r>
      <w:r>
        <w:br/>
      </w:r>
      <w:r>
        <w:t xml:space="preserve">The biggest improvement in terms of protected non-preferred deposits is recorded when</w:t>
      </w:r>
      <w:r>
        <w:t xml:space="preserve"> </w:t>
      </w:r>
      <w:r>
        <w:t xml:space="preserve">comparing the baseline (on aggregate EUR 17.2 bn (0.6% TLOF) impacted non-preferred</w:t>
      </w:r>
      <w:r>
        <w:t xml:space="preserve"> </w:t>
      </w:r>
      <w:r>
        <w:t xml:space="preserve">deposits for 81 banks) against the single-tier depositor preference scenario (EUR 2.7 bn (0.6%</w:t>
      </w:r>
      <w:r>
        <w:t xml:space="preserve"> </w:t>
      </w:r>
      <w:r>
        <w:t xml:space="preserve">TLOF) impacted non-preferred deposits for 48 banks) when reaching 8% TLOF. The</w:t>
      </w:r>
      <w:r>
        <w:t xml:space="preserve"> </w:t>
      </w:r>
      <w:r>
        <w:t xml:space="preserve">aggregated amount of covered deposits, which in theory would be impacted in this simulation</w:t>
      </w:r>
      <w:r>
        <w:t xml:space="preserve"> </w:t>
      </w:r>
      <w:r>
        <w:t xml:space="preserve">when reaching 8% TLOF, would increase from EUR 0.3 bn (4.4% TLOF) for two banks under</w:t>
      </w:r>
      <w:r>
        <w:t xml:space="preserve"> </w:t>
      </w:r>
      <w:r>
        <w:t xml:space="preserve">the baseline to EUR 2.8 bn (0.8% TLOF) for 48 banks under the single-tier preference.</w:t>
      </w:r>
      <w:r>
        <w:br/>
      </w:r>
      <w:r>
        <w:t xml:space="preserve">However, the impact of changing the relative ranking of covered deposits vis-à-vis other</w:t>
      </w:r>
      <w:r>
        <w:t xml:space="preserve"> </w:t>
      </w:r>
      <w:r>
        <w:t xml:space="preserve">deposits by ensuring a single ranking does not affect or decrease in any way the protection of</w:t>
      </w:r>
      <w:r>
        <w:t xml:space="preserve"> </w:t>
      </w:r>
      <w:r>
        <w:t xml:space="preserve">the covered deposits. As also detailed in Annex 8 and Chapter 5 (section 5.5) this is because of</w:t>
      </w:r>
      <w:r>
        <w:t xml:space="preserve"> </w:t>
      </w:r>
      <w:r>
        <w:t xml:space="preserve">the following reasons: (i) covered deposits continue to be excluded from bail-in as per</w:t>
      </w:r>
      <w:r>
        <w:t xml:space="preserve"> </w:t>
      </w:r>
      <w:r>
        <w:t xml:space="preserve">Article 44(2) BRRD; (ii) the protection of covered deposits is not defined by their ranking, but</w:t>
      </w:r>
      <w:r>
        <w:t xml:space="preserve"> </w:t>
      </w:r>
      <w:r>
        <w:t xml:space="preserve">by being defined as eligible deposits (i.e. they are not excluded from DGS protection) up to the</w:t>
      </w:r>
      <w:r>
        <w:t xml:space="preserve"> </w:t>
      </w:r>
      <w:r>
        <w:t xml:space="preserve">coverage amount whose repayment is guaranteed by the DGS (generally, EUR 100 000); (iii)</w:t>
      </w:r>
      <w:r>
        <w:t xml:space="preserve"> </w:t>
      </w:r>
      <w:r>
        <w:t xml:space="preserve">the protection of cover deposits can be ensured by the DGS through alternative interventions</w:t>
      </w:r>
      <w:r>
        <w:t xml:space="preserve"> </w:t>
      </w:r>
      <w:r>
        <w:t xml:space="preserve">such as contribution to resolution (to bridge the gap to 8% TLOF in order to gain access to the</w:t>
      </w:r>
      <w:r>
        <w:t xml:space="preserve"> </w:t>
      </w:r>
      <w:r>
        <w:t xml:space="preserve">RF/SRF or independently from using the RF/SRF, e.g. when transferring deposits to an</w:t>
      </w:r>
      <w:r>
        <w:t xml:space="preserve"> </w:t>
      </w:r>
      <w:r>
        <w:t xml:space="preserve">acquirer as part of resolution action) or to alternative measures in insolvency (e.g. when</w:t>
      </w:r>
    </w:p>
    <w:p>
      <w:pPr>
        <w:pStyle w:val="BodyText"/>
      </w:pPr>
      <w:r>
        <w:t xml:space="preserve">261</w:t>
      </w:r>
      <w:r>
        <w:t xml:space="preserve"> </w:t>
      </w:r>
      <w:r>
        <w:t xml:space="preserve">transferring deposits of a bank with negative PIA to an acquirer as part of insolvency</w:t>
      </w:r>
      <w:r>
        <w:t xml:space="preserve"> </w:t>
      </w:r>
      <w:r>
        <w:t xml:space="preserve">proceedings).</w:t>
      </w:r>
      <w:r>
        <w:br/>
      </w:r>
      <w:r>
        <w:t xml:space="preserve">In terms of geographical distribution, in two Member States, the number of banks without</w:t>
      </w:r>
      <w:r>
        <w:t xml:space="preserve"> </w:t>
      </w:r>
      <w:r>
        <w:t xml:space="preserve">impacted deposits increased by 200% when comparing the baseline with a scenario where a</w:t>
      </w:r>
      <w:r>
        <w:t xml:space="preserve"> </w:t>
      </w:r>
      <w:r>
        <w:t xml:space="preserve">single-tier depositor preference is introduced and increased by more than 30% in four other</w:t>
      </w:r>
      <w:r>
        <w:t xml:space="preserve"> </w:t>
      </w:r>
      <w:r>
        <w:t xml:space="preserve">Member States when all the sample was considered.</w:t>
      </w:r>
      <w:r>
        <w:t xml:space="preserve"> </w:t>
      </w:r>
      <w:r>
        <w:t xml:space="preserve">Table 15: Reaching 8% TLOF – Baseline versus depositor preference scenarios</w:t>
      </w:r>
    </w:p>
    <w:p>
      <w:pPr>
        <w:pStyle w:val="Compact"/>
        <w:numPr>
          <w:ilvl w:val="0"/>
          <w:numId w:val="1036"/>
        </w:numPr>
      </w:pPr>
      <w:r>
        <w:t xml:space="preserve">Instituti</w:t>
      </w:r>
      <w:r>
        <w:t xml:space="preserve"> </w:t>
      </w:r>
      <w:r>
        <w:t xml:space="preserve">ons</w:t>
      </w:r>
      <w:r>
        <w:t xml:space="preserve"> </w:t>
      </w:r>
      <w:r>
        <w:t xml:space="preserve">reaching</w:t>
      </w:r>
      <w:r>
        <w:t xml:space="preserve"> </w:t>
      </w:r>
      <w:r>
        <w:t xml:space="preserve">8%</w:t>
      </w:r>
      <w:r>
        <w:t xml:space="preserve"> </w:t>
      </w:r>
      <w:r>
        <w:t xml:space="preserve">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 non-</w:t>
      </w:r>
      <w:r>
        <w:t xml:space="preserve"> </w:t>
      </w:r>
      <w:r>
        <w:t xml:space="preserve">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Hierarchy</w:t>
      </w:r>
      <w:r>
        <w:t xml:space="preserve"> </w:t>
      </w:r>
      <w:r>
        <w:t xml:space="preserve">2 - Single-tier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166</w:t>
      </w:r>
      <w:r>
        <w:t xml:space="preserve"> </w:t>
      </w:r>
      <w:r>
        <w:t xml:space="preserve">28</w:t>
      </w:r>
      <w:r>
        <w:t xml:space="preserve"> </w:t>
      </w:r>
      <w:r>
        <w:t xml:space="preserve">0.70%</w:t>
      </w:r>
      <w:r>
        <w:t xml:space="preserve"> </w:t>
      </w:r>
      <w:r>
        <w:t xml:space="preserve">28</w:t>
      </w:r>
      <w:r>
        <w:t xml:space="preserve"> </w:t>
      </w:r>
      <w:r>
        <w:t xml:space="preserve">0.77%</w:t>
      </w:r>
      <w:r>
        <w:t xml:space="preserve"> </w:t>
      </w:r>
      <w:r>
        <w:t xml:space="preserve">28</w:t>
      </w:r>
      <w:r>
        <w:t xml:space="preserve"> </w:t>
      </w:r>
      <w:r>
        <w:t xml:space="preserve">0.92%</w:t>
      </w:r>
      <w:r>
        <w:t xml:space="preserve"> </w:t>
      </w:r>
      <w:r>
        <w:t xml:space="preserve">1</w:t>
      </w:r>
      <w:r>
        <w:t xml:space="preserve"> </w:t>
      </w:r>
      <w:r>
        <w:t xml:space="preserve">0.16%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102</w:t>
      </w:r>
      <w:r>
        <w:t xml:space="preserve"> </w:t>
      </w:r>
      <w:r>
        <w:t xml:space="preserve">20</w:t>
      </w:r>
      <w:r>
        <w:t xml:space="preserve"> </w:t>
      </w:r>
      <w:r>
        <w:t xml:space="preserve">0.61%</w:t>
      </w:r>
      <w:r>
        <w:t xml:space="preserve"> </w:t>
      </w:r>
      <w:r>
        <w:t xml:space="preserve">20</w:t>
      </w:r>
      <w:r>
        <w:t xml:space="preserve"> </w:t>
      </w:r>
      <w:r>
        <w:t xml:space="preserve">0.27%</w:t>
      </w:r>
      <w:r>
        <w:t xml:space="preserve"> </w:t>
      </w:r>
      <w:r>
        <w:t xml:space="preserve">20</w:t>
      </w:r>
      <w:r>
        <w:t xml:space="preserve"> </w:t>
      </w:r>
      <w:r>
        <w:t xml:space="preserve">0.82%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49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Resolution</w:t>
      </w:r>
      <w:r>
        <w:br/>
      </w:r>
      <w:r>
        <w:t xml:space="preserve">187</w:t>
      </w:r>
      <w:r>
        <w:t xml:space="preserve"> </w:t>
      </w:r>
      <w:r>
        <w:t xml:space="preserve">166</w:t>
      </w:r>
      <w:r>
        <w:t xml:space="preserve"> </w:t>
      </w:r>
      <w:r>
        <w:t xml:space="preserve">20</w:t>
      </w:r>
      <w:r>
        <w:t xml:space="preserve"> </w:t>
      </w:r>
      <w:r>
        <w:t xml:space="preserve">0.63%</w:t>
      </w:r>
      <w:r>
        <w:t xml:space="preserve"> </w:t>
      </w:r>
      <w:r>
        <w:t xml:space="preserve">20</w:t>
      </w:r>
      <w:r>
        <w:t xml:space="preserve"> </w:t>
      </w:r>
      <w:r>
        <w:t xml:space="preserve">0.27%</w:t>
      </w:r>
      <w:r>
        <w:t xml:space="preserve"> </w:t>
      </w:r>
      <w:r>
        <w:t xml:space="preserve">20</w:t>
      </w:r>
      <w:r>
        <w:t xml:space="preserve"> </w:t>
      </w:r>
      <w:r>
        <w:t xml:space="preserve">1.12%</w:t>
      </w:r>
      <w:r>
        <w:t xml:space="preserve"> </w:t>
      </w:r>
      <w:r>
        <w:t xml:space="preserve">1</w:t>
      </w:r>
      <w:r>
        <w:t xml:space="preserve"> </w:t>
      </w:r>
      <w:r>
        <w:t xml:space="preserve">0.41%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151</w:t>
      </w:r>
      <w:r>
        <w:t xml:space="preserve"> </w:t>
      </w:r>
      <w:r>
        <w:t xml:space="preserve">28</w:t>
      </w:r>
      <w:r>
        <w:t xml:space="preserve"> </w:t>
      </w:r>
      <w:r>
        <w:t xml:space="preserve">0.60%</w:t>
      </w:r>
      <w:r>
        <w:t xml:space="preserve"> </w:t>
      </w:r>
      <w:r>
        <w:t xml:space="preserve">28</w:t>
      </w:r>
      <w:r>
        <w:t xml:space="preserve"> </w:t>
      </w:r>
      <w:r>
        <w:t xml:space="preserve">0.42%</w:t>
      </w:r>
      <w:r>
        <w:t xml:space="preserve"> </w:t>
      </w:r>
      <w:r>
        <w:t xml:space="preserve">28</w:t>
      </w:r>
      <w:r>
        <w:t xml:space="preserve"> </w:t>
      </w:r>
      <w:r>
        <w:t xml:space="preserve">0.40%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102</w:t>
      </w:r>
      <w:r>
        <w:t xml:space="preserve"> </w:t>
      </w:r>
      <w:r>
        <w:t xml:space="preserve">2</w:t>
      </w:r>
      <w:r>
        <w:t xml:space="preserve"> </w:t>
      </w:r>
      <w:r>
        <w:t xml:space="preserve">0.98%</w:t>
      </w:r>
      <w:r>
        <w:t xml:space="preserve"> </w:t>
      </w:r>
      <w:r>
        <w:t xml:space="preserve">2</w:t>
      </w:r>
      <w:r>
        <w:t xml:space="preserve"> </w:t>
      </w:r>
      <w:r>
        <w:t xml:space="preserve">0.48%</w:t>
      </w:r>
      <w:r>
        <w:t xml:space="preserve"> </w:t>
      </w:r>
      <w:r>
        <w:t xml:space="preserve">2</w:t>
      </w:r>
      <w:r>
        <w:t xml:space="preserve"> </w:t>
      </w:r>
      <w:r>
        <w:t xml:space="preserve">2.54%</w:t>
      </w:r>
      <w:r>
        <w:t xml:space="preserve"> </w:t>
      </w:r>
      <w:r>
        <w:t xml:space="preserve">3</w:t>
      </w:r>
      <w:r>
        <w:t xml:space="preserve"> </w:t>
      </w:r>
      <w:r>
        <w:t xml:space="preserve">0.42%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38</w:t>
      </w:r>
      <w:r>
        <w:t xml:space="preserve"> </w:t>
      </w:r>
      <w:r>
        <w:t xml:space="preserve">6</w:t>
      </w:r>
      <w:r>
        <w:t xml:space="preserve"> </w:t>
      </w:r>
      <w:r>
        <w:t xml:space="preserve">0.27%</w:t>
      </w:r>
      <w:r>
        <w:t xml:space="preserve"> </w:t>
      </w:r>
      <w:r>
        <w:t xml:space="preserve">6</w:t>
      </w:r>
      <w:r>
        <w:t xml:space="preserve"> </w:t>
      </w:r>
      <w:r>
        <w:t xml:space="preserve">0.25%</w:t>
      </w:r>
      <w:r>
        <w:t xml:space="preserve"> </w:t>
      </w:r>
      <w:r>
        <w:t xml:space="preserve">6</w:t>
      </w:r>
      <w:r>
        <w:t xml:space="preserve"> </w:t>
      </w:r>
      <w:r>
        <w:t xml:space="preserve">1.32%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60</w:t>
      </w:r>
      <w:r>
        <w:t xml:space="preserve"> </w:t>
      </w:r>
      <w:r>
        <w:t xml:space="preserve">3</w:t>
      </w:r>
      <w:r>
        <w:t xml:space="preserve"> </w:t>
      </w:r>
      <w:r>
        <w:t xml:space="preserve">1.84%</w:t>
      </w:r>
      <w:r>
        <w:t xml:space="preserve"> </w:t>
      </w:r>
      <w:r>
        <w:t xml:space="preserve">3</w:t>
      </w:r>
      <w:r>
        <w:t xml:space="preserve"> </w:t>
      </w:r>
      <w:r>
        <w:t xml:space="preserve">0.30%</w:t>
      </w:r>
      <w:r>
        <w:t xml:space="preserve"> </w:t>
      </w:r>
      <w:r>
        <w:t xml:space="preserve">3</w:t>
      </w:r>
      <w:r>
        <w:t xml:space="preserve"> </w:t>
      </w:r>
      <w:r>
        <w:t xml:space="preserve">0.56%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117</w:t>
      </w:r>
      <w:r>
        <w:t xml:space="preserve"> </w:t>
      </w:r>
      <w:r>
        <w:t xml:space="preserve">37</w:t>
      </w:r>
      <w:r>
        <w:t xml:space="preserve"> </w:t>
      </w:r>
      <w:r>
        <w:t xml:space="preserve">0.51%</w:t>
      </w:r>
      <w:r>
        <w:t xml:space="preserve"> </w:t>
      </w:r>
      <w:r>
        <w:t xml:space="preserve">37</w:t>
      </w:r>
      <w:r>
        <w:t xml:space="preserve"> </w:t>
      </w:r>
      <w:r>
        <w:t xml:space="preserve">0.36%</w:t>
      </w:r>
      <w:r>
        <w:t xml:space="preserve"> </w:t>
      </w:r>
      <w:r>
        <w:t xml:space="preserve">37</w:t>
      </w:r>
      <w:r>
        <w:t xml:space="preserve"> </w:t>
      </w:r>
      <w:r>
        <w:t xml:space="preserve">0.69%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317</w:t>
      </w:r>
      <w:r>
        <w:t xml:space="preserve"> </w:t>
      </w:r>
      <w:r>
        <w:t xml:space="preserve">48</w:t>
      </w:r>
    </w:p>
    <w:p>
      <w:pPr>
        <w:pStyle w:val="FirstParagraph"/>
      </w:pPr>
      <w:r>
        <w:t xml:space="preserve">48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262</w:t>
      </w:r>
    </w:p>
    <w:p>
      <w:pPr>
        <w:pStyle w:val="Compact"/>
        <w:numPr>
          <w:ilvl w:val="0"/>
          <w:numId w:val="1037"/>
        </w:numPr>
      </w:pPr>
      <w:r>
        <w:t xml:space="preserve">Institutions</w:t>
      </w:r>
      <w:r>
        <w:t xml:space="preserve"> </w:t>
      </w:r>
      <w:r>
        <w:t xml:space="preserve">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non-preferred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Hierarchy</w:t>
      </w:r>
      <w:r>
        <w:t xml:space="preserve"> </w:t>
      </w:r>
      <w:r>
        <w:t xml:space="preserve">3 - Three-tier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166</w:t>
      </w:r>
      <w:r>
        <w:t xml:space="preserve"> </w:t>
      </w:r>
      <w:r>
        <w:t xml:space="preserve">20</w:t>
      </w:r>
      <w:r>
        <w:t xml:space="preserve"> </w:t>
      </w:r>
      <w:r>
        <w:t xml:space="preserve">1.80%</w:t>
      </w:r>
      <w:r>
        <w:t xml:space="preserve"> </w:t>
      </w:r>
      <w:r>
        <w:t xml:space="preserve">7</w:t>
      </w:r>
      <w:r>
        <w:t xml:space="preserve"> </w:t>
      </w:r>
      <w:r>
        <w:t xml:space="preserve">1.99%</w:t>
      </w:r>
      <w:r>
        <w:t xml:space="preserve"> </w:t>
      </w:r>
      <w:r>
        <w:t xml:space="preserve">1</w:t>
      </w:r>
      <w:r>
        <w:t xml:space="preserve"> </w:t>
      </w:r>
      <w:r>
        <w:t xml:space="preserve">1.06%</w:t>
      </w:r>
      <w:r>
        <w:t xml:space="preserve"> </w:t>
      </w:r>
      <w:r>
        <w:t xml:space="preserve">1</w:t>
      </w:r>
      <w:r>
        <w:t xml:space="preserve"> </w:t>
      </w:r>
      <w:r>
        <w:t xml:space="preserve">0.16%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102</w:t>
      </w:r>
      <w:r>
        <w:t xml:space="preserve"> </w:t>
      </w:r>
      <w:r>
        <w:t xml:space="preserve">18</w:t>
      </w:r>
      <w:r>
        <w:t xml:space="preserve"> </w:t>
      </w:r>
      <w:r>
        <w:t xml:space="preserve">1.16%</w:t>
      </w:r>
      <w:r>
        <w:t xml:space="preserve"> </w:t>
      </w:r>
      <w:r>
        <w:t xml:space="preserve">1</w:t>
      </w:r>
      <w:r>
        <w:t xml:space="preserve"> </w:t>
      </w:r>
      <w:r>
        <w:t xml:space="preserve">1.94%</w:t>
      </w:r>
      <w:r>
        <w:t xml:space="preserve"> </w:t>
      </w:r>
      <w:r>
        <w:t xml:space="preserve">1</w:t>
      </w:r>
      <w:r>
        <w:t xml:space="preserve"> </w:t>
      </w:r>
      <w:r>
        <w:t xml:space="preserve">4.45%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49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Resolution</w:t>
      </w:r>
      <w:r>
        <w:br/>
      </w:r>
      <w:r>
        <w:t xml:space="preserve">187</w:t>
      </w:r>
      <w:r>
        <w:t xml:space="preserve"> </w:t>
      </w:r>
      <w:r>
        <w:t xml:space="preserve">166</w:t>
      </w:r>
      <w:r>
        <w:t xml:space="preserve"> </w:t>
      </w:r>
      <w:r>
        <w:t xml:space="preserve">17</w:t>
      </w:r>
      <w:r>
        <w:t xml:space="preserve"> </w:t>
      </w:r>
      <w:r>
        <w:t xml:space="preserve">1.21%</w:t>
      </w:r>
      <w:r>
        <w:t xml:space="preserve"> </w:t>
      </w:r>
      <w:r>
        <w:t xml:space="preserve">1</w:t>
      </w:r>
      <w:r>
        <w:t xml:space="preserve"> </w:t>
      </w:r>
      <w:r>
        <w:t xml:space="preserve">1.93%</w:t>
      </w:r>
      <w:r>
        <w:t xml:space="preserve"> </w:t>
      </w:r>
      <w:r>
        <w:t xml:space="preserve">2</w:t>
      </w:r>
      <w:r>
        <w:t xml:space="preserve"> </w:t>
      </w:r>
      <w:r>
        <w:t xml:space="preserve">4.35%</w:t>
      </w:r>
      <w:r>
        <w:t xml:space="preserve"> </w:t>
      </w:r>
      <w:r>
        <w:t xml:space="preserve">1</w:t>
      </w:r>
      <w:r>
        <w:t xml:space="preserve"> </w:t>
      </w:r>
      <w:r>
        <w:t xml:space="preserve">0.41%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151</w:t>
      </w:r>
      <w:r>
        <w:t xml:space="preserve"> </w:t>
      </w:r>
      <w:r>
        <w:t xml:space="preserve">21</w:t>
      </w:r>
      <w:r>
        <w:t xml:space="preserve"> </w:t>
      </w:r>
      <w:r>
        <w:t xml:space="preserve">1.17%</w:t>
      </w:r>
      <w:r>
        <w:t xml:space="preserve"> </w:t>
      </w:r>
      <w:r>
        <w:t xml:space="preserve">7</w:t>
      </w:r>
      <w:r>
        <w:t xml:space="preserve"> </w:t>
      </w:r>
      <w:r>
        <w:t xml:space="preserve">2.02%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102</w:t>
      </w:r>
      <w:r>
        <w:t xml:space="preserve"> </w:t>
      </w:r>
      <w:r>
        <w:t xml:space="preserve">1</w:t>
      </w:r>
      <w:r>
        <w:t xml:space="preserve"> </w:t>
      </w:r>
      <w:r>
        <w:t xml:space="preserve">1.00%</w:t>
      </w:r>
      <w:r>
        <w:t xml:space="preserve"> </w:t>
      </w:r>
      <w:r>
        <w:t xml:space="preserve">1</w:t>
      </w:r>
      <w:r>
        <w:t xml:space="preserve"> </w:t>
      </w:r>
      <w:r>
        <w:t xml:space="preserve">1.93%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3</w:t>
      </w:r>
      <w:r>
        <w:t xml:space="preserve"> </w:t>
      </w:r>
      <w:r>
        <w:t xml:space="preserve">0.42%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38</w:t>
      </w:r>
      <w:r>
        <w:t xml:space="preserve"> </w:t>
      </w:r>
      <w:r>
        <w:t xml:space="preserve">6</w:t>
      </w:r>
      <w:r>
        <w:t xml:space="preserve"> </w:t>
      </w:r>
      <w:r>
        <w:t xml:space="preserve">1.83%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60</w:t>
      </w:r>
      <w:r>
        <w:t xml:space="preserve"> </w:t>
      </w:r>
      <w:r>
        <w:t xml:space="preserve">3</w:t>
      </w:r>
      <w:r>
        <w:t xml:space="preserve"> </w:t>
      </w:r>
      <w:r>
        <w:t xml:space="preserve">2.54%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117</w:t>
      </w:r>
      <w:r>
        <w:t xml:space="preserve"> </w:t>
      </w:r>
      <w:r>
        <w:t xml:space="preserve">28</w:t>
      </w:r>
      <w:r>
        <w:t xml:space="preserve"> </w:t>
      </w:r>
      <w:r>
        <w:t xml:space="preserve">1.05%</w:t>
      </w:r>
      <w:r>
        <w:t xml:space="preserve"> </w:t>
      </w:r>
      <w:r>
        <w:t xml:space="preserve">7</w:t>
      </w:r>
      <w:r>
        <w:t xml:space="preserve"> </w:t>
      </w:r>
      <w:r>
        <w:t xml:space="preserve">1.96%</w:t>
      </w:r>
      <w:r>
        <w:t xml:space="preserve"> </w:t>
      </w:r>
      <w:r>
        <w:t xml:space="preserve">2</w:t>
      </w:r>
      <w:r>
        <w:t xml:space="preserve"> </w:t>
      </w:r>
      <w:r>
        <w:t xml:space="preserve">4.35%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317</w:t>
      </w:r>
      <w:r>
        <w:t xml:space="preserve"> </w:t>
      </w:r>
      <w:r>
        <w:t xml:space="preserve">38</w:t>
      </w:r>
    </w:p>
    <w:p>
      <w:pPr>
        <w:pStyle w:val="FirstParagraph"/>
      </w:pPr>
      <w:r>
        <w:t xml:space="preserve">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38"/>
        </w:numPr>
      </w:pPr>
      <w:r>
        <w:t xml:space="preserve">Institutions</w:t>
      </w:r>
      <w:r>
        <w:t xml:space="preserve"> </w:t>
      </w:r>
      <w:r>
        <w:t xml:space="preserve">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non-preferred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Hierarchy</w:t>
      </w:r>
      <w:r>
        <w:t xml:space="preserve"> </w:t>
      </w:r>
      <w:r>
        <w:t xml:space="preserve">4 - Two-tier (covered senior to preferred)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166</w:t>
      </w:r>
      <w:r>
        <w:t xml:space="preserve"> </w:t>
      </w:r>
      <w:r>
        <w:t xml:space="preserve">27</w:t>
      </w:r>
      <w:r>
        <w:t xml:space="preserve"> </w:t>
      </w:r>
      <w:r>
        <w:t xml:space="preserve">0.95%</w:t>
      </w:r>
      <w:r>
        <w:t xml:space="preserve"> </w:t>
      </w:r>
      <w:r>
        <w:t xml:space="preserve">27</w:t>
      </w:r>
      <w:r>
        <w:t xml:space="preserve"> </w:t>
      </w:r>
      <w:r>
        <w:t xml:space="preserve">1.45%</w:t>
      </w:r>
      <w:r>
        <w:t xml:space="preserve"> </w:t>
      </w:r>
      <w:r>
        <w:t xml:space="preserve">1</w:t>
      </w:r>
      <w:r>
        <w:t xml:space="preserve"> </w:t>
      </w:r>
      <w:r>
        <w:t xml:space="preserve">1.06%</w:t>
      </w:r>
      <w:r>
        <w:t xml:space="preserve"> </w:t>
      </w:r>
      <w:r>
        <w:t xml:space="preserve">1</w:t>
      </w:r>
      <w:r>
        <w:t xml:space="preserve"> </w:t>
      </w:r>
      <w:r>
        <w:t xml:space="preserve">0.16%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102</w:t>
      </w:r>
      <w:r>
        <w:t xml:space="preserve"> </w:t>
      </w:r>
      <w:r>
        <w:t xml:space="preserve">19</w:t>
      </w:r>
      <w:r>
        <w:t xml:space="preserve"> </w:t>
      </w:r>
      <w:r>
        <w:t xml:space="preserve">0.83%</w:t>
      </w:r>
      <w:r>
        <w:t xml:space="preserve"> </w:t>
      </w:r>
      <w:r>
        <w:t xml:space="preserve">19</w:t>
      </w:r>
      <w:r>
        <w:t xml:space="preserve"> </w:t>
      </w:r>
      <w:r>
        <w:t xml:space="preserve">0.87%</w:t>
      </w:r>
      <w:r>
        <w:t xml:space="preserve"> </w:t>
      </w:r>
      <w:r>
        <w:t xml:space="preserve">1</w:t>
      </w:r>
      <w:r>
        <w:t xml:space="preserve"> </w:t>
      </w:r>
      <w:r>
        <w:t xml:space="preserve">4.45%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49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Resolution</w:t>
      </w:r>
      <w:r>
        <w:br/>
      </w:r>
      <w:r>
        <w:t xml:space="preserve">187</w:t>
      </w:r>
      <w:r>
        <w:t xml:space="preserve"> </w:t>
      </w:r>
      <w:r>
        <w:t xml:space="preserve">166</w:t>
      </w:r>
      <w:r>
        <w:t xml:space="preserve"> </w:t>
      </w:r>
      <w:r>
        <w:t xml:space="preserve">18</w:t>
      </w:r>
      <w:r>
        <w:t xml:space="preserve"> </w:t>
      </w:r>
      <w:r>
        <w:t xml:space="preserve">0.89%</w:t>
      </w:r>
      <w:r>
        <w:t xml:space="preserve"> </w:t>
      </w:r>
      <w:r>
        <w:t xml:space="preserve">18</w:t>
      </w:r>
      <w:r>
        <w:t xml:space="preserve"> </w:t>
      </w:r>
      <w:r>
        <w:t xml:space="preserve">1.05%</w:t>
      </w:r>
      <w:r>
        <w:t xml:space="preserve"> </w:t>
      </w:r>
      <w:r>
        <w:t xml:space="preserve">2</w:t>
      </w:r>
      <w:r>
        <w:t xml:space="preserve"> </w:t>
      </w:r>
      <w:r>
        <w:t xml:space="preserve">4.35%</w:t>
      </w:r>
      <w:r>
        <w:t xml:space="preserve"> </w:t>
      </w:r>
      <w:r>
        <w:t xml:space="preserve">1</w:t>
      </w:r>
      <w:r>
        <w:t xml:space="preserve"> </w:t>
      </w:r>
      <w:r>
        <w:t xml:space="preserve">0.41%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151</w:t>
      </w:r>
      <w:r>
        <w:t xml:space="preserve"> </w:t>
      </w:r>
      <w:r>
        <w:t xml:space="preserve">28</w:t>
      </w:r>
      <w:r>
        <w:t xml:space="preserve"> </w:t>
      </w:r>
      <w:r>
        <w:t xml:space="preserve">0.73%</w:t>
      </w:r>
      <w:r>
        <w:t xml:space="preserve"> </w:t>
      </w:r>
      <w:r>
        <w:t xml:space="preserve">28</w:t>
      </w:r>
      <w:r>
        <w:t xml:space="preserve"> </w:t>
      </w:r>
      <w:r>
        <w:t xml:space="preserve">0.77%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102</w:t>
      </w:r>
      <w:r>
        <w:t xml:space="preserve"> </w:t>
      </w:r>
      <w:r>
        <w:t xml:space="preserve">2</w:t>
      </w:r>
      <w:r>
        <w:t xml:space="preserve"> </w:t>
      </w:r>
      <w:r>
        <w:t xml:space="preserve">0.99%</w:t>
      </w:r>
      <w:r>
        <w:t xml:space="preserve"> </w:t>
      </w:r>
      <w:r>
        <w:t xml:space="preserve">2</w:t>
      </w:r>
      <w:r>
        <w:t xml:space="preserve"> </w:t>
      </w:r>
      <w:r>
        <w:t xml:space="preserve">2.59%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3</w:t>
      </w:r>
      <w:r>
        <w:t xml:space="preserve"> </w:t>
      </w:r>
      <w:r>
        <w:t xml:space="preserve">0.42%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38</w:t>
      </w:r>
      <w:r>
        <w:t xml:space="preserve"> </w:t>
      </w:r>
      <w:r>
        <w:t xml:space="preserve">6</w:t>
      </w:r>
      <w:r>
        <w:t xml:space="preserve"> </w:t>
      </w:r>
      <w:r>
        <w:t xml:space="preserve">0.94%</w:t>
      </w:r>
      <w:r>
        <w:t xml:space="preserve"> </w:t>
      </w:r>
      <w:r>
        <w:t xml:space="preserve">6</w:t>
      </w:r>
      <w:r>
        <w:t xml:space="preserve"> </w:t>
      </w:r>
      <w:r>
        <w:t xml:space="preserve">0.90%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60</w:t>
      </w:r>
      <w:r>
        <w:t xml:space="preserve"> </w:t>
      </w:r>
      <w:r>
        <w:t xml:space="preserve">3</w:t>
      </w:r>
      <w:r>
        <w:t xml:space="preserve"> </w:t>
      </w:r>
      <w:r>
        <w:t xml:space="preserve">2.03%</w:t>
      </w:r>
      <w:r>
        <w:t xml:space="preserve"> </w:t>
      </w:r>
      <w:r>
        <w:t xml:space="preserve">3</w:t>
      </w:r>
      <w:r>
        <w:t xml:space="preserve"> </w:t>
      </w:r>
      <w:r>
        <w:t xml:space="preserve">1.07%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117</w:t>
      </w:r>
      <w:r>
        <w:t xml:space="preserve"> </w:t>
      </w:r>
      <w:r>
        <w:t xml:space="preserve">35</w:t>
      </w:r>
      <w:r>
        <w:t xml:space="preserve"> </w:t>
      </w:r>
      <w:r>
        <w:t xml:space="preserve">0.70%</w:t>
      </w:r>
      <w:r>
        <w:t xml:space="preserve"> </w:t>
      </w:r>
      <w:r>
        <w:t xml:space="preserve">35</w:t>
      </w:r>
      <w:r>
        <w:t xml:space="preserve"> </w:t>
      </w:r>
      <w:r>
        <w:t xml:space="preserve">0.94%</w:t>
      </w:r>
      <w:r>
        <w:t xml:space="preserve"> </w:t>
      </w:r>
      <w:r>
        <w:t xml:space="preserve">2</w:t>
      </w:r>
      <w:r>
        <w:t xml:space="preserve"> </w:t>
      </w:r>
      <w:r>
        <w:t xml:space="preserve">4.35%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317</w:t>
      </w:r>
      <w:r>
        <w:t xml:space="preserve"> </w:t>
      </w:r>
      <w:r>
        <w:t xml:space="preserve">46</w:t>
      </w:r>
    </w:p>
    <w:p>
      <w:pPr>
        <w:pStyle w:val="FirstParagraph"/>
      </w:pPr>
      <w:r>
        <w:t xml:space="preserve">46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263</w:t>
      </w:r>
    </w:p>
    <w:p>
      <w:pPr>
        <w:pStyle w:val="Compact"/>
        <w:numPr>
          <w:ilvl w:val="0"/>
          <w:numId w:val="1039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non-preferred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Hierarchy</w:t>
      </w:r>
      <w:r>
        <w:t xml:space="preserve"> </w:t>
      </w:r>
      <w:r>
        <w:t xml:space="preserve">5 - Two-tier (covered pari passu with preferred)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166</w:t>
      </w:r>
      <w:r>
        <w:t xml:space="preserve"> </w:t>
      </w:r>
      <w:r>
        <w:t xml:space="preserve">20</w:t>
      </w:r>
      <w:r>
        <w:t xml:space="preserve"> </w:t>
      </w:r>
      <w:r>
        <w:t xml:space="preserve">1.80%</w:t>
      </w:r>
      <w:r>
        <w:t xml:space="preserve"> </w:t>
      </w:r>
      <w:r>
        <w:t xml:space="preserve">8</w:t>
      </w:r>
      <w:r>
        <w:t xml:space="preserve"> </w:t>
      </w:r>
      <w:r>
        <w:t xml:space="preserve">1.23%</w:t>
      </w:r>
      <w:r>
        <w:t xml:space="preserve"> </w:t>
      </w:r>
      <w:r>
        <w:t xml:space="preserve">8</w:t>
      </w:r>
      <w:r>
        <w:t xml:space="preserve"> </w:t>
      </w:r>
      <w:r>
        <w:t xml:space="preserve">0.78%</w:t>
      </w:r>
      <w:r>
        <w:t xml:space="preserve"> </w:t>
      </w:r>
      <w:r>
        <w:t xml:space="preserve">1</w:t>
      </w:r>
      <w:r>
        <w:t xml:space="preserve"> </w:t>
      </w:r>
      <w:r>
        <w:t xml:space="preserve">0.16%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102</w:t>
      </w:r>
      <w:r>
        <w:t xml:space="preserve"> </w:t>
      </w:r>
      <w:r>
        <w:t xml:space="preserve">18</w:t>
      </w:r>
      <w:r>
        <w:t xml:space="preserve"> </w:t>
      </w:r>
      <w:r>
        <w:t xml:space="preserve">1.16%</w:t>
      </w:r>
      <w:r>
        <w:t xml:space="preserve"> </w:t>
      </w:r>
      <w:r>
        <w:t xml:space="preserve">2</w:t>
      </w:r>
      <w:r>
        <w:t xml:space="preserve"> </w:t>
      </w:r>
      <w:r>
        <w:t xml:space="preserve">0.46%</w:t>
      </w:r>
      <w:r>
        <w:t xml:space="preserve"> </w:t>
      </w:r>
      <w:r>
        <w:t xml:space="preserve">2</w:t>
      </w:r>
      <w:r>
        <w:t xml:space="preserve"> </w:t>
      </w:r>
      <w:r>
        <w:t xml:space="preserve">2.24%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49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Resolution</w:t>
      </w:r>
      <w:r>
        <w:br/>
      </w:r>
      <w:r>
        <w:t xml:space="preserve">187</w:t>
      </w:r>
      <w:r>
        <w:t xml:space="preserve"> </w:t>
      </w:r>
      <w:r>
        <w:t xml:space="preserve">166</w:t>
      </w:r>
      <w:r>
        <w:t xml:space="preserve"> </w:t>
      </w:r>
      <w:r>
        <w:t xml:space="preserve">17</w:t>
      </w:r>
      <w:r>
        <w:t xml:space="preserve"> </w:t>
      </w:r>
      <w:r>
        <w:t xml:space="preserve">1.21%</w:t>
      </w:r>
      <w:r>
        <w:t xml:space="preserve"> </w:t>
      </w:r>
      <w:r>
        <w:t xml:space="preserve">3</w:t>
      </w:r>
      <w:r>
        <w:t xml:space="preserve"> </w:t>
      </w:r>
      <w:r>
        <w:t xml:space="preserve">0.46%</w:t>
      </w:r>
      <w:r>
        <w:t xml:space="preserve"> </w:t>
      </w:r>
      <w:r>
        <w:t xml:space="preserve">3</w:t>
      </w:r>
      <w:r>
        <w:t xml:space="preserve"> </w:t>
      </w:r>
      <w:r>
        <w:t xml:space="preserve">2.23%</w:t>
      </w:r>
      <w:r>
        <w:t xml:space="preserve"> </w:t>
      </w:r>
      <w:r>
        <w:t xml:space="preserve">1</w:t>
      </w:r>
      <w:r>
        <w:t xml:space="preserve"> </w:t>
      </w:r>
      <w:r>
        <w:t xml:space="preserve">0.41%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151</w:t>
      </w:r>
      <w:r>
        <w:t xml:space="preserve"> </w:t>
      </w:r>
      <w:r>
        <w:t xml:space="preserve">21</w:t>
      </w:r>
      <w:r>
        <w:t xml:space="preserve"> </w:t>
      </w:r>
      <w:r>
        <w:t xml:space="preserve">1.17%</w:t>
      </w:r>
      <w:r>
        <w:t xml:space="preserve"> </w:t>
      </w:r>
      <w:r>
        <w:t xml:space="preserve">7</w:t>
      </w:r>
      <w:r>
        <w:t xml:space="preserve"> </w:t>
      </w:r>
      <w:r>
        <w:t xml:space="preserve">1.25%</w:t>
      </w:r>
      <w:r>
        <w:t xml:space="preserve"> </w:t>
      </w:r>
      <w:r>
        <w:t xml:space="preserve">7</w:t>
      </w:r>
      <w:r>
        <w:t xml:space="preserve"> </w:t>
      </w:r>
      <w:r>
        <w:t xml:space="preserve">0.77%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102</w:t>
      </w:r>
      <w:r>
        <w:t xml:space="preserve"> </w:t>
      </w:r>
      <w:r>
        <w:t xml:space="preserve">1</w:t>
      </w:r>
      <w:r>
        <w:t xml:space="preserve"> </w:t>
      </w:r>
      <w:r>
        <w:t xml:space="preserve">1.00%</w:t>
      </w:r>
      <w:r>
        <w:t xml:space="preserve"> </w:t>
      </w:r>
      <w:r>
        <w:t xml:space="preserve">1</w:t>
      </w:r>
      <w:r>
        <w:t xml:space="preserve"> </w:t>
      </w:r>
      <w:r>
        <w:t xml:space="preserve">0.31%</w:t>
      </w:r>
      <w:r>
        <w:t xml:space="preserve"> </w:t>
      </w:r>
      <w:r>
        <w:t xml:space="preserve">1</w:t>
      </w:r>
      <w:r>
        <w:t xml:space="preserve"> </w:t>
      </w:r>
      <w:r>
        <w:t xml:space="preserve">1.62%</w:t>
      </w:r>
      <w:r>
        <w:t xml:space="preserve"> </w:t>
      </w:r>
      <w:r>
        <w:t xml:space="preserve">3</w:t>
      </w:r>
      <w:r>
        <w:t xml:space="preserve"> </w:t>
      </w:r>
      <w:r>
        <w:t xml:space="preserve">0.42%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38</w:t>
      </w:r>
      <w:r>
        <w:t xml:space="preserve"> </w:t>
      </w:r>
      <w:r>
        <w:t xml:space="preserve">6</w:t>
      </w:r>
      <w:r>
        <w:t xml:space="preserve"> </w:t>
      </w:r>
      <w:r>
        <w:t xml:space="preserve">1.83%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60</w:t>
      </w:r>
      <w:r>
        <w:t xml:space="preserve"> </w:t>
      </w:r>
      <w:r>
        <w:t xml:space="preserve">3</w:t>
      </w:r>
      <w:r>
        <w:t xml:space="preserve"> </w:t>
      </w:r>
      <w:r>
        <w:t xml:space="preserve">2.54%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117</w:t>
      </w:r>
      <w:r>
        <w:t xml:space="preserve"> </w:t>
      </w:r>
      <w:r>
        <w:t xml:space="preserve">28</w:t>
      </w:r>
      <w:r>
        <w:t xml:space="preserve"> </w:t>
      </w:r>
      <w:r>
        <w:t xml:space="preserve">1.05%</w:t>
      </w:r>
      <w:r>
        <w:t xml:space="preserve"> </w:t>
      </w:r>
      <w:r>
        <w:t xml:space="preserve">9</w:t>
      </w:r>
      <w:r>
        <w:t xml:space="preserve"> </w:t>
      </w:r>
      <w:r>
        <w:t xml:space="preserve">0.65%</w:t>
      </w:r>
      <w:r>
        <w:t xml:space="preserve"> </w:t>
      </w:r>
      <w:r>
        <w:t xml:space="preserve">9</w:t>
      </w:r>
      <w:r>
        <w:t xml:space="preserve"> </w:t>
      </w:r>
      <w:r>
        <w:t xml:space="preserve">1.90%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317</w:t>
      </w:r>
      <w:r>
        <w:t xml:space="preserve"> </w:t>
      </w:r>
      <w:r>
        <w:t xml:space="preserve">38</w:t>
      </w:r>
    </w:p>
    <w:p>
      <w:pPr>
        <w:pStyle w:val="FirstParagraph"/>
      </w:pPr>
      <w:r>
        <w:t xml:space="preserve">10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Source: Commission services based on EBA CfA report and SRB data as of Q4 2019.</w:t>
      </w:r>
      <w:r>
        <w:t xml:space="preserve"> </w:t>
      </w:r>
      <w:r>
        <w:t xml:space="preserve">3.2.4. Baseline versus alternatives for bail-inable capacity</w:t>
      </w:r>
      <w:r>
        <w:t xml:space="preserve"> </w:t>
      </w:r>
      <w:r>
        <w:t xml:space="preserve">The results described in the previous sections assess the impacts of various scenarios when</w:t>
      </w:r>
      <w:r>
        <w:t xml:space="preserve"> </w:t>
      </w:r>
      <w:r>
        <w:t xml:space="preserve">considering the bail-inable capacity of banks (with the complete or partial exclusion of</w:t>
      </w:r>
      <w:r>
        <w:t xml:space="preserve"> </w:t>
      </w:r>
      <w:r>
        <w:t xml:space="preserve">deposits) as of Q4 2019. Additionally, as described in section 2.3, considering the final MREL</w:t>
      </w:r>
      <w:r>
        <w:t xml:space="preserve"> </w:t>
      </w:r>
      <w:r>
        <w:t xml:space="preserve">requirement that banks need to comply with by the end of the transitional period would</w:t>
      </w:r>
      <w:r>
        <w:t xml:space="preserve"> </w:t>
      </w:r>
      <w:r>
        <w:t xml:space="preserve">complement the previous results by also anticipating the ability of banks to meet 8% TLOF and</w:t>
      </w:r>
      <w:r>
        <w:t xml:space="preserve"> </w:t>
      </w:r>
      <w:r>
        <w:t xml:space="preserve">the assessment of DGS interventions in the steady state. However, based on the data available,</w:t>
      </w:r>
      <w:r>
        <w:t xml:space="preserve"> </w:t>
      </w:r>
      <w:r>
        <w:t xml:space="preserve">only one entity (out of 368) has a bail-inable capacity (including deposits) based on the 2019</w:t>
      </w:r>
      <w:r>
        <w:t xml:space="preserve"> </w:t>
      </w:r>
      <w:r>
        <w:t xml:space="preserve">balance sheet data that is currently lower than its estimated MREL target by the end of the</w:t>
      </w:r>
      <w:r>
        <w:t xml:space="preserve"> </w:t>
      </w:r>
      <w:r>
        <w:t xml:space="preserve">transition period. Irrespective of the possible changes of the bail-inable capacity linked to the</w:t>
      </w:r>
      <w:r>
        <w:t xml:space="preserve"> </w:t>
      </w:r>
      <w:r>
        <w:t xml:space="preserve">progressive path to the compliance with MREL requirements, the other analyses will therefore</w:t>
      </w:r>
      <w:r>
        <w:t xml:space="preserve"> </w:t>
      </w:r>
      <w:r>
        <w:t xml:space="preserve">not rely on this additional scenario (i.e. MREL requirement when higher than the bail-inable</w:t>
      </w:r>
      <w:r>
        <w:t xml:space="preserve"> </w:t>
      </w:r>
      <w:r>
        <w:t xml:space="preserve">capacity).</w:t>
      </w:r>
      <w:r>
        <w:t xml:space="preserve"> </w:t>
      </w:r>
      <w:r>
        <w:t xml:space="preserve">3.2.5. Combined scenarios</w:t>
      </w:r>
      <w:r>
        <w:t xml:space="preserve"> </w:t>
      </w:r>
      <w:r>
        <w:t xml:space="preserve">Combining the various dimensions of the statistical approach allows for a more accurate</w:t>
      </w:r>
      <w:r>
        <w:t xml:space="preserve"> </w:t>
      </w:r>
      <w:r>
        <w:t xml:space="preserve">description of the impacts along a set of reasonable assumptions underpinning the analysis of</w:t>
      </w:r>
      <w:r>
        <w:t xml:space="preserve"> </w:t>
      </w:r>
      <w:r>
        <w:t xml:space="preserve">the policy options.</w:t>
      </w:r>
      <w:r>
        <w:br/>
      </w:r>
      <w:r>
        <w:t xml:space="preserve">The tables included in this section are based on three selected combined scenarios (static</w:t>
      </w:r>
      <w:r>
        <w:t xml:space="preserve"> </w:t>
      </w:r>
      <w:r>
        <w:t xml:space="preserve">approach). While a larger number of combined scenarios could have been shown (25</w:t>
      </w:r>
    </w:p>
    <w:p>
      <w:pPr>
        <w:pStyle w:val="BodyText"/>
      </w:pPr>
      <w:r>
        <w:t xml:space="preserve">264</w:t>
      </w:r>
      <w:r>
        <w:t xml:space="preserve"> </w:t>
      </w:r>
      <w:r>
        <w:t xml:space="preserve">combinations of CET1 depletion and depositor preference), this section focuses on a selection</w:t>
      </w:r>
      <w:r>
        <w:t xml:space="preserve"> </w:t>
      </w:r>
      <w:r>
        <w:t xml:space="preserve">of reasonable combined scenarios in the context of the policy options. In particular, combined</w:t>
      </w:r>
      <w:r>
        <w:t xml:space="preserve"> </w:t>
      </w:r>
      <w:r>
        <w:t xml:space="preserve">scenario 1 underpins the retained policy option, while the additional combined scenarios</w:t>
      </w:r>
      <w:r>
        <w:t xml:space="preserve"> </w:t>
      </w:r>
      <w:r>
        <w:t xml:space="preserve">present a level of severity for CET1 depletion, which is the mid-point between the baseline and</w:t>
      </w:r>
      <w:r>
        <w:t xml:space="preserve"> </w:t>
      </w:r>
      <w:r>
        <w:t xml:space="preserve">the most severe scenario and the three-tier depositor preference, which retains the super-</w:t>
      </w:r>
      <w:r>
        <w:t xml:space="preserve"> </w:t>
      </w:r>
      <w:r>
        <w:t xml:space="preserve">preference of covered deposits:</w:t>
      </w:r>
      <w:r>
        <w:t xml:space="preserve"> </w:t>
      </w:r>
      <w:r>
        <w:t xml:space="preserve">Statistical</w:t>
      </w:r>
      <w:r>
        <w:t xml:space="preserve"> </w:t>
      </w:r>
      <w:r>
        <w:t xml:space="preserve">approach</w:t>
      </w:r>
      <w:r>
        <w:t xml:space="preserve"> </w:t>
      </w:r>
      <w:r>
        <w:t xml:space="preserve">Scope</w:t>
      </w:r>
      <w:r>
        <w:t xml:space="preserve"> </w:t>
      </w:r>
      <w:r>
        <w:t xml:space="preserve">Loss</w:t>
      </w:r>
      <w:r>
        <w:t xml:space="preserve"> </w:t>
      </w:r>
      <w:r>
        <w:t xml:space="preserve">allocation</w:t>
      </w:r>
      <w:r>
        <w:t xml:space="preserve"> </w:t>
      </w:r>
      <w:r>
        <w:t xml:space="preserve">Loss simulation</w:t>
      </w:r>
      <w:r>
        <w:t xml:space="preserve"> </w:t>
      </w:r>
      <w:r>
        <w:t xml:space="preserve">(CET1 depletion)</w:t>
      </w:r>
      <w:r>
        <w:t xml:space="preserve"> </w:t>
      </w:r>
      <w:r>
        <w:t xml:space="preserve">Creditor</w:t>
      </w:r>
      <w:r>
        <w:t xml:space="preserve"> </w:t>
      </w:r>
      <w:r>
        <w:t xml:space="preserve">hierarchy</w:t>
      </w:r>
      <w:r>
        <w:t xml:space="preserve"> </w:t>
      </w:r>
      <w:r>
        <w:t xml:space="preserve">Bail-inable</w:t>
      </w:r>
      <w:r>
        <w:t xml:space="preserve"> </w:t>
      </w:r>
      <w:r>
        <w:t xml:space="preserve">capacity</w:t>
      </w:r>
      <w:r>
        <w:t xml:space="preserve"> </w:t>
      </w:r>
      <w:r>
        <w:t xml:space="preserve">Combined</w:t>
      </w:r>
      <w:r>
        <w:t xml:space="preserve"> </w:t>
      </w:r>
      <w:r>
        <w:t xml:space="preserve">scenario 1</w:t>
      </w:r>
      <w:r>
        <w:t xml:space="preserve"> </w:t>
      </w:r>
      <w:r>
        <w:t xml:space="preserve">Resolution</w:t>
      </w:r>
      <w:r>
        <w:t xml:space="preserve"> </w:t>
      </w:r>
      <w:r>
        <w:t xml:space="preserve">entities</w:t>
      </w:r>
      <w:r>
        <w:t xml:space="preserve"> </w:t>
      </w:r>
      <w:r>
        <w:t xml:space="preserve">(irrespectiv</w:t>
      </w:r>
      <w:r>
        <w:t xml:space="preserve"> </w:t>
      </w:r>
      <w:r>
        <w:t xml:space="preserve">e of</w:t>
      </w:r>
      <w:r>
        <w:t xml:space="preserve"> </w:t>
      </w:r>
      <w:r>
        <w:t xml:space="preserve">strategy)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(simulated</w:t>
      </w:r>
      <w:r>
        <w:t xml:space="preserve"> </w:t>
      </w:r>
      <w:r>
        <w:t xml:space="preserve">losses</w:t>
      </w:r>
      <w:r>
        <w:t xml:space="preserve"> </w:t>
      </w:r>
      <w:r>
        <w:t xml:space="preserve">applied</w:t>
      </w:r>
      <w:r>
        <w:t xml:space="preserve"> </w:t>
      </w:r>
      <w:r>
        <w:t xml:space="preserve">directly on</w:t>
      </w:r>
      <w:r>
        <w:t xml:space="preserve"> </w:t>
      </w:r>
      <w:r>
        <w:t xml:space="preserve">the balance</w:t>
      </w:r>
      <w:r>
        <w:t xml:space="preserve"> </w:t>
      </w:r>
      <w:r>
        <w:t xml:space="preserve">sheet of the</w:t>
      </w:r>
      <w:r>
        <w:t xml:space="preserve"> </w:t>
      </w:r>
      <w:r>
        <w:t xml:space="preserve">resolution</w:t>
      </w:r>
      <w:r>
        <w:t xml:space="preserve"> </w:t>
      </w:r>
      <w:r>
        <w:t xml:space="preserve">entity)</w:t>
      </w:r>
      <w:r>
        <w:t xml:space="preserve"> </w:t>
      </w:r>
      <w:r>
        <w:t xml:space="preserve">Scenario 1: No</w:t>
      </w:r>
      <w:r>
        <w:t xml:space="preserve"> </w:t>
      </w:r>
      <w:r>
        <w:t xml:space="preserve">depletion</w:t>
      </w:r>
      <w:r>
        <w:br/>
      </w:r>
      <w:r>
        <w:t xml:space="preserve">Scenario 2: Single-</w:t>
      </w:r>
      <w:r>
        <w:t xml:space="preserve"> </w:t>
      </w:r>
      <w:r>
        <w:t xml:space="preserve">tier depositor</w:t>
      </w:r>
      <w:r>
        <w:t xml:space="preserve"> </w:t>
      </w:r>
      <w:r>
        <w:t xml:space="preserve">preference</w:t>
      </w:r>
      <w:r>
        <w:br/>
      </w:r>
      <w:r>
        <w:t xml:space="preserve">Scenario 1: All</w:t>
      </w:r>
      <w:r>
        <w:t xml:space="preserve"> </w:t>
      </w:r>
      <w:r>
        <w:t xml:space="preserve">bail-inable</w:t>
      </w:r>
      <w:r>
        <w:t xml:space="preserve"> </w:t>
      </w:r>
      <w:r>
        <w:t xml:space="preserve">liabilities (except</w:t>
      </w:r>
      <w:r>
        <w:t xml:space="preserve"> </w:t>
      </w:r>
      <w:r>
        <w:t xml:space="preserve">those with</w:t>
      </w:r>
      <w:r>
        <w:t xml:space="preserve"> </w:t>
      </w:r>
      <w:r>
        <w:t xml:space="preserve">maturity below 1</w:t>
      </w:r>
      <w:r>
        <w:t xml:space="preserve"> </w:t>
      </w:r>
      <w:r>
        <w:t xml:space="preserve">month) with</w:t>
      </w:r>
      <w:r>
        <w:t xml:space="preserve"> </w:t>
      </w:r>
      <w:r>
        <w:t xml:space="preserve">gradual exclusion</w:t>
      </w:r>
      <w:r>
        <w:t xml:space="preserve"> </w:t>
      </w:r>
      <w:r>
        <w:t xml:space="preserve">of deposits</w:t>
      </w:r>
    </w:p>
    <w:p>
      <w:pPr>
        <w:pStyle w:val="BodyText"/>
      </w:pPr>
      <w:r>
        <w:t xml:space="preserve">Combined</w:t>
      </w:r>
      <w:r>
        <w:t xml:space="preserve"> </w:t>
      </w:r>
      <w:r>
        <w:t xml:space="preserve">scenario 2</w:t>
      </w:r>
      <w:r>
        <w:t xml:space="preserve"> </w:t>
      </w:r>
      <w:r>
        <w:t xml:space="preserve">Scenario 3: CET1</w:t>
      </w:r>
      <w:r>
        <w:t xml:space="preserve"> </w:t>
      </w:r>
      <w:r>
        <w:t xml:space="preserve">depleted down to</w:t>
      </w:r>
      <w:r>
        <w:t xml:space="preserve"> </w:t>
      </w:r>
      <w:r>
        <w:t xml:space="preserve">the level of Pillar 1</w:t>
      </w:r>
      <w:r>
        <w:t xml:space="preserve"> </w:t>
      </w:r>
      <w:r>
        <w:t xml:space="preserve">and Pillar 2</w:t>
      </w:r>
      <w:r>
        <w:t xml:space="preserve"> </w:t>
      </w:r>
      <w:r>
        <w:t xml:space="preserve">requirement</w:t>
      </w:r>
      <w:r>
        <w:t xml:space="preserve"> </w:t>
      </w:r>
      <w:r>
        <w:t xml:space="preserve">Combined</w:t>
      </w:r>
      <w:r>
        <w:t xml:space="preserve"> </w:t>
      </w:r>
      <w:r>
        <w:t xml:space="preserve">scenario 3</w:t>
      </w:r>
      <w:r>
        <w:t xml:space="preserve"> </w:t>
      </w:r>
      <w:r>
        <w:t xml:space="preserve">Scenario 3: Three-</w:t>
      </w:r>
      <w:r>
        <w:t xml:space="preserve"> </w:t>
      </w:r>
      <w:r>
        <w:t xml:space="preserve">tier depositor</w:t>
      </w:r>
      <w:r>
        <w:t xml:space="preserve"> </w:t>
      </w:r>
      <w:r>
        <w:t xml:space="preserve">preference</w:t>
      </w:r>
      <w:r>
        <w:t xml:space="preserve"> </w:t>
      </w:r>
      <w:r>
        <w:t xml:space="preserve">Source: Commission services.</w:t>
      </w:r>
      <w:r>
        <w:t xml:space="preserve"> </w:t>
      </w:r>
      <w:r>
        <w:t xml:space="preserve">-</w:t>
      </w:r>
      <w:r>
        <w:t xml:space="preserve"> </w:t>
      </w:r>
      <w:r>
        <w:t xml:space="preserve">Combined scenario 1 reflects a situation without CET1 depletion, a single-tier</w:t>
      </w:r>
      <w:r>
        <w:t xml:space="preserve"> </w:t>
      </w:r>
      <w:r>
        <w:t xml:space="preserve">depositor preference and all bail-inable liabilities reported as of end-2019 (except short-</w:t>
      </w:r>
      <w:r>
        <w:t xml:space="preserve"> </w:t>
      </w:r>
      <w:r>
        <w:t xml:space="preserve">term liabilities) with gradual exclusion of deposits. The design of this combined</w:t>
      </w:r>
      <w:r>
        <w:t xml:space="preserve"> </w:t>
      </w:r>
      <w:r>
        <w:t xml:space="preserve">scenario is relevant insofar as it allows measuring the ability to access 8% TLOF by</w:t>
      </w:r>
      <w:r>
        <w:t xml:space="preserve"> </w:t>
      </w:r>
      <w:r>
        <w:t xml:space="preserve">considering all CET1 that could account for historical losses and relies on the depositor</w:t>
      </w:r>
      <w:r>
        <w:t xml:space="preserve"> </w:t>
      </w:r>
      <w:r>
        <w:t xml:space="preserve">preference scenario that maximises the equal treatment of depositors (pari passu across</w:t>
      </w:r>
      <w:r>
        <w:t xml:space="preserve"> </w:t>
      </w:r>
      <w:r>
        <w:t xml:space="preserve">all eligible categories) without lowering the level of protection and therefore creating</w:t>
      </w:r>
      <w:r>
        <w:t xml:space="preserve"> </w:t>
      </w:r>
      <w:r>
        <w:t xml:space="preserve">space for DGS interventions under the LCT (see also section 4).</w:t>
      </w:r>
      <w:r>
        <w:t xml:space="preserve"> </w:t>
      </w:r>
      <w:r>
        <w:t xml:space="preserve">-</w:t>
      </w:r>
      <w:r>
        <w:t xml:space="preserve"> </w:t>
      </w:r>
      <w:r>
        <w:t xml:space="preserve">Combined scenario 2 reflects a situation where the CET1 level is depleted and the bank</w:t>
      </w:r>
      <w:r>
        <w:t xml:space="preserve"> </w:t>
      </w:r>
      <w:r>
        <w:t xml:space="preserve">would enter resolution after all buffers absorbed losses, and assumes the same single-</w:t>
      </w:r>
      <w:r>
        <w:t xml:space="preserve"> </w:t>
      </w:r>
      <w:r>
        <w:t xml:space="preserve">tier depositor preference and bail-inable capacity as above. The design of this combined</w:t>
      </w:r>
      <w:r>
        <w:t xml:space="preserve"> </w:t>
      </w:r>
      <w:r>
        <w:t xml:space="preserve">scenario is relevant insofar as it allows a direct comparison with the first combined</w:t>
      </w:r>
      <w:r>
        <w:t xml:space="preserve"> </w:t>
      </w:r>
      <w:r>
        <w:t xml:space="preserve">scenario to measure the effect of further CET1 depletion, featuring larger losses or a</w:t>
      </w:r>
      <w:r>
        <w:t xml:space="preserve"> </w:t>
      </w:r>
      <w:r>
        <w:t xml:space="preserve">different timing for FOLF determination at the point where solvency conditions for</w:t>
      </w:r>
      <w:r>
        <w:t xml:space="preserve"> </w:t>
      </w:r>
      <w:r>
        <w:t xml:space="preserve">authorisation are at risk.</w:t>
      </w:r>
      <w:r>
        <w:t xml:space="preserve"> </w:t>
      </w:r>
      <w:r>
        <w:t xml:space="preserve">-</w:t>
      </w:r>
      <w:r>
        <w:t xml:space="preserve"> </w:t>
      </w:r>
      <w:r>
        <w:t xml:space="preserve">Combined scenario 3 reflects the same depletion of CET1 as above, but it considers a</w:t>
      </w:r>
      <w:r>
        <w:t xml:space="preserve"> </w:t>
      </w:r>
      <w:r>
        <w:t xml:space="preserve">three-tier depositor preference and applies the same bail-in capacity as the other</w:t>
      </w:r>
      <w:r>
        <w:t xml:space="preserve"> </w:t>
      </w:r>
      <w:r>
        <w:t xml:space="preserve">combined scenarios. The design of this combined scenario is relevant insofar as it</w:t>
      </w:r>
      <w:r>
        <w:t xml:space="preserve"> </w:t>
      </w:r>
      <w:r>
        <w:t xml:space="preserve">shows the effect, compared to the second combined scenario, of preserving more</w:t>
      </w:r>
      <w:r>
        <w:t xml:space="preserve"> </w:t>
      </w:r>
      <w:r>
        <w:t xml:space="preserve">discrimination in the depositor preference and retaining the super-preference of covered</w:t>
      </w:r>
      <w:r>
        <w:t xml:space="preserve"> </w:t>
      </w:r>
      <w:r>
        <w:t xml:space="preserve">deposits, which lowers the possible use of DGS via the LCT. As previous combined</w:t>
      </w:r>
      <w:r>
        <w:t xml:space="preserve"> </w:t>
      </w:r>
      <w:r>
        <w:t xml:space="preserve">scenarios, it also shows, compared to the baseline, the effect of introducing a general</w:t>
      </w:r>
      <w:r>
        <w:t xml:space="preserve"> </w:t>
      </w:r>
      <w:r>
        <w:t xml:space="preserve">depositor preference vis-à-vis ordinary unsecured liabilities.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Summary assessment – Combined scenarios</w:t>
      </w:r>
      <w:r>
        <w:t xml:space="preserve"> </w:t>
      </w:r>
      <w:r>
        <w:t xml:space="preserve">The analysis of the three combined scenarios enables a comparative view of impacts</w:t>
      </w:r>
      <w:r>
        <w:t xml:space="preserve"> </w:t>
      </w:r>
      <w:r>
        <w:t xml:space="preserve">on deposits when reaching the 8% TLOF threshold when different severity of CET1</w:t>
      </w:r>
      <w:r>
        <w:t xml:space="preserve"> </w:t>
      </w:r>
      <w:r>
        <w:t xml:space="preserve">depletion would be combined with different depositor preference.</w:t>
      </w:r>
      <w:r>
        <w:br/>
      </w:r>
      <w:r>
        <w:t xml:space="preserve">Combining various levels of CET1 depletion and depositor preference shows that the</w:t>
      </w:r>
      <w:r>
        <w:t xml:space="preserve"> </w:t>
      </w:r>
      <w:r>
        <w:t xml:space="preserve">introduction of a single-tier depositor preference has an important effect on the ability</w:t>
      </w:r>
      <w:r>
        <w:t xml:space="preserve"> </w:t>
      </w:r>
      <w:r>
        <w:t xml:space="preserve">of banks to reach the 8% TLOF threshold without using deposits, irrespective of the</w:t>
      </w:r>
      <w:r>
        <w:t xml:space="preserve"> </w:t>
      </w:r>
      <w:r>
        <w:t xml:space="preserve">loss scenario used for the analysis. In particular, compared to the baseline scenario</w:t>
      </w:r>
      <w:r>
        <w:t xml:space="preserve"> </w:t>
      </w:r>
      <w:r>
        <w:t xml:space="preserve">(where the applicable creditor hierarchy is used), an additional 45 banks would be able</w:t>
      </w:r>
      <w:r>
        <w:t xml:space="preserve"> </w:t>
      </w:r>
      <w:r>
        <w:t xml:space="preserve">to reach the threshold without using deposits due to increasing the ranking of non-</w:t>
      </w:r>
      <w:r>
        <w:t xml:space="preserve"> </w:t>
      </w:r>
      <w:r>
        <w:t xml:space="preserve">preferred deposits against other ordinary unsecured liabilities. Assuming CET1</w:t>
      </w:r>
      <w:r>
        <w:t xml:space="preserve"> </w:t>
      </w:r>
      <w:r>
        <w:t xml:space="preserve">depleted down to the level of Pillar 1 and Pillar 2 requirement, under a single-tier</w:t>
      </w:r>
      <w:r>
        <w:t xml:space="preserve"> </w:t>
      </w:r>
      <w:r>
        <w:t xml:space="preserve">depositor preference, 45% of the banks would be able to reach the 8% TLOF threshold</w:t>
      </w:r>
      <w:r>
        <w:t xml:space="preserve"> </w:t>
      </w:r>
      <w:r>
        <w:t xml:space="preserve">without deposits compared to 23% when considering a similar magnitude of CET1</w:t>
      </w:r>
      <w:r>
        <w:t xml:space="preserve"> </w:t>
      </w:r>
      <w:r>
        <w:t xml:space="preserve">depletion but no change to the depositor preference. Given that all deposits would rank</w:t>
      </w:r>
      <w:r>
        <w:t xml:space="preserve"> </w:t>
      </w:r>
      <w:r>
        <w:t xml:space="preserve">pari passu, the number of banks for which preferred and covered deposits would be</w:t>
      </w:r>
      <w:r>
        <w:t xml:space="preserve"> </w:t>
      </w:r>
      <w:r>
        <w:t xml:space="preserve">reached also increases, and may allow using DGS under the LCT (see also section 4).</w:t>
      </w:r>
      <w:r>
        <w:br/>
      </w:r>
      <w:r>
        <w:t xml:space="preserve">Maintaining a super-preference for covered deposits would lead to an increased impact</w:t>
      </w:r>
      <w:r>
        <w:t xml:space="preserve"> </w:t>
      </w:r>
      <w:r>
        <w:t xml:space="preserve">on other forms of deposits, often leaving covered deposits unaffected (which has an</w:t>
      </w:r>
      <w:r>
        <w:t xml:space="preserve"> </w:t>
      </w:r>
      <w:r>
        <w:t xml:space="preserve">important impact on the LCT, see section 4), when assessing the ability to reach 8%</w:t>
      </w:r>
      <w:r>
        <w:t xml:space="preserve"> </w:t>
      </w:r>
      <w:r>
        <w:t xml:space="preserve">TLOF, in particular when loss scenarios are more severe.</w:t>
      </w:r>
      <w:r>
        <w:br/>
      </w:r>
      <w:r>
        <w:t xml:space="preserve">Detailed analysis</w:t>
      </w:r>
      <w:r>
        <w:t xml:space="preserve"> </w:t>
      </w:r>
      <w:r>
        <w:t xml:space="preserve">The following tables shows the ability of institutions to reach the 8% TLOF threshold under the</w:t>
      </w:r>
      <w:r>
        <w:t xml:space="preserve"> </w:t>
      </w:r>
      <w:r>
        <w:t xml:space="preserve">three combined scenarios.</w:t>
      </w:r>
      <w:r>
        <w:t xml:space="preserve"> </w:t>
      </w:r>
      <w:r>
        <w:t xml:space="preserve">The analysis under the first combined scenario shows that, assuming no CET1 depletion and a</w:t>
      </w:r>
      <w:r>
        <w:t xml:space="preserve"> </w:t>
      </w:r>
      <w:r>
        <w:t xml:space="preserve">single-tier depositor preference, a total of 317 out of 368 institutions would reach the 8%</w:t>
      </w:r>
      <w:r>
        <w:t xml:space="preserve"> </w:t>
      </w:r>
      <w:r>
        <w:t xml:space="preserve">TLOF threshold without imposing losses on deposits, representing up to 89% of the sample for</w:t>
      </w:r>
      <w:r>
        <w:t xml:space="preserve"> </w:t>
      </w:r>
      <w:r>
        <w:t xml:space="preserve">the banks earmarked for resolution. In particular, deposits would have to be bailed-in in 12.5%</w:t>
      </w:r>
      <w:r>
        <w:t xml:space="preserve"> </w:t>
      </w:r>
      <w:r>
        <w:t xml:space="preserve">of the small and 15% of the medium-sized banks to reach the threshold, for an amount of EUR</w:t>
      </w:r>
      <w:r>
        <w:t xml:space="preserve"> </w:t>
      </w:r>
      <w:r>
        <w:t xml:space="preserve">0.21 bn and EUR 2.52 bn respectively. When considering the funding structure, banks</w:t>
      </w:r>
      <w:r>
        <w:t xml:space="preserve"> </w:t>
      </w:r>
      <w:r>
        <w:t xml:space="preserve">earmarked for resolution with a high prevalence of deposits are more prone to inflict losses on</w:t>
      </w:r>
      <w:r>
        <w:t xml:space="preserve"> </w:t>
      </w:r>
      <w:r>
        <w:t xml:space="preserve">deposits when reaching 8% TLOF (14 out of 60). The proportions are similar for banks</w:t>
      </w:r>
      <w:r>
        <w:t xml:space="preserve"> </w:t>
      </w:r>
      <w:r>
        <w:t xml:space="preserve">earmarked for liquidation, with 84% of small and 78% of medium-sized banks able to reach</w:t>
      </w:r>
      <w:r>
        <w:t xml:space="preserve"> </w:t>
      </w:r>
      <w:r>
        <w:t xml:space="preserve">8% TLOF without deposits. The impact of the funding structure for banks with high prevalence</w:t>
      </w:r>
      <w:r>
        <w:t xml:space="preserve"> </w:t>
      </w:r>
      <w:r>
        <w:t xml:space="preserve">of deposits is also comparable (76% of banks earmarked for liquidation would reach 8% TLOF</w:t>
      </w:r>
      <w:r>
        <w:t xml:space="preserve"> </w:t>
      </w:r>
      <w:r>
        <w:t xml:space="preserve">without deposits against 77% for banks earmarked for resolution). In addition, deposits in 13</w:t>
      </w:r>
      <w:r>
        <w:t xml:space="preserve"> </w:t>
      </w:r>
      <w:r>
        <w:t xml:space="preserve">Member States would be protected when reaching the 8% TLOF threshold under the combined</w:t>
      </w:r>
      <w:r>
        <w:t xml:space="preserve"> </w:t>
      </w:r>
      <w:r>
        <w:t xml:space="preserve">scenario 1, against seven Member States under the baseline.</w:t>
      </w:r>
    </w:p>
    <w:p>
      <w:pPr>
        <w:pStyle w:val="BodyText"/>
      </w:pPr>
      <w:r>
        <w:t xml:space="preserve">266</w:t>
      </w:r>
      <w:r>
        <w:t xml:space="preserve"> </w:t>
      </w:r>
      <w:r>
        <w:t xml:space="preserve">The second combined scenario shows that, when considering a more severe CET1 depletion</w:t>
      </w:r>
      <w:r>
        <w:t xml:space="preserve"> </w:t>
      </w:r>
      <w:r>
        <w:t xml:space="preserve">scenario, the number of institutions where deposits would be protected when reaching the 8%</w:t>
      </w:r>
      <w:r>
        <w:t xml:space="preserve"> </w:t>
      </w:r>
      <w:r>
        <w:t xml:space="preserve">TLOF decreases materially, representing 54% of the banks earmarked for resolution. The effect</w:t>
      </w:r>
      <w:r>
        <w:t xml:space="preserve"> </w:t>
      </w:r>
      <w:r>
        <w:t xml:space="preserve">of the prevalence of deposits in the funding structure is more important: 31 banks earmarked</w:t>
      </w:r>
      <w:r>
        <w:t xml:space="preserve"> </w:t>
      </w:r>
      <w:r>
        <w:t xml:space="preserve">for resolution having a high or medium-high share of deposits out of 99 (31%) would reach 8%</w:t>
      </w:r>
      <w:r>
        <w:t xml:space="preserve"> </w:t>
      </w:r>
      <w:r>
        <w:t xml:space="preserve">TLOF without deposits. This proportion falls to 18.6% when considering banks earmarked for</w:t>
      </w:r>
      <w:r>
        <w:t xml:space="preserve"> </w:t>
      </w:r>
      <w:r>
        <w:t xml:space="preserve">liquidation.</w:t>
      </w:r>
      <w:r>
        <w:t xml:space="preserve"> </w:t>
      </w:r>
      <w:r>
        <w:t xml:space="preserve">In comparison, under the third combined scenario the same number of banks would not be able</w:t>
      </w:r>
      <w:r>
        <w:t xml:space="preserve"> </w:t>
      </w:r>
      <w:r>
        <w:t xml:space="preserve">to reach the 8% TLOF without imposing losses on deposits, with mostly non-preferred deposits</w:t>
      </w:r>
      <w:r>
        <w:t xml:space="preserve"> </w:t>
      </w:r>
      <w:r>
        <w:t xml:space="preserve">affected. Even with a three-tier depositor preference, covered deposits would be reached in 10</w:t>
      </w:r>
      <w:r>
        <w:t xml:space="preserve"> </w:t>
      </w:r>
      <w:r>
        <w:t xml:space="preserve">cases considering all banks irrespective of their strategy, mostly small institutions with high</w:t>
      </w:r>
      <w:r>
        <w:t xml:space="preserve"> </w:t>
      </w:r>
      <w:r>
        <w:t xml:space="preserve">prevalence of deposits.</w:t>
      </w:r>
      <w:r>
        <w:br/>
      </w:r>
      <w:r>
        <w:t xml:space="preserve">In terms of materiality, when considering all banks in the sample, the aggregated amount of</w:t>
      </w:r>
      <w:r>
        <w:t xml:space="preserve"> </w:t>
      </w:r>
      <w:r>
        <w:t xml:space="preserve">impacted deposits decreases from EUR 18.3 bn under the baseline scenario to EUR 6.4 bn</w:t>
      </w:r>
      <w:r>
        <w:t xml:space="preserve"> </w:t>
      </w:r>
      <w:r>
        <w:t xml:space="preserve">under the first combined scenario where a single-tier depositor preference is introduced,</w:t>
      </w:r>
      <w:r>
        <w:t xml:space="preserve"> </w:t>
      </w:r>
      <w:r>
        <w:t xml:space="preserve">keeping all other parameters unchanged. Assuming a higher level of CET1 depletion, up to</w:t>
      </w:r>
      <w:r>
        <w:t xml:space="preserve"> </w:t>
      </w:r>
      <w:r>
        <w:t xml:space="preserve">EUR 47.4 bn of deposits would be affected under a single-tier or a three-tier depositor</w:t>
      </w:r>
      <w:r>
        <w:t xml:space="preserve"> </w:t>
      </w:r>
      <w:r>
        <w:t xml:space="preserve">preference (scenario 2 or 3), compared to more EUR 123.7 bn using currently applicable</w:t>
      </w:r>
      <w:r>
        <w:t xml:space="preserve"> </w:t>
      </w:r>
      <w:r>
        <w:t xml:space="preserve">depositor preference. This result must however be read in conjunction with the outcome of the</w:t>
      </w:r>
      <w:r>
        <w:t xml:space="preserve"> </w:t>
      </w:r>
      <w:r>
        <w:t xml:space="preserve">analysis performed in section 4.1.4, based on which the introduction of a single-tier depositor</w:t>
      </w:r>
      <w:r>
        <w:t xml:space="preserve"> </w:t>
      </w:r>
      <w:r>
        <w:t xml:space="preserve">preference allows for greater interventions of DGS to protect depositors.</w:t>
      </w:r>
    </w:p>
    <w:p>
      <w:pPr>
        <w:pStyle w:val="BodyText"/>
      </w:pPr>
      <w:r>
        <w:t xml:space="preserve">267</w:t>
      </w:r>
      <w:r>
        <w:t xml:space="preserve"> </w:t>
      </w:r>
      <w:r>
        <w:t xml:space="preserve">Table 16: Reaching 8% TLOF – Combined scenarios</w:t>
      </w:r>
    </w:p>
    <w:p>
      <w:pPr>
        <w:pStyle w:val="Compact"/>
        <w:numPr>
          <w:ilvl w:val="0"/>
          <w:numId w:val="1040"/>
        </w:numPr>
      </w:pPr>
      <w:r>
        <w:t xml:space="preserve">Institutio</w:t>
      </w:r>
      <w:r>
        <w:t xml:space="preserve"> </w:t>
      </w:r>
      <w:r>
        <w:t xml:space="preserve">ns</w:t>
      </w:r>
      <w:r>
        <w:t xml:space="preserve"> </w:t>
      </w:r>
      <w:r>
        <w:t xml:space="preserve">reaching</w:t>
      </w:r>
      <w:r>
        <w:t xml:space="preserve"> </w:t>
      </w:r>
      <w:r>
        <w:t xml:space="preserve">8%</w:t>
      </w:r>
      <w:r>
        <w:t xml:space="preserve"> </w:t>
      </w:r>
      <w:r>
        <w:t xml:space="preserve">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 non-</w:t>
      </w:r>
      <w:r>
        <w:t xml:space="preserve"> </w:t>
      </w:r>
      <w:r>
        <w:t xml:space="preserve">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Comb.</w:t>
      </w:r>
      <w:r>
        <w:t xml:space="preserve"> </w:t>
      </w:r>
      <w:r>
        <w:t xml:space="preserve">Scenarios</w:t>
      </w:r>
      <w:r>
        <w:t xml:space="preserve"> </w:t>
      </w:r>
      <w:r>
        <w:t xml:space="preserve">1 (No depletion, single-tier depositor preference)</w:t>
      </w:r>
    </w:p>
    <w:p>
      <w:pPr>
        <w:pStyle w:val="FirstParagraph"/>
      </w:pP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Resolution</w:t>
      </w:r>
      <w:r>
        <w:t xml:space="preserve"> </w:t>
      </w:r>
      <w:r>
        <w:t xml:space="preserve">Small</w:t>
      </w:r>
      <w:r>
        <w:t xml:space="preserve"> </w:t>
      </w:r>
      <w:r>
        <w:t xml:space="preserve">56</w:t>
      </w:r>
      <w:r>
        <w:t xml:space="preserve"> </w:t>
      </w:r>
      <w:r>
        <w:t xml:space="preserve">49</w:t>
      </w:r>
      <w:r>
        <w:t xml:space="preserve"> </w:t>
      </w:r>
      <w:r>
        <w:t xml:space="preserve">7</w:t>
      </w:r>
      <w:r>
        <w:t xml:space="preserve"> </w:t>
      </w:r>
      <w:r>
        <w:t xml:space="preserve">1.27%</w:t>
      </w:r>
      <w:r>
        <w:t xml:space="preserve"> </w:t>
      </w:r>
      <w:r>
        <w:t xml:space="preserve">7</w:t>
      </w:r>
      <w:r>
        <w:t xml:space="preserve"> </w:t>
      </w:r>
      <w:r>
        <w:t xml:space="preserve">0.15%</w:t>
      </w:r>
      <w:r>
        <w:t xml:space="preserve"> </w:t>
      </w:r>
      <w:r>
        <w:t xml:space="preserve">7</w:t>
      </w:r>
      <w:r>
        <w:t xml:space="preserve"> </w:t>
      </w:r>
      <w:r>
        <w:t xml:space="preserve">0.36%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Medium</w:t>
      </w:r>
      <w:r>
        <w:t xml:space="preserve"> </w:t>
      </w:r>
      <w:r>
        <w:t xml:space="preserve">87</w:t>
      </w:r>
      <w:r>
        <w:t xml:space="preserve"> </w:t>
      </w:r>
      <w:r>
        <w:t xml:space="preserve">73</w:t>
      </w:r>
      <w:r>
        <w:t xml:space="preserve"> </w:t>
      </w:r>
      <w:r>
        <w:t xml:space="preserve">13</w:t>
      </w:r>
      <w:r>
        <w:t xml:space="preserve"> </w:t>
      </w:r>
      <w:r>
        <w:t xml:space="preserve">0.61%</w:t>
      </w:r>
      <w:r>
        <w:t xml:space="preserve"> </w:t>
      </w:r>
      <w:r>
        <w:t xml:space="preserve">13</w:t>
      </w:r>
      <w:r>
        <w:t xml:space="preserve"> </w:t>
      </w:r>
      <w:r>
        <w:t xml:space="preserve">0.28%</w:t>
      </w:r>
      <w:r>
        <w:t xml:space="preserve"> </w:t>
      </w:r>
      <w:r>
        <w:t xml:space="preserve">13</w:t>
      </w:r>
      <w:r>
        <w:t xml:space="preserve"> </w:t>
      </w:r>
      <w:r>
        <w:t xml:space="preserve">1.15%</w:t>
      </w:r>
      <w:r>
        <w:t xml:space="preserve"> </w:t>
      </w:r>
      <w:r>
        <w:t xml:space="preserve">1</w:t>
      </w:r>
      <w:r>
        <w:t xml:space="preserve"> </w:t>
      </w:r>
      <w:r>
        <w:t xml:space="preserve">0.41%</w:t>
      </w:r>
      <w:r>
        <w:t xml:space="preserve"> </w:t>
      </w:r>
      <w:r>
        <w:t xml:space="preserve">Large</w:t>
      </w:r>
      <w:r>
        <w:t xml:space="preserve"> </w:t>
      </w:r>
      <w:r>
        <w:t xml:space="preserve">44</w:t>
      </w:r>
      <w:r>
        <w:t xml:space="preserve"> </w:t>
      </w:r>
      <w:r>
        <w:t xml:space="preserve">44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63</w:t>
      </w:r>
      <w:r>
        <w:t xml:space="preserve"> </w:t>
      </w:r>
      <w:r>
        <w:t xml:space="preserve">61</w:t>
      </w:r>
      <w:r>
        <w:t xml:space="preserve"> </w:t>
      </w:r>
      <w:r>
        <w:t xml:space="preserve">1</w:t>
      </w:r>
      <w:r>
        <w:t xml:space="preserve"> </w:t>
      </w:r>
      <w:r>
        <w:t xml:space="preserve">0.99%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1</w:t>
      </w:r>
      <w:r>
        <w:t xml:space="preserve"> </w:t>
      </w:r>
      <w:r>
        <w:t xml:space="preserve">0.41%</w:t>
      </w:r>
      <w:r>
        <w:t xml:space="preserve"> </w:t>
      </w:r>
      <w:r>
        <w:t xml:space="preserve">Mid</w:t>
      </w:r>
      <w:r>
        <w:t xml:space="preserve"> </w:t>
      </w:r>
      <w:r>
        <w:t xml:space="preserve">25</w:t>
      </w:r>
      <w:r>
        <w:t xml:space="preserve"> </w:t>
      </w:r>
      <w:r>
        <w:t xml:space="preserve">22</w:t>
      </w:r>
      <w:r>
        <w:t xml:space="preserve"> </w:t>
      </w:r>
      <w:r>
        <w:t xml:space="preserve">3</w:t>
      </w:r>
      <w:r>
        <w:t xml:space="preserve"> </w:t>
      </w:r>
      <w:r>
        <w:t xml:space="preserve">0.24%</w:t>
      </w:r>
      <w:r>
        <w:t xml:space="preserve"> </w:t>
      </w:r>
      <w:r>
        <w:t xml:space="preserve">3</w:t>
      </w:r>
      <w:r>
        <w:t xml:space="preserve"> </w:t>
      </w:r>
      <w:r>
        <w:t xml:space="preserve">0.24%</w:t>
      </w:r>
      <w:r>
        <w:t xml:space="preserve"> </w:t>
      </w:r>
      <w:r>
        <w:t xml:space="preserve">3</w:t>
      </w:r>
      <w:r>
        <w:t xml:space="preserve"> </w:t>
      </w:r>
      <w:r>
        <w:t xml:space="preserve">1.50%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</w:t>
      </w:r>
      <w:r>
        <w:t xml:space="preserve"> </w:t>
      </w:r>
      <w:r>
        <w:t xml:space="preserve">High</w:t>
      </w:r>
      <w:r>
        <w:t xml:space="preserve"> </w:t>
      </w:r>
      <w:r>
        <w:t xml:space="preserve">39</w:t>
      </w:r>
      <w:r>
        <w:t xml:space="preserve"> </w:t>
      </w:r>
      <w:r>
        <w:t xml:space="preserve">37</w:t>
      </w:r>
      <w:r>
        <w:t xml:space="preserve"> </w:t>
      </w:r>
      <w:r>
        <w:t xml:space="preserve">2</w:t>
      </w:r>
      <w:r>
        <w:t xml:space="preserve"> </w:t>
      </w:r>
      <w:r>
        <w:t xml:space="preserve">2.71%</w:t>
      </w:r>
      <w:r>
        <w:t xml:space="preserve"> </w:t>
      </w:r>
      <w:r>
        <w:t xml:space="preserve">2</w:t>
      </w:r>
      <w:r>
        <w:t xml:space="preserve"> </w:t>
      </w:r>
      <w:r>
        <w:t xml:space="preserve">0.10%</w:t>
      </w:r>
      <w:r>
        <w:t xml:space="preserve"> </w:t>
      </w:r>
      <w:r>
        <w:t xml:space="preserve">2</w:t>
      </w:r>
      <w:r>
        <w:t xml:space="preserve"> </w:t>
      </w:r>
      <w:r>
        <w:t xml:space="preserve">0.13%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60</w:t>
      </w:r>
      <w:r>
        <w:t xml:space="preserve"> </w:t>
      </w:r>
      <w:r>
        <w:t xml:space="preserve">46</w:t>
      </w:r>
      <w:r>
        <w:t xml:space="preserve"> </w:t>
      </w:r>
      <w:r>
        <w:t xml:space="preserve">14</w:t>
      </w:r>
      <w:r>
        <w:t xml:space="preserve"> </w:t>
      </w:r>
      <w:r>
        <w:t xml:space="preserve">0.38%</w:t>
      </w:r>
      <w:r>
        <w:t xml:space="preserve"> </w:t>
      </w:r>
      <w:r>
        <w:t xml:space="preserve">14</w:t>
      </w:r>
      <w:r>
        <w:t xml:space="preserve"> </w:t>
      </w:r>
      <w:r>
        <w:t xml:space="preserve">0.29%</w:t>
      </w:r>
      <w:r>
        <w:t xml:space="preserve"> </w:t>
      </w:r>
      <w:r>
        <w:t xml:space="preserve">14</w:t>
      </w:r>
      <w:r>
        <w:t xml:space="preserve"> </w:t>
      </w:r>
      <w:r>
        <w:t xml:space="preserve">1.03%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187</w:t>
      </w:r>
      <w:r>
        <w:t xml:space="preserve"> </w:t>
      </w:r>
      <w:r>
        <w:t xml:space="preserve">166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Liquidation</w:t>
      </w:r>
      <w:r>
        <w:t xml:space="preserve"> </w:t>
      </w:r>
      <w:r>
        <w:t xml:space="preserve">Small</w:t>
      </w:r>
      <w:r>
        <w:t xml:space="preserve"> </w:t>
      </w:r>
      <w:r>
        <w:t xml:space="preserve">139</w:t>
      </w:r>
      <w:r>
        <w:t xml:space="preserve"> </w:t>
      </w:r>
      <w:r>
        <w:t xml:space="preserve">117</w:t>
      </w:r>
      <w:r>
        <w:t xml:space="preserve"> </w:t>
      </w:r>
      <w:r>
        <w:t xml:space="preserve">21</w:t>
      </w:r>
      <w:r>
        <w:t xml:space="preserve"> </w:t>
      </w:r>
      <w:r>
        <w:t xml:space="preserve">0.50%</w:t>
      </w:r>
      <w:r>
        <w:t xml:space="preserve"> </w:t>
      </w:r>
      <w:r>
        <w:t xml:space="preserve">21</w:t>
      </w:r>
      <w:r>
        <w:t xml:space="preserve"> </w:t>
      </w:r>
      <w:r>
        <w:t xml:space="preserve">0.98%</w:t>
      </w:r>
      <w:r>
        <w:t xml:space="preserve"> </w:t>
      </w:r>
      <w:r>
        <w:t xml:space="preserve">21</w:t>
      </w:r>
      <w:r>
        <w:t xml:space="preserve"> </w:t>
      </w:r>
      <w:r>
        <w:t xml:space="preserve">1.10%</w:t>
      </w:r>
      <w:r>
        <w:t xml:space="preserve"> </w:t>
      </w:r>
      <w:r>
        <w:t xml:space="preserve">1</w:t>
      </w:r>
      <w:r>
        <w:t xml:space="preserve"> </w:t>
      </w:r>
      <w:r>
        <w:t xml:space="preserve">0.16%</w:t>
      </w:r>
      <w:r>
        <w:t xml:space="preserve"> </w:t>
      </w:r>
      <w:r>
        <w:t xml:space="preserve">Medium</w:t>
      </w:r>
      <w:r>
        <w:t xml:space="preserve"> </w:t>
      </w:r>
      <w:r>
        <w:t xml:space="preserve">37</w:t>
      </w:r>
      <w:r>
        <w:t xml:space="preserve"> </w:t>
      </w:r>
      <w:r>
        <w:t xml:space="preserve">29</w:t>
      </w:r>
      <w:r>
        <w:t xml:space="preserve"> </w:t>
      </w:r>
      <w:r>
        <w:t xml:space="preserve">7</w:t>
      </w:r>
      <w:r>
        <w:t xml:space="preserve"> </w:t>
      </w:r>
      <w:r>
        <w:t xml:space="preserve">0.62%</w:t>
      </w:r>
      <w:r>
        <w:t xml:space="preserve"> </w:t>
      </w:r>
      <w:r>
        <w:t xml:space="preserve">7</w:t>
      </w:r>
      <w:r>
        <w:t xml:space="preserve"> </w:t>
      </w:r>
      <w:r>
        <w:t xml:space="preserve">0.24%</w:t>
      </w:r>
      <w:r>
        <w:t xml:space="preserve"> </w:t>
      </w:r>
      <w:r>
        <w:t xml:space="preserve">7</w:t>
      </w:r>
      <w:r>
        <w:t xml:space="preserve"> </w:t>
      </w:r>
      <w:r>
        <w:t xml:space="preserve">0.25%</w:t>
      </w:r>
      <w:r>
        <w:t xml:space="preserve"> </w:t>
      </w:r>
      <w:r>
        <w:t xml:space="preserve">1</w:t>
      </w:r>
      <w:r>
        <w:t xml:space="preserve"> </w:t>
      </w:r>
      <w:r>
        <w:t xml:space="preserve">0.47%</w:t>
      </w:r>
      <w:r>
        <w:t xml:space="preserve"> </w:t>
      </w:r>
      <w:r>
        <w:t xml:space="preserve">Large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44</w:t>
      </w:r>
      <w:r>
        <w:t xml:space="preserve"> </w:t>
      </w:r>
      <w:r>
        <w:t xml:space="preserve">41</w:t>
      </w:r>
      <w:r>
        <w:t xml:space="preserve"> </w:t>
      </w:r>
      <w:r>
        <w:t xml:space="preserve">1</w:t>
      </w:r>
      <w:r>
        <w:t xml:space="preserve"> </w:t>
      </w:r>
      <w:r>
        <w:t xml:space="preserve">0.10%</w:t>
      </w:r>
      <w:r>
        <w:t xml:space="preserve"> </w:t>
      </w:r>
      <w:r>
        <w:t xml:space="preserve">1</w:t>
      </w:r>
      <w:r>
        <w:t xml:space="preserve"> </w:t>
      </w:r>
      <w:r>
        <w:t xml:space="preserve">0.48%</w:t>
      </w:r>
      <w:r>
        <w:t xml:space="preserve"> </w:t>
      </w:r>
      <w:r>
        <w:t xml:space="preserve">1</w:t>
      </w:r>
      <w:r>
        <w:t xml:space="preserve"> </w:t>
      </w:r>
      <w:r>
        <w:t xml:space="preserve">2.54%</w:t>
      </w:r>
      <w:r>
        <w:t xml:space="preserve"> </w:t>
      </w:r>
      <w:r>
        <w:t xml:space="preserve">2</w:t>
      </w:r>
      <w:r>
        <w:t xml:space="preserve"> </w:t>
      </w:r>
      <w:r>
        <w:t xml:space="preserve">0.44%</w:t>
      </w:r>
      <w:r>
        <w:t xml:space="preserve"> </w:t>
      </w:r>
      <w:r>
        <w:t xml:space="preserve">Mid</w:t>
      </w:r>
      <w:r>
        <w:t xml:space="preserve"> </w:t>
      </w:r>
      <w:r>
        <w:t xml:space="preserve">19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0.33%</w:t>
      </w:r>
      <w:r>
        <w:t xml:space="preserve"> </w:t>
      </w:r>
      <w:r>
        <w:t xml:space="preserve">3</w:t>
      </w:r>
      <w:r>
        <w:t xml:space="preserve"> </w:t>
      </w:r>
      <w:r>
        <w:t xml:space="preserve">0.30%</w:t>
      </w:r>
      <w:r>
        <w:t xml:space="preserve"> </w:t>
      </w:r>
      <w:r>
        <w:t xml:space="preserve">3</w:t>
      </w:r>
      <w:r>
        <w:t xml:space="preserve"> </w:t>
      </w:r>
      <w:r>
        <w:t xml:space="preserve">0.90%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</w:t>
      </w:r>
      <w:r>
        <w:t xml:space="preserve"> </w:t>
      </w:r>
      <w:r>
        <w:t xml:space="preserve">High</w:t>
      </w:r>
      <w:r>
        <w:t xml:space="preserve"> </w:t>
      </w:r>
      <w:r>
        <w:t xml:space="preserve">24</w:t>
      </w:r>
      <w:r>
        <w:t xml:space="preserve"> </w:t>
      </w:r>
      <w:r>
        <w:t xml:space="preserve">23</w:t>
      </w:r>
      <w:r>
        <w:t xml:space="preserve"> </w:t>
      </w:r>
      <w:r>
        <w:t xml:space="preserve">1</w:t>
      </w:r>
      <w:r>
        <w:t xml:space="preserve"> </w:t>
      </w:r>
      <w:r>
        <w:t xml:space="preserve">0.15%</w:t>
      </w:r>
      <w:r>
        <w:t xml:space="preserve"> </w:t>
      </w:r>
      <w:r>
        <w:t xml:space="preserve">1</w:t>
      </w:r>
      <w:r>
        <w:t xml:space="preserve"> </w:t>
      </w:r>
      <w:r>
        <w:t xml:space="preserve">0.39%</w:t>
      </w:r>
      <w:r>
        <w:t xml:space="preserve"> </w:t>
      </w:r>
      <w:r>
        <w:t xml:space="preserve">1</w:t>
      </w:r>
      <w:r>
        <w:t xml:space="preserve"> </w:t>
      </w:r>
      <w:r>
        <w:t xml:space="preserve">1.37%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94</w:t>
      </w:r>
      <w:r>
        <w:t xml:space="preserve"> </w:t>
      </w:r>
      <w:r>
        <w:t xml:space="preserve">71</w:t>
      </w:r>
      <w:r>
        <w:t xml:space="preserve"> </w:t>
      </w:r>
      <w:r>
        <w:t xml:space="preserve">23</w:t>
      </w:r>
      <w:r>
        <w:t xml:space="preserve"> </w:t>
      </w:r>
      <w:r>
        <w:t xml:space="preserve">0.68%</w:t>
      </w:r>
      <w:r>
        <w:t xml:space="preserve"> </w:t>
      </w:r>
      <w:r>
        <w:t xml:space="preserve">23</w:t>
      </w:r>
      <w:r>
        <w:t xml:space="preserve"> </w:t>
      </w:r>
      <w:r>
        <w:t xml:space="preserve">0.45%</w:t>
      </w:r>
      <w:r>
        <w:t xml:space="preserve"> </w:t>
      </w:r>
      <w:r>
        <w:t xml:space="preserve">23</w:t>
      </w:r>
      <w:r>
        <w:t xml:space="preserve"> </w:t>
      </w:r>
      <w:r>
        <w:t xml:space="preserve">0.23%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181</w:t>
      </w:r>
      <w:r>
        <w:t xml:space="preserve"> </w:t>
      </w:r>
      <w:r>
        <w:t xml:space="preserve">151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268</w:t>
      </w:r>
    </w:p>
    <w:p>
      <w:pPr>
        <w:pStyle w:val="Compact"/>
        <w:numPr>
          <w:ilvl w:val="0"/>
          <w:numId w:val="1041"/>
        </w:numPr>
      </w:pPr>
      <w:r>
        <w:t xml:space="preserve">Institutions</w:t>
      </w:r>
      <w:r>
        <w:t xml:space="preserve"> </w:t>
      </w:r>
      <w:r>
        <w:t xml:space="preserve">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non-preferred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Comb.</w:t>
      </w:r>
      <w:r>
        <w:t xml:space="preserve"> </w:t>
      </w:r>
      <w:r>
        <w:t xml:space="preserve">Scenarios</w:t>
      </w:r>
      <w:r>
        <w:t xml:space="preserve"> </w:t>
      </w:r>
      <w:r>
        <w:t xml:space="preserve">2 (Depletion of buffers, single-tier depositor preference)</w:t>
      </w:r>
    </w:p>
    <w:p>
      <w:pPr>
        <w:pStyle w:val="FirstParagraph"/>
      </w:pP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Resolution</w:t>
      </w:r>
      <w:r>
        <w:t xml:space="preserve"> </w:t>
      </w:r>
      <w:r>
        <w:t xml:space="preserve">Small</w:t>
      </w:r>
      <w:r>
        <w:t xml:space="preserve"> </w:t>
      </w:r>
      <w:r>
        <w:t xml:space="preserve">56</w:t>
      </w:r>
      <w:r>
        <w:t xml:space="preserve"> </w:t>
      </w:r>
      <w:r>
        <w:t xml:space="preserve">20</w:t>
      </w:r>
      <w:r>
        <w:t xml:space="preserve"> </w:t>
      </w:r>
      <w:r>
        <w:t xml:space="preserve">36</w:t>
      </w:r>
      <w:r>
        <w:t xml:space="preserve"> </w:t>
      </w:r>
      <w:r>
        <w:t xml:space="preserve">1.16%</w:t>
      </w:r>
      <w:r>
        <w:t xml:space="preserve"> </w:t>
      </w:r>
      <w:r>
        <w:t xml:space="preserve">36</w:t>
      </w:r>
      <w:r>
        <w:t xml:space="preserve"> </w:t>
      </w:r>
      <w:r>
        <w:t xml:space="preserve">0.49%</w:t>
      </w:r>
      <w:r>
        <w:t xml:space="preserve"> </w:t>
      </w:r>
      <w:r>
        <w:t xml:space="preserve">36</w:t>
      </w:r>
      <w:r>
        <w:t xml:space="preserve"> </w:t>
      </w:r>
      <w:r>
        <w:t xml:space="preserve">1.35%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Medium</w:t>
      </w:r>
      <w:r>
        <w:t xml:space="preserve"> </w:t>
      </w:r>
      <w:r>
        <w:t xml:space="preserve">87</w:t>
      </w:r>
      <w:r>
        <w:t xml:space="preserve"> </w:t>
      </w:r>
      <w:r>
        <w:t xml:space="preserve">45</w:t>
      </w:r>
      <w:r>
        <w:t xml:space="preserve"> </w:t>
      </w:r>
      <w:r>
        <w:t xml:space="preserve">40</w:t>
      </w:r>
      <w:r>
        <w:t xml:space="preserve"> </w:t>
      </w:r>
      <w:r>
        <w:t xml:space="preserve">1.04%</w:t>
      </w:r>
      <w:r>
        <w:t xml:space="preserve"> </w:t>
      </w:r>
      <w:r>
        <w:t xml:space="preserve">40</w:t>
      </w:r>
      <w:r>
        <w:t xml:space="preserve"> </w:t>
      </w:r>
      <w:r>
        <w:t xml:space="preserve">0.45%</w:t>
      </w:r>
      <w:r>
        <w:t xml:space="preserve"> </w:t>
      </w:r>
      <w:r>
        <w:t xml:space="preserve">40</w:t>
      </w:r>
      <w:r>
        <w:t xml:space="preserve"> </w:t>
      </w:r>
      <w:r>
        <w:t xml:space="preserve">1.71%</w:t>
      </w:r>
      <w:r>
        <w:t xml:space="preserve"> </w:t>
      </w:r>
      <w:r>
        <w:t xml:space="preserve">2</w:t>
      </w:r>
      <w:r>
        <w:t xml:space="preserve"> </w:t>
      </w:r>
      <w:r>
        <w:t xml:space="preserve">0.34%</w:t>
      </w:r>
      <w:r>
        <w:t xml:space="preserve"> </w:t>
      </w:r>
      <w:r>
        <w:t xml:space="preserve">Large</w:t>
      </w:r>
      <w:r>
        <w:t xml:space="preserve"> </w:t>
      </w:r>
      <w:r>
        <w:t xml:space="preserve">44</w:t>
      </w:r>
      <w:r>
        <w:t xml:space="preserve"> </w:t>
      </w:r>
      <w:r>
        <w:t xml:space="preserve">36</w:t>
      </w:r>
      <w:r>
        <w:t xml:space="preserve"> </w:t>
      </w:r>
      <w:r>
        <w:t xml:space="preserve">8</w:t>
      </w:r>
      <w:r>
        <w:t xml:space="preserve"> </w:t>
      </w:r>
      <w:r>
        <w:t xml:space="preserve">0.65%</w:t>
      </w:r>
      <w:r>
        <w:t xml:space="preserve"> </w:t>
      </w:r>
      <w:r>
        <w:t xml:space="preserve">8</w:t>
      </w:r>
      <w:r>
        <w:t xml:space="preserve"> </w:t>
      </w:r>
      <w:r>
        <w:t xml:space="preserve">0.24%</w:t>
      </w:r>
      <w:r>
        <w:t xml:space="preserve"> </w:t>
      </w:r>
      <w:r>
        <w:t xml:space="preserve">8</w:t>
      </w:r>
      <w:r>
        <w:t xml:space="preserve"> </w:t>
      </w:r>
      <w:r>
        <w:t xml:space="preserve">0.65%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63</w:t>
      </w:r>
      <w:r>
        <w:t xml:space="preserve"> </w:t>
      </w:r>
      <w:r>
        <w:t xml:space="preserve">55</w:t>
      </w:r>
      <w:r>
        <w:t xml:space="preserve"> </w:t>
      </w:r>
      <w:r>
        <w:t xml:space="preserve">6</w:t>
      </w:r>
      <w:r>
        <w:t xml:space="preserve"> </w:t>
      </w:r>
      <w:r>
        <w:t xml:space="preserve">3.53%</w:t>
      </w:r>
      <w:r>
        <w:t xml:space="preserve"> </w:t>
      </w:r>
      <w:r>
        <w:t xml:space="preserve">6</w:t>
      </w:r>
      <w:r>
        <w:t xml:space="preserve"> </w:t>
      </w:r>
      <w:r>
        <w:t xml:space="preserve">0.33%</w:t>
      </w:r>
      <w:r>
        <w:t xml:space="preserve"> </w:t>
      </w:r>
      <w:r>
        <w:t xml:space="preserve">6</w:t>
      </w:r>
      <w:r>
        <w:t xml:space="preserve"> </w:t>
      </w:r>
      <w:r>
        <w:t xml:space="preserve">0.57%</w:t>
      </w:r>
      <w:r>
        <w:t xml:space="preserve"> </w:t>
      </w:r>
      <w:r>
        <w:t xml:space="preserve">2</w:t>
      </w:r>
      <w:r>
        <w:t xml:space="preserve"> </w:t>
      </w:r>
      <w:r>
        <w:t xml:space="preserve">0.34%</w:t>
      </w:r>
      <w:r>
        <w:t xml:space="preserve"> </w:t>
      </w:r>
      <w:r>
        <w:t xml:space="preserve">Mid</w:t>
      </w:r>
      <w:r>
        <w:t xml:space="preserve"> </w:t>
      </w:r>
      <w:r>
        <w:t xml:space="preserve">25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0.29%</w:t>
      </w:r>
      <w:r>
        <w:t xml:space="preserve"> </w:t>
      </w:r>
      <w:r>
        <w:t xml:space="preserve">10</w:t>
      </w:r>
      <w:r>
        <w:t xml:space="preserve"> </w:t>
      </w:r>
      <w:r>
        <w:t xml:space="preserve">0.32%</w:t>
      </w:r>
      <w:r>
        <w:t xml:space="preserve"> </w:t>
      </w:r>
      <w:r>
        <w:t xml:space="preserve">10</w:t>
      </w:r>
      <w:r>
        <w:t xml:space="preserve"> </w:t>
      </w:r>
      <w:r>
        <w:t xml:space="preserve">1.46%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</w:t>
      </w:r>
      <w:r>
        <w:t xml:space="preserve"> </w:t>
      </w:r>
      <w:r>
        <w:t xml:space="preserve">High</w:t>
      </w:r>
      <w:r>
        <w:t xml:space="preserve"> </w:t>
      </w:r>
      <w:r>
        <w:t xml:space="preserve">39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0.32%</w:t>
      </w:r>
      <w:r>
        <w:t xml:space="preserve"> </w:t>
      </w:r>
      <w:r>
        <w:t xml:space="preserve">20</w:t>
      </w:r>
      <w:r>
        <w:t xml:space="preserve"> </w:t>
      </w:r>
      <w:r>
        <w:t xml:space="preserve">0.26%</w:t>
      </w:r>
      <w:r>
        <w:t xml:space="preserve"> </w:t>
      </w:r>
      <w:r>
        <w:t xml:space="preserve">20</w:t>
      </w:r>
      <w:r>
        <w:t xml:space="preserve"> </w:t>
      </w:r>
      <w:r>
        <w:t xml:space="preserve">1.23%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60</w:t>
      </w:r>
      <w:r>
        <w:t xml:space="preserve"> </w:t>
      </w:r>
      <w:r>
        <w:t xml:space="preserve">12</w:t>
      </w:r>
      <w:r>
        <w:t xml:space="preserve"> </w:t>
      </w:r>
      <w:r>
        <w:t xml:space="preserve">48</w:t>
      </w:r>
      <w:r>
        <w:t xml:space="preserve"> </w:t>
      </w:r>
      <w:r>
        <w:t xml:space="preserve">1.61%</w:t>
      </w:r>
      <w:r>
        <w:t xml:space="preserve"> </w:t>
      </w:r>
      <w:r>
        <w:t xml:space="preserve">48</w:t>
      </w:r>
      <w:r>
        <w:t xml:space="preserve"> </w:t>
      </w:r>
      <w:r>
        <w:t xml:space="preserve">0.71%</w:t>
      </w:r>
      <w:r>
        <w:t xml:space="preserve"> </w:t>
      </w:r>
      <w:r>
        <w:t xml:space="preserve">48</w:t>
      </w:r>
      <w:r>
        <w:t xml:space="preserve"> </w:t>
      </w:r>
      <w:r>
        <w:t xml:space="preserve">1.51%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187</w:t>
      </w:r>
      <w:r>
        <w:t xml:space="preserve"> </w:t>
      </w:r>
      <w:r>
        <w:t xml:space="preserve">101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Liquidation</w:t>
      </w:r>
      <w:r>
        <w:t xml:space="preserve"> </w:t>
      </w:r>
      <w:r>
        <w:t xml:space="preserve">Small</w:t>
      </w:r>
      <w:r>
        <w:t xml:space="preserve"> </w:t>
      </w:r>
      <w:r>
        <w:t xml:space="preserve">139</w:t>
      </w:r>
      <w:r>
        <w:t xml:space="preserve"> </w:t>
      </w:r>
      <w:r>
        <w:t xml:space="preserve">40</w:t>
      </w:r>
      <w:r>
        <w:t xml:space="preserve"> </w:t>
      </w:r>
      <w:r>
        <w:t xml:space="preserve">97</w:t>
      </w:r>
      <w:r>
        <w:t xml:space="preserve"> </w:t>
      </w:r>
      <w:r>
        <w:t xml:space="preserve">0.91%</w:t>
      </w:r>
      <w:r>
        <w:t xml:space="preserve"> </w:t>
      </w:r>
      <w:r>
        <w:t xml:space="preserve">97</w:t>
      </w:r>
      <w:r>
        <w:t xml:space="preserve"> </w:t>
      </w:r>
      <w:r>
        <w:t xml:space="preserve">0.93%</w:t>
      </w:r>
      <w:r>
        <w:t xml:space="preserve"> </w:t>
      </w:r>
      <w:r>
        <w:t xml:space="preserve">97</w:t>
      </w:r>
      <w:r>
        <w:t xml:space="preserve"> </w:t>
      </w:r>
      <w:r>
        <w:t xml:space="preserve">2.09%</w:t>
      </w:r>
      <w:r>
        <w:t xml:space="preserve"> </w:t>
      </w:r>
      <w:r>
        <w:t xml:space="preserve">2</w:t>
      </w:r>
      <w:r>
        <w:t xml:space="preserve"> </w:t>
      </w:r>
      <w:r>
        <w:t xml:space="preserve">0.32%</w:t>
      </w:r>
      <w:r>
        <w:t xml:space="preserve"> </w:t>
      </w:r>
      <w:r>
        <w:t xml:space="preserve">Medium</w:t>
      </w:r>
      <w:r>
        <w:t xml:space="preserve"> </w:t>
      </w:r>
      <w:r>
        <w:t xml:space="preserve">37</w:t>
      </w:r>
      <w:r>
        <w:t xml:space="preserve"> </w:t>
      </w:r>
      <w:r>
        <w:t xml:space="preserve">20</w:t>
      </w:r>
      <w:r>
        <w:t xml:space="preserve"> </w:t>
      </w:r>
      <w:r>
        <w:t xml:space="preserve">15</w:t>
      </w:r>
      <w:r>
        <w:t xml:space="preserve"> </w:t>
      </w:r>
      <w:r>
        <w:t xml:space="preserve">1.45%</w:t>
      </w:r>
      <w:r>
        <w:t xml:space="preserve"> </w:t>
      </w:r>
      <w:r>
        <w:t xml:space="preserve">15</w:t>
      </w:r>
      <w:r>
        <w:t xml:space="preserve"> </w:t>
      </w:r>
      <w:r>
        <w:t xml:space="preserve">0.62%</w:t>
      </w:r>
      <w:r>
        <w:t xml:space="preserve"> </w:t>
      </w:r>
      <w:r>
        <w:t xml:space="preserve">15</w:t>
      </w:r>
      <w:r>
        <w:t xml:space="preserve"> </w:t>
      </w:r>
      <w:r>
        <w:t xml:space="preserve">1.16%</w:t>
      </w:r>
      <w:r>
        <w:t xml:space="preserve"> </w:t>
      </w:r>
      <w:r>
        <w:t xml:space="preserve">2</w:t>
      </w:r>
      <w:r>
        <w:t xml:space="preserve"> </w:t>
      </w:r>
      <w:r>
        <w:t xml:space="preserve">0.47%</w:t>
      </w:r>
      <w:r>
        <w:t xml:space="preserve"> </w:t>
      </w:r>
      <w:r>
        <w:t xml:space="preserve">Large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44</w:t>
      </w:r>
      <w:r>
        <w:t xml:space="preserve"> </w:t>
      </w:r>
      <w:r>
        <w:t xml:space="preserve">35</w:t>
      </w:r>
      <w:r>
        <w:t xml:space="preserve"> </w:t>
      </w:r>
      <w:r>
        <w:t xml:space="preserve">5</w:t>
      </w:r>
      <w:r>
        <w:t xml:space="preserve"> </w:t>
      </w:r>
      <w:r>
        <w:t xml:space="preserve">0.60%</w:t>
      </w:r>
      <w:r>
        <w:t xml:space="preserve"> </w:t>
      </w:r>
      <w:r>
        <w:t xml:space="preserve">5</w:t>
      </w:r>
      <w:r>
        <w:t xml:space="preserve"> </w:t>
      </w:r>
      <w:r>
        <w:t xml:space="preserve">0.72%</w:t>
      </w:r>
      <w:r>
        <w:t xml:space="preserve"> </w:t>
      </w:r>
      <w:r>
        <w:t xml:space="preserve">5</w:t>
      </w:r>
      <w:r>
        <w:t xml:space="preserve"> </w:t>
      </w:r>
      <w:r>
        <w:t xml:space="preserve">2.38%</w:t>
      </w:r>
      <w:r>
        <w:t xml:space="preserve"> </w:t>
      </w:r>
      <w:r>
        <w:t xml:space="preserve">4</w:t>
      </w:r>
      <w:r>
        <w:t xml:space="preserve"> </w:t>
      </w:r>
      <w:r>
        <w:t xml:space="preserve">0.46%</w:t>
      </w:r>
      <w:r>
        <w:t xml:space="preserve"> </w:t>
      </w:r>
      <w:r>
        <w:t xml:space="preserve">Mid</w:t>
      </w:r>
      <w:r>
        <w:t xml:space="preserve"> </w:t>
      </w:r>
      <w:r>
        <w:t xml:space="preserve">19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0.41%</w:t>
      </w:r>
      <w:r>
        <w:t xml:space="preserve"> </w:t>
      </w:r>
      <w:r>
        <w:t xml:space="preserve">11</w:t>
      </w:r>
      <w:r>
        <w:t xml:space="preserve"> </w:t>
      </w:r>
      <w:r>
        <w:t xml:space="preserve">0.33%</w:t>
      </w:r>
      <w:r>
        <w:t xml:space="preserve"> </w:t>
      </w:r>
      <w:r>
        <w:t xml:space="preserve">11</w:t>
      </w:r>
      <w:r>
        <w:t xml:space="preserve"> </w:t>
      </w:r>
      <w:r>
        <w:t xml:space="preserve">1.01%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</w:t>
      </w:r>
      <w:r>
        <w:t xml:space="preserve"> </w:t>
      </w:r>
      <w:r>
        <w:t xml:space="preserve">High</w:t>
      </w:r>
      <w:r>
        <w:t xml:space="preserve"> </w:t>
      </w:r>
      <w:r>
        <w:t xml:space="preserve">24</w:t>
      </w:r>
      <w:r>
        <w:t xml:space="preserve"> </w:t>
      </w:r>
      <w:r>
        <w:t xml:space="preserve">10</w:t>
      </w:r>
      <w:r>
        <w:t xml:space="preserve"> </w:t>
      </w:r>
      <w:r>
        <w:t xml:space="preserve">14</w:t>
      </w:r>
      <w:r>
        <w:t xml:space="preserve"> </w:t>
      </w:r>
      <w:r>
        <w:t xml:space="preserve">0.51%</w:t>
      </w:r>
      <w:r>
        <w:t xml:space="preserve"> </w:t>
      </w:r>
      <w:r>
        <w:t xml:space="preserve">14</w:t>
      </w:r>
      <w:r>
        <w:t xml:space="preserve"> </w:t>
      </w:r>
      <w:r>
        <w:t xml:space="preserve">0.53%</w:t>
      </w:r>
      <w:r>
        <w:t xml:space="preserve"> </w:t>
      </w:r>
      <w:r>
        <w:t xml:space="preserve">14</w:t>
      </w:r>
      <w:r>
        <w:t xml:space="preserve"> </w:t>
      </w:r>
      <w:r>
        <w:t xml:space="preserve">1.57%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94</w:t>
      </w:r>
      <w:r>
        <w:t xml:space="preserve"> </w:t>
      </w:r>
      <w:r>
        <w:t xml:space="preserve">12</w:t>
      </w:r>
      <w:r>
        <w:t xml:space="preserve"> </w:t>
      </w:r>
      <w:r>
        <w:t xml:space="preserve">82</w:t>
      </w:r>
      <w:r>
        <w:t xml:space="preserve"> </w:t>
      </w:r>
      <w:r>
        <w:t xml:space="preserve">1.96%</w:t>
      </w:r>
      <w:r>
        <w:t xml:space="preserve"> </w:t>
      </w:r>
      <w:r>
        <w:t xml:space="preserve">82</w:t>
      </w:r>
      <w:r>
        <w:t xml:space="preserve"> </w:t>
      </w:r>
      <w:r>
        <w:t xml:space="preserve">1.03%</w:t>
      </w:r>
      <w:r>
        <w:t xml:space="preserve"> </w:t>
      </w:r>
      <w:r>
        <w:t xml:space="preserve">82</w:t>
      </w:r>
      <w:r>
        <w:t xml:space="preserve"> </w:t>
      </w:r>
      <w:r>
        <w:t xml:space="preserve">1.61%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181</w:t>
      </w:r>
      <w:r>
        <w:t xml:space="preserve"> </w:t>
      </w:r>
      <w:r>
        <w:t xml:space="preserve">65</w:t>
      </w:r>
      <w:r>
        <w:t xml:space="preserve"> </w:t>
      </w:r>
      <w:r>
        <w:t xml:space="preserve">112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269</w:t>
      </w:r>
    </w:p>
    <w:p>
      <w:pPr>
        <w:pStyle w:val="Compact"/>
        <w:numPr>
          <w:ilvl w:val="0"/>
          <w:numId w:val="1042"/>
        </w:numPr>
      </w:pPr>
      <w:r>
        <w:t xml:space="preserve">Institutions</w:t>
      </w:r>
      <w:r>
        <w:t xml:space="preserve"> </w:t>
      </w:r>
      <w:r>
        <w:t xml:space="preserve">reaching</w:t>
      </w:r>
      <w:r>
        <w:t xml:space="preserve"> </w:t>
      </w:r>
      <w:r>
        <w:t xml:space="preserve">8% TLOF</w:t>
      </w:r>
      <w:r>
        <w:t xml:space="preserve"> </w:t>
      </w:r>
      <w:r>
        <w:t xml:space="preserve">without</w:t>
      </w:r>
      <w:r>
        <w:t xml:space="preserve"> </w:t>
      </w:r>
      <w:r>
        <w:t xml:space="preserve">deposits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 non-</w:t>
      </w:r>
      <w:r>
        <w:t xml:space="preserve"> </w:t>
      </w:r>
      <w:r>
        <w:t xml:space="preserve">preferred</w:t>
      </w:r>
      <w:r>
        <w:t xml:space="preserve"> </w:t>
      </w:r>
      <w:r>
        <w:t xml:space="preserve">deposits and</w:t>
      </w:r>
      <w:r>
        <w:t xml:space="preserve"> </w:t>
      </w:r>
      <w:r>
        <w:t xml:space="preserve">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 TLOF</w:t>
      </w:r>
      <w:r>
        <w:t xml:space="preserve"> </w:t>
      </w:r>
      <w:r>
        <w:t xml:space="preserve">with preferred non-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and amount used</w:t>
      </w:r>
      <w:r>
        <w:t xml:space="preserve"> </w:t>
      </w:r>
      <w:r>
        <w:t xml:space="preserve">Institutions not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amount required</w:t>
      </w:r>
      <w:r>
        <w:t xml:space="preserve"> </w:t>
      </w:r>
      <w:r>
        <w:t xml:space="preserve">Comb.</w:t>
      </w:r>
      <w:r>
        <w:t xml:space="preserve"> </w:t>
      </w:r>
      <w:r>
        <w:t xml:space="preserve">Scenarios</w:t>
      </w:r>
      <w:r>
        <w:t xml:space="preserve"> </w:t>
      </w:r>
      <w:r>
        <w:t xml:space="preserve">3 (Depletion of buffers, three tier depositor preference)</w:t>
      </w:r>
    </w:p>
    <w:p>
      <w:pPr>
        <w:pStyle w:val="FirstParagraph"/>
      </w:pP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Count</w:t>
      </w:r>
      <w:r>
        <w:t xml:space="preserve"> </w:t>
      </w:r>
      <w:r>
        <w:t xml:space="preserve">%TLOF</w:t>
      </w:r>
      <w:r>
        <w:t xml:space="preserve"> </w:t>
      </w:r>
      <w:r>
        <w:t xml:space="preserve">Resolution</w:t>
      </w:r>
      <w:r>
        <w:t xml:space="preserve"> </w:t>
      </w:r>
      <w:r>
        <w:t xml:space="preserve">Small</w:t>
      </w:r>
      <w:r>
        <w:t xml:space="preserve"> </w:t>
      </w:r>
      <w:r>
        <w:t xml:space="preserve">56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2.84%</w:t>
      </w:r>
      <w:r>
        <w:t xml:space="preserve"> </w:t>
      </w:r>
      <w:r>
        <w:t xml:space="preserve">5</w:t>
      </w:r>
      <w:r>
        <w:t xml:space="preserve"> </w:t>
      </w:r>
      <w:r>
        <w:t xml:space="preserve">1.61%</w:t>
      </w:r>
      <w:r>
        <w:t xml:space="preserve"> </w:t>
      </w:r>
      <w:r>
        <w:t xml:space="preserve">1</w:t>
      </w:r>
      <w:r>
        <w:t xml:space="preserve"> </w:t>
      </w:r>
      <w:r>
        <w:t xml:space="preserve">2.61%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Medium</w:t>
      </w:r>
      <w:r>
        <w:t xml:space="preserve"> </w:t>
      </w:r>
      <w:r>
        <w:t xml:space="preserve">87</w:t>
      </w:r>
      <w:r>
        <w:t xml:space="preserve"> </w:t>
      </w:r>
      <w:r>
        <w:t xml:space="preserve">45</w:t>
      </w:r>
      <w:r>
        <w:t xml:space="preserve"> </w:t>
      </w:r>
      <w:r>
        <w:t xml:space="preserve">33</w:t>
      </w:r>
      <w:r>
        <w:t xml:space="preserve"> </w:t>
      </w:r>
      <w:r>
        <w:t xml:space="preserve">2.73%</w:t>
      </w:r>
      <w:r>
        <w:t xml:space="preserve"> </w:t>
      </w:r>
      <w:r>
        <w:t xml:space="preserve">6</w:t>
      </w:r>
      <w:r>
        <w:t xml:space="preserve"> </w:t>
      </w:r>
      <w:r>
        <w:t xml:space="preserve">1.94%</w:t>
      </w:r>
      <w:r>
        <w:t xml:space="preserve"> </w:t>
      </w:r>
      <w:r>
        <w:t xml:space="preserve">1</w:t>
      </w:r>
      <w:r>
        <w:t xml:space="preserve"> </w:t>
      </w:r>
      <w:r>
        <w:t xml:space="preserve">5.74%</w:t>
      </w:r>
      <w:r>
        <w:t xml:space="preserve"> </w:t>
      </w:r>
      <w:r>
        <w:t xml:space="preserve">2</w:t>
      </w:r>
      <w:r>
        <w:t xml:space="preserve"> </w:t>
      </w:r>
      <w:r>
        <w:t xml:space="preserve">0.34%</w:t>
      </w:r>
      <w:r>
        <w:t xml:space="preserve"> </w:t>
      </w:r>
      <w:r>
        <w:t xml:space="preserve">Large</w:t>
      </w:r>
      <w:r>
        <w:t xml:space="preserve"> </w:t>
      </w:r>
      <w:r>
        <w:t xml:space="preserve">44</w:t>
      </w:r>
      <w:r>
        <w:t xml:space="preserve"> </w:t>
      </w:r>
      <w:r>
        <w:t xml:space="preserve">36</w:t>
      </w:r>
      <w:r>
        <w:t xml:space="preserve"> </w:t>
      </w:r>
      <w:r>
        <w:t xml:space="preserve">7</w:t>
      </w:r>
      <w:r>
        <w:t xml:space="preserve"> </w:t>
      </w:r>
      <w:r>
        <w:t xml:space="preserve">1.43%</w:t>
      </w:r>
      <w:r>
        <w:t xml:space="preserve"> </w:t>
      </w:r>
      <w:r>
        <w:t xml:space="preserve">1</w:t>
      </w:r>
      <w:r>
        <w:t xml:space="preserve"> </w:t>
      </w:r>
      <w:r>
        <w:t xml:space="preserve">0.33%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63</w:t>
      </w:r>
      <w:r>
        <w:t xml:space="preserve"> </w:t>
      </w:r>
      <w:r>
        <w:t xml:space="preserve">55</w:t>
      </w:r>
      <w:r>
        <w:t xml:space="preserve"> </w:t>
      </w:r>
      <w:r>
        <w:t xml:space="preserve">6</w:t>
      </w:r>
      <w:r>
        <w:t xml:space="preserve"> </w:t>
      </w:r>
      <w:r>
        <w:t xml:space="preserve">3.71%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0.34%</w:t>
      </w:r>
      <w:r>
        <w:t xml:space="preserve"> </w:t>
      </w:r>
      <w:r>
        <w:t xml:space="preserve">Mid</w:t>
      </w:r>
      <w:r>
        <w:t xml:space="preserve"> </w:t>
      </w:r>
      <w:r>
        <w:t xml:space="preserve">25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2.07%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</w:t>
      </w:r>
      <w:r>
        <w:t xml:space="preserve"> </w:t>
      </w:r>
      <w:r>
        <w:t xml:space="preserve">High</w:t>
      </w:r>
      <w:r>
        <w:t xml:space="preserve"> </w:t>
      </w:r>
      <w:r>
        <w:t xml:space="preserve">39</w:t>
      </w:r>
      <w:r>
        <w:t xml:space="preserve"> </w:t>
      </w:r>
      <w:r>
        <w:t xml:space="preserve">19</w:t>
      </w:r>
      <w:r>
        <w:t xml:space="preserve"> </w:t>
      </w:r>
      <w:r>
        <w:t xml:space="preserve">16</w:t>
      </w:r>
      <w:r>
        <w:t xml:space="preserve"> </w:t>
      </w:r>
      <w:r>
        <w:t xml:space="preserve">1.73%</w:t>
      </w:r>
      <w:r>
        <w:t xml:space="preserve"> </w:t>
      </w:r>
      <w:r>
        <w:t xml:space="preserve">4</w:t>
      </w:r>
      <w:r>
        <w:t xml:space="preserve"> </w:t>
      </w:r>
      <w:r>
        <w:t xml:space="preserve">0.41%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60</w:t>
      </w:r>
      <w:r>
        <w:t xml:space="preserve"> </w:t>
      </w:r>
      <w:r>
        <w:t xml:space="preserve">12</w:t>
      </w:r>
      <w:r>
        <w:t xml:space="preserve"> </w:t>
      </w:r>
      <w:r>
        <w:t xml:space="preserve">38</w:t>
      </w:r>
      <w:r>
        <w:t xml:space="preserve"> </w:t>
      </w:r>
      <w:r>
        <w:t xml:space="preserve">3.03%</w:t>
      </w:r>
      <w:r>
        <w:t xml:space="preserve"> </w:t>
      </w:r>
      <w:r>
        <w:t xml:space="preserve">8</w:t>
      </w:r>
      <w:r>
        <w:t xml:space="preserve"> </w:t>
      </w:r>
      <w:r>
        <w:t xml:space="preserve">2.49%</w:t>
      </w:r>
      <w:r>
        <w:t xml:space="preserve"> </w:t>
      </w:r>
      <w:r>
        <w:t xml:space="preserve">2</w:t>
      </w:r>
      <w:r>
        <w:t xml:space="preserve"> </w:t>
      </w:r>
      <w:r>
        <w:t xml:space="preserve">5.65%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187</w:t>
      </w:r>
      <w:r>
        <w:t xml:space="preserve"> </w:t>
      </w:r>
      <w:r>
        <w:t xml:space="preserve">101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Liquidation</w:t>
      </w:r>
      <w:r>
        <w:t xml:space="preserve"> </w:t>
      </w:r>
      <w:r>
        <w:t xml:space="preserve">Small</w:t>
      </w:r>
      <w:r>
        <w:t xml:space="preserve"> </w:t>
      </w:r>
      <w:r>
        <w:t xml:space="preserve">139</w:t>
      </w:r>
      <w:r>
        <w:t xml:space="preserve"> </w:t>
      </w:r>
      <w:r>
        <w:t xml:space="preserve">40</w:t>
      </w:r>
      <w:r>
        <w:t xml:space="preserve"> </w:t>
      </w:r>
      <w:r>
        <w:t xml:space="preserve">56</w:t>
      </w:r>
      <w:r>
        <w:t xml:space="preserve"> </w:t>
      </w:r>
      <w:r>
        <w:t xml:space="preserve">3.02%</w:t>
      </w:r>
      <w:r>
        <w:t xml:space="preserve"> </w:t>
      </w:r>
      <w:r>
        <w:t xml:space="preserve">36</w:t>
      </w:r>
      <w:r>
        <w:t xml:space="preserve"> </w:t>
      </w:r>
      <w:r>
        <w:t xml:space="preserve">2.69%</w:t>
      </w:r>
      <w:r>
        <w:t xml:space="preserve"> </w:t>
      </w:r>
      <w:r>
        <w:t xml:space="preserve">5</w:t>
      </w:r>
      <w:r>
        <w:t xml:space="preserve"> </w:t>
      </w:r>
      <w:r>
        <w:t xml:space="preserve">2.78%</w:t>
      </w:r>
      <w:r>
        <w:t xml:space="preserve"> </w:t>
      </w:r>
      <w:r>
        <w:t xml:space="preserve">2</w:t>
      </w:r>
      <w:r>
        <w:t xml:space="preserve"> </w:t>
      </w:r>
      <w:r>
        <w:t xml:space="preserve">0.32%</w:t>
      </w:r>
      <w:r>
        <w:t xml:space="preserve"> </w:t>
      </w:r>
      <w:r>
        <w:t xml:space="preserve">Medium</w:t>
      </w:r>
      <w:r>
        <w:t xml:space="preserve"> </w:t>
      </w:r>
      <w:r>
        <w:t xml:space="preserve">37</w:t>
      </w:r>
      <w:r>
        <w:t xml:space="preserve"> </w:t>
      </w:r>
      <w:r>
        <w:t xml:space="preserve">20</w:t>
      </w:r>
      <w:r>
        <w:t xml:space="preserve"> </w:t>
      </w:r>
      <w:r>
        <w:t xml:space="preserve">13</w:t>
      </w:r>
      <w:r>
        <w:t xml:space="preserve"> </w:t>
      </w:r>
      <w:r>
        <w:t xml:space="preserve">2.72%</w:t>
      </w:r>
      <w:r>
        <w:t xml:space="preserve"> </w:t>
      </w:r>
      <w:r>
        <w:t xml:space="preserve">2</w:t>
      </w:r>
      <w:r>
        <w:t xml:space="preserve"> </w:t>
      </w:r>
      <w:r>
        <w:t xml:space="preserve">1.84%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2</w:t>
      </w:r>
      <w:r>
        <w:t xml:space="preserve"> </w:t>
      </w:r>
      <w:r>
        <w:t xml:space="preserve">0.47%</w:t>
      </w:r>
      <w:r>
        <w:t xml:space="preserve"> </w:t>
      </w:r>
      <w:r>
        <w:t xml:space="preserve">Large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44</w:t>
      </w:r>
      <w:r>
        <w:t xml:space="preserve"> </w:t>
      </w:r>
      <w:r>
        <w:t xml:space="preserve">35</w:t>
      </w:r>
      <w:r>
        <w:t xml:space="preserve"> </w:t>
      </w:r>
      <w:r>
        <w:t xml:space="preserve">3</w:t>
      </w:r>
      <w:r>
        <w:t xml:space="preserve"> </w:t>
      </w:r>
      <w:r>
        <w:t xml:space="preserve">2.35%</w:t>
      </w:r>
      <w:r>
        <w:t xml:space="preserve"> </w:t>
      </w:r>
      <w:r>
        <w:t xml:space="preserve">1</w:t>
      </w:r>
      <w:r>
        <w:t xml:space="preserve"> </w:t>
      </w:r>
      <w:r>
        <w:t xml:space="preserve">4.02%</w:t>
      </w:r>
      <w:r>
        <w:t xml:space="preserve"> </w:t>
      </w:r>
      <w:r>
        <w:t xml:space="preserve">1</w:t>
      </w:r>
      <w:r>
        <w:t xml:space="preserve"> </w:t>
      </w:r>
      <w:r>
        <w:t xml:space="preserve">1.66%</w:t>
      </w:r>
      <w:r>
        <w:t xml:space="preserve"> </w:t>
      </w:r>
      <w:r>
        <w:t xml:space="preserve">4</w:t>
      </w:r>
      <w:r>
        <w:t xml:space="preserve"> </w:t>
      </w:r>
      <w:r>
        <w:t xml:space="preserve">0.46%</w:t>
      </w:r>
      <w:r>
        <w:t xml:space="preserve"> </w:t>
      </w:r>
      <w:r>
        <w:t xml:space="preserve">Mid</w:t>
      </w:r>
      <w:r>
        <w:t xml:space="preserve"> </w:t>
      </w:r>
      <w:r>
        <w:t xml:space="preserve">19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1.72%</w:t>
      </w:r>
      <w:r>
        <w:t xml:space="preserve"> </w:t>
      </w:r>
      <w:r>
        <w:t xml:space="preserve">2</w:t>
      </w:r>
      <w:r>
        <w:t xml:space="preserve"> </w:t>
      </w:r>
      <w:r>
        <w:t xml:space="preserve">1.96%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Mid-</w:t>
      </w:r>
      <w:r>
        <w:t xml:space="preserve"> </w:t>
      </w:r>
      <w:r>
        <w:t xml:space="preserve">High</w:t>
      </w:r>
      <w:r>
        <w:t xml:space="preserve"> </w:t>
      </w:r>
      <w:r>
        <w:t xml:space="preserve">24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2.55%</w:t>
      </w:r>
      <w:r>
        <w:t xml:space="preserve"> </w:t>
      </w:r>
      <w:r>
        <w:t xml:space="preserve">3</w:t>
      </w:r>
      <w:r>
        <w:t xml:space="preserve"> </w:t>
      </w:r>
      <w:r>
        <w:t xml:space="preserve">0.74%</w:t>
      </w:r>
      <w:r>
        <w:t xml:space="preserve"> </w:t>
      </w:r>
      <w:r>
        <w:t xml:space="preserve">1</w:t>
      </w:r>
      <w:r>
        <w:t xml:space="preserve"> </w:t>
      </w:r>
      <w:r>
        <w:t xml:space="preserve">3.53%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High</w:t>
      </w:r>
      <w:r>
        <w:t xml:space="preserve"> </w:t>
      </w:r>
      <w:r>
        <w:t xml:space="preserve">94</w:t>
      </w:r>
      <w:r>
        <w:t xml:space="preserve"> </w:t>
      </w:r>
      <w:r>
        <w:t xml:space="preserve">12</w:t>
      </w:r>
      <w:r>
        <w:t xml:space="preserve"> </w:t>
      </w:r>
      <w:r>
        <w:t xml:space="preserve">47</w:t>
      </w:r>
      <w:r>
        <w:t xml:space="preserve"> </w:t>
      </w:r>
      <w:r>
        <w:t xml:space="preserve">3.42%</w:t>
      </w:r>
      <w:r>
        <w:t xml:space="preserve"> </w:t>
      </w:r>
      <w:r>
        <w:t xml:space="preserve">32</w:t>
      </w:r>
      <w:r>
        <w:t xml:space="preserve"> </w:t>
      </w:r>
      <w:r>
        <w:t xml:space="preserve">2.26%</w:t>
      </w:r>
      <w:r>
        <w:t xml:space="preserve"> </w:t>
      </w:r>
      <w:r>
        <w:t xml:space="preserve">3</w:t>
      </w:r>
      <w:r>
        <w:t xml:space="preserve"> </w:t>
      </w:r>
      <w:r>
        <w:t xml:space="preserve">2.79%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181</w:t>
      </w:r>
      <w:r>
        <w:t xml:space="preserve"> </w:t>
      </w:r>
      <w:r>
        <w:t xml:space="preserve">65</w:t>
      </w:r>
      <w:r>
        <w:t xml:space="preserve"> </w:t>
      </w:r>
      <w:r>
        <w:t xml:space="preserve">69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Sources: Commission services, based on EBA CfA report and SRB data as of Q4 2019.</w:t>
      </w:r>
    </w:p>
    <w:p>
      <w:pPr>
        <w:pStyle w:val="BodyText"/>
      </w:pPr>
      <w:r>
        <w:t xml:space="preserve">Figure 23 shows the comparison among the combined scenarios and with the baseline on the</w:t>
      </w:r>
      <w:r>
        <w:t xml:space="preserve"> </w:t>
      </w:r>
      <w:r>
        <w:t xml:space="preserve">banks’ ability to reach 8% TLOF with or without deposits.</w:t>
      </w:r>
      <w:r>
        <w:br/>
      </w:r>
      <w:r>
        <w:t xml:space="preserve">The top chart provides an overview of the impact of the introduction of a single-tier depositor</w:t>
      </w:r>
      <w:r>
        <w:t xml:space="preserve"> </w:t>
      </w:r>
      <w:r>
        <w:t xml:space="preserve">preference on the ability of banks to reach the 8% TLOF threshold, by comparing the first</w:t>
      </w:r>
      <w:r>
        <w:t xml:space="preserve"> </w:t>
      </w:r>
      <w:r>
        <w:t xml:space="preserve">combined scenario and the baseline. Compared to the baseline scenario (where the applicable</w:t>
      </w:r>
      <w:r>
        <w:t xml:space="preserve"> </w:t>
      </w:r>
      <w:r>
        <w:t xml:space="preserve">creditor hierarchy is used), an additional 45 banks are able to reach the threshold without using</w:t>
      </w:r>
      <w:r>
        <w:t xml:space="preserve"> </w:t>
      </w:r>
      <w:r>
        <w:t xml:space="preserve">deposits due to increasing the ranking of non-preferred deposits against other normal unsecured</w:t>
      </w:r>
      <w:r>
        <w:t xml:space="preserve"> </w:t>
      </w:r>
      <w:r>
        <w:t xml:space="preserve">liabilities. Given that all deposits would rank pari passu, the number of banks for which</w:t>
      </w:r>
    </w:p>
    <w:p>
      <w:pPr>
        <w:pStyle w:val="BodyText"/>
      </w:pPr>
      <w:r>
        <w:t xml:space="preserve">270</w:t>
      </w:r>
      <w:r>
        <w:t xml:space="preserve"> </w:t>
      </w:r>
      <w:r>
        <w:t xml:space="preserve">preferred and covered deposits would be reached also increases, and may allow using DGS</w:t>
      </w:r>
      <w:r>
        <w:t xml:space="preserve"> </w:t>
      </w:r>
      <w:r>
        <w:t xml:space="preserve">under the least cost test (see section 5).</w:t>
      </w:r>
      <w:r>
        <w:t xml:space="preserve"> </w:t>
      </w:r>
      <w:r>
        <w:t xml:space="preserve">The second chart illustrates how the single-tier depositor preference would be impacted by a</w:t>
      </w:r>
      <w:r>
        <w:t xml:space="preserve"> </w:t>
      </w:r>
      <w:r>
        <w:t xml:space="preserve">greater severity of loss depletion scenario, by comparing the first and the second combined</w:t>
      </w:r>
      <w:r>
        <w:t xml:space="preserve"> </w:t>
      </w:r>
      <w:r>
        <w:t xml:space="preserve">scenario. Assuming a depletion of all buffers leads to a sharp decrease of the number of banks</w:t>
      </w:r>
      <w:r>
        <w:t xml:space="preserve"> </w:t>
      </w:r>
      <w:r>
        <w:t xml:space="preserve">able to reach 8% TLOF without deposits under a single-tier depositor preference,</w:t>
      </w:r>
      <w:r>
        <w:t xml:space="preserve"> </w:t>
      </w:r>
      <w:r>
        <w:t xml:space="preserve">commensurate to the increase of cases where deposits, all ranking pari passu, would be</w:t>
      </w:r>
      <w:r>
        <w:t xml:space="preserve"> </w:t>
      </w:r>
      <w:r>
        <w:t xml:space="preserve">touched. Under this scenario, 45% of the banks would be able to reach the 8% TLOF threshold</w:t>
      </w:r>
      <w:r>
        <w:t xml:space="preserve"> </w:t>
      </w:r>
      <w:r>
        <w:t xml:space="preserve">without deposits compared to 23% when considering a similar magnitude of CET1 depletion</w:t>
      </w:r>
      <w:r>
        <w:t xml:space="preserve"> </w:t>
      </w:r>
      <w:r>
        <w:t xml:space="preserve">but no change to the depositor preference.</w:t>
      </w:r>
      <w:r>
        <w:t xml:space="preserve"> </w:t>
      </w:r>
      <w:r>
        <w:t xml:space="preserve">The third chart describes the relative impact of the introduction of a single-tier depositor</w:t>
      </w:r>
      <w:r>
        <w:t xml:space="preserve"> </w:t>
      </w:r>
      <w:r>
        <w:t xml:space="preserve">preference compared to a three-tier depositor preference, by comparing the first and the second</w:t>
      </w:r>
      <w:r>
        <w:t xml:space="preserve"> </w:t>
      </w:r>
      <w:r>
        <w:t xml:space="preserve">combined scenario, i.e. both relying on the same level of CET1 depletion. Compared to a</w:t>
      </w:r>
      <w:r>
        <w:t xml:space="preserve"> </w:t>
      </w:r>
      <w:r>
        <w:t xml:space="preserve">single-tier system, a general three-tier depositor preference would significantly reduce the</w:t>
      </w:r>
      <w:r>
        <w:t xml:space="preserve"> </w:t>
      </w:r>
      <w:r>
        <w:t xml:space="preserve">number of banks able to reach the 8% TLOF even considering covered deposits.</w:t>
      </w:r>
    </w:p>
    <w:p>
      <w:pPr>
        <w:pStyle w:val="BodyText"/>
      </w:pPr>
      <w:r>
        <w:t xml:space="preserve">271</w:t>
      </w:r>
      <w:r>
        <w:t xml:space="preserve"> </w:t>
      </w:r>
      <w:r>
        <w:t xml:space="preserve">Figure 23: Reaching 8% TLOF – Combined scenarios</w:t>
      </w:r>
    </w:p>
    <w:p>
      <w:pPr>
        <w:pStyle w:val="BodyText"/>
      </w:pPr>
      <w:r>
        <w:t xml:space="preserve">Source: Commission services, based on EBA CfA report and SRB data as of Q4 2019.</w:t>
      </w:r>
    </w:p>
    <w:p>
      <w:pPr>
        <w:pStyle w:val="BodyText"/>
      </w:pPr>
      <w:r>
        <w:t xml:space="preserve">272</w:t>
      </w:r>
      <w:r>
        <w:t xml:space="preserve"> </w:t>
      </w:r>
      <w:r>
        <w:t xml:space="preserve">4.</w:t>
      </w:r>
      <w:r>
        <w:t xml:space="preserve"> </w:t>
      </w:r>
      <w:r>
        <w:t xml:space="preserve">DGS INTERVENTIONS</w:t>
      </w:r>
      <w:r>
        <w:t xml:space="preserve"> </w:t>
      </w:r>
      <w:r>
        <w:t xml:space="preserve">The objectives of this section are to determine: (i) the ability of DGS to intervene as per the</w:t>
      </w:r>
      <w:r>
        <w:t xml:space="preserve"> </w:t>
      </w:r>
      <w:r>
        <w:t xml:space="preserve">LCT under various scenarios to protect depositors and substitute possible losses born by</w:t>
      </w:r>
      <w:r>
        <w:t xml:space="preserve"> </w:t>
      </w:r>
      <w:r>
        <w:t xml:space="preserve">depositors, (ii) the extent to which DGS interventions are likely to absorb losses in insolvency</w:t>
      </w:r>
      <w:r>
        <w:t xml:space="preserve"> </w:t>
      </w:r>
      <w:r>
        <w:t xml:space="preserve">and, in resolution, to reach the 8% TLOF threshold after a bail-in of the eligible liabilities, and</w:t>
      </w:r>
      <w:r>
        <w:t xml:space="preserve"> </w:t>
      </w:r>
      <w:r>
        <w:t xml:space="preserve">(iii) the availability of DGS funds and the likely impact of hybrid EDIS. In this quantitative</w:t>
      </w:r>
      <w:r>
        <w:t xml:space="preserve"> </w:t>
      </w:r>
      <w:r>
        <w:t xml:space="preserve">analysis, the LCT amount is defined as the amount of covered deposits affected by the</w:t>
      </w:r>
      <w:r>
        <w:t xml:space="preserve"> </w:t>
      </w:r>
      <w:r>
        <w:t xml:space="preserve">simulated losses under an insolvency counterfactual, which represents the maximum amount of</w:t>
      </w:r>
      <w:r>
        <w:t xml:space="preserve"> </w:t>
      </w:r>
      <w:r>
        <w:t xml:space="preserve">DGS contribution to various measures.</w:t>
      </w:r>
      <w:r>
        <w:br/>
      </w:r>
      <w:r>
        <w:t xml:space="preserve">As a first step, section 4.1 relies on the static approach, based on predefined scenarios of loss</w:t>
      </w:r>
      <w:r>
        <w:t xml:space="preserve"> </w:t>
      </w:r>
      <w:r>
        <w:t xml:space="preserve">simulations (i.e. CET1 depletion), depositor preference and bail-inable capacity, applied when</w:t>
      </w:r>
      <w:r>
        <w:t xml:space="preserve"> </w:t>
      </w:r>
      <w:r>
        <w:t xml:space="preserve">testing the ability to reach 8% TLOF. The focus is primarily on the scenario of depositor</w:t>
      </w:r>
      <w:r>
        <w:t xml:space="preserve"> </w:t>
      </w:r>
      <w:r>
        <w:t xml:space="preserve">preference that can support a DGS intervention.</w:t>
      </w:r>
      <w:r>
        <w:br/>
      </w:r>
      <w:r>
        <w:t xml:space="preserve">On this basis, a second step is carried out in section 4.2 based on the modelling approach</w:t>
      </w:r>
      <w:r>
        <w:t xml:space="preserve"> </w:t>
      </w:r>
      <w:r>
        <w:t xml:space="preserve">described in section 2.4, whereby losses are simulated by the SYMBOL model and allocated</w:t>
      </w:r>
      <w:r>
        <w:t xml:space="preserve"> </w:t>
      </w:r>
      <w:r>
        <w:t xml:space="preserve">within resolution groups, primarily assuming that the resolution group structure is maintained</w:t>
      </w:r>
      <w:r>
        <w:t xml:space="preserve"> </w:t>
      </w:r>
      <w:r>
        <w:t xml:space="preserve">(i.e. losses are allocated to subsidiaries up until the level of internal loss absorbing</w:t>
      </w:r>
      <w:r>
        <w:t xml:space="preserve"> </w:t>
      </w:r>
      <w:r>
        <w:t xml:space="preserve">requirements, while and any remaining losses, if any, are transferred to the parent entity)446.</w:t>
      </w:r>
      <w:r>
        <w:t xml:space="preserve"> </w:t>
      </w:r>
      <w:r>
        <w:t xml:space="preserve">The most relevant scenarios from the static statistical analysis are used in the model-based</w:t>
      </w:r>
      <w:r>
        <w:t xml:space="preserve"> </w:t>
      </w:r>
      <w:r>
        <w:t xml:space="preserve">approach, which gives a more accurate view of the impact on institutions by simulating and</w:t>
      </w:r>
      <w:r>
        <w:t xml:space="preserve"> </w:t>
      </w:r>
      <w:r>
        <w:t xml:space="preserve">allocating losses according to bank-specific parameters. Results are presented for three types of</w:t>
      </w:r>
      <w:r>
        <w:t xml:space="preserve"> </w:t>
      </w:r>
      <w:r>
        <w:t xml:space="preserve">crises: a crisis similar to the global financial crisis of 2008 and two other crises, one less and</w:t>
      </w:r>
      <w:r>
        <w:t xml:space="preserve"> </w:t>
      </w:r>
      <w:r>
        <w:t xml:space="preserve">one more severe.</w:t>
      </w:r>
      <w:r>
        <w:br/>
      </w:r>
      <w:r>
        <w:t xml:space="preserve">Overall, the results are very sensitive to the level of assumed recovery rate: the higher the</w:t>
      </w:r>
      <w:r>
        <w:t xml:space="preserve"> </w:t>
      </w:r>
      <w:r>
        <w:t xml:space="preserve">losses on the assets in insolvency (haircut), the lower the recovery rate in a payout in</w:t>
      </w:r>
      <w:r>
        <w:t xml:space="preserve"> </w:t>
      </w:r>
      <w:r>
        <w:t xml:space="preserve">insolvency and the higher the amount that the DGS could contribute to various measures, as</w:t>
      </w:r>
      <w:r>
        <w:t xml:space="preserve"> </w:t>
      </w:r>
      <w:r>
        <w:t xml:space="preserve">emerging from the LCT. This means that the alternative DGS interventions allowed by the</w:t>
      </w:r>
      <w:r>
        <w:t xml:space="preserve"> </w:t>
      </w:r>
      <w:r>
        <w:t xml:space="preserve">LCT are comparatively less expensive than a DGS payout in insolvency. As a result, DGS</w:t>
      </w:r>
      <w:r>
        <w:t xml:space="preserve"> </w:t>
      </w:r>
      <w:r>
        <w:t xml:space="preserve">interventions may become more frequent and contribute to a larger extent to the various</w:t>
      </w:r>
      <w:r>
        <w:t xml:space="preserve"> </w:t>
      </w:r>
      <w:r>
        <w:t xml:space="preserve">measures (compared to the status quo).</w:t>
      </w:r>
      <w:r>
        <w:br/>
      </w:r>
      <w:r>
        <w:t xml:space="preserve">The recovery rate is instrumental in determining the amount of expected losses of the DGS in</w:t>
      </w:r>
      <w:r>
        <w:t xml:space="preserve"> </w:t>
      </w:r>
      <w:r>
        <w:t xml:space="preserve">case of payout (i.e. the insolvency counterfactual in the LCT calculation). Lowering the</w:t>
      </w:r>
      <w:r>
        <w:t xml:space="preserve"> </w:t>
      </w:r>
      <w:r>
        <w:t xml:space="preserve">recovery rate would increase the amount of expected losses in insolvency for the DGS and,</w:t>
      </w:r>
      <w:r>
        <w:t xml:space="preserve"> </w:t>
      </w:r>
      <w:r>
        <w:t xml:space="preserve">consequently through the LCT, unlock more DGS funds. As mentioned in section 2.3 in this</w:t>
      </w:r>
      <w:r>
        <w:t xml:space="preserve"> </w:t>
      </w:r>
      <w:r>
        <w:t xml:space="preserve">Annex, the assessments in this Annex are primarily based on an 85% recovery rate in the LCT</w:t>
      </w:r>
    </w:p>
    <w:p>
      <w:pPr>
        <w:pStyle w:val="BodyText"/>
      </w:pPr>
      <w:r>
        <w:t xml:space="preserve">446 According to the BRRD, the resolution group structure is maintained when resolution tools are applied only to</w:t>
      </w:r>
      <w:r>
        <w:t xml:space="preserve"> </w:t>
      </w:r>
      <w:r>
        <w:t xml:space="preserve">the resolution entity (e.g. the parent entity), while other subsidiaries in the group which are not resolution entities</w:t>
      </w:r>
      <w:r>
        <w:t xml:space="preserve"> </w:t>
      </w:r>
      <w:r>
        <w:t xml:space="preserve">themselves absorb losses by transferring them to the resolution entity through the bail-in of internal loss absorbing</w:t>
      </w:r>
      <w:r>
        <w:t xml:space="preserve"> </w:t>
      </w:r>
      <w:r>
        <w:t xml:space="preserve">capacity (so-called internal MREL) which has pre-positioned ex ante by the parent entity on the balance sheet of</w:t>
      </w:r>
      <w:r>
        <w:t xml:space="preserve"> </w:t>
      </w:r>
      <w:r>
        <w:t xml:space="preserve">the subsidiary).</w:t>
      </w:r>
    </w:p>
    <w:p>
      <w:pPr>
        <w:pStyle w:val="BodyText"/>
      </w:pPr>
      <w:r>
        <w:t xml:space="preserve">273</w:t>
      </w:r>
      <w:r>
        <w:t xml:space="preserve"> </w:t>
      </w:r>
      <w:r>
        <w:t xml:space="preserve">insolvency counterfactual, however results for a 50% recovery rate are also briefly described</w:t>
      </w:r>
      <w:r>
        <w:t xml:space="preserve"> </w:t>
      </w:r>
      <w:r>
        <w:t xml:space="preserve">(see section 4.5) in order to illustrate the sensitivity of the results to this parameter. Two main</w:t>
      </w:r>
      <w:r>
        <w:t xml:space="preserve"> </w:t>
      </w:r>
      <w:r>
        <w:t xml:space="preserve">impacts could be observed by applying a recovery rate lower than 85%447. First, it would</w:t>
      </w:r>
      <w:r>
        <w:t xml:space="preserve"> </w:t>
      </w:r>
      <w:r>
        <w:t xml:space="preserve">reduce the number of banks that cannot reach the 8% TLOF threshold as a result of an</w:t>
      </w:r>
      <w:r>
        <w:t xml:space="preserve"> </w:t>
      </w:r>
      <w:r>
        <w:t xml:space="preserve">insufficient or a negative LCT. Second, as more DGS funds would be used, it would also</w:t>
      </w:r>
      <w:r>
        <w:t xml:space="preserve"> </w:t>
      </w:r>
      <w:r>
        <w:t xml:space="preserve">increase the number of national DGSs unable to finance the gap to the 8% TLOF due to a</w:t>
      </w:r>
      <w:r>
        <w:t xml:space="preserve"> </w:t>
      </w:r>
      <w:r>
        <w:t xml:space="preserve">liquidity shortfall. The lower the recovery rate, the stronger these two impacts448.</w:t>
      </w:r>
      <w:r>
        <w:t xml:space="preserve"> </w:t>
      </w:r>
      <w:r>
        <w:t xml:space="preserve">Considerations on the impact of recovery rates can also be found in section 3.1.5 of the EBA</w:t>
      </w:r>
      <w:r>
        <w:t xml:space="preserve"> </w:t>
      </w:r>
      <w:r>
        <w:t xml:space="preserve">CfA report.</w:t>
      </w:r>
      <w:r>
        <w:br/>
      </w:r>
      <w:r>
        <w:t xml:space="preserve">4.1. Least cost test and DGS interventions (statistical approach) (Step C)</w:t>
      </w:r>
      <w:r>
        <w:t xml:space="preserve"> </w:t>
      </w:r>
      <w:r>
        <w:t xml:space="preserve">This section complements the analysis in section 3 and assesses the maximum level of funds</w:t>
      </w:r>
      <w:r>
        <w:t xml:space="preserve"> </w:t>
      </w:r>
      <w:r>
        <w:t xml:space="preserve">unlocked by the LCT for DGS contributions in resolution or to finance an alternative measure</w:t>
      </w:r>
      <w:r>
        <w:t xml:space="preserve"> </w:t>
      </w:r>
      <w:r>
        <w:t xml:space="preserve">in insolvency449. Additionally, for those institutions where DGS interventions would be</w:t>
      </w:r>
      <w:r>
        <w:t xml:space="preserve"> </w:t>
      </w:r>
      <w:r>
        <w:t xml:space="preserve">deemed possible under the LCT, this section assesses to what extent the DGS contributions in</w:t>
      </w:r>
      <w:r>
        <w:t xml:space="preserve"> </w:t>
      </w:r>
      <w:r>
        <w:t xml:space="preserve">resolution would allow reaching the threshold of 8% TLOF. The analysis also shows the</w:t>
      </w:r>
      <w:r>
        <w:t xml:space="preserve"> </w:t>
      </w:r>
      <w:r>
        <w:t xml:space="preserve">number of cases where DGS interventions in resolution would not be sufficient to access</w:t>
      </w:r>
      <w:r>
        <w:t xml:space="preserve"> </w:t>
      </w:r>
      <w:r>
        <w:t xml:space="preserve">external financing via the resolution fund. Statistics on cases where the 8% TLOF cannot be</w:t>
      </w:r>
      <w:r>
        <w:t xml:space="preserve"> </w:t>
      </w:r>
      <w:r>
        <w:t xml:space="preserve">reached could inform the considerations of including indirect costs in the LCT calculation in</w:t>
      </w:r>
      <w:r>
        <w:t xml:space="preserve"> </w:t>
      </w:r>
      <w:r>
        <w:t xml:space="preserve">the new CMDI framework.</w:t>
      </w:r>
      <w:r>
        <w:t xml:space="preserve"> </w:t>
      </w:r>
      <w:r>
        <w:t xml:space="preserve">4.1.1. Baseline</w:t>
      </w:r>
      <w:r>
        <w:t xml:space="preserve"> </w:t>
      </w:r>
      <w:r>
        <w:t xml:space="preserve">Table 17 shows, in aggregate, the number of institutions for which DGS interventions are</w:t>
      </w:r>
      <w:r>
        <w:t xml:space="preserve"> </w:t>
      </w:r>
      <w:r>
        <w:t xml:space="preserve">possible (positive LCT) under the baseline scenario (no CET1 depletion, applicable creditor</w:t>
      </w:r>
      <w:r>
        <w:t xml:space="preserve"> </w:t>
      </w:r>
      <w:r>
        <w:t xml:space="preserve">hierarchy in each Member State, full bail-inable capacity except liabilities with maturity shorter</w:t>
      </w:r>
      <w:r>
        <w:t xml:space="preserve"> </w:t>
      </w:r>
      <w:r>
        <w:t xml:space="preserve">than one month) and, whether DGS contributions would allow reaching a level of 8% TLOF to</w:t>
      </w:r>
      <w:r>
        <w:t xml:space="preserve"> </w:t>
      </w:r>
      <w:r>
        <w:t xml:space="preserve">access the RF/SRF. As for previous analyses, the results concern all entities, irrespective of</w:t>
      </w:r>
      <w:r>
        <w:t xml:space="preserve"> </w:t>
      </w:r>
      <w:r>
        <w:t xml:space="preserve">their strategy.</w:t>
      </w:r>
      <w:r>
        <w:t xml:space="preserve"> </w:t>
      </w:r>
      <w:r>
        <w:t xml:space="preserve">Summary assessment – LCT Baseline</w:t>
      </w:r>
      <w:r>
        <w:t xml:space="preserve"> </w:t>
      </w:r>
      <w:r>
        <w:t xml:space="preserve">The LCT would yield a positive result for only three out of 91 banks that would</w:t>
      </w:r>
      <w:r>
        <w:t xml:space="preserve"> </w:t>
      </w:r>
      <w:r>
        <w:t xml:space="preserve">require a DGS intervention to reach the 8% TLOF under the baseline scenario</w:t>
      </w:r>
      <w:r>
        <w:t xml:space="preserve"> </w:t>
      </w:r>
      <w:r>
        <w:t xml:space="preserve">considering an 85% recovery rate in insolvency (out of a total sample of 368 banks).</w:t>
      </w:r>
      <w:r>
        <w:t xml:space="preserve"> </w:t>
      </w:r>
      <w:r>
        <w:t xml:space="preserve">The DGS support would suffice for two out of these three banks.</w:t>
      </w:r>
    </w:p>
    <w:p>
      <w:pPr>
        <w:pStyle w:val="BodyText"/>
      </w:pPr>
      <w:r>
        <w:t xml:space="preserve">447 These impacts would be the same for all the figures in this section.</w:t>
      </w:r>
      <w:r>
        <w:t xml:space="preserve"> </w:t>
      </w:r>
      <w:r>
        <w:t xml:space="preserve">448 Conversely, a recovery rate higher than 85% would increase the number of banks unable to reach the 8%</w:t>
      </w:r>
      <w:r>
        <w:t xml:space="preserve"> </w:t>
      </w:r>
      <w:r>
        <w:t xml:space="preserve">TLOF due to an insufficient LCT and would reduce the number of DGSs facing a liquidity shortfall.</w:t>
      </w:r>
      <w:r>
        <w:t xml:space="preserve"> </w:t>
      </w:r>
      <w:r>
        <w:t xml:space="preserve">449 Where covered deposits would bear losses under various scenarios, and therefore determine the potential cost</w:t>
      </w:r>
      <w:r>
        <w:t xml:space="preserve"> </w:t>
      </w:r>
      <w:r>
        <w:t xml:space="preserve">of the payout for the DGS in an insolvency counterfactual.</w:t>
      </w:r>
    </w:p>
    <w:p>
      <w:pPr>
        <w:pStyle w:val="BodyText"/>
      </w:pPr>
      <w:r>
        <w:t xml:space="preserve">274</w:t>
      </w:r>
      <w:r>
        <w:t xml:space="preserve"> </w:t>
      </w:r>
      <w:r>
        <w:t xml:space="preserve">Detailed analysis</w:t>
      </w:r>
      <w:r>
        <w:t xml:space="preserve"> </w:t>
      </w:r>
      <w:r>
        <w:t xml:space="preserve">Under the baseline scenario and an assumed recovery rate of 85%, the banks that cannot access</w:t>
      </w:r>
      <w:r>
        <w:t xml:space="preserve"> </w:t>
      </w:r>
      <w:r>
        <w:t xml:space="preserve">the 8% TLOF threshold without imposing losses on deposits would need to unlock DGS</w:t>
      </w:r>
      <w:r>
        <w:t xml:space="preserve"> </w:t>
      </w:r>
      <w:r>
        <w:t xml:space="preserve">intervention based on the LCT in order to access the RF/SRF. Out of the 91 banks (from a</w:t>
      </w:r>
      <w:r>
        <w:t xml:space="preserve"> </w:t>
      </w:r>
      <w:r>
        <w:t xml:space="preserve">sample of 368 banks) that would need deposits to reach 8% TLOF, the LCT would be positive</w:t>
      </w:r>
      <w:r>
        <w:t xml:space="preserve"> </w:t>
      </w:r>
      <w:r>
        <w:t xml:space="preserve">for only three banks, out of which the DGS support would be sufficient to bridge the gap until</w:t>
      </w:r>
      <w:r>
        <w:t xml:space="preserve"> </w:t>
      </w:r>
      <w:r>
        <w:t xml:space="preserve">the 8% TOLF threshold in only two cases. DGS interventions would not be possible (negative</w:t>
      </w:r>
      <w:r>
        <w:t xml:space="preserve"> </w:t>
      </w:r>
      <w:r>
        <w:t xml:space="preserve">LCT) for 88 banks thereby exposing deposits to losses in order to access resolution financing</w:t>
      </w:r>
      <w:r>
        <w:t xml:space="preserve"> </w:t>
      </w:r>
      <w:r>
        <w:t xml:space="preserve">arrangements unless public support would be envisaged. The results are very similar</w:t>
      </w:r>
      <w:r>
        <w:t xml:space="preserve"> </w:t>
      </w:r>
      <w:r>
        <w:t xml:space="preserve">irrespective of the size of the bank, the resolution strategy or its geographical location.</w:t>
      </w:r>
      <w:r>
        <w:br/>
      </w:r>
      <w:r>
        <w:t xml:space="preserve">Table 17: LCT – Baseline</w:t>
      </w:r>
    </w:p>
    <w:p>
      <w:pPr>
        <w:pStyle w:val="Compact"/>
        <w:numPr>
          <w:ilvl w:val="0"/>
          <w:numId w:val="1043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LCT)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46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39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42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49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52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91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Source: Commission services, based on EBA CfA report and SRB data as of Q4 2019, assuming an 85% recovery</w:t>
      </w:r>
      <w:r>
        <w:t xml:space="preserve"> </w:t>
      </w:r>
      <w:r>
        <w:t xml:space="preserve">rate.</w:t>
      </w:r>
      <w:r>
        <w:br/>
      </w:r>
      <w:r>
        <w:t xml:space="preserve">4.1.2. Baseline versus more severe CET1 depletion scenarios</w:t>
      </w:r>
      <w:r>
        <w:t xml:space="preserve"> </w:t>
      </w:r>
      <w:r>
        <w:t xml:space="preserve">Table 18 shows the increasing risks for depositors under various scenarios of losses in line with</w:t>
      </w:r>
      <w:r>
        <w:t xml:space="preserve"> </w:t>
      </w:r>
      <w:r>
        <w:t xml:space="preserve">the CET1 depletion assumptions described in section 2.3. All other dimensions remain as per</w:t>
      </w:r>
      <w:r>
        <w:t xml:space="preserve"> </w:t>
      </w:r>
      <w:r>
        <w:t xml:space="preserve">the baseline scenario.</w:t>
      </w:r>
    </w:p>
    <w:p>
      <w:pPr>
        <w:pStyle w:val="FirstParagraph"/>
      </w:pPr>
      <w:r>
        <w:t xml:space="preserve">275</w:t>
      </w:r>
      <w:r>
        <w:t xml:space="preserve"> </w:t>
      </w:r>
      <w:r>
        <w:t xml:space="preserve">Summary assessment – Baseline versus more severe CET1 depletion scenarios</w:t>
      </w:r>
      <w:r>
        <w:t xml:space="preserve"> </w:t>
      </w:r>
      <w:r>
        <w:t xml:space="preserve">As a general observation, while the more severe CET1 depletion scenarios increase</w:t>
      </w:r>
      <w:r>
        <w:t xml:space="preserve"> </w:t>
      </w:r>
      <w:r>
        <w:t xml:space="preserve">the number of institutions where deposits would need to bear losses, the effects of the</w:t>
      </w:r>
      <w:r>
        <w:t xml:space="preserve"> </w:t>
      </w:r>
      <w:r>
        <w:t xml:space="preserve">scenarios remain limited with respect to the ability of DGS to intervene and</w:t>
      </w:r>
      <w:r>
        <w:t xml:space="preserve"> </w:t>
      </w:r>
      <w:r>
        <w:t xml:space="preserve">contribute enough to reach the 8% TLOF threshold due to the LCT.</w:t>
      </w:r>
    </w:p>
    <w:p>
      <w:pPr>
        <w:pStyle w:val="BodyText"/>
      </w:pPr>
      <w:r>
        <w:t xml:space="preserve">Detailed analysis</w:t>
      </w:r>
      <w:r>
        <w:t xml:space="preserve"> </w:t>
      </w:r>
      <w:r>
        <w:t xml:space="preserve">As highlighted in section 3.2.2, a higher severity of CET1 depletion increases the number of</w:t>
      </w:r>
      <w:r>
        <w:t xml:space="preserve"> </w:t>
      </w:r>
      <w:r>
        <w:t xml:space="preserve">institutions where deposits would need to bear losses to reach the 8% TLOF threshold,</w:t>
      </w:r>
      <w:r>
        <w:t xml:space="preserve"> </w:t>
      </w:r>
      <w:r>
        <w:t xml:space="preserve">irrespective of the size classification. Figure 24 highlights the changes in the number of banks</w:t>
      </w:r>
      <w:r>
        <w:t xml:space="preserve"> </w:t>
      </w:r>
      <w:r>
        <w:t xml:space="preserve">reaching 8% TLOF using deposits for each scenario of CET1 depletion. In aggregate, deposits</w:t>
      </w:r>
      <w:r>
        <w:t xml:space="preserve"> </w:t>
      </w:r>
      <w:r>
        <w:t xml:space="preserve">in 299 banks would be impacted to access resolution financing arrangements under the most</w:t>
      </w:r>
      <w:r>
        <w:t xml:space="preserve"> </w:t>
      </w:r>
      <w:r>
        <w:t xml:space="preserve">severe CET1 depletion scenario, i.e. an increase of 208 banks against the baseline scenario. In</w:t>
      </w:r>
      <w:r>
        <w:t xml:space="preserve"> </w:t>
      </w:r>
      <w:r>
        <w:t xml:space="preserve">total, deposits would have to bear losses in 88% of the small banks, 79% of the medium-sized</w:t>
      </w:r>
      <w:r>
        <w:t xml:space="preserve"> </w:t>
      </w:r>
      <w:r>
        <w:t xml:space="preserve">and 59% of the large banks in this most extreme CET1 depletion scenario.</w:t>
      </w:r>
      <w:r>
        <w:t xml:space="preserve"> </w:t>
      </w:r>
      <w:r>
        <w:t xml:space="preserve">Figure 24: Baseline versus depletion scenarios (number of institutions reaching 8% TLOF</w:t>
      </w:r>
      <w:r>
        <w:t xml:space="preserve"> </w:t>
      </w:r>
      <w:r>
        <w:t xml:space="preserve">with deposits, per scenario of CET1 depletion)</w:t>
      </w:r>
    </w:p>
    <w:p>
      <w:pPr>
        <w:pStyle w:val="BodyText"/>
      </w:pPr>
      <w:r>
        <w:t xml:space="preserve">Source: Commission services, based on EBA CfA report and SRB data as of Q4 2019.</w:t>
      </w:r>
      <w:r>
        <w:br/>
      </w:r>
      <w:r>
        <w:t xml:space="preserve">However, irrespective of the CET1 depletion scenario, the number of institutions where the</w:t>
      </w:r>
      <w:r>
        <w:t xml:space="preserve"> </w:t>
      </w:r>
      <w:r>
        <w:t xml:space="preserve">DGS can intervene under the LCT would remain limited to a maximum of six banks, of which</w:t>
      </w:r>
      <w:r>
        <w:t xml:space="preserve"> </w:t>
      </w:r>
      <w:r>
        <w:t xml:space="preserve">four small and two medium-sized institutions, most of them having a high prevalence of</w:t>
      </w:r>
      <w:r>
        <w:t xml:space="preserve"> </w:t>
      </w:r>
      <w:r>
        <w:t xml:space="preserve">deposits in their balance sheet. The results are identical in the three most severe CET1</w:t>
      </w:r>
      <w:r>
        <w:t xml:space="preserve"> </w:t>
      </w:r>
      <w:r>
        <w:t xml:space="preserve">depletion scenarios (i.e. as soon as buffers are depleted) showing the constraint imposed by the</w:t>
      </w:r>
      <w:r>
        <w:t xml:space="preserve"> </w:t>
      </w:r>
      <w:r>
        <w:t xml:space="preserve">LCT due in part to the applicable creditor hierarchies in each Member State.</w:t>
      </w:r>
    </w:p>
    <w:p>
      <w:pPr>
        <w:pStyle w:val="BodyText"/>
      </w:pPr>
      <w:r>
        <w:t xml:space="preserve">276</w:t>
      </w:r>
      <w:r>
        <w:t xml:space="preserve"> </w:t>
      </w:r>
      <w:r>
        <w:t xml:space="preserve">Table 18: LCT – Baseline versus CET1 depletion scenarios</w:t>
      </w:r>
    </w:p>
    <w:p>
      <w:pPr>
        <w:numPr>
          <w:ilvl w:val="0"/>
          <w:numId w:val="1044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CET1 Depletion</w:t>
      </w:r>
      <w:r>
        <w:t xml:space="preserve"> </w:t>
      </w:r>
      <w:r>
        <w:t xml:space="preserve">2 - Depletion 75% of buffers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134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83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22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114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125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38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41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130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239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</w:p>
    <w:p>
      <w:pPr>
        <w:numPr>
          <w:ilvl w:val="0"/>
          <w:numId w:val="1044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CET1 Depletion</w:t>
      </w:r>
      <w:r>
        <w:t xml:space="preserve"> </w:t>
      </w:r>
      <w:r>
        <w:t xml:space="preserve">3 - Depletion of all buffers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156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92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25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131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142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47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51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141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273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</w:p>
    <w:p>
      <w:pPr>
        <w:pStyle w:val="FirstParagraph"/>
      </w:pPr>
      <w:r>
        <w:t xml:space="preserve">277</w:t>
      </w:r>
    </w:p>
    <w:p>
      <w:pPr>
        <w:numPr>
          <w:ilvl w:val="0"/>
          <w:numId w:val="1045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CET1 Depletion</w:t>
      </w:r>
      <w:r>
        <w:t xml:space="preserve"> </w:t>
      </w:r>
      <w:r>
        <w:t xml:space="preserve">4 - Depletion of all buffers and 50% of P2R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164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95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136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150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51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54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147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286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</w:p>
    <w:p>
      <w:pPr>
        <w:numPr>
          <w:ilvl w:val="0"/>
          <w:numId w:val="1045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CET1 Depletion</w:t>
      </w:r>
      <w:r>
        <w:t xml:space="preserve"> </w:t>
      </w:r>
      <w:r>
        <w:t xml:space="preserve">5 - Depletion of all buffers and 100% of P2R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172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98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146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153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54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35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60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150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299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Source: Commission services, based on EBA CfA report and SRB data as of Q4 2019, assuming an 85%</w:t>
      </w:r>
      <w:r>
        <w:t xml:space="preserve"> </w:t>
      </w:r>
      <w:r>
        <w:t xml:space="preserve">recovery rate.</w:t>
      </w:r>
    </w:p>
    <w:p>
      <w:pPr>
        <w:pStyle w:val="FirstParagraph"/>
      </w:pPr>
      <w:r>
        <w:t xml:space="preserve">278</w:t>
      </w:r>
      <w:r>
        <w:t xml:space="preserve"> </w:t>
      </w:r>
      <w:r>
        <w:t xml:space="preserve">4.1.3. Baseline versus alternative depositor preference scenarios</w:t>
      </w:r>
      <w:r>
        <w:t xml:space="preserve"> </w:t>
      </w:r>
      <w:r>
        <w:t xml:space="preserve">This section shows when DGS interventions would be possible (positive LCT) under</w:t>
      </w:r>
      <w:r>
        <w:t xml:space="preserve"> </w:t>
      </w:r>
      <w:r>
        <w:t xml:space="preserve">various scenarios of depositor preference as described in section 2.3 and whether DGS</w:t>
      </w:r>
      <w:r>
        <w:t xml:space="preserve"> </w:t>
      </w:r>
      <w:r>
        <w:t xml:space="preserve">contributions would allow reaching a level of 8% TLOF. All other dimensions remain as</w:t>
      </w:r>
      <w:r>
        <w:t xml:space="preserve"> </w:t>
      </w:r>
      <w:r>
        <w:t xml:space="preserve">per the baseline scenario.</w:t>
      </w:r>
      <w:r>
        <w:t xml:space="preserve"> </w:t>
      </w:r>
      <w:r>
        <w:t xml:space="preserve">Summary assessment – Baseline versus alternative depositor preference scenarios</w:t>
      </w:r>
      <w:r>
        <w:t xml:space="preserve"> </w:t>
      </w:r>
      <w:r>
        <w:t xml:space="preserve">Under a comparative analysis, the introduction of depositor preference would</w:t>
      </w:r>
      <w:r>
        <w:t xml:space="preserve"> </w:t>
      </w:r>
      <w:r>
        <w:t xml:space="preserve">shield deposits from bearing losses by reducing most significantly the number of</w:t>
      </w:r>
      <w:r>
        <w:t xml:space="preserve"> </w:t>
      </w:r>
      <w:r>
        <w:t xml:space="preserve">banks where non-preferred deposits would be impacted when reaching 8% TLOF.</w:t>
      </w:r>
      <w:r>
        <w:t xml:space="preserve"> </w:t>
      </w:r>
      <w:r>
        <w:t xml:space="preserve">When assuming a 85% recovery rate, the number of banks where deposits would</w:t>
      </w:r>
      <w:r>
        <w:t xml:space="preserve"> </w:t>
      </w:r>
      <w:r>
        <w:t xml:space="preserve">be impacted would decrease from 91 banks in the baseline scenario to 48 under the</w:t>
      </w:r>
      <w:r>
        <w:t xml:space="preserve"> </w:t>
      </w:r>
      <w:r>
        <w:t xml:space="preserve">single-tier depositor preference (out of 368 in total), reducing the EUR value of</w:t>
      </w:r>
      <w:r>
        <w:t xml:space="preserve"> </w:t>
      </w:r>
      <w:r>
        <w:t xml:space="preserve">impacted deposits from EUR 18.3 bn in the baseline to EUR 6.4 bn and unlocking</w:t>
      </w:r>
      <w:r>
        <w:t xml:space="preserve"> </w:t>
      </w:r>
      <w:r>
        <w:t xml:space="preserve">the most significant amount of funds for DGS contributions under the LCT (on</w:t>
      </w:r>
      <w:r>
        <w:t xml:space="preserve"> </w:t>
      </w:r>
      <w:r>
        <w:t xml:space="preserve">average up to twenty times higher (EUR 0.98 bn) than under the baseline or the</w:t>
      </w:r>
      <w:r>
        <w:t xml:space="preserve"> </w:t>
      </w:r>
      <w:r>
        <w:t xml:space="preserve">alternative scenarios retaining the super-preference of covered deposits (EUR</w:t>
      </w:r>
      <w:r>
        <w:t xml:space="preserve"> </w:t>
      </w:r>
      <w:r>
        <w:t xml:space="preserve">0.05 bn)). The DGS intervention under the LCT would be sufficient to bridge the</w:t>
      </w:r>
      <w:r>
        <w:t xml:space="preserve"> </w:t>
      </w:r>
      <w:r>
        <w:t xml:space="preserve">gap towards 8% TLOF in 76% of cases when considering the entire sample and in</w:t>
      </w:r>
      <w:r>
        <w:t xml:space="preserve"> </w:t>
      </w:r>
      <w:r>
        <w:t xml:space="preserve">88% of cases when considering only banks with resolution strategy.</w:t>
      </w:r>
      <w:r>
        <w:br/>
      </w:r>
      <w:r>
        <w:t xml:space="preserve">Detailed analysis</w:t>
      </w:r>
      <w:r>
        <w:t xml:space="preserve"> </w:t>
      </w:r>
      <w:r>
        <w:t xml:space="preserve">When assuming a 85% recovery rate and considering a single-tier depositor preference</w:t>
      </w:r>
      <w:r>
        <w:t xml:space="preserve"> </w:t>
      </w:r>
      <w:r>
        <w:t xml:space="preserve">(scenario 2) and the entire sample, DGS can intervene under the LCT for 89% of small</w:t>
      </w:r>
      <w:r>
        <w:t xml:space="preserve"> </w:t>
      </w:r>
      <w:r>
        <w:t xml:space="preserve">banks and 80% of medium banks for which deposits would be impacted when calculating</w:t>
      </w:r>
      <w:r>
        <w:t xml:space="preserve"> </w:t>
      </w:r>
      <w:r>
        <w:t xml:space="preserve">the 8% TLOF threshold (reminder: under the alternative scenarios of depositor</w:t>
      </w:r>
      <w:r>
        <w:t xml:space="preserve"> </w:t>
      </w:r>
      <w:r>
        <w:t xml:space="preserve">preference, no large banks would need deposits to access 8% TLOF). When considering</w:t>
      </w:r>
      <w:r>
        <w:t xml:space="preserve"> </w:t>
      </w:r>
      <w:r>
        <w:t xml:space="preserve">only entities for which the strategy is resolution, DGS interventions under the LCT are</w:t>
      </w:r>
      <w:r>
        <w:t xml:space="preserve"> </w:t>
      </w:r>
      <w:r>
        <w:t xml:space="preserve">possible for 80% of the banks for which deposits would be bailed-in, and would allow</w:t>
      </w:r>
      <w:r>
        <w:t xml:space="preserve"> </w:t>
      </w:r>
      <w:r>
        <w:t xml:space="preserve">reaching the 8% TLOF threshold in 88% of the cases. The proportion of banks for which</w:t>
      </w:r>
      <w:r>
        <w:t xml:space="preserve"> </w:t>
      </w:r>
      <w:r>
        <w:t xml:space="preserve">DGS interventions would be possible but insufficient to reach the 8% TLOF threshold is</w:t>
      </w:r>
      <w:r>
        <w:t xml:space="preserve"> </w:t>
      </w:r>
      <w:r>
        <w:t xml:space="preserve">particularly concentrated in one Member State (75% of banks in that Member State for</w:t>
      </w:r>
      <w:r>
        <w:t xml:space="preserve"> </w:t>
      </w:r>
      <w:r>
        <w:t xml:space="preserve">which deposits would need to be bailed-in), accounting for two-thirds of the total cases in</w:t>
      </w:r>
      <w:r>
        <w:t xml:space="preserve"> </w:t>
      </w:r>
      <w:r>
        <w:t xml:space="preserve">the sample where DGS interventions under the LCT are insufficient.</w:t>
      </w:r>
      <w:r>
        <w:br/>
      </w:r>
      <w:r>
        <w:t xml:space="preserve">Changing the creditor hierarchy but retaining the super-preference of covered deposits</w:t>
      </w:r>
      <w:r>
        <w:t xml:space="preserve"> </w:t>
      </w:r>
      <w:r>
        <w:t xml:space="preserve">has no impact against the baseline. Finally, scenario 5, where covered deposits rank pari</w:t>
      </w:r>
      <w:r>
        <w:t xml:space="preserve"> </w:t>
      </w:r>
      <w:r>
        <w:t xml:space="preserve">passu with preferred deposits is an intermediate step between the baseline and the single-</w:t>
      </w:r>
      <w:r>
        <w:t xml:space="preserve"> </w:t>
      </w:r>
      <w:r>
        <w:t xml:space="preserve">tier depositor preference: under scenario 5, the LCT would enable the DGS intervention</w:t>
      </w:r>
      <w:r>
        <w:t xml:space="preserve"> </w:t>
      </w:r>
      <w:r>
        <w:t xml:space="preserve">for 18 banks to protect deposits when reaching 8% TLOF (against 41 under a single-tier</w:t>
      </w:r>
      <w:r>
        <w:t xml:space="preserve"> </w:t>
      </w:r>
      <w:r>
        <w:t xml:space="preserve">depositor preference), and these interventions would allow reaching a level of 8% TLOF</w:t>
      </w:r>
      <w:r>
        <w:t xml:space="preserve"> </w:t>
      </w:r>
      <w:r>
        <w:t xml:space="preserve">in 13 cases (against 31 under a single-tier depositor preference).</w:t>
      </w:r>
    </w:p>
    <w:p>
      <w:pPr>
        <w:pStyle w:val="BodyText"/>
      </w:pPr>
      <w:r>
        <w:t xml:space="preserve">279</w:t>
      </w:r>
      <w:r>
        <w:t xml:space="preserve"> </w:t>
      </w:r>
      <w:r>
        <w:t xml:space="preserve">Table 19: LCT – Baseline versus depositor preference scenarios</w:t>
      </w:r>
    </w:p>
    <w:p>
      <w:pPr>
        <w:numPr>
          <w:ilvl w:val="0"/>
          <w:numId w:val="1046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Hierarchy</w:t>
      </w:r>
      <w:r>
        <w:t xml:space="preserve"> </w:t>
      </w:r>
      <w:r>
        <w:t xml:space="preserve">2 - Single-tier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28</w:t>
      </w:r>
      <w:r>
        <w:t xml:space="preserve"> </w:t>
      </w:r>
      <w:r>
        <w:t xml:space="preserve">25</w:t>
      </w:r>
      <w:r>
        <w:t xml:space="preserve"> </w:t>
      </w:r>
      <w:r>
        <w:t xml:space="preserve">20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20</w:t>
      </w:r>
      <w:r>
        <w:t xml:space="preserve"> </w:t>
      </w:r>
      <w:r>
        <w:t xml:space="preserve">16</w:t>
      </w:r>
      <w:r>
        <w:t xml:space="preserve"> </w:t>
      </w:r>
      <w:r>
        <w:t xml:space="preserve">11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20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28</w:t>
      </w:r>
      <w:r>
        <w:t xml:space="preserve"> </w:t>
      </w:r>
      <w:r>
        <w:t xml:space="preserve">25</w:t>
      </w:r>
      <w:r>
        <w:t xml:space="preserve"> </w:t>
      </w:r>
      <w:r>
        <w:t xml:space="preserve">17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37</w:t>
      </w:r>
      <w:r>
        <w:t xml:space="preserve"> </w:t>
      </w:r>
      <w:r>
        <w:t xml:space="preserve">33</w:t>
      </w:r>
      <w:r>
        <w:t xml:space="preserve"> </w:t>
      </w:r>
      <w:r>
        <w:t xml:space="preserve">23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48</w:t>
      </w:r>
      <w:r>
        <w:t xml:space="preserve"> </w:t>
      </w:r>
      <w:r>
        <w:t xml:space="preserve">41</w:t>
      </w:r>
      <w:r>
        <w:t xml:space="preserve"> </w:t>
      </w:r>
      <w:r>
        <w:t xml:space="preserve">31</w:t>
      </w:r>
    </w:p>
    <w:p>
      <w:pPr>
        <w:numPr>
          <w:ilvl w:val="0"/>
          <w:numId w:val="1046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</w:t>
      </w:r>
      <w:r>
        <w:t xml:space="preserve"> </w:t>
      </w:r>
      <w:r>
        <w:t xml:space="preserve">for which</w:t>
      </w:r>
      <w:r>
        <w:t xml:space="preserve"> </w:t>
      </w:r>
      <w:r>
        <w:t xml:space="preserve">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Hierarchy</w:t>
      </w:r>
      <w:r>
        <w:t xml:space="preserve"> </w:t>
      </w:r>
      <w:r>
        <w:t xml:space="preserve">3 - Three-tier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28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28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37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48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</w:p>
    <w:p>
      <w:pPr>
        <w:pStyle w:val="FirstParagraph"/>
      </w:pPr>
      <w:r>
        <w:t xml:space="preserve">280</w:t>
      </w:r>
    </w:p>
    <w:p>
      <w:pPr>
        <w:numPr>
          <w:ilvl w:val="0"/>
          <w:numId w:val="1047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Hierarchy</w:t>
      </w:r>
      <w:r>
        <w:t xml:space="preserve"> </w:t>
      </w:r>
      <w:r>
        <w:t xml:space="preserve">4 - Two-tier (super-preference for covered</w:t>
      </w:r>
      <w:r>
        <w:t xml:space="preserve"> </w:t>
      </w:r>
      <w:r>
        <w:t xml:space="preserve">deposits )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28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28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37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48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</w:p>
    <w:p>
      <w:pPr>
        <w:numPr>
          <w:ilvl w:val="0"/>
          <w:numId w:val="1047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deposits,</w:t>
      </w:r>
      <w:r>
        <w:t xml:space="preserve"> </w:t>
      </w:r>
      <w:r>
        <w:t xml:space="preserve">requiring DGS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</w:t>
      </w:r>
      <w:r>
        <w:t xml:space="preserve"> </w:t>
      </w:r>
      <w:r>
        <w:t xml:space="preserve">for which</w:t>
      </w:r>
      <w:r>
        <w:t xml:space="preserve"> </w:t>
      </w:r>
      <w:r>
        <w:t xml:space="preserve">DGS can</w:t>
      </w:r>
      <w:r>
        <w:t xml:space="preserve"> </w:t>
      </w:r>
      <w:r>
        <w:t xml:space="preserve">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Hierarchy</w:t>
      </w:r>
      <w:r>
        <w:t xml:space="preserve"> </w:t>
      </w:r>
      <w:r>
        <w:t xml:space="preserve">5 - Two-tier (no super-preference for covered</w:t>
      </w:r>
      <w:r>
        <w:t xml:space="preserve"> </w:t>
      </w:r>
      <w:r>
        <w:t xml:space="preserve">deposits)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28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20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Resolution</w:t>
      </w:r>
      <w:r>
        <w:t xml:space="preserve"> </w:t>
      </w:r>
      <w:r>
        <w:t xml:space="preserve">187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Liquidation</w:t>
      </w:r>
      <w:r>
        <w:t xml:space="preserve"> </w:t>
      </w:r>
      <w:r>
        <w:t xml:space="preserve">181</w:t>
      </w:r>
      <w:r>
        <w:t xml:space="preserve"> </w:t>
      </w:r>
      <w:r>
        <w:t xml:space="preserve">28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37</w:t>
      </w:r>
      <w:r>
        <w:t xml:space="preserve"> </w:t>
      </w:r>
      <w:r>
        <w:t xml:space="preserve">15</w:t>
      </w:r>
      <w:r>
        <w:t xml:space="preserve"> </w:t>
      </w:r>
      <w:r>
        <w:t xml:space="preserve">11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48</w:t>
      </w:r>
      <w:r>
        <w:t xml:space="preserve"> </w:t>
      </w:r>
      <w:r>
        <w:t xml:space="preserve">18</w:t>
      </w:r>
      <w:r>
        <w:t xml:space="preserve"> </w:t>
      </w:r>
      <w:r>
        <w:t xml:space="preserve">13</w:t>
      </w:r>
      <w:r>
        <w:t xml:space="preserve"> </w:t>
      </w:r>
      <w:r>
        <w:t xml:space="preserve">Source: Commission services, based on EBA CfA report and SRB data as of Q4 2019, assuming an 85%</w:t>
      </w:r>
      <w:r>
        <w:t xml:space="preserve"> </w:t>
      </w:r>
      <w:r>
        <w:t xml:space="preserve">recovery rate.</w:t>
      </w:r>
      <w:r>
        <w:t xml:space="preserve"> </w:t>
      </w:r>
      <w:r>
        <w:t xml:space="preserve">Figure 25 depicts a comparative view of the ability to reach 8% TLOF with or without</w:t>
      </w:r>
      <w:r>
        <w:t xml:space="preserve"> </w:t>
      </w:r>
      <w:r>
        <w:t xml:space="preserve">deposits according to each depositor preference scenario. The shift from the baseline to</w:t>
      </w:r>
    </w:p>
    <w:p>
      <w:pPr>
        <w:pStyle w:val="FirstParagraph"/>
      </w:pPr>
      <w:r>
        <w:t xml:space="preserve">281</w:t>
      </w:r>
      <w:r>
        <w:t xml:space="preserve"> </w:t>
      </w:r>
      <w:r>
        <w:t xml:space="preserve">the single-tier deposit preference (scenario 2) would impact all deposits (non-preferred,</w:t>
      </w:r>
      <w:r>
        <w:t xml:space="preserve"> </w:t>
      </w:r>
      <w:r>
        <w:t xml:space="preserve">preferred, covered) to the same extent, however, in a smaller number of banks. As shown</w:t>
      </w:r>
      <w:r>
        <w:t xml:space="preserve"> </w:t>
      </w:r>
      <w:r>
        <w:t xml:space="preserve">in Figure 26, this would improve the depositor protection and attain the objective of</w:t>
      </w:r>
      <w:r>
        <w:t xml:space="preserve"> </w:t>
      </w:r>
      <w:r>
        <w:t xml:space="preserve">facilitating a greater DGS contribution to various measures (preventive, resolution,</w:t>
      </w:r>
      <w:r>
        <w:t xml:space="preserve"> </w:t>
      </w:r>
      <w:r>
        <w:t xml:space="preserve">alternative measures in insolvency) under the LCT. While some other scenarios maintain</w:t>
      </w:r>
      <w:r>
        <w:t xml:space="preserve"> </w:t>
      </w:r>
      <w:r>
        <w:t xml:space="preserve">the super-preference of covered deposits, they do not meet the objective of facilitating</w:t>
      </w:r>
      <w:r>
        <w:t xml:space="preserve"> </w:t>
      </w:r>
      <w:r>
        <w:t xml:space="preserve">DGS funding under the LCT, which due to the very nature of the LCT, would be less</w:t>
      </w:r>
      <w:r>
        <w:t xml:space="preserve"> </w:t>
      </w:r>
      <w:r>
        <w:t xml:space="preserve">costly than a payout intervention in insolvency. Please see also the explanations in</w:t>
      </w:r>
      <w:r>
        <w:t xml:space="preserve"> </w:t>
      </w:r>
      <w:r>
        <w:t xml:space="preserve">section 3.2.3 on maintaining the full protection of covered deposits under a single-tier</w:t>
      </w:r>
      <w:r>
        <w:t xml:space="preserve"> </w:t>
      </w:r>
      <w:r>
        <w:t xml:space="preserve">ranking preference.</w:t>
      </w:r>
      <w:r>
        <w:br/>
      </w:r>
      <w:r>
        <w:t xml:space="preserve">Figure 25: Reaching 8% TLOF – Baseline versus depositor preference scenarios</w:t>
      </w:r>
    </w:p>
    <w:p>
      <w:pPr>
        <w:pStyle w:val="BodyText"/>
      </w:pPr>
      <w:r>
        <w:t xml:space="preserve">Source: Commission services based on EBA CfA report and SRB data as of Q4 2019.</w:t>
      </w:r>
      <w:r>
        <w:t xml:space="preserve"> </w:t>
      </w:r>
      <w:r>
        <w:t xml:space="preserve">In fact, the following Figure 26 highlights the relative impact of each scenario of</w:t>
      </w:r>
      <w:r>
        <w:t xml:space="preserve"> </w:t>
      </w:r>
      <w:r>
        <w:t xml:space="preserve">depositor preference against the baseline on the ability for DGS to intervene based on a</w:t>
      </w:r>
      <w:r>
        <w:t xml:space="preserve"> </w:t>
      </w:r>
      <w:r>
        <w:t xml:space="preserve">positive LCT. The dark blue bars represent the percentage of banks for which deposits</w:t>
      </w:r>
      <w:r>
        <w:t xml:space="preserve"> </w:t>
      </w:r>
      <w:r>
        <w:t xml:space="preserve">would need to be bailed-in to reach 8% TLOF, but where the LCT is negative, preventing</w:t>
      </w:r>
      <w:r>
        <w:t xml:space="preserve"> </w:t>
      </w:r>
      <w:r>
        <w:t xml:space="preserve">a DGS intervention. The introduction of a single-tier preference would have a</w:t>
      </w:r>
      <w:r>
        <w:t xml:space="preserve"> </w:t>
      </w:r>
      <w:r>
        <w:t xml:space="preserve">comparable effect across all size groups, irrespective of their strategy, with 55% to 71%</w:t>
      </w:r>
      <w:r>
        <w:t xml:space="preserve"> </w:t>
      </w:r>
      <w:r>
        <w:t xml:space="preserve">of banks benefiting from DGS interventions sufficient to reach 8% TLOF, under an</w:t>
      </w:r>
      <w:r>
        <w:t xml:space="preserve"> </w:t>
      </w:r>
      <w:r>
        <w:t xml:space="preserve">assumed recovery rate of 85%.</w:t>
      </w:r>
    </w:p>
    <w:p>
      <w:pPr>
        <w:pStyle w:val="BodyText"/>
      </w:pPr>
      <w:r>
        <w:t xml:space="preserve">282</w:t>
      </w:r>
      <w:r>
        <w:t xml:space="preserve"> </w:t>
      </w:r>
      <w:r>
        <w:t xml:space="preserve">Figure 26: LCT – Baseline versus depositor preference</w:t>
      </w:r>
      <w:r>
        <w:t xml:space="preserve"> </w:t>
      </w:r>
      <w:r>
        <w:t xml:space="preserve">Source: Commission services, based on EBA CfA report and SRB data as of Q4 2019, assuming an 85%</w:t>
      </w:r>
      <w:r>
        <w:t xml:space="preserve"> </w:t>
      </w:r>
      <w:r>
        <w:t xml:space="preserve">recovery rate.</w:t>
      </w:r>
      <w:r>
        <w:t xml:space="preserve"> </w:t>
      </w:r>
      <w:r>
        <w:t xml:space="preserve">The type of depositor preference also impacts the maximum amount of DGS funds</w:t>
      </w:r>
      <w:r>
        <w:t xml:space="preserve"> </w:t>
      </w:r>
      <w:r>
        <w:t xml:space="preserve">allowed under the LCT in resolution or to finance alternative measures in insolvency. In</w:t>
      </w:r>
      <w:r>
        <w:t xml:space="preserve"> </w:t>
      </w:r>
      <w:r>
        <w:t xml:space="preserve">particular, the single-tier depositor preference unlocks the maximum amount of funds</w:t>
      </w:r>
      <w:r>
        <w:t xml:space="preserve"> </w:t>
      </w:r>
      <w:r>
        <w:t xml:space="preserve">pursuant to the LCT, on average up to twenty times higher than under the current creditor</w:t>
      </w:r>
      <w:r>
        <w:t xml:space="preserve"> </w:t>
      </w:r>
      <w:r>
        <w:t xml:space="preserve">hierarchy at national level or the alternative scenarios 3 and 4. The difference is</w:t>
      </w:r>
    </w:p>
    <w:p>
      <w:pPr>
        <w:pStyle w:val="BodyText"/>
      </w:pPr>
      <w:r>
        <w:t xml:space="preserve">283</w:t>
      </w:r>
      <w:r>
        <w:t xml:space="preserve"> </w:t>
      </w:r>
      <w:r>
        <w:t xml:space="preserve">particularly sizeable for large and mid-sized institutions. The last scenario of depositor</w:t>
      </w:r>
      <w:r>
        <w:t xml:space="preserve"> </w:t>
      </w:r>
      <w:r>
        <w:t xml:space="preserve">preference (i.e. covered deposits ranking pari passu and preferred deposits) also allows</w:t>
      </w:r>
      <w:r>
        <w:t xml:space="preserve"> </w:t>
      </w:r>
      <w:r>
        <w:t xml:space="preserve">for larger DGS contributions, however, not as significant as under the single-tier</w:t>
      </w:r>
      <w:r>
        <w:t xml:space="preserve"> </w:t>
      </w:r>
      <w:r>
        <w:t xml:space="preserve">preference.</w:t>
      </w:r>
      <w:r>
        <w:t xml:space="preserve"> </w:t>
      </w:r>
      <w:r>
        <w:t xml:space="preserve">Table 20: LCT – Baseline versus depositor preference scenarios - Maximum amount of</w:t>
      </w:r>
      <w:r>
        <w:t xml:space="preserve"> </w:t>
      </w:r>
      <w:r>
        <w:t xml:space="preserve">DGS interventions under the LCT (EUR bn)</w:t>
      </w:r>
      <w:r>
        <w:t xml:space="preserve"> </w:t>
      </w:r>
      <w:r>
        <w:t xml:space="preserve">Maximum amount of DGS funds based on LCT (EUR bn)</w:t>
      </w:r>
      <w:r>
        <w:t xml:space="preserve"> </w:t>
      </w:r>
      <w:r>
        <w:t xml:space="preserve">Hierarchy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EUR</w:t>
      </w:r>
      <w:r>
        <w:t xml:space="preserve"> </w:t>
      </w:r>
      <w:r>
        <w:t xml:space="preserve">EUR</w:t>
      </w:r>
      <w:r>
        <w:t xml:space="preserve"> </w:t>
      </w:r>
      <w:r>
        <w:t xml:space="preserve">EUR</w:t>
      </w:r>
      <w:r>
        <w:t xml:space="preserve"> </w:t>
      </w:r>
      <w:r>
        <w:t xml:space="preserve">EUR</w:t>
      </w:r>
      <w:r>
        <w:t xml:space="preserve"> </w:t>
      </w:r>
      <w:r>
        <w:t xml:space="preserve">EUR</w:t>
      </w:r>
      <w:r>
        <w:t xml:space="preserve"> </w:t>
      </w:r>
      <w:r>
        <w:t xml:space="preserve">Small</w:t>
      </w:r>
      <w:r>
        <w:t xml:space="preserve"> </w:t>
      </w:r>
      <w:r>
        <w:t xml:space="preserve">0.02</w:t>
      </w:r>
      <w:r>
        <w:t xml:space="preserve"> </w:t>
      </w:r>
      <w:r>
        <w:t xml:space="preserve">0.12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Medium</w:t>
      </w:r>
      <w:r>
        <w:t xml:space="preserve"> </w:t>
      </w:r>
      <w:r>
        <w:t xml:space="preserve">0.03</w:t>
      </w:r>
      <w:r>
        <w:t xml:space="preserve"> </w:t>
      </w:r>
      <w:r>
        <w:t xml:space="preserve">0.74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0.18</w:t>
      </w:r>
      <w:r>
        <w:t xml:space="preserve"> </w:t>
      </w:r>
      <w:r>
        <w:t xml:space="preserve">Large</w:t>
      </w:r>
      <w:r>
        <w:t xml:space="preserve"> </w:t>
      </w:r>
      <w:r>
        <w:t xml:space="preserve">0.00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Resolution</w:t>
      </w:r>
      <w:r>
        <w:t xml:space="preserve"> </w:t>
      </w:r>
      <w:r>
        <w:t xml:space="preserve">0.03</w:t>
      </w:r>
      <w:r>
        <w:t xml:space="preserve"> </w:t>
      </w:r>
      <w:r>
        <w:t xml:space="preserve">0.75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0.06</w:t>
      </w:r>
      <w:r>
        <w:t xml:space="preserve"> </w:t>
      </w:r>
      <w:r>
        <w:t xml:space="preserve">Liquidation</w:t>
      </w:r>
      <w:r>
        <w:t xml:space="preserve"> </w:t>
      </w:r>
      <w:r>
        <w:t xml:space="preserve">0.02</w:t>
      </w:r>
      <w:r>
        <w:t xml:space="preserve"> </w:t>
      </w:r>
      <w:r>
        <w:t xml:space="preserve">0.23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0.16</w:t>
      </w:r>
      <w:r>
        <w:t xml:space="preserve"> </w:t>
      </w:r>
      <w:r>
        <w:t xml:space="preserve">Low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Mid</w:t>
      </w:r>
      <w:r>
        <w:t xml:space="preserve"> </w:t>
      </w:r>
      <w:r>
        <w:t xml:space="preserve">0.00</w:t>
      </w:r>
      <w:r>
        <w:t xml:space="preserve"> </w:t>
      </w:r>
      <w:r>
        <w:t xml:space="preserve">0.15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Mid-High</w:t>
      </w:r>
      <w:r>
        <w:t xml:space="preserve"> </w:t>
      </w:r>
      <w:r>
        <w:t xml:space="preserve">0.00</w:t>
      </w:r>
      <w:r>
        <w:t xml:space="preserve"> </w:t>
      </w:r>
      <w:r>
        <w:t xml:space="preserve">0.31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High</w:t>
      </w:r>
      <w:r>
        <w:t xml:space="preserve"> </w:t>
      </w:r>
      <w:r>
        <w:t xml:space="preserve">0.05</w:t>
      </w:r>
      <w:r>
        <w:t xml:space="preserve"> </w:t>
      </w:r>
      <w:r>
        <w:t xml:space="preserve">0.51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0.21</w:t>
      </w:r>
      <w:r>
        <w:t xml:space="preserve"> </w:t>
      </w:r>
      <w:r>
        <w:t xml:space="preserve">Total</w:t>
      </w:r>
      <w:r>
        <w:t xml:space="preserve"> </w:t>
      </w:r>
      <w:r>
        <w:t xml:space="preserve">0.05</w:t>
      </w:r>
      <w:r>
        <w:t xml:space="preserve"> </w:t>
      </w:r>
      <w:r>
        <w:t xml:space="preserve">0.98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0.21</w:t>
      </w:r>
      <w:r>
        <w:t xml:space="preserve"> </w:t>
      </w:r>
      <w:r>
        <w:t xml:space="preserve">Source: Commission services, based on EBA CfA report and SRB data as of Q4 2019, assuming an 85%</w:t>
      </w:r>
      <w:r>
        <w:t xml:space="preserve"> </w:t>
      </w:r>
      <w:r>
        <w:t xml:space="preserve">recovery rate.</w:t>
      </w:r>
      <w:r>
        <w:t xml:space="preserve"> </w:t>
      </w:r>
      <w:r>
        <w:t xml:space="preserve">4.1.4. Combined scenarios</w:t>
      </w:r>
      <w:r>
        <w:t xml:space="preserve"> </w:t>
      </w:r>
      <w:r>
        <w:t xml:space="preserve">The same combined scenarios as described under section 3.2.5 are also assessed in this</w:t>
      </w:r>
      <w:r>
        <w:t xml:space="preserve"> </w:t>
      </w:r>
      <w:r>
        <w:t xml:space="preserve">section order to determine the LCT and the extent of potential DGS contributions.</w:t>
      </w:r>
    </w:p>
    <w:p>
      <w:pPr>
        <w:pStyle w:val="BodyText"/>
      </w:pPr>
      <w:r>
        <w:t xml:space="preserve">284</w:t>
      </w:r>
      <w:r>
        <w:t xml:space="preserve"> </w:t>
      </w:r>
      <w:r>
        <w:t xml:space="preserve">Summary assessment – Combined scenarios</w:t>
      </w:r>
      <w:r>
        <w:br/>
      </w:r>
      <w:r>
        <w:t xml:space="preserve">The analysis of the three combined scenarios enables a comparative view of the</w:t>
      </w:r>
      <w:r>
        <w:t xml:space="preserve"> </w:t>
      </w:r>
      <w:r>
        <w:t xml:space="preserve">ability of DGS to intervene and possibly reach the 8% TLOF threshold when</w:t>
      </w:r>
      <w:r>
        <w:t xml:space="preserve"> </w:t>
      </w:r>
      <w:r>
        <w:t xml:space="preserve">different severity of CET1 depletion would be combined with different depositor</w:t>
      </w:r>
      <w:r>
        <w:t xml:space="preserve"> </w:t>
      </w:r>
      <w:r>
        <w:t xml:space="preserve">preference scenarios, under an assumption of 85% recovery rate.</w:t>
      </w:r>
      <w:r>
        <w:br/>
      </w:r>
      <w:r>
        <w:t xml:space="preserve">As indicated in section 3.2.5, combining various levels of CET1 depletion and</w:t>
      </w:r>
      <w:r>
        <w:t xml:space="preserve"> </w:t>
      </w:r>
      <w:r>
        <w:t xml:space="preserve">depositor preference shows that the introduction of a single-tier depositor preference</w:t>
      </w:r>
      <w:r>
        <w:t xml:space="preserve"> </w:t>
      </w:r>
      <w:r>
        <w:t xml:space="preserve">has an important effect on the ability of DGS to intervene and support reaching a</w:t>
      </w:r>
      <w:r>
        <w:t xml:space="preserve"> </w:t>
      </w:r>
      <w:r>
        <w:t xml:space="preserve">level of 8% TLOF, irrespective of the loss scenario used for the analysis. In</w:t>
      </w:r>
      <w:r>
        <w:t xml:space="preserve"> </w:t>
      </w:r>
      <w:r>
        <w:t xml:space="preserve">particular, under the baseline scenario, DGS interventions would be possible under</w:t>
      </w:r>
      <w:r>
        <w:t xml:space="preserve"> </w:t>
      </w:r>
      <w:r>
        <w:t xml:space="preserve">the LCT for only 3.3% of banks for which deposits are needed to reach 8% TLOF.</w:t>
      </w:r>
      <w:r>
        <w:t xml:space="preserve"> </w:t>
      </w:r>
      <w:r>
        <w:t xml:space="preserve">The introduction of a single-tier depositor preference increases this proportion to</w:t>
      </w:r>
      <w:r>
        <w:t xml:space="preserve"> </w:t>
      </w:r>
      <w:r>
        <w:t xml:space="preserve">85% of banks when considering no depletion, and 69% when assuming that all</w:t>
      </w:r>
      <w:r>
        <w:t xml:space="preserve"> </w:t>
      </w:r>
      <w:r>
        <w:t xml:space="preserve">buffers have been depleted. Similarly, 76% of the DGS interventions would be</w:t>
      </w:r>
      <w:r>
        <w:t xml:space="preserve"> </w:t>
      </w:r>
      <w:r>
        <w:t xml:space="preserve">sufficient to reach 8% TLOF assuming no depletion (40% assuming all buffers are</w:t>
      </w:r>
      <w:r>
        <w:t xml:space="preserve"> </w:t>
      </w:r>
      <w:r>
        <w:t xml:space="preserve">depleted).</w:t>
      </w:r>
      <w:r>
        <w:t xml:space="preserve"> </w:t>
      </w:r>
      <w:r>
        <w:t xml:space="preserve">Maintaining the super-preference of covered deposits would prevent the DGS to</w:t>
      </w:r>
      <w:r>
        <w:t xml:space="preserve"> </w:t>
      </w:r>
      <w:r>
        <w:t xml:space="preserve">intervene and reaching the 8% TLOF to access the RF/SRF may have a high impact</w:t>
      </w:r>
      <w:r>
        <w:t xml:space="preserve"> </w:t>
      </w:r>
      <w:r>
        <w:t xml:space="preserve">on the other types of deposits, in particular under more severe loss scenarios.</w:t>
      </w:r>
      <w:r>
        <w:t xml:space="preserve"> </w:t>
      </w:r>
      <w:r>
        <w:t xml:space="preserve">Detailed analysis</w:t>
      </w:r>
      <w:r>
        <w:br/>
      </w:r>
      <w:r>
        <w:t xml:space="preserve">Table 26 shows the number of institutions for which DGS interventions are possible</w:t>
      </w:r>
      <w:r>
        <w:t xml:space="preserve"> </w:t>
      </w:r>
      <w:r>
        <w:t xml:space="preserve">(positive LCT) and, whether DGS contributions would allow reaching a level of 8%</w:t>
      </w:r>
      <w:r>
        <w:t xml:space="preserve"> </w:t>
      </w:r>
      <w:r>
        <w:t xml:space="preserve">TLOF. It is complemented by Figure 27 showing the comparison between the combined</w:t>
      </w:r>
      <w:r>
        <w:t xml:space="preserve"> </w:t>
      </w:r>
      <w:r>
        <w:t xml:space="preserve">scenarios and the baseline with regard to DGS’ ability to intervene under the LCT.</w:t>
      </w:r>
    </w:p>
    <w:p>
      <w:pPr>
        <w:pStyle w:val="BodyText"/>
      </w:pPr>
      <w:r>
        <w:t xml:space="preserve">285</w:t>
      </w:r>
      <w:r>
        <w:t xml:space="preserve"> </w:t>
      </w:r>
      <w:r>
        <w:t xml:space="preserve">Table 21: LCT– Combined scenarios</w:t>
      </w:r>
    </w:p>
    <w:p>
      <w:pPr>
        <w:pStyle w:val="Compact"/>
        <w:numPr>
          <w:ilvl w:val="0"/>
          <w:numId w:val="1048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can 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</w:t>
      </w:r>
      <w:r>
        <w:t xml:space="preserve"> </w:t>
      </w:r>
      <w:r>
        <w:t xml:space="preserve">to reach 8%</w:t>
      </w:r>
      <w:r>
        <w:t xml:space="preserve"> </w:t>
      </w:r>
      <w:r>
        <w:t xml:space="preserve">TLOF</w:t>
      </w:r>
      <w:r>
        <w:t xml:space="preserve"> </w:t>
      </w: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can 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</w:t>
      </w:r>
      <w:r>
        <w:t xml:space="preserve"> </w:t>
      </w:r>
      <w:r>
        <w:t xml:space="preserve">for which</w:t>
      </w:r>
      <w:r>
        <w:t xml:space="preserve"> </w:t>
      </w:r>
      <w:r>
        <w:t xml:space="preserve">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</w:t>
      </w:r>
      <w:r>
        <w:t xml:space="preserve"> </w:t>
      </w:r>
      <w:r>
        <w:t xml:space="preserve">LCT are</w:t>
      </w:r>
      <w:r>
        <w:t xml:space="preserve"> </w:t>
      </w:r>
      <w:r>
        <w:t xml:space="preserve">sufficient to</w:t>
      </w:r>
      <w:r>
        <w:t xml:space="preserve"> </w:t>
      </w:r>
      <w:r>
        <w:t xml:space="preserve">reach 8%</w:t>
      </w:r>
      <w:r>
        <w:t xml:space="preserve"> </w:t>
      </w:r>
      <w:r>
        <w:t xml:space="preserve">TLOF</w:t>
      </w:r>
      <w:r>
        <w:t xml:space="preserve"> </w:t>
      </w:r>
      <w:r>
        <w:t xml:space="preserve">Comb. Scenarios</w:t>
      </w:r>
      <w:r>
        <w:t xml:space="preserve"> </w:t>
      </w:r>
      <w:r>
        <w:t xml:space="preserve">1 (No depletion, single-tier preference)</w:t>
      </w:r>
      <w:r>
        <w:t xml:space="preserve"> </w:t>
      </w:r>
      <w:r>
        <w:t xml:space="preserve">2 (Depletion of buffers, single-tier</w:t>
      </w:r>
      <w:r>
        <w:t xml:space="preserve"> </w:t>
      </w:r>
      <w:r>
        <w:t xml:space="preserve">preference)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Resolution</w:t>
      </w:r>
      <w:r>
        <w:t xml:space="preserve"> </w:t>
      </w:r>
      <w:r>
        <w:t xml:space="preserve">Small</w:t>
      </w:r>
      <w:r>
        <w:t xml:space="preserve"> </w:t>
      </w:r>
      <w:r>
        <w:t xml:space="preserve">56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36</w:t>
      </w:r>
      <w:r>
        <w:t xml:space="preserve"> </w:t>
      </w:r>
      <w:r>
        <w:t xml:space="preserve">25</w:t>
      </w:r>
      <w:r>
        <w:t xml:space="preserve"> </w:t>
      </w:r>
      <w:r>
        <w:t xml:space="preserve">10</w:t>
      </w:r>
      <w:r>
        <w:t xml:space="preserve"> </w:t>
      </w:r>
      <w:r>
        <w:t xml:space="preserve">Medium</w:t>
      </w:r>
      <w:r>
        <w:t xml:space="preserve"> </w:t>
      </w:r>
      <w:r>
        <w:t xml:space="preserve">87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40</w:t>
      </w:r>
      <w:r>
        <w:t xml:space="preserve"> </w:t>
      </w:r>
      <w:r>
        <w:t xml:space="preserve">31</w:t>
      </w:r>
      <w:r>
        <w:t xml:space="preserve"> </w:t>
      </w:r>
      <w:r>
        <w:t xml:space="preserve">14</w:t>
      </w:r>
      <w:r>
        <w:t xml:space="preserve"> </w:t>
      </w:r>
      <w:r>
        <w:t xml:space="preserve">Large</w:t>
      </w:r>
      <w:r>
        <w:t xml:space="preserve"> </w:t>
      </w:r>
      <w:r>
        <w:t xml:space="preserve">44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</w:p>
    <w:p>
      <w:pPr>
        <w:pStyle w:val="FirstParagraph"/>
      </w:pPr>
      <w:r>
        <w:t xml:space="preserve">Low</w:t>
      </w:r>
      <w:r>
        <w:t xml:space="preserve"> </w:t>
      </w:r>
      <w:r>
        <w:t xml:space="preserve">63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25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Mid-High</w:t>
      </w:r>
      <w:r>
        <w:t xml:space="preserve"> </w:t>
      </w:r>
      <w:r>
        <w:t xml:space="preserve">39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High</w:t>
      </w:r>
      <w:r>
        <w:t xml:space="preserve"> </w:t>
      </w:r>
      <w:r>
        <w:t xml:space="preserve">60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48</w:t>
      </w:r>
      <w:r>
        <w:t xml:space="preserve"> </w:t>
      </w:r>
      <w:r>
        <w:t xml:space="preserve">40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187</w:t>
      </w:r>
      <w:r>
        <w:t xml:space="preserve"> </w:t>
      </w:r>
      <w:r>
        <w:t xml:space="preserve">20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84</w:t>
      </w:r>
      <w:r>
        <w:t xml:space="preserve"> </w:t>
      </w:r>
      <w:r>
        <w:t xml:space="preserve">58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Liquidation</w:t>
      </w:r>
      <w:r>
        <w:t xml:space="preserve"> </w:t>
      </w:r>
      <w:r>
        <w:t xml:space="preserve">Small</w:t>
      </w:r>
      <w:r>
        <w:t xml:space="preserve"> </w:t>
      </w:r>
      <w:r>
        <w:t xml:space="preserve">139</w:t>
      </w:r>
      <w:r>
        <w:t xml:space="preserve"> </w:t>
      </w:r>
      <w:r>
        <w:t xml:space="preserve">21</w:t>
      </w:r>
      <w:r>
        <w:t xml:space="preserve"> </w:t>
      </w:r>
      <w:r>
        <w:t xml:space="preserve">19</w:t>
      </w:r>
      <w:r>
        <w:t xml:space="preserve"> </w:t>
      </w:r>
      <w:r>
        <w:t xml:space="preserve">15</w:t>
      </w:r>
      <w:r>
        <w:t xml:space="preserve"> </w:t>
      </w:r>
      <w:r>
        <w:t xml:space="preserve">97</w:t>
      </w:r>
      <w:r>
        <w:t xml:space="preserve"> </w:t>
      </w:r>
      <w:r>
        <w:t xml:space="preserve">68</w:t>
      </w:r>
      <w:r>
        <w:t xml:space="preserve"> </w:t>
      </w:r>
      <w:r>
        <w:t xml:space="preserve">26</w:t>
      </w:r>
      <w:r>
        <w:t xml:space="preserve"> </w:t>
      </w:r>
      <w:r>
        <w:t xml:space="preserve">Medium</w:t>
      </w:r>
      <w:r>
        <w:t xml:space="preserve"> </w:t>
      </w:r>
      <w:r>
        <w:t xml:space="preserve">37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Large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44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Mid</w:t>
      </w:r>
      <w:r>
        <w:t xml:space="preserve"> </w:t>
      </w:r>
      <w:r>
        <w:t xml:space="preserve">19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11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Mid-High</w:t>
      </w:r>
      <w:r>
        <w:t xml:space="preserve"> </w:t>
      </w:r>
      <w:r>
        <w:t xml:space="preserve">24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High</w:t>
      </w:r>
      <w:r>
        <w:t xml:space="preserve"> </w:t>
      </w:r>
      <w:r>
        <w:t xml:space="preserve">94</w:t>
      </w:r>
      <w:r>
        <w:t xml:space="preserve"> </w:t>
      </w:r>
      <w:r>
        <w:t xml:space="preserve">23</w:t>
      </w:r>
      <w:r>
        <w:t xml:space="preserve"> </w:t>
      </w:r>
      <w:r>
        <w:t xml:space="preserve">21</w:t>
      </w:r>
      <w:r>
        <w:t xml:space="preserve"> </w:t>
      </w:r>
      <w:r>
        <w:t xml:space="preserve">13</w:t>
      </w:r>
      <w:r>
        <w:t xml:space="preserve"> </w:t>
      </w:r>
      <w:r>
        <w:t xml:space="preserve">82</w:t>
      </w:r>
      <w:r>
        <w:t xml:space="preserve"> </w:t>
      </w:r>
      <w:r>
        <w:t xml:space="preserve">64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181</w:t>
      </w:r>
      <w:r>
        <w:t xml:space="preserve"> </w:t>
      </w:r>
      <w:r>
        <w:t xml:space="preserve">28</w:t>
      </w:r>
      <w:r>
        <w:t xml:space="preserve"> </w:t>
      </w:r>
      <w:r>
        <w:t xml:space="preserve">25</w:t>
      </w:r>
      <w:r>
        <w:t xml:space="preserve"> </w:t>
      </w:r>
      <w:r>
        <w:t xml:space="preserve">17</w:t>
      </w:r>
      <w:r>
        <w:t xml:space="preserve"> </w:t>
      </w:r>
      <w:r>
        <w:t xml:space="preserve">112</w:t>
      </w:r>
      <w:r>
        <w:t xml:space="preserve"> </w:t>
      </w:r>
      <w:r>
        <w:t xml:space="preserve">78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286</w:t>
      </w:r>
    </w:p>
    <w:p>
      <w:pPr>
        <w:pStyle w:val="Compact"/>
        <w:numPr>
          <w:ilvl w:val="0"/>
          <w:numId w:val="1049"/>
        </w:numPr>
      </w:pPr>
      <w:r>
        <w:t xml:space="preserve">Institutions</w:t>
      </w:r>
      <w:r>
        <w:t xml:space="preserve"> </w:t>
      </w:r>
      <w:r>
        <w:t xml:space="preserve">reaching 8%</w:t>
      </w:r>
      <w:r>
        <w:t xml:space="preserve"> </w:t>
      </w:r>
      <w:r>
        <w:t xml:space="preserve">TLOF with</w:t>
      </w:r>
      <w:r>
        <w:t xml:space="preserve"> </w:t>
      </w:r>
      <w:r>
        <w:t xml:space="preserve">deposits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can intervene</w:t>
      </w:r>
      <w:r>
        <w:t xml:space="preserve"> </w:t>
      </w:r>
      <w:r>
        <w:t xml:space="preserve">(positive least</w:t>
      </w:r>
      <w:r>
        <w:t xml:space="preserve"> </w:t>
      </w:r>
      <w:r>
        <w:t xml:space="preserve">cost test)</w:t>
      </w:r>
      <w:r>
        <w:t xml:space="preserve"> </w:t>
      </w:r>
      <w:r>
        <w:t xml:space="preserve">Of which:</w:t>
      </w:r>
      <w:r>
        <w:t xml:space="preserve"> </w:t>
      </w:r>
      <w:r>
        <w:t xml:space="preserve">Institutions for</w:t>
      </w:r>
      <w:r>
        <w:t xml:space="preserve"> </w:t>
      </w:r>
      <w:r>
        <w:t xml:space="preserve">which DGS</w:t>
      </w:r>
      <w:r>
        <w:t xml:space="preserve"> </w:t>
      </w:r>
      <w:r>
        <w:t xml:space="preserve">interventions</w:t>
      </w:r>
      <w:r>
        <w:t xml:space="preserve"> </w:t>
      </w:r>
      <w:r>
        <w:t xml:space="preserve">under the LCT</w:t>
      </w:r>
      <w:r>
        <w:t xml:space="preserve"> </w:t>
      </w:r>
      <w:r>
        <w:t xml:space="preserve">are sufficient to</w:t>
      </w:r>
      <w:r>
        <w:t xml:space="preserve"> </w:t>
      </w:r>
      <w:r>
        <w:t xml:space="preserve">reach 8% TLOF</w:t>
      </w:r>
      <w:r>
        <w:t xml:space="preserve"> </w:t>
      </w:r>
      <w:r>
        <w:t xml:space="preserve">Comb. Scenarios</w:t>
      </w:r>
      <w:r>
        <w:t xml:space="preserve"> </w:t>
      </w:r>
      <w:r>
        <w:t xml:space="preserve">3 (Depletion of buffers, three-tier preference)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Count</w:t>
      </w:r>
      <w:r>
        <w:t xml:space="preserve"> </w:t>
      </w:r>
      <w:r>
        <w:t xml:space="preserve">Resolution</w:t>
      </w:r>
      <w:r>
        <w:t xml:space="preserve"> </w:t>
      </w:r>
      <w:r>
        <w:t xml:space="preserve">Small</w:t>
      </w:r>
      <w:r>
        <w:t xml:space="preserve"> </w:t>
      </w:r>
      <w:r>
        <w:t xml:space="preserve">56</w:t>
      </w:r>
      <w:r>
        <w:t xml:space="preserve"> </w:t>
      </w:r>
      <w:r>
        <w:t xml:space="preserve">36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Medium</w:t>
      </w:r>
      <w:r>
        <w:t xml:space="preserve"> </w:t>
      </w:r>
      <w:r>
        <w:t xml:space="preserve">87</w:t>
      </w:r>
      <w:r>
        <w:t xml:space="preserve"> </w:t>
      </w:r>
      <w:r>
        <w:t xml:space="preserve">40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Large</w:t>
      </w:r>
      <w:r>
        <w:t xml:space="preserve"> </w:t>
      </w:r>
      <w:r>
        <w:t xml:space="preserve">44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FirstParagraph"/>
      </w:pPr>
      <w:r>
        <w:t xml:space="preserve">Low</w:t>
      </w:r>
      <w:r>
        <w:t xml:space="preserve"> </w:t>
      </w:r>
      <w:r>
        <w:t xml:space="preserve">63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25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39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60</w:t>
      </w:r>
      <w:r>
        <w:t xml:space="preserve"> </w:t>
      </w:r>
      <w:r>
        <w:t xml:space="preserve">48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187</w:t>
      </w:r>
      <w:r>
        <w:t xml:space="preserve"> </w:t>
      </w:r>
      <w:r>
        <w:t xml:space="preserve">84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Liquidation</w:t>
      </w:r>
      <w:r>
        <w:t xml:space="preserve"> </w:t>
      </w:r>
      <w:r>
        <w:t xml:space="preserve">Small</w:t>
      </w:r>
      <w:r>
        <w:t xml:space="preserve"> </w:t>
      </w:r>
      <w:r>
        <w:t xml:space="preserve">139</w:t>
      </w:r>
      <w:r>
        <w:t xml:space="preserve"> </w:t>
      </w:r>
      <w:r>
        <w:t xml:space="preserve">97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Medium</w:t>
      </w:r>
      <w:r>
        <w:t xml:space="preserve"> </w:t>
      </w:r>
      <w:r>
        <w:t xml:space="preserve">37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Large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44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Mid</w:t>
      </w:r>
      <w:r>
        <w:t xml:space="preserve"> </w:t>
      </w:r>
      <w:r>
        <w:t xml:space="preserve">19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Mid-High</w:t>
      </w:r>
      <w:r>
        <w:t xml:space="preserve"> </w:t>
      </w:r>
      <w:r>
        <w:t xml:space="preserve">24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94</w:t>
      </w:r>
      <w:r>
        <w:t xml:space="preserve"> </w:t>
      </w:r>
      <w:r>
        <w:t xml:space="preserve">82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181</w:t>
      </w:r>
      <w:r>
        <w:t xml:space="preserve"> </w:t>
      </w:r>
      <w:r>
        <w:t xml:space="preserve">112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Source: Commission services, based on EBA CfA report and SRB data as of Q4 2019, assuming an 85%</w:t>
      </w:r>
      <w:r>
        <w:t xml:space="preserve"> </w:t>
      </w:r>
      <w:r>
        <w:t xml:space="preserve">recovery rate.</w:t>
      </w:r>
      <w:r>
        <w:t xml:space="preserve"> </w:t>
      </w:r>
      <w:r>
        <w:t xml:space="preserve">The first graph in Figure 27 shows the impact of the single-tier depositor preference on</w:t>
      </w:r>
      <w:r>
        <w:t xml:space="preserve"> </w:t>
      </w:r>
      <w:r>
        <w:t xml:space="preserve">the ability of DGS to intervene based on the LCT for those banks reaching the 8% TLOF</w:t>
      </w:r>
      <w:r>
        <w:t xml:space="preserve"> </w:t>
      </w:r>
      <w:r>
        <w:t xml:space="preserve">threshold with deposits, by comparing the first combined scenario and the baseline, under</w:t>
      </w:r>
      <w:r>
        <w:t xml:space="preserve"> </w:t>
      </w:r>
      <w:r>
        <w:t xml:space="preserve">the assumption of an 85% recovery rate. Compared to the baseline scenario (where the</w:t>
      </w:r>
      <w:r>
        <w:t xml:space="preserve"> </w:t>
      </w:r>
      <w:r>
        <w:t xml:space="preserve">applicable creditor hierarchy is used), under the single-tier preference, 43 additional</w:t>
      </w:r>
      <w:r>
        <w:t xml:space="preserve"> </w:t>
      </w:r>
      <w:r>
        <w:t xml:space="preserve">banks would be able to reach the threshold without using deposits due to lifting the</w:t>
      </w:r>
      <w:r>
        <w:t xml:space="preserve"> </w:t>
      </w:r>
      <w:r>
        <w:t xml:space="preserve">ranking of non-preferred deposits, and the DGS could intervene for an additional 38</w:t>
      </w:r>
      <w:r>
        <w:t xml:space="preserve"> </w:t>
      </w:r>
      <w:r>
        <w:t xml:space="preserve">banks, to an extent that would enable 29 more of them to reach the 8% TLOF. Under the</w:t>
      </w:r>
      <w:r>
        <w:t xml:space="preserve"> </w:t>
      </w:r>
      <w:r>
        <w:t xml:space="preserve">first combined scenario, the DGS could intervene based on a positive LCT in 85% of the</w:t>
      </w:r>
      <w:r>
        <w:t xml:space="preserve"> </w:t>
      </w:r>
      <w:r>
        <w:t xml:space="preserve">cases where deposits would bear losses to reach 8% TLOF, compared to 3.3% in the</w:t>
      </w:r>
      <w:r>
        <w:t xml:space="preserve"> </w:t>
      </w:r>
      <w:r>
        <w:t xml:space="preserve">baseline. In total, the LCT would be negative for seven small and medium-sized banks</w:t>
      </w:r>
      <w:r>
        <w:t xml:space="preserve"> </w:t>
      </w:r>
      <w:r>
        <w:t xml:space="preserve">out of 48 that would need deposits to reach 8% TLOF. DGS interventions would be</w:t>
      </w:r>
      <w:r>
        <w:t xml:space="preserve"> </w:t>
      </w:r>
      <w:r>
        <w:t xml:space="preserve">sufficient to reach 8% TLOF in all cases but two for banks earmarked for resolution.</w:t>
      </w:r>
      <w:r>
        <w:t xml:space="preserve"> </w:t>
      </w:r>
      <w:r>
        <w:t xml:space="preserve">The second graph in Figure 27 illustrates how the single-tier depositor preference would</w:t>
      </w:r>
      <w:r>
        <w:t xml:space="preserve"> </w:t>
      </w:r>
      <w:r>
        <w:t xml:space="preserve">be impacted by a greater severity of loss depletion scenario, by comparing the first and</w:t>
      </w:r>
    </w:p>
    <w:p>
      <w:pPr>
        <w:pStyle w:val="BodyText"/>
      </w:pPr>
      <w:r>
        <w:t xml:space="preserve">287</w:t>
      </w:r>
      <w:r>
        <w:t xml:space="preserve"> </w:t>
      </w:r>
      <w:r>
        <w:t xml:space="preserve">the second combined scenario. Assuming a depletion of all buffers, leads to a sharp</w:t>
      </w:r>
      <w:r>
        <w:t xml:space="preserve"> </w:t>
      </w:r>
      <w:r>
        <w:t xml:space="preserve">increase in the number of banks for which deposits are needed to reach 8% TLOF (+148</w:t>
      </w:r>
      <w:r>
        <w:t xml:space="preserve"> </w:t>
      </w:r>
      <w:r>
        <w:t xml:space="preserve">compared to a scenario without CET1 depletion). Even under this loss scenario, DGS</w:t>
      </w:r>
      <w:r>
        <w:t xml:space="preserve"> </w:t>
      </w:r>
      <w:r>
        <w:t xml:space="preserve">interventions would remain possible under the LCT for 69% of the banks, considering</w:t>
      </w:r>
      <w:r>
        <w:t xml:space="preserve"> </w:t>
      </w:r>
      <w:r>
        <w:t xml:space="preserve">the entire sample or only institutions earmarked for resolution. However, the severity of</w:t>
      </w:r>
      <w:r>
        <w:t xml:space="preserve"> </w:t>
      </w:r>
      <w:r>
        <w:t xml:space="preserve">the less scenario has an impact on the proportion of banks for which the DGS</w:t>
      </w:r>
      <w:r>
        <w:t xml:space="preserve"> </w:t>
      </w:r>
      <w:r>
        <w:t xml:space="preserve">interventions would be sufficient to reach 8% TLOF, decreasing from 76% in the first</w:t>
      </w:r>
      <w:r>
        <w:t xml:space="preserve"> </w:t>
      </w:r>
      <w:r>
        <w:t xml:space="preserve">combined scenario to 40% in the second combined scenario. Still, in absolute amount,</w:t>
      </w:r>
      <w:r>
        <w:t xml:space="preserve"> </w:t>
      </w:r>
      <w:r>
        <w:t xml:space="preserve">the number of banks for which DGS interventions would be possible and sufficient to</w:t>
      </w:r>
      <w:r>
        <w:t xml:space="preserve"> </w:t>
      </w:r>
      <w:r>
        <w:t xml:space="preserve">reach the 8% TLOF is higher than in the first combined scenario, and the baseline,</w:t>
      </w:r>
      <w:r>
        <w:t xml:space="preserve"> </w:t>
      </w:r>
      <w:r>
        <w:t xml:space="preserve">indicating the strong impact of the introduction of a single-tier depositor preference.</w:t>
      </w:r>
      <w:r>
        <w:t xml:space="preserve"> </w:t>
      </w:r>
      <w:r>
        <w:t xml:space="preserve">The third graph in Figure 27 describes the relative impact of the introduction of a single-</w:t>
      </w:r>
      <w:r>
        <w:t xml:space="preserve"> </w:t>
      </w:r>
      <w:r>
        <w:t xml:space="preserve">tier depositor preference compared to a three-tier depositor preference, by comparing the</w:t>
      </w:r>
      <w:r>
        <w:t xml:space="preserve"> </w:t>
      </w:r>
      <w:r>
        <w:t xml:space="preserve">first and the second combined scenarios, i.e. both relying on the same level of CET1</w:t>
      </w:r>
      <w:r>
        <w:t xml:space="preserve"> </w:t>
      </w:r>
      <w:r>
        <w:t xml:space="preserve">depletion. As already mentioned, maintaining a super-preference of covered deposits</w:t>
      </w:r>
      <w:r>
        <w:t xml:space="preserve"> </w:t>
      </w:r>
      <w:r>
        <w:t xml:space="preserve">prevents the DGS from intervening under the LCT and severely hampers the possibility</w:t>
      </w:r>
      <w:r>
        <w:t xml:space="preserve"> </w:t>
      </w:r>
      <w:r>
        <w:t xml:space="preserve">to reach the 8% TLOF.</w:t>
      </w:r>
    </w:p>
    <w:p>
      <w:pPr>
        <w:pStyle w:val="BodyText"/>
      </w:pPr>
      <w:r>
        <w:t xml:space="preserve">288</w:t>
      </w:r>
      <w:r>
        <w:t xml:space="preserve"> </w:t>
      </w:r>
      <w:r>
        <w:t xml:space="preserve">Figure 27: LCT – Combined scenarios</w:t>
      </w:r>
    </w:p>
    <w:p>
      <w:pPr>
        <w:pStyle w:val="BodyText"/>
      </w:pPr>
      <w:r>
        <w:t xml:space="preserve">Source: Commission services, based on EBA CfA report and SRB data as of Q4 2019, assuming a recovery</w:t>
      </w:r>
      <w:r>
        <w:t xml:space="preserve"> </w:t>
      </w:r>
      <w:r>
        <w:t xml:space="preserve">rate of 85%.</w:t>
      </w:r>
    </w:p>
    <w:p>
      <w:pPr>
        <w:pStyle w:val="BodyText"/>
      </w:pPr>
      <w:r>
        <w:t xml:space="preserve">289</w:t>
      </w:r>
      <w:r>
        <w:t xml:space="preserve"> </w:t>
      </w:r>
      <w:r>
        <w:t xml:space="preserve">4.2. Least cost test and DGS interventions (modelling approach) (Step D)</w:t>
      </w:r>
      <w:r>
        <w:t xml:space="preserve"> </w:t>
      </w:r>
      <w:r>
        <w:t xml:space="preserve">Summary assessment – Least cost test and DGS interventions (modelling approach)</w:t>
      </w:r>
      <w:r>
        <w:t xml:space="preserve"> </w:t>
      </w:r>
      <w:r>
        <w:t xml:space="preserve">The analysis of the results using SYMBOL-generated losses allows to compare the</w:t>
      </w:r>
      <w:r>
        <w:t xml:space="preserve"> </w:t>
      </w:r>
      <w:r>
        <w:t xml:space="preserve">ability of DGS interventions to reach 8% TLOF based on economically consistent and</w:t>
      </w:r>
      <w:r>
        <w:t xml:space="preserve"> </w:t>
      </w:r>
      <w:r>
        <w:t xml:space="preserve">bank-specific characteristics, including considering the banking group’s structures.</w:t>
      </w:r>
      <w:r>
        <w:br/>
      </w:r>
      <w:r>
        <w:t xml:space="preserve">Overall, under a recovery rate assumption of 85%, the analysis shows that DGS</w:t>
      </w:r>
      <w:r>
        <w:t xml:space="preserve"> </w:t>
      </w:r>
      <w:r>
        <w:t xml:space="preserve">interventions would allow reaching the 8% TLOF threshold on average for 7% of</w:t>
      </w:r>
      <w:r>
        <w:t xml:space="preserve"> </w:t>
      </w:r>
      <w:r>
        <w:t xml:space="preserve">banks facing losses and for which DGS interventions are required under the currently</w:t>
      </w:r>
      <w:r>
        <w:t xml:space="preserve"> </w:t>
      </w:r>
      <w:r>
        <w:t xml:space="preserve">applicable creditor hierarchy, assuming a stress scenario of a similar intensity as the</w:t>
      </w:r>
      <w:r>
        <w:t xml:space="preserve"> </w:t>
      </w:r>
      <w:r>
        <w:t xml:space="preserve">2008 global financial crisis. The introduction of a single-tier depositor preference</w:t>
      </w:r>
      <w:r>
        <w:t xml:space="preserve"> </w:t>
      </w:r>
      <w:r>
        <w:t xml:space="preserve">increases this probability to 81%, enabling DGS interventions to bridge to 8% TLOF</w:t>
      </w:r>
      <w:r>
        <w:t xml:space="preserve"> </w:t>
      </w:r>
      <w:r>
        <w:t xml:space="preserve">irrespective of the severity of the crisis scenario.</w:t>
      </w:r>
      <w:r>
        <w:t xml:space="preserve"> </w:t>
      </w:r>
      <w:r>
        <w:t xml:space="preserve">These results confirm the outcome of the statistical static analysis on the ability of a</w:t>
      </w:r>
      <w:r>
        <w:t xml:space="preserve"> </w:t>
      </w:r>
      <w:r>
        <w:t xml:space="preserve">single-tier depositor preference to reduce the number of banks that need deposits to reach</w:t>
      </w:r>
      <w:r>
        <w:t xml:space="preserve"> </w:t>
      </w:r>
      <w:r>
        <w:t xml:space="preserve">the 8% TLOF and at the same time unlock more possibilities for DGS to intervene based</w:t>
      </w:r>
      <w:r>
        <w:t xml:space="preserve"> </w:t>
      </w:r>
      <w:r>
        <w:t xml:space="preserve">on the LCT. As set out previously, maintaining a super-preference for covered deposits</w:t>
      </w:r>
      <w:r>
        <w:t xml:space="preserve"> </w:t>
      </w:r>
      <w:r>
        <w:t xml:space="preserve">may ultimately reduce the maximum amount of the LCT and thereby limit the ability of</w:t>
      </w:r>
      <w:r>
        <w:t xml:space="preserve"> </w:t>
      </w:r>
      <w:r>
        <w:t xml:space="preserve">DGS interventions to reach 8% TLOF. At the same time, the magnitude of the</w:t>
      </w:r>
      <w:r>
        <w:t xml:space="preserve"> </w:t>
      </w:r>
      <w:r>
        <w:t xml:space="preserve">differences compared to the current situation may limit the possibility for changes to the</w:t>
      </w:r>
      <w:r>
        <w:t xml:space="preserve"> </w:t>
      </w:r>
      <w:r>
        <w:t xml:space="preserve">LCT, including indirect costs or other factors, to yield similar results.</w:t>
      </w:r>
      <w:r>
        <w:t xml:space="preserve"> </w:t>
      </w:r>
      <w:r>
        <w:t xml:space="preserve">Detailed analysis</w:t>
      </w:r>
      <w:r>
        <w:t xml:space="preserve"> </w:t>
      </w:r>
      <w:r>
        <w:t xml:space="preserve">The outcome of the previous analyses serves to define the most relevant scenarios</w:t>
      </w:r>
      <w:r>
        <w:t xml:space="preserve"> </w:t>
      </w:r>
      <w:r>
        <w:t xml:space="preserve">(notably of depositor preference) for the dynamic assessment using SYMBOL-generated</w:t>
      </w:r>
      <w:r>
        <w:t xml:space="preserve"> </w:t>
      </w:r>
      <w:r>
        <w:t xml:space="preserve">losses. The assessments are conducted based on the generation of a multitude of loss</w:t>
      </w:r>
      <w:r>
        <w:t xml:space="preserve"> </w:t>
      </w:r>
      <w:r>
        <w:t xml:space="preserve">scenarios, from which three specific loss scenarios are extracted: a scenario with a loss</w:t>
      </w:r>
      <w:r>
        <w:t xml:space="preserve"> </w:t>
      </w:r>
      <w:r>
        <w:t xml:space="preserve">intensity similar to the global financial crisis in 2008, a second less severe scenario, and a</w:t>
      </w:r>
      <w:r>
        <w:t xml:space="preserve"> </w:t>
      </w:r>
      <w:r>
        <w:t xml:space="preserve">third more severe scenario. The results consider institutions that, based on the crisis</w:t>
      </w:r>
      <w:r>
        <w:t xml:space="preserve"> </w:t>
      </w:r>
      <w:r>
        <w:t xml:space="preserve">scenarios, would face losses that need to be absorbed. Cases where banks would either</w:t>
      </w:r>
      <w:r>
        <w:t xml:space="preserve"> </w:t>
      </w:r>
      <w:r>
        <w:t xml:space="preserve">not face losses or would face losses but not trigger the need for DGS (under the LCT) or</w:t>
      </w:r>
      <w:r>
        <w:t xml:space="preserve"> </w:t>
      </w:r>
      <w:r>
        <w:t xml:space="preserve">resolution funds to intervene, are not the focus of the analysis.</w:t>
      </w:r>
      <w:r>
        <w:br/>
      </w:r>
      <w:r>
        <w:t xml:space="preserve">As in previous sections, the analysis relies on a recovery rate in insolvency of 85% used</w:t>
      </w:r>
      <w:r>
        <w:t xml:space="preserve"> </w:t>
      </w:r>
      <w:r>
        <w:t xml:space="preserve">to calculate the LCT. Using other recovery rates would impact the findings.</w:t>
      </w:r>
      <w:r>
        <w:br/>
      </w:r>
      <w:r>
        <w:t xml:space="preserve">As set out in section 2.4, the modelling approach is based on a set of assumptions:</w:t>
      </w:r>
    </w:p>
    <w:p>
      <w:pPr>
        <w:pStyle w:val="BodyText"/>
      </w:pPr>
      <w:r>
        <w:t xml:space="preserve">290</w:t>
      </w:r>
      <w:r>
        <w:t xml:space="preserve"> </w:t>
      </w:r>
      <w:r>
        <w:t xml:space="preserve">Baseline</w:t>
      </w:r>
      <w:r>
        <w:t xml:space="preserve"> </w:t>
      </w:r>
      <w:r>
        <w:t xml:space="preserve">Scope</w:t>
      </w:r>
      <w:r>
        <w:t xml:space="preserve"> </w:t>
      </w:r>
      <w:r>
        <w:t xml:space="preserve">Loss</w:t>
      </w:r>
      <w:r>
        <w:t xml:space="preserve"> </w:t>
      </w:r>
      <w:r>
        <w:t xml:space="preserve">simulation</w:t>
      </w:r>
      <w:r>
        <w:t xml:space="preserve"> </w:t>
      </w:r>
      <w:r>
        <w:t xml:space="preserve">Loss allocation</w:t>
      </w:r>
      <w:r>
        <w:t xml:space="preserve"> </w:t>
      </w:r>
      <w:r>
        <w:t xml:space="preserve">Creditor</w:t>
      </w:r>
      <w:r>
        <w:t xml:space="preserve"> </w:t>
      </w:r>
      <w:r>
        <w:t xml:space="preserve">hierarchy</w:t>
      </w:r>
      <w:r>
        <w:t xml:space="preserve"> </w:t>
      </w:r>
      <w:r>
        <w:t xml:space="preserve">Bail-inable</w:t>
      </w:r>
      <w:r>
        <w:t xml:space="preserve"> </w:t>
      </w:r>
      <w:r>
        <w:t xml:space="preserve">capacity</w:t>
      </w:r>
      <w:r>
        <w:t xml:space="preserve"> </w:t>
      </w:r>
      <w:r>
        <w:t xml:space="preserve">Modelling</w:t>
      </w:r>
      <w:r>
        <w:t xml:space="preserve"> </w:t>
      </w:r>
      <w:r>
        <w:t xml:space="preserve">approach</w:t>
      </w:r>
      <w:r>
        <w:t xml:space="preserve"> </w:t>
      </w:r>
      <w:r>
        <w:t xml:space="preserve">All</w:t>
      </w:r>
      <w:r>
        <w:t xml:space="preserve"> </w:t>
      </w:r>
      <w:r>
        <w:t xml:space="preserve">entities</w:t>
      </w:r>
      <w:r>
        <w:t xml:space="preserve"> </w:t>
      </w:r>
      <w:r>
        <w:t xml:space="preserve">(irrespecti</w:t>
      </w:r>
      <w:r>
        <w:t xml:space="preserve"> </w:t>
      </w:r>
      <w:r>
        <w:t xml:space="preserve">ve of the</w:t>
      </w:r>
      <w:r>
        <w:t xml:space="preserve"> </w:t>
      </w:r>
      <w:r>
        <w:t xml:space="preserve">strategy)</w:t>
      </w:r>
      <w:r>
        <w:t xml:space="preserve"> </w:t>
      </w:r>
      <w:r>
        <w:t xml:space="preserve">Simulated</w:t>
      </w:r>
      <w:r>
        <w:t xml:space="preserve"> </w:t>
      </w:r>
      <w:r>
        <w:t xml:space="preserve">losses using</w:t>
      </w:r>
      <w:r>
        <w:t xml:space="preserve"> </w:t>
      </w:r>
      <w:r>
        <w:t xml:space="preserve">SYMBOL</w:t>
      </w:r>
    </w:p>
    <w:p>
      <w:pPr>
        <w:pStyle w:val="BodyText"/>
      </w:pPr>
      <w:r>
        <w:t xml:space="preserve">CET1</w:t>
      </w:r>
      <w:r>
        <w:t xml:space="preserve"> </w:t>
      </w:r>
      <w:r>
        <w:t xml:space="preserve">available for</w:t>
      </w:r>
      <w:r>
        <w:t xml:space="preserve"> </w:t>
      </w:r>
      <w:r>
        <w:t xml:space="preserve">the purpose of</w:t>
      </w:r>
      <w:r>
        <w:t xml:space="preserve"> </w:t>
      </w:r>
      <w:r>
        <w:t xml:space="preserve">8% TLOF</w:t>
      </w:r>
      <w:r>
        <w:t xml:space="preserve"> </w:t>
      </w:r>
      <w:r>
        <w:t xml:space="preserve">calculation</w:t>
      </w:r>
      <w:r>
        <w:t xml:space="preserve"> </w:t>
      </w:r>
      <w:r>
        <w:t xml:space="preserve">after depletion</w:t>
      </w:r>
      <w:r>
        <w:t xml:space="preserve"> </w:t>
      </w:r>
      <w:r>
        <w:t xml:space="preserve">of buffers</w:t>
      </w:r>
    </w:p>
    <w:p>
      <w:pPr>
        <w:pStyle w:val="BodyText"/>
      </w:pPr>
      <w:r>
        <w:t xml:space="preserve">Recapitalisatio</w:t>
      </w:r>
      <w:r>
        <w:t xml:space="preserve"> </w:t>
      </w:r>
      <w:r>
        <w:t xml:space="preserve">n in resolution</w:t>
      </w:r>
      <w:r>
        <w:t xml:space="preserve"> </w:t>
      </w:r>
      <w:r>
        <w:t xml:space="preserve">up to P1 +</w:t>
      </w:r>
      <w:r>
        <w:t xml:space="preserve"> </w:t>
      </w:r>
      <w:r>
        <w:t xml:space="preserve">P2R</w:t>
      </w:r>
      <w:r>
        <w:t xml:space="preserve"> </w:t>
      </w:r>
      <w:r>
        <w:t xml:space="preserve">Simulated losses</w:t>
      </w:r>
      <w:r>
        <w:t xml:space="preserve"> </w:t>
      </w:r>
      <w:r>
        <w:t xml:space="preserve">applied to</w:t>
      </w:r>
      <w:r>
        <w:t xml:space="preserve"> </w:t>
      </w:r>
      <w:r>
        <w:t xml:space="preserve">resolution entities</w:t>
      </w:r>
      <w:r>
        <w:t xml:space="preserve"> </w:t>
      </w:r>
      <w:r>
        <w:t xml:space="preserve">and subsidiaries</w:t>
      </w:r>
      <w:r>
        <w:t xml:space="preserve"> </w:t>
      </w:r>
      <w:r>
        <w:t xml:space="preserve">under the</w:t>
      </w:r>
      <w:r>
        <w:t xml:space="preserve"> </w:t>
      </w:r>
      <w:r>
        <w:t xml:space="preserve">assumption that</w:t>
      </w:r>
      <w:r>
        <w:t xml:space="preserve"> </w:t>
      </w:r>
      <w:r>
        <w:t xml:space="preserve">the resolution</w:t>
      </w:r>
      <w:r>
        <w:t xml:space="preserve"> </w:t>
      </w:r>
      <w:r>
        <w:t xml:space="preserve">group structure is</w:t>
      </w:r>
      <w:r>
        <w:t xml:space="preserve"> </w:t>
      </w:r>
      <w:r>
        <w:t xml:space="preserve">maintained or</w:t>
      </w:r>
      <w:r>
        <w:t xml:space="preserve"> </w:t>
      </w:r>
      <w:r>
        <w:t xml:space="preserve">breaks450</w:t>
      </w:r>
      <w:r>
        <w:br/>
      </w:r>
      <w:r>
        <w:t xml:space="preserve">Applicable</w:t>
      </w:r>
      <w:r>
        <w:t xml:space="preserve"> </w:t>
      </w:r>
      <w:r>
        <w:t xml:space="preserve">creditor hierarchy</w:t>
      </w:r>
      <w:r>
        <w:t xml:space="preserve"> </w:t>
      </w:r>
      <w:r>
        <w:t xml:space="preserve">in Member States</w:t>
      </w:r>
    </w:p>
    <w:p>
      <w:pPr>
        <w:pStyle w:val="BodyText"/>
      </w:pPr>
      <w:r>
        <w:t xml:space="preserve">Single-tier</w:t>
      </w:r>
      <w:r>
        <w:t xml:space="preserve"> </w:t>
      </w:r>
      <w:r>
        <w:t xml:space="preserve">depositor</w:t>
      </w:r>
      <w:r>
        <w:t xml:space="preserve"> </w:t>
      </w:r>
      <w:r>
        <w:t xml:space="preserve">preference</w:t>
      </w:r>
    </w:p>
    <w:p>
      <w:pPr>
        <w:pStyle w:val="BodyText"/>
      </w:pPr>
      <w:r>
        <w:t xml:space="preserve">Three-tier</w:t>
      </w:r>
      <w:r>
        <w:t xml:space="preserve"> </w:t>
      </w:r>
      <w:r>
        <w:t xml:space="preserve">depositor</w:t>
      </w:r>
      <w:r>
        <w:t xml:space="preserve"> </w:t>
      </w:r>
      <w:r>
        <w:t xml:space="preserve">preference</w:t>
      </w:r>
      <w:r>
        <w:t xml:space="preserve"> </w:t>
      </w:r>
      <w:r>
        <w:t xml:space="preserve">Bail-inable</w:t>
      </w:r>
      <w:r>
        <w:t xml:space="preserve"> </w:t>
      </w:r>
      <w:r>
        <w:t xml:space="preserve">liabilities</w:t>
      </w:r>
      <w:r>
        <w:t xml:space="preserve"> </w:t>
      </w:r>
      <w:r>
        <w:t xml:space="preserve">(except those</w:t>
      </w:r>
      <w:r>
        <w:t xml:space="preserve"> </w:t>
      </w:r>
      <w:r>
        <w:t xml:space="preserve">with maturity</w:t>
      </w:r>
      <w:r>
        <w:t xml:space="preserve"> </w:t>
      </w:r>
      <w:r>
        <w:t xml:space="preserve">below 1</w:t>
      </w:r>
      <w:r>
        <w:t xml:space="preserve"> </w:t>
      </w:r>
      <w:r>
        <w:t xml:space="preserve">month) with</w:t>
      </w:r>
      <w:r>
        <w:t xml:space="preserve"> </w:t>
      </w:r>
      <w:r>
        <w:t xml:space="preserve">gradual</w:t>
      </w:r>
      <w:r>
        <w:t xml:space="preserve"> </w:t>
      </w:r>
      <w:r>
        <w:t xml:space="preserve">exclusion of</w:t>
      </w:r>
      <w:r>
        <w:t xml:space="preserve"> </w:t>
      </w:r>
      <w:r>
        <w:t xml:space="preserve">deposits</w:t>
      </w:r>
    </w:p>
    <w:p>
      <w:pPr>
        <w:pStyle w:val="BodyText"/>
      </w:pPr>
      <w:r>
        <w:t xml:space="preserve">This section provides a detailed view of the expected probabilities for DGS to intervene</w:t>
      </w:r>
      <w:r>
        <w:t xml:space="preserve"> </w:t>
      </w:r>
      <w:r>
        <w:t xml:space="preserve">under the LCT and whether those interventions would allow reaching the 8% TLOF</w:t>
      </w:r>
      <w:r>
        <w:t xml:space="preserve"> </w:t>
      </w:r>
      <w:r>
        <w:t xml:space="preserve">threshold in resolution under three scenarios of different crisis intensity.</w:t>
      </w:r>
      <w:r>
        <w:br/>
      </w:r>
      <w:r>
        <w:t xml:space="preserve">Error! Reference source not found. provides the outcome of the simulation under the</w:t>
      </w:r>
      <w:r>
        <w:t xml:space="preserve"> </w:t>
      </w:r>
      <w:r>
        <w:t xml:space="preserve">modelling approach, indicating the number of institutions for which DGS interventions</w:t>
      </w:r>
      <w:r>
        <w:t xml:space="preserve"> </w:t>
      </w:r>
      <w:r>
        <w:t xml:space="preserve">are possible (positive LCT) and, for those institutions, whether DGS contributions would</w:t>
      </w:r>
      <w:r>
        <w:t xml:space="preserve"> </w:t>
      </w:r>
      <w:r>
        <w:t xml:space="preserve">allow reaching a level of 8% TLOF. As for previous analyses, the results concern all</w:t>
      </w:r>
      <w:r>
        <w:t xml:space="preserve"> </w:t>
      </w:r>
      <w:r>
        <w:t xml:space="preserve">entities, irrespective of their strategy, and assumes that the resolution group structure is</w:t>
      </w:r>
      <w:r>
        <w:t xml:space="preserve"> </w:t>
      </w:r>
      <w:r>
        <w:t xml:space="preserve">maintained in resolution.</w:t>
      </w:r>
      <w:r>
        <w:t xml:space="preserve"> </w:t>
      </w:r>
      <w:r>
        <w:t xml:space="preserve">On average, considering the entire sample, DGS interventions would allow reaching the</w:t>
      </w:r>
      <w:r>
        <w:t xml:space="preserve"> </w:t>
      </w:r>
      <w:r>
        <w:t xml:space="preserve">8% TLOF threshold for 7% of banks for which a DGS intervention is required under the</w:t>
      </w:r>
      <w:r>
        <w:t xml:space="preserve"> </w:t>
      </w:r>
      <w:r>
        <w:t xml:space="preserve">currently applicable creditor hierarchy and assuming a stress scenario of a similar</w:t>
      </w:r>
      <w:r>
        <w:t xml:space="preserve"> </w:t>
      </w:r>
      <w:r>
        <w:t xml:space="preserve">intensity as the 2008 global financial crisis. The average number of banks where the</w:t>
      </w:r>
      <w:r>
        <w:t xml:space="preserve"> </w:t>
      </w:r>
      <w:r>
        <w:t xml:space="preserve">DGS could intervene to allow bridging up the gaps to 8% TLOF is similar for small and</w:t>
      </w:r>
      <w:r>
        <w:t xml:space="preserve"> </w:t>
      </w:r>
      <w:r>
        <w:t xml:space="preserve">medium-sized banks (on average 7% of banks for which DGS interventions are</w:t>
      </w:r>
      <w:r>
        <w:t xml:space="preserve"> </w:t>
      </w:r>
      <w:r>
        <w:t xml:space="preserve">required), while DGS interventions would not be sufficient on average for any large bank</w:t>
      </w:r>
      <w:r>
        <w:t xml:space="preserve"> </w:t>
      </w:r>
      <w:r>
        <w:t xml:space="preserve">to help it reach 8% TLOF. At the same time, banks with a high prevalence of deposits for</w:t>
      </w:r>
      <w:r>
        <w:t xml:space="preserve"> </w:t>
      </w:r>
      <w:r>
        <w:t xml:space="preserve">which the LCT is positive would see the probability of DGS intervening in sufficient</w:t>
      </w:r>
      <w:r>
        <w:t xml:space="preserve"> </w:t>
      </w:r>
      <w:r>
        <w:t xml:space="preserve">amounts to reach 8% TLOF in 9% of the cases, compared to generally lower levels when</w:t>
      </w:r>
      <w:r>
        <w:t xml:space="preserve"> </w:t>
      </w:r>
      <w:r>
        <w:t xml:space="preserve">the prevalence of deposits is reduced.</w:t>
      </w:r>
      <w:r>
        <w:t xml:space="preserve"> </w:t>
      </w:r>
      <w:r>
        <w:t xml:space="preserve">More specifically, under the currently applicable creditor hierarchy (baseline),</w:t>
      </w:r>
      <w:r>
        <w:t xml:space="preserve"> </w:t>
      </w:r>
      <w:r>
        <w:t xml:space="preserve">considering the entire sample, the probability that the DGS would need to intervene to</w:t>
      </w:r>
      <w:r>
        <w:t xml:space="preserve"> </w:t>
      </w:r>
      <w:r>
        <w:t xml:space="preserve">reach the 8% TLOF for at least one bank in a crisis similar to the 2008 one is equal to</w:t>
      </w:r>
    </w:p>
    <w:p>
      <w:pPr>
        <w:pStyle w:val="BodyText"/>
      </w:pPr>
      <w:r>
        <w:t xml:space="preserve">450 The single point of entry group resolution strategy is maintained where the losses are allocated at</w:t>
      </w:r>
      <w:r>
        <w:t xml:space="preserve"> </w:t>
      </w:r>
      <w:r>
        <w:t xml:space="preserve">subsidiary level up until the level of internal loss-absorbing capacity pre-positioned by the parent</w:t>
      </w:r>
      <w:r>
        <w:t xml:space="preserve"> </w:t>
      </w:r>
      <w:r>
        <w:t xml:space="preserve">(resolution entity); any remaining losses impacting the subsidiary are covered by the parent. When the</w:t>
      </w:r>
      <w:r>
        <w:t xml:space="preserve"> </w:t>
      </w:r>
      <w:r>
        <w:t xml:space="preserve">group resolution strategy is maintained, this system of upstreaming losses from subsidiary to the resolution</w:t>
      </w:r>
      <w:r>
        <w:t xml:space="preserve"> </w:t>
      </w:r>
      <w:r>
        <w:t xml:space="preserve">entity ensures that the subsidiary absorbs losses and gets recapitalised without being placed in resolution.</w:t>
      </w:r>
    </w:p>
    <w:p>
      <w:pPr>
        <w:pStyle w:val="BodyText"/>
      </w:pPr>
      <w:r>
        <w:t xml:space="preserve">291</w:t>
      </w:r>
      <w:r>
        <w:t xml:space="preserve"> </w:t>
      </w:r>
      <w:r>
        <w:t xml:space="preserve">100%, for an average of 19.4 banks and an average amount of EUR 3.9 bn. By size, there</w:t>
      </w:r>
      <w:r>
        <w:t xml:space="preserve"> </w:t>
      </w:r>
      <w:r>
        <w:t xml:space="preserve">is a 96% or 99% probability for medium-sized or small banks respectively that DGS</w:t>
      </w:r>
      <w:r>
        <w:t xml:space="preserve"> </w:t>
      </w:r>
      <w:r>
        <w:t xml:space="preserve">would intervene and reach 8% TLOF (i.e. at least one intervention is quasi certain).</w:t>
      </w:r>
      <w:r>
        <w:t xml:space="preserve"> </w:t>
      </w:r>
      <w:r>
        <w:t xml:space="preserve">However, under a crisis similar to the 2008 one, the probability that the DGS funds</w:t>
      </w:r>
      <w:r>
        <w:t xml:space="preserve"> </w:t>
      </w:r>
      <w:r>
        <w:t xml:space="preserve">needed are not sufficient to bridge the gap to 8% TLOF for at least one banks is equal to</w:t>
      </w:r>
      <w:r>
        <w:t xml:space="preserve"> </w:t>
      </w:r>
      <w:r>
        <w:t xml:space="preserve">100% for an average of 18 banks and an average amount of EUR 3.8 bn (either because</w:t>
      </w:r>
      <w:r>
        <w:t xml:space="preserve"> </w:t>
      </w:r>
      <w:r>
        <w:t xml:space="preserve">the LCT does not unlock sufficient funds, or because the DGS cap of 0.4% of covered</w:t>
      </w:r>
      <w:r>
        <w:t xml:space="preserve"> </w:t>
      </w:r>
      <w:r>
        <w:t xml:space="preserve">deposits per single use is binding).</w:t>
      </w:r>
      <w:r>
        <w:t xml:space="preserve"> </w:t>
      </w:r>
      <w:r>
        <w:t xml:space="preserve">These results change materially when assuming a single-tier depositor preference. On</w:t>
      </w:r>
      <w:r>
        <w:t xml:space="preserve"> </w:t>
      </w:r>
      <w:r>
        <w:t xml:space="preserve">average, at the level of the entire sample, DGS interventions would allow reaching the</w:t>
      </w:r>
      <w:r>
        <w:t xml:space="preserve"> </w:t>
      </w:r>
      <w:r>
        <w:t xml:space="preserve">8% TLOF in 81% of the cases where the LCT is positive, i.e. an increase by 74</w:t>
      </w:r>
      <w:r>
        <w:t xml:space="preserve"> </w:t>
      </w:r>
      <w:r>
        <w:t xml:space="preserve">percentage points compared to the currently applicable creditor hierarchies. This effect is</w:t>
      </w:r>
      <w:r>
        <w:t xml:space="preserve"> </w:t>
      </w:r>
      <w:r>
        <w:t xml:space="preserve">particularly important for banks with a mid to high prevalence of deposits as well as for</w:t>
      </w:r>
      <w:r>
        <w:t xml:space="preserve"> </w:t>
      </w:r>
      <w:r>
        <w:t xml:space="preserve">small and medium-sized institutions where DGS interventions would allow reaching 8%</w:t>
      </w:r>
      <w:r>
        <w:t xml:space="preserve"> </w:t>
      </w:r>
      <w:r>
        <w:t xml:space="preserve">in 80% and 57% of the cases where a DGS intervention is required, respectively. The</w:t>
      </w:r>
      <w:r>
        <w:t xml:space="preserve"> </w:t>
      </w:r>
      <w:r>
        <w:t xml:space="preserve">three-tier depositor preference, by keeping a super-preference for covered deposits,</w:t>
      </w:r>
      <w:r>
        <w:t xml:space="preserve"> </w:t>
      </w:r>
      <w:r>
        <w:t xml:space="preserve">generally leads to comparable results as the baseline.</w:t>
      </w:r>
      <w:r>
        <w:t xml:space="preserve"> </w:t>
      </w:r>
      <w:r>
        <w:t xml:space="preserve">At the same time, the introduction of a single-tier depositor preference reduces the likely</w:t>
      </w:r>
      <w:r>
        <w:t xml:space="preserve"> </w:t>
      </w:r>
      <w:r>
        <w:t xml:space="preserve">number of DGS interventions: considering the entire sample, an average of 11 banks</w:t>
      </w:r>
      <w:r>
        <w:t xml:space="preserve"> </w:t>
      </w:r>
      <w:r>
        <w:t xml:space="preserve">would be subject to a DGS intervention under a single-tier depositor preference,</w:t>
      </w:r>
      <w:r>
        <w:t xml:space="preserve"> </w:t>
      </w:r>
      <w:r>
        <w:t xml:space="preserve">compared to an average of approximately 19 banks based on currently applicable creditor</w:t>
      </w:r>
      <w:r>
        <w:t xml:space="preserve"> </w:t>
      </w:r>
      <w:r>
        <w:t xml:space="preserve">hierarchies. Similarly, the number of banks where the LCT is not enough to enable a</w:t>
      </w:r>
      <w:r>
        <w:t xml:space="preserve"> </w:t>
      </w:r>
      <w:r>
        <w:t xml:space="preserve">sufficient DGS contributions towards 8% TLOF despite the need to absorb further</w:t>
      </w:r>
      <w:r>
        <w:t xml:space="preserve"> </w:t>
      </w:r>
      <w:r>
        <w:t xml:space="preserve">losses451 falls from an average of 18 under the applicable depositor preference to 10</w:t>
      </w:r>
      <w:r>
        <w:t xml:space="preserve"> </w:t>
      </w:r>
      <w:r>
        <w:t xml:space="preserve">under a three-tier preference and an average of approximately two when a single-tier</w:t>
      </w:r>
      <w:r>
        <w:t xml:space="preserve"> </w:t>
      </w:r>
      <w:r>
        <w:t xml:space="preserve">preference is considered. This also applies when restricting the sample to entities with</w:t>
      </w:r>
      <w:r>
        <w:t xml:space="preserve"> </w:t>
      </w:r>
      <w:r>
        <w:t xml:space="preserve">resolution strategy.</w:t>
      </w:r>
      <w:r>
        <w:br/>
      </w:r>
      <w:r>
        <w:t xml:space="preserve">These results confirm the outcome of the statistical static analysis on the ability of a</w:t>
      </w:r>
      <w:r>
        <w:t xml:space="preserve"> </w:t>
      </w:r>
      <w:r>
        <w:t xml:space="preserve">single-tier depositor preference to reduce the number of banks that need deposits to reach</w:t>
      </w:r>
      <w:r>
        <w:t xml:space="preserve"> </w:t>
      </w:r>
      <w:r>
        <w:t xml:space="preserve">the 8% TLOF and at the same time unlock more possibilities for DGS to intervene based</w:t>
      </w:r>
      <w:r>
        <w:t xml:space="preserve"> </w:t>
      </w:r>
      <w:r>
        <w:t xml:space="preserve">on the LCT. As set out previously, maintaining a super-preference for covered deposits</w:t>
      </w:r>
      <w:r>
        <w:t xml:space="preserve"> </w:t>
      </w:r>
      <w:r>
        <w:t xml:space="preserve">may ultimately reduce the maximum amount of the LCT and thereby limit the ability of</w:t>
      </w:r>
      <w:r>
        <w:t xml:space="preserve"> </w:t>
      </w:r>
      <w:r>
        <w:t xml:space="preserve">DGS interventions to reach 8% TLOF. At the same time, the magnitude of the</w:t>
      </w:r>
      <w:r>
        <w:t xml:space="preserve"> </w:t>
      </w:r>
      <w:r>
        <w:t xml:space="preserve">differences compared to the current situation may limit the possibility for changes to the</w:t>
      </w:r>
      <w:r>
        <w:t xml:space="preserve"> </w:t>
      </w:r>
      <w:r>
        <w:t xml:space="preserve">LCT, including indirect costs or other factors, to yield similar results.</w:t>
      </w:r>
      <w:r>
        <w:t xml:space="preserve"> </w:t>
      </w:r>
      <w:r>
        <w:t xml:space="preserve">Finally, assuming a different crisis intensity does not change the overall conclusions, as</w:t>
      </w:r>
      <w:r>
        <w:t xml:space="preserve"> </w:t>
      </w:r>
      <w:r>
        <w:t xml:space="preserve">the trend keeps applying irrespective of the scenario used, but makes the DGS</w:t>
      </w:r>
      <w:r>
        <w:t xml:space="preserve"> </w:t>
      </w:r>
      <w:r>
        <w:t xml:space="preserve">interventions to facilitate the access to 8% TLOF more or less likely depending on the</w:t>
      </w:r>
    </w:p>
    <w:p>
      <w:pPr>
        <w:pStyle w:val="BodyText"/>
      </w:pPr>
      <w:r>
        <w:t xml:space="preserve">451 For the purpose of the analysis, the inability to reach the 8% TLOF may be due either to an insufficient</w:t>
      </w:r>
      <w:r>
        <w:t xml:space="preserve"> </w:t>
      </w:r>
      <w:r>
        <w:t xml:space="preserve">LCT or the limit set by the cap of 0.4% of covered deposits applicable for DGS interventions set out in</w:t>
      </w:r>
      <w:r>
        <w:t xml:space="preserve"> </w:t>
      </w:r>
      <w:r>
        <w:t xml:space="preserve">Article 109(5) BRRD. However, the analysis suggests that the results are driven by the LCT that may often</w:t>
      </w:r>
      <w:r>
        <w:t xml:space="preserve"> </w:t>
      </w:r>
      <w:r>
        <w:t xml:space="preserve">be too limited to allow reaching 8% TLOF threshold. In particular, as shown in the statistical analysis, the</w:t>
      </w:r>
      <w:r>
        <w:t xml:space="preserve"> </w:t>
      </w:r>
      <w:r>
        <w:t xml:space="preserve">number of DGS interventions under the LCT is very limited as losses often do not reach covered deposits,</w:t>
      </w:r>
      <w:r>
        <w:t xml:space="preserve"> </w:t>
      </w:r>
      <w:r>
        <w:t xml:space="preserve">that are taken into account for the purpose of the LCT calculations.</w:t>
      </w:r>
    </w:p>
    <w:p>
      <w:pPr>
        <w:pStyle w:val="BodyText"/>
      </w:pPr>
      <w:r>
        <w:t xml:space="preserve">292</w:t>
      </w:r>
      <w:r>
        <w:t xml:space="preserve"> </w:t>
      </w:r>
      <w:r>
        <w:t xml:space="preserve">scenario. In particular, a less severe crisis may lead to a situation where a smaller amount</w:t>
      </w:r>
      <w:r>
        <w:t xml:space="preserve"> </w:t>
      </w:r>
      <w:r>
        <w:t xml:space="preserve">of deposits may be hit, resulting in a smaller LCT that may not be sufficient to reach the</w:t>
      </w:r>
      <w:r>
        <w:t xml:space="preserve"> </w:t>
      </w:r>
      <w:r>
        <w:t xml:space="preserve">8% TLOF, threshold and conversely in case of higher losses. In each case, the difference</w:t>
      </w:r>
      <w:r>
        <w:t xml:space="preserve"> </w:t>
      </w:r>
      <w:r>
        <w:t xml:space="preserve">brought by the type of depositor preference is substantial.</w:t>
      </w:r>
      <w:r>
        <w:t xml:space="preserve"> </w:t>
      </w:r>
      <w:r>
        <w:t xml:space="preserve">Table 22: Percentage of average number of banks where DGS interventions would be</w:t>
      </w:r>
      <w:r>
        <w:t xml:space="preserve"> </w:t>
      </w:r>
      <w:r>
        <w:t xml:space="preserve">sufficient to reach 8% TLOF (average number of banks where the DGS intervention</w:t>
      </w:r>
      <w:r>
        <w:t xml:space="preserve"> </w:t>
      </w:r>
      <w:r>
        <w:t xml:space="preserve">would be sufficient to reach 8% TLOF over average number of banks where DGS</w:t>
      </w:r>
      <w:r>
        <w:t xml:space="preserve"> </w:t>
      </w:r>
      <w:r>
        <w:t xml:space="preserve">interventions are required, assuming the resolution group structure is maintained)</w:t>
      </w:r>
      <w:r>
        <w:t xml:space="preserve"> </w:t>
      </w:r>
      <w:r>
        <w:t xml:space="preserve">Global financial crisis (2008)</w:t>
      </w:r>
    </w:p>
    <w:p>
      <w:pPr>
        <w:pStyle w:val="BodyText"/>
      </w:pP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Depositor</w:t>
      </w:r>
      <w:r>
        <w:t xml:space="preserve"> </w:t>
      </w:r>
      <w:r>
        <w:t xml:space="preserve">preference 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 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Small</w:t>
      </w:r>
      <w:r>
        <w:t xml:space="preserve"> </w:t>
      </w:r>
      <w:r>
        <w:t xml:space="preserve">7%</w:t>
      </w:r>
      <w:r>
        <w:t xml:space="preserve"> </w:t>
      </w:r>
      <w:r>
        <w:t xml:space="preserve">80%</w:t>
      </w:r>
      <w:r>
        <w:t xml:space="preserve"> </w:t>
      </w:r>
      <w:r>
        <w:t xml:space="preserve">8%</w:t>
      </w:r>
      <w:r>
        <w:br/>
      </w:r>
      <w:r>
        <w:t xml:space="preserve">7%</w:t>
      </w:r>
      <w:r>
        <w:t xml:space="preserve"> </w:t>
      </w:r>
      <w:r>
        <w:t xml:space="preserve">77%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86%</w:t>
      </w:r>
      <w:r>
        <w:t xml:space="preserve"> </w:t>
      </w:r>
      <w:r>
        <w:t xml:space="preserve">10%</w:t>
      </w:r>
      <w:r>
        <w:t xml:space="preserve"> </w:t>
      </w:r>
      <w:r>
        <w:t xml:space="preserve">Medium</w:t>
      </w:r>
      <w:r>
        <w:t xml:space="preserve"> </w:t>
      </w:r>
      <w:r>
        <w:t xml:space="preserve">7%</w:t>
      </w:r>
      <w:r>
        <w:t xml:space="preserve"> </w:t>
      </w:r>
      <w:r>
        <w:t xml:space="preserve">57%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51%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65%</w:t>
      </w:r>
      <w:r>
        <w:t xml:space="preserve"> </w:t>
      </w:r>
      <w:r>
        <w:t xml:space="preserve">12%</w:t>
      </w:r>
      <w:r>
        <w:t xml:space="preserve"> </w:t>
      </w:r>
      <w:r>
        <w:t xml:space="preserve">Large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21%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Resolution</w:t>
      </w:r>
      <w:r>
        <w:t xml:space="preserve"> </w:t>
      </w:r>
      <w:r>
        <w:t xml:space="preserve">7%</w:t>
      </w:r>
      <w:r>
        <w:t xml:space="preserve"> </w:t>
      </w:r>
      <w:r>
        <w:t xml:space="preserve">74%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70%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82%</w:t>
      </w:r>
      <w:r>
        <w:t xml:space="preserve"> </w:t>
      </w:r>
      <w:r>
        <w:t xml:space="preserve">10%</w:t>
      </w:r>
      <w:r>
        <w:t xml:space="preserve"> </w:t>
      </w:r>
      <w:r>
        <w:t xml:space="preserve">Liquidation</w:t>
      </w:r>
      <w:r>
        <w:t xml:space="preserve"> </w:t>
      </w:r>
      <w:r>
        <w:t xml:space="preserve">7%</w:t>
      </w:r>
      <w:r>
        <w:t xml:space="preserve"> </w:t>
      </w:r>
      <w:r>
        <w:t xml:space="preserve">72%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68%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77%</w:t>
      </w:r>
      <w:r>
        <w:t xml:space="preserve"> </w:t>
      </w:r>
      <w:r>
        <w:t xml:space="preserve">9%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6%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15%</w:t>
      </w:r>
      <w:r>
        <w:t xml:space="preserve"> </w:t>
      </w:r>
      <w:r>
        <w:t xml:space="preserve">14%</w:t>
      </w:r>
      <w:r>
        <w:t xml:space="preserve"> </w:t>
      </w:r>
      <w:r>
        <w:t xml:space="preserve">Mid</w:t>
      </w:r>
      <w:r>
        <w:t xml:space="preserve"> </w:t>
      </w:r>
      <w:r>
        <w:t xml:space="preserve">1%</w:t>
      </w:r>
      <w:r>
        <w:t xml:space="preserve"> </w:t>
      </w:r>
      <w:r>
        <w:t xml:space="preserve">45%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37%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59%</w:t>
      </w:r>
      <w:r>
        <w:t xml:space="preserve"> </w:t>
      </w:r>
      <w:r>
        <w:t xml:space="preserve">2%</w:t>
      </w:r>
      <w:r>
        <w:t xml:space="preserve"> </w:t>
      </w:r>
      <w:r>
        <w:t xml:space="preserve">Mid-High</w:t>
      </w:r>
      <w:r>
        <w:t xml:space="preserve"> </w:t>
      </w:r>
      <w:r>
        <w:t xml:space="preserve">2%</w:t>
      </w:r>
      <w:r>
        <w:t xml:space="preserve"> </w:t>
      </w:r>
      <w:r>
        <w:t xml:space="preserve">38%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33%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50%</w:t>
      </w:r>
      <w:r>
        <w:t xml:space="preserve"> </w:t>
      </w:r>
      <w:r>
        <w:t xml:space="preserve">2%</w:t>
      </w:r>
      <w:r>
        <w:t xml:space="preserve"> </w:t>
      </w:r>
      <w:r>
        <w:t xml:space="preserve">High</w:t>
      </w:r>
      <w:r>
        <w:t xml:space="preserve"> </w:t>
      </w:r>
      <w:r>
        <w:t xml:space="preserve">9%</w:t>
      </w:r>
      <w:r>
        <w:t xml:space="preserve"> </w:t>
      </w:r>
      <w:r>
        <w:t xml:space="preserve">80%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77%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84%</w:t>
      </w:r>
      <w:r>
        <w:t xml:space="preserve"> </w:t>
      </w:r>
      <w:r>
        <w:t xml:space="preserve">12%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7%</w:t>
      </w:r>
      <w:r>
        <w:t xml:space="preserve"> </w:t>
      </w:r>
      <w:r>
        <w:t xml:space="preserve">81%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78%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84%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Source: Commission services, based on EBA CfA report and SRB data as of Q4 2019, assuming an 85%</w:t>
      </w:r>
      <w:r>
        <w:t xml:space="preserve"> </w:t>
      </w:r>
      <w:r>
        <w:t xml:space="preserve">recovery rate.</w:t>
      </w:r>
      <w:r>
        <w:t xml:space="preserve"> </w:t>
      </w:r>
      <w:r>
        <w:t xml:space="preserve">Error! Reference source not found. shows the impact of the simulation when the</w:t>
      </w:r>
      <w:r>
        <w:t xml:space="preserve"> </w:t>
      </w:r>
      <w:r>
        <w:t xml:space="preserve">resolution group structure is not maintained, i.e. simulating a break of the resolution</w:t>
      </w:r>
      <w:r>
        <w:t xml:space="preserve"> </w:t>
      </w:r>
      <w:r>
        <w:t xml:space="preserve">group leaving individual subsidiaries without the possibility to pass-on losses to the</w:t>
      </w:r>
      <w:r>
        <w:t xml:space="preserve"> </w:t>
      </w:r>
      <w:r>
        <w:t xml:space="preserve">resolution entity and subject to being placed in resolution themselves. In these cases, the</w:t>
      </w:r>
      <w:r>
        <w:t xml:space="preserve"> </w:t>
      </w:r>
      <w:r>
        <w:t xml:space="preserve">loss allocation follows the waterfall of claims at each individual entity level until all</w:t>
      </w:r>
      <w:r>
        <w:t xml:space="preserve"> </w:t>
      </w:r>
      <w:r>
        <w:t xml:space="preserve">losses are covered and no transfer of losses is taking place from subsidiaries to the</w:t>
      </w:r>
      <w:r>
        <w:t xml:space="preserve"> </w:t>
      </w:r>
      <w:r>
        <w:t xml:space="preserve">resolution entities. The number of observations underlying the figures contained in this</w:t>
      </w:r>
      <w:r>
        <w:t xml:space="preserve"> </w:t>
      </w:r>
      <w:r>
        <w:t xml:space="preserve">table exceeds the one in other analyses (carried out at resolution/parent entity level)</w:t>
      </w:r>
      <w:r>
        <w:t xml:space="preserve"> </w:t>
      </w:r>
      <w:r>
        <w:t xml:space="preserve">because the analysis is conducted at individual level for the subsidiaries (where possible</w:t>
      </w:r>
      <w:r>
        <w:t xml:space="preserve"> </w:t>
      </w:r>
      <w:r>
        <w:t xml:space="preserve">due to data availability).</w:t>
      </w:r>
      <w:r>
        <w:t xml:space="preserve"> </w:t>
      </w:r>
      <w:r>
        <w:t xml:space="preserve">Overall, the average results are slightly different from the situation where the resolution</w:t>
      </w:r>
      <w:r>
        <w:t xml:space="preserve"> </w:t>
      </w:r>
      <w:r>
        <w:t xml:space="preserve">group structure is maintained. More specifically, under the currently applicable creditor</w:t>
      </w:r>
      <w:r>
        <w:t xml:space="preserve"> </w:t>
      </w:r>
      <w:r>
        <w:t xml:space="preserve">hierarchy (baseline), considering the entire sample, the probability that the DGS would</w:t>
      </w:r>
      <w:r>
        <w:t xml:space="preserve"> </w:t>
      </w:r>
      <w:r>
        <w:t xml:space="preserve">need to intervene to reach the 8% TLOF for at least one bank in a crisis similar to the</w:t>
      </w:r>
      <w:r>
        <w:t xml:space="preserve"> </w:t>
      </w:r>
      <w:r>
        <w:t xml:space="preserve">2008 one is equal to 100%, for an average of 36.9 banks and an average amount of EUR</w:t>
      </w:r>
      <w:r>
        <w:t xml:space="preserve"> </w:t>
      </w:r>
      <w:r>
        <w:t xml:space="preserve">7.6 bn. However, under the same type of crisis, the probability that the DGS funds</w:t>
      </w:r>
      <w:r>
        <w:t xml:space="preserve"> </w:t>
      </w:r>
      <w:r>
        <w:t xml:space="preserve">needed are not sufficient to bridge the gap to 8% TLOF for at least one banks is equal to</w:t>
      </w:r>
    </w:p>
    <w:p>
      <w:pPr>
        <w:pStyle w:val="BodyText"/>
      </w:pPr>
      <w:r>
        <w:t xml:space="preserve">293</w:t>
      </w:r>
      <w:r>
        <w:t xml:space="preserve"> </w:t>
      </w:r>
      <w:r>
        <w:t xml:space="preserve">100% for an average of 33.8 banks and an average amount of EUR 7.3 bn (either because</w:t>
      </w:r>
      <w:r>
        <w:t xml:space="preserve"> </w:t>
      </w:r>
      <w:r>
        <w:t xml:space="preserve">the LCT does not unlock sufficient funds, or because the DGS cap of 0.4% of covered</w:t>
      </w:r>
      <w:r>
        <w:t xml:space="preserve"> </w:t>
      </w:r>
      <w:r>
        <w:t xml:space="preserve">deposits per single use is binding).</w:t>
      </w:r>
      <w:r>
        <w:t xml:space="preserve"> </w:t>
      </w:r>
      <w:r>
        <w:t xml:space="preserve">Overall, DGS interventions would allow reaching 8% TLOF on average in 8% and 13%</w:t>
      </w:r>
      <w:r>
        <w:t xml:space="preserve"> </w:t>
      </w:r>
      <w:r>
        <w:t xml:space="preserve">of the cases (i.e. at the level of the subsidiaries that would have to absorb losses</w:t>
      </w:r>
      <w:r>
        <w:t xml:space="preserve"> </w:t>
      </w:r>
      <w:r>
        <w:t xml:space="preserve">individually and not pass them trough up to the resolution entity) when considering the</w:t>
      </w:r>
      <w:r>
        <w:t xml:space="preserve"> </w:t>
      </w:r>
      <w:r>
        <w:t xml:space="preserve">currently applicable creditor hierarchies or the introduction of a three-tier depositor</w:t>
      </w:r>
      <w:r>
        <w:t xml:space="preserve"> </w:t>
      </w:r>
      <w:r>
        <w:t xml:space="preserve">preference. On the contrary, single-tier depositor preference ensures that DGS</w:t>
      </w:r>
      <w:r>
        <w:t xml:space="preserve"> </w:t>
      </w:r>
      <w:r>
        <w:t xml:space="preserve">interventions, when needed and possible under the LCT, often allow reaching the 8%</w:t>
      </w:r>
      <w:r>
        <w:t xml:space="preserve"> </w:t>
      </w:r>
      <w:r>
        <w:t xml:space="preserve">TLOF threshold.</w:t>
      </w:r>
      <w:r>
        <w:br/>
      </w:r>
      <w:r>
        <w:t xml:space="preserve">Table 23: Percentage of average number of banks where DGS interventions would be</w:t>
      </w:r>
      <w:r>
        <w:t xml:space="preserve"> </w:t>
      </w:r>
      <w:r>
        <w:t xml:space="preserve">sufficient to reach 8% TLOF (average number of banks where the DGS intervention</w:t>
      </w:r>
      <w:r>
        <w:t xml:space="preserve"> </w:t>
      </w:r>
      <w:r>
        <w:t xml:space="preserve">would be sufficient to reach 8% TLOF over average number of banks where DGS</w:t>
      </w:r>
      <w:r>
        <w:t xml:space="preserve"> </w:t>
      </w:r>
      <w:r>
        <w:t xml:space="preserve">interventions are required, assuming the resolution group structure is not maintained)</w:t>
      </w:r>
    </w:p>
    <w:p>
      <w:pPr>
        <w:pStyle w:val="BodyText"/>
      </w:pPr>
      <w:r>
        <w:t xml:space="preserve">Global financial crisis</w:t>
      </w:r>
      <w:r>
        <w:t xml:space="preserve"> </w:t>
      </w:r>
      <w:r>
        <w:t xml:space="preserve">(2008)</w:t>
      </w:r>
    </w:p>
    <w:p>
      <w:pPr>
        <w:pStyle w:val="BodyText"/>
      </w:pP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Depositor</w:t>
      </w:r>
      <w:r>
        <w:t xml:space="preserve"> </w:t>
      </w:r>
      <w:r>
        <w:t xml:space="preserve">preference 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 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Small</w:t>
      </w:r>
      <w:r>
        <w:t xml:space="preserve"> </w:t>
      </w:r>
      <w:r>
        <w:t xml:space="preserve">11%</w:t>
      </w:r>
      <w:r>
        <w:t xml:space="preserve"> </w:t>
      </w:r>
      <w:r>
        <w:t xml:space="preserve">85%</w:t>
      </w:r>
      <w:r>
        <w:t xml:space="preserve"> </w:t>
      </w:r>
      <w:r>
        <w:t xml:space="preserve">15%</w:t>
      </w:r>
      <w:r>
        <w:br/>
      </w:r>
      <w:r>
        <w:t xml:space="preserve">12%</w:t>
      </w:r>
      <w:r>
        <w:t xml:space="preserve"> </w:t>
      </w:r>
      <w:r>
        <w:t xml:space="preserve">84%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87%</w:t>
      </w:r>
      <w:r>
        <w:t xml:space="preserve"> </w:t>
      </w:r>
      <w:r>
        <w:t xml:space="preserve">14%</w:t>
      </w:r>
      <w:r>
        <w:t xml:space="preserve"> </w:t>
      </w:r>
      <w:r>
        <w:t xml:space="preserve">Medium</w:t>
      </w:r>
      <w:r>
        <w:t xml:space="preserve"> </w:t>
      </w:r>
      <w:r>
        <w:t xml:space="preserve">5%</w:t>
      </w:r>
      <w:r>
        <w:t xml:space="preserve"> </w:t>
      </w:r>
      <w:r>
        <w:t xml:space="preserve">63%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59%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68%</w:t>
      </w:r>
      <w:r>
        <w:t xml:space="preserve"> </w:t>
      </w:r>
      <w:r>
        <w:t xml:space="preserve">11%</w:t>
      </w:r>
      <w:r>
        <w:t xml:space="preserve"> </w:t>
      </w:r>
      <w:r>
        <w:t xml:space="preserve">Large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24%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3%</w:t>
      </w:r>
      <w:r>
        <w:t xml:space="preserve"> </w:t>
      </w:r>
      <w:r>
        <w:t xml:space="preserve">12%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10%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Mid</w:t>
      </w:r>
      <w:r>
        <w:t xml:space="preserve"> </w:t>
      </w:r>
      <w:r>
        <w:t xml:space="preserve">0%</w:t>
      </w:r>
      <w:r>
        <w:t xml:space="preserve"> </w:t>
      </w:r>
      <w:r>
        <w:t xml:space="preserve">47%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41%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62%</w:t>
      </w:r>
      <w:r>
        <w:t xml:space="preserve"> </w:t>
      </w:r>
      <w:r>
        <w:t xml:space="preserve">2%</w:t>
      </w:r>
      <w:r>
        <w:t xml:space="preserve"> </w:t>
      </w:r>
      <w:r>
        <w:t xml:space="preserve">Mid-High</w:t>
      </w:r>
      <w:r>
        <w:t xml:space="preserve"> </w:t>
      </w:r>
      <w:r>
        <w:t xml:space="preserve">1%</w:t>
      </w:r>
      <w:r>
        <w:t xml:space="preserve"> </w:t>
      </w:r>
      <w:r>
        <w:t xml:space="preserve">49%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43%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59%</w:t>
      </w:r>
      <w:r>
        <w:t xml:space="preserve"> </w:t>
      </w:r>
      <w:r>
        <w:t xml:space="preserve">1%</w:t>
      </w:r>
      <w:r>
        <w:t xml:space="preserve"> </w:t>
      </w:r>
      <w:r>
        <w:t xml:space="preserve">High</w:t>
      </w:r>
      <w:r>
        <w:t xml:space="preserve"> </w:t>
      </w:r>
      <w:r>
        <w:t xml:space="preserve">14%</w:t>
      </w:r>
      <w:r>
        <w:t xml:space="preserve"> </w:t>
      </w:r>
      <w:r>
        <w:t xml:space="preserve">84%</w:t>
      </w:r>
      <w:r>
        <w:t xml:space="preserve"> </w:t>
      </w:r>
      <w:r>
        <w:t xml:space="preserve">17%</w:t>
      </w:r>
      <w:r>
        <w:t xml:space="preserve"> </w:t>
      </w:r>
      <w:r>
        <w:t xml:space="preserve">14%</w:t>
      </w:r>
      <w:r>
        <w:t xml:space="preserve"> </w:t>
      </w:r>
      <w:r>
        <w:t xml:space="preserve">82%</w:t>
      </w:r>
      <w:r>
        <w:t xml:space="preserve"> </w:t>
      </w:r>
      <w:r>
        <w:t xml:space="preserve">17%</w:t>
      </w:r>
      <w:r>
        <w:t xml:space="preserve"> </w:t>
      </w:r>
      <w:r>
        <w:t xml:space="preserve">14%</w:t>
      </w:r>
      <w:r>
        <w:t xml:space="preserve"> </w:t>
      </w:r>
      <w:r>
        <w:t xml:space="preserve">85%</w:t>
      </w:r>
      <w:r>
        <w:t xml:space="preserve"> </w:t>
      </w:r>
      <w:r>
        <w:t xml:space="preserve">16%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8%</w:t>
      </w:r>
      <w:r>
        <w:t xml:space="preserve"> </w:t>
      </w:r>
      <w:r>
        <w:t xml:space="preserve">81%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81%</w:t>
      </w:r>
      <w:r>
        <w:t xml:space="preserve"> </w:t>
      </w:r>
      <w:r>
        <w:t xml:space="preserve">14%</w:t>
      </w:r>
      <w:r>
        <w:t xml:space="preserve"> </w:t>
      </w:r>
      <w:r>
        <w:t xml:space="preserve">8%</w:t>
      </w:r>
      <w:r>
        <w:t xml:space="preserve"> </w:t>
      </w:r>
      <w:r>
        <w:t xml:space="preserve">81%</w:t>
      </w:r>
      <w:r>
        <w:t xml:space="preserve"> </w:t>
      </w:r>
      <w:r>
        <w:t xml:space="preserve">13%</w:t>
      </w:r>
      <w:r>
        <w:t xml:space="preserve"> </w:t>
      </w:r>
      <w:r>
        <w:t xml:space="preserve">Source: Commission services, based on EBA CfA report and SRB data as of Q4 2019, assuming an 85%</w:t>
      </w:r>
      <w:r>
        <w:t xml:space="preserve"> </w:t>
      </w:r>
      <w:r>
        <w:t xml:space="preserve">recovery rate.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4.3. Use of resolution funds (Step E)</w:t>
      </w:r>
      <w:r>
        <w:t xml:space="preserve"> </w:t>
      </w:r>
      <w:r>
        <w:t xml:space="preserve">Summary assessment – Use of resolution funds</w:t>
      </w:r>
      <w:r>
        <w:t xml:space="preserve"> </w:t>
      </w:r>
      <w:r>
        <w:t xml:space="preserve">The analysis of the use of resolution funds shows that, assuming a single-tier depositor</w:t>
      </w:r>
      <w:r>
        <w:t xml:space="preserve"> </w:t>
      </w:r>
      <w:r>
        <w:t xml:space="preserve">preference and a stress scenario similar to the 2008 financial crisis, resolution funds</w:t>
      </w:r>
      <w:r>
        <w:t xml:space="preserve"> </w:t>
      </w:r>
      <w:r>
        <w:t xml:space="preserve">would make a contribution for an average of 1.5% of the banks with resolution</w:t>
      </w:r>
      <w:r>
        <w:t xml:space="preserve"> </w:t>
      </w:r>
      <w:r>
        <w:t xml:space="preserve">strategy in the sample on the basis the 8% TLOF is reached and further losses need to</w:t>
      </w:r>
      <w:r>
        <w:t xml:space="preserve"> </w:t>
      </w:r>
      <w:r>
        <w:t xml:space="preserve">be absorbed. Interventions are less likely under the currently applicable creditor</w:t>
      </w:r>
      <w:r>
        <w:t xml:space="preserve"> </w:t>
      </w:r>
      <w:r>
        <w:t xml:space="preserve">hierarchies or a three-tier depositor preference.</w:t>
      </w:r>
      <w:r>
        <w:br/>
      </w:r>
      <w:r>
        <w:t xml:space="preserve">Resolution funds would also be more likely to intervene for large banks or, under a</w:t>
      </w:r>
      <w:r>
        <w:t xml:space="preserve"> </w:t>
      </w:r>
      <w:r>
        <w:t xml:space="preserve">single-tier depositor preference, when the prevalence of deposits in the balance sheet</w:t>
      </w:r>
      <w:r>
        <w:t xml:space="preserve"> </w:t>
      </w:r>
      <w:r>
        <w:t xml:space="preserve">structure is higher, pointing at the possible higher contribution of the bank’s internal</w:t>
      </w:r>
      <w:r>
        <w:t xml:space="preserve"> </w:t>
      </w:r>
      <w:r>
        <w:t xml:space="preserve">loss absorbing capacity and, in the latter case, the higher likelihood of DGS</w:t>
      </w:r>
      <w:r>
        <w:t xml:space="preserve"> </w:t>
      </w:r>
      <w:r>
        <w:t xml:space="preserve">interventions based on the LCT.</w:t>
      </w:r>
      <w:r>
        <w:br/>
      </w:r>
      <w:r>
        <w:t xml:space="preserve">Under an assumed recovery rate of 85%, the resolution funds’ contributions would, on</w:t>
      </w:r>
      <w:r>
        <w:t xml:space="preserve"> </w:t>
      </w:r>
      <w:r>
        <w:t xml:space="preserve">average, amount to EUR 1.5 bn when considering the currently applicable creditor</w:t>
      </w:r>
      <w:r>
        <w:t xml:space="preserve"> </w:t>
      </w:r>
      <w:r>
        <w:t xml:space="preserve">hierarchy, and be reduced to EUR 1.3 bn in case of a single-tier depositor preference,</w:t>
      </w:r>
      <w:r>
        <w:t xml:space="preserve"> </w:t>
      </w:r>
      <w:r>
        <w:t xml:space="preserve">under a similar crisis as 2008. When considering a more severe crisis, interventions</w:t>
      </w:r>
      <w:r>
        <w:t xml:space="preserve"> </w:t>
      </w:r>
      <w:r>
        <w:t xml:space="preserve">from resolution funds could amount to EUR 3.9 bn or 3 bn, respectively.</w:t>
      </w:r>
      <w:r>
        <w:t xml:space="preserve"> </w:t>
      </w:r>
      <w:r>
        <w:t xml:space="preserve">These amounts must be considered with caution for three reasons. First, important</w:t>
      </w:r>
      <w:r>
        <w:t xml:space="preserve"> </w:t>
      </w:r>
      <w:r>
        <w:t xml:space="preserve">caveats must be mentioned such as the limitation of resolution fund usage only for</w:t>
      </w:r>
      <w:r>
        <w:t xml:space="preserve"> </w:t>
      </w:r>
      <w:r>
        <w:t xml:space="preserve">loss-absorption and recapitalisation (e.g. excluding liquidity measures or</w:t>
      </w:r>
      <w:r>
        <w:t xml:space="preserve"> </w:t>
      </w:r>
      <w:r>
        <w:t xml:space="preserve">compensation of NCWO risks), the reliance on a sample that does not represent the</w:t>
      </w:r>
      <w:r>
        <w:t xml:space="preserve"> </w:t>
      </w:r>
      <w:r>
        <w:t xml:space="preserve">entire banking sector and on specific methodological assumptions (e.g. no</w:t>
      </w:r>
      <w:r>
        <w:t xml:space="preserve"> </w:t>
      </w:r>
      <w:r>
        <w:t xml:space="preserve">discretionary exclusions from bail-in). Second, the limited size of the resolution fund</w:t>
      </w:r>
      <w:r>
        <w:t xml:space="preserve"> </w:t>
      </w:r>
      <w:r>
        <w:t xml:space="preserve">contribution may also be explained by the progress made in terms of risk reduction</w:t>
      </w:r>
      <w:r>
        <w:t xml:space="preserve"> </w:t>
      </w:r>
      <w:r>
        <w:t xml:space="preserve">and strengthening of the banking sector as a whole, thanks to post-crisis regulatory</w:t>
      </w:r>
      <w:r>
        <w:t xml:space="preserve"> </w:t>
      </w:r>
      <w:r>
        <w:t xml:space="preserve">reforms, contributing to increased robustness in terms of prudential capital, bail-inable</w:t>
      </w:r>
      <w:r>
        <w:t xml:space="preserve"> </w:t>
      </w:r>
      <w:r>
        <w:t xml:space="preserve">capacity and market discipline. Third, without prejudice to the need for mutualised</w:t>
      </w:r>
      <w:r>
        <w:t xml:space="preserve"> </w:t>
      </w:r>
      <w:r>
        <w:t xml:space="preserve">safety nets to promote financial stability and ensure market discipline, further analysis</w:t>
      </w:r>
      <w:r>
        <w:t xml:space="preserve"> </w:t>
      </w:r>
      <w:r>
        <w:t xml:space="preserve">could be conducted in the future to explore whether and how the calibration of safety</w:t>
      </w:r>
      <w:r>
        <w:t xml:space="preserve"> </w:t>
      </w:r>
      <w:r>
        <w:t xml:space="preserve">nets (RF/SRF and DGS/EDIS) may yield further cost synergies.</w:t>
      </w:r>
      <w:r>
        <w:t xml:space="preserve"> </w:t>
      </w:r>
      <w:r>
        <w:t xml:space="preserve">Detailed analysis</w:t>
      </w:r>
      <w:r>
        <w:t xml:space="preserve"> </w:t>
      </w:r>
      <w:r>
        <w:t xml:space="preserve">Building on the previous results, this section assesses to what extent the maximum</w:t>
      </w:r>
      <w:r>
        <w:t xml:space="preserve"> </w:t>
      </w:r>
      <w:r>
        <w:t xml:space="preserve">contribution of the RF/SRF can absorb all the remaining losses for institutions for which</w:t>
      </w:r>
      <w:r>
        <w:t xml:space="preserve"> </w:t>
      </w:r>
      <w:r>
        <w:t xml:space="preserve">DGS interventions were deemed possible under the LCT and allowed reaching a level of</w:t>
      </w:r>
      <w:r>
        <w:t xml:space="preserve"> </w:t>
      </w:r>
      <w:r>
        <w:t xml:space="preserve">8% TLOF, assuming a recovery rate of 85%. Article 44(5)(b) BRRD states that the</w:t>
      </w:r>
      <w:r>
        <w:t xml:space="preserve"> </w:t>
      </w:r>
      <w:r>
        <w:t xml:space="preserve">contribution of the RF/SRF should not exceed 5% TLOF of the institution under</w:t>
      </w:r>
      <w:r>
        <w:t xml:space="preserve"> </w:t>
      </w:r>
      <w:r>
        <w:t xml:space="preserve">resolution, measured at the time of resolution action. For the purpose of this analysis, the</w:t>
      </w:r>
      <w:r>
        <w:t xml:space="preserve"> </w:t>
      </w:r>
      <w:r>
        <w:t xml:space="preserve">maximum contribution of RF/SRF is calculated using the reported TLOF amounts, in</w:t>
      </w:r>
      <w:r>
        <w:t xml:space="preserve"> </w:t>
      </w:r>
      <w:r>
        <w:t xml:space="preserve">absence of credible forecasts of banks’ balance sheets prior to resolution.</w:t>
      </w:r>
    </w:p>
    <w:p>
      <w:pPr>
        <w:pStyle w:val="BodyText"/>
      </w:pPr>
      <w:r>
        <w:t xml:space="preserve">295</w:t>
      </w:r>
      <w:r>
        <w:t xml:space="preserve"> </w:t>
      </w:r>
      <w:r>
        <w:t xml:space="preserve">This analysis relies on the previous LCT computations and assessments of DGS</w:t>
      </w:r>
      <w:r>
        <w:t xml:space="preserve"> </w:t>
      </w:r>
      <w:r>
        <w:t xml:space="preserve">interventions. It aims to show the number of cases where resolution fund contributions</w:t>
      </w:r>
      <w:r>
        <w:t xml:space="preserve"> </w:t>
      </w:r>
      <w:r>
        <w:t xml:space="preserve">could absorb the simulated losses (i.e. within the cap of 5% TLOF), following DGS</w:t>
      </w:r>
      <w:r>
        <w:t xml:space="preserve"> </w:t>
      </w:r>
      <w:r>
        <w:t xml:space="preserve">intervention in resolution, based on the different approaches of depositor preference.</w:t>
      </w:r>
      <w:r>
        <w:br/>
      </w:r>
      <w:r>
        <w:t xml:space="preserve">Table 33 shows the average proportion of banks for which resolution funds would</w:t>
      </w:r>
      <w:r>
        <w:t xml:space="preserve"> </w:t>
      </w:r>
      <w:r>
        <w:t xml:space="preserve">intervene under various stress scenarios and depositor preference, on the basis of the</w:t>
      </w:r>
      <w:r>
        <w:t xml:space="preserve"> </w:t>
      </w:r>
      <w:r>
        <w:t xml:space="preserve">entire sample. For the purpose of this analysis, the resolution group structure is</w:t>
      </w:r>
      <w:r>
        <w:t xml:space="preserve"> </w:t>
      </w:r>
      <w:r>
        <w:t xml:space="preserve">maintained in resolution. In addition, the probabilities do not take into account the factors</w:t>
      </w:r>
      <w:r>
        <w:t xml:space="preserve"> </w:t>
      </w:r>
      <w:r>
        <w:t xml:space="preserve">that allowed an institution to reach the 8% TLOF threshold, i.e. through its own internal</w:t>
      </w:r>
      <w:r>
        <w:t xml:space="preserve"> </w:t>
      </w:r>
      <w:r>
        <w:t xml:space="preserve">loss-absorbing capacity or via a DGS intervention based on the LCT.</w:t>
      </w:r>
      <w:r>
        <w:t xml:space="preserve"> </w:t>
      </w:r>
      <w:r>
        <w:t xml:space="preserve">Assuming a single-tier depositor preference, resolution funds would make a contribution</w:t>
      </w:r>
      <w:r>
        <w:t xml:space="preserve"> </w:t>
      </w:r>
      <w:r>
        <w:t xml:space="preserve">for an average of 1.6% of the banks with resolution strategy in the sample on the basis</w:t>
      </w:r>
      <w:r>
        <w:t xml:space="preserve"> </w:t>
      </w:r>
      <w:r>
        <w:t xml:space="preserve">the 8% TLOF is reached and further losses need to be absorbed. Interventions are less</w:t>
      </w:r>
      <w:r>
        <w:t xml:space="preserve"> </w:t>
      </w:r>
      <w:r>
        <w:t xml:space="preserve">likely under the currently applicable creditor hierarchy or a three-tier depositor</w:t>
      </w:r>
      <w:r>
        <w:t xml:space="preserve"> </w:t>
      </w:r>
      <w:r>
        <w:t xml:space="preserve">preference. Resolution funds would also be more likely to intervene for large banks or,</w:t>
      </w:r>
      <w:r>
        <w:t xml:space="preserve"> </w:t>
      </w:r>
      <w:r>
        <w:t xml:space="preserve">under a single-tier depositor preference, when the prevalence of deposits in the balance</w:t>
      </w:r>
      <w:r>
        <w:t xml:space="preserve"> </w:t>
      </w:r>
      <w:r>
        <w:t xml:space="preserve">sheet structure is higher, pointing at the possible higher contribution of the bank’s</w:t>
      </w:r>
      <w:r>
        <w:t xml:space="preserve"> </w:t>
      </w:r>
      <w:r>
        <w:t xml:space="preserve">internal loss absorbing capacity and, in the latter case, the higher likelihood of DGS</w:t>
      </w:r>
      <w:r>
        <w:t xml:space="preserve"> </w:t>
      </w:r>
      <w:r>
        <w:t xml:space="preserve">interventions based on the LCT.</w:t>
      </w:r>
      <w:r>
        <w:br/>
      </w:r>
      <w:r>
        <w:t xml:space="preserve">As described in Table 34 considering a crisis of a similar intensity as the global financial</w:t>
      </w:r>
      <w:r>
        <w:t xml:space="preserve"> </w:t>
      </w:r>
      <w:r>
        <w:t xml:space="preserve">crisis in 2008, there is a probability of 92% that the resolution funds would intervene for</w:t>
      </w:r>
      <w:r>
        <w:t xml:space="preserve"> </w:t>
      </w:r>
      <w:r>
        <w:t xml:space="preserve">at least one bank, for an average of 4.1 banks assuming the currently applicable creditor</w:t>
      </w:r>
      <w:r>
        <w:t xml:space="preserve"> </w:t>
      </w:r>
      <w:r>
        <w:t xml:space="preserve">hierarchy. The introduction a single-tier depositor preference would increase the number</w:t>
      </w:r>
      <w:r>
        <w:t xml:space="preserve"> </w:t>
      </w:r>
      <w:r>
        <w:t xml:space="preserve">of interventions to an average of 5.9 banks, linked to the more frequent probability to</w:t>
      </w:r>
      <w:r>
        <w:t xml:space="preserve"> </w:t>
      </w:r>
      <w:r>
        <w:t xml:space="preserve">reach 8% TLOF.</w:t>
      </w:r>
    </w:p>
    <w:p>
      <w:pPr>
        <w:pStyle w:val="BodyText"/>
      </w:pPr>
      <w:r>
        <w:t xml:space="preserve">296</w:t>
      </w:r>
      <w:r>
        <w:t xml:space="preserve"> </w:t>
      </w:r>
      <w:r>
        <w:t xml:space="preserve">Table 24: Average proportion of banks for which resolution funds would intervene (in</w:t>
      </w:r>
      <w:r>
        <w:t xml:space="preserve"> </w:t>
      </w:r>
      <w:r>
        <w:t xml:space="preserve">percentage of all banks in the sample, assuming the resolution group’s structure is</w:t>
      </w:r>
      <w:r>
        <w:t xml:space="preserve"> </w:t>
      </w:r>
      <w:r>
        <w:t xml:space="preserve">maintained)</w:t>
      </w:r>
      <w:r>
        <w:t xml:space="preserve"> </w:t>
      </w:r>
      <w:r>
        <w:t xml:space="preserve">Global financial crisis (2008)</w:t>
      </w:r>
      <w:r>
        <w:br/>
      </w: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Depositor</w:t>
      </w:r>
      <w:r>
        <w:t xml:space="preserve"> </w:t>
      </w:r>
      <w:r>
        <w:t xml:space="preserve">preference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Small</w:t>
      </w:r>
      <w:r>
        <w:t xml:space="preserve"> </w:t>
      </w:r>
      <w:r>
        <w:t xml:space="preserve">1.7%</w:t>
      </w:r>
      <w:r>
        <w:t xml:space="preserve"> </w:t>
      </w:r>
      <w:r>
        <w:t xml:space="preserve">2.2%</w:t>
      </w:r>
      <w:r>
        <w:t xml:space="preserve"> </w:t>
      </w:r>
      <w:r>
        <w:t xml:space="preserve">1.2%</w:t>
      </w:r>
      <w:r>
        <w:br/>
      </w:r>
      <w:r>
        <w:t xml:space="preserve">1.4%</w:t>
      </w:r>
      <w:r>
        <w:t xml:space="preserve"> </w:t>
      </w:r>
      <w:r>
        <w:t xml:space="preserve">1.7%</w:t>
      </w:r>
      <w:r>
        <w:t xml:space="preserve"> </w:t>
      </w:r>
      <w:r>
        <w:t xml:space="preserve">1.0%</w:t>
      </w:r>
      <w:r>
        <w:t xml:space="preserve"> </w:t>
      </w:r>
      <w:r>
        <w:t xml:space="preserve">2.8%</w:t>
      </w:r>
      <w:r>
        <w:t xml:space="preserve"> </w:t>
      </w:r>
      <w:r>
        <w:t xml:space="preserve">3.8%</w:t>
      </w:r>
      <w:r>
        <w:t xml:space="preserve"> </w:t>
      </w:r>
      <w:r>
        <w:t xml:space="preserve">1.8%</w:t>
      </w:r>
      <w:r>
        <w:t xml:space="preserve"> </w:t>
      </w:r>
      <w:r>
        <w:t xml:space="preserve">Medium</w:t>
      </w:r>
      <w:r>
        <w:t xml:space="preserve"> </w:t>
      </w:r>
      <w:r>
        <w:t xml:space="preserve">1.2%</w:t>
      </w:r>
      <w:r>
        <w:t xml:space="preserve"> </w:t>
      </w:r>
      <w:r>
        <w:t xml:space="preserve">1.8%</w:t>
      </w:r>
      <w:r>
        <w:t xml:space="preserve"> </w:t>
      </w:r>
      <w:r>
        <w:t xml:space="preserve">1.3%</w:t>
      </w:r>
      <w:r>
        <w:t xml:space="preserve"> </w:t>
      </w:r>
      <w:r>
        <w:t xml:space="preserve">1.1%</w:t>
      </w:r>
      <w:r>
        <w:t xml:space="preserve"> </w:t>
      </w:r>
      <w:r>
        <w:t xml:space="preserve">1.5%</w:t>
      </w:r>
      <w:r>
        <w:t xml:space="preserve"> </w:t>
      </w:r>
      <w:r>
        <w:t xml:space="preserve">1.2%</w:t>
      </w:r>
      <w:r>
        <w:t xml:space="preserve"> </w:t>
      </w:r>
      <w:r>
        <w:t xml:space="preserve">1.4%</w:t>
      </w:r>
      <w:r>
        <w:t xml:space="preserve"> </w:t>
      </w:r>
      <w:r>
        <w:t xml:space="preserve">2.8%</w:t>
      </w:r>
      <w:r>
        <w:t xml:space="preserve"> </w:t>
      </w:r>
      <w:r>
        <w:t xml:space="preserve">1.7%</w:t>
      </w:r>
      <w:r>
        <w:t xml:space="preserve"> </w:t>
      </w:r>
      <w:r>
        <w:t xml:space="preserve">Large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2.3%</w:t>
      </w:r>
      <w:r>
        <w:t xml:space="preserve"> </w:t>
      </w:r>
      <w:r>
        <w:t xml:space="preserve">2.3%</w:t>
      </w:r>
      <w:r>
        <w:t xml:space="preserve"> </w:t>
      </w:r>
      <w:r>
        <w:t xml:space="preserve">2.4%</w:t>
      </w:r>
      <w:r>
        <w:t xml:space="preserve"> </w:t>
      </w:r>
      <w:r>
        <w:t xml:space="preserve">2.2%</w:t>
      </w:r>
      <w:r>
        <w:t xml:space="preserve"> </w:t>
      </w:r>
      <w:r>
        <w:t xml:space="preserve">2.8%</w:t>
      </w:r>
      <w:r>
        <w:t xml:space="preserve"> </w:t>
      </w:r>
      <w:r>
        <w:t xml:space="preserve">2.8%</w:t>
      </w:r>
      <w:r>
        <w:t xml:space="preserve"> </w:t>
      </w:r>
      <w:r>
        <w:t xml:space="preserve">2.5%</w:t>
      </w:r>
    </w:p>
    <w:p>
      <w:pPr>
        <w:pStyle w:val="BodyText"/>
      </w:pPr>
      <w:r>
        <w:t xml:space="preserve">Resolution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1.0%</w:t>
      </w:r>
      <w:r>
        <w:t xml:space="preserve"> </w:t>
      </w:r>
      <w:r>
        <w:t xml:space="preserve">1.3%</w:t>
      </w:r>
      <w:r>
        <w:t xml:space="preserve"> </w:t>
      </w:r>
      <w:r>
        <w:t xml:space="preserve">1.3%</w:t>
      </w:r>
      <w:r>
        <w:t xml:space="preserve"> </w:t>
      </w:r>
      <w:r>
        <w:t xml:space="preserve">0.9%</w:t>
      </w:r>
      <w:r>
        <w:t xml:space="preserve"> </w:t>
      </w:r>
      <w:r>
        <w:t xml:space="preserve">2.4%</w:t>
      </w:r>
      <w:r>
        <w:t xml:space="preserve"> </w:t>
      </w:r>
      <w:r>
        <w:t xml:space="preserve">2.8%</w:t>
      </w:r>
      <w:r>
        <w:t xml:space="preserve"> </w:t>
      </w:r>
      <w:r>
        <w:t xml:space="preserve">1.5%</w:t>
      </w:r>
      <w:r>
        <w:t xml:space="preserve"> </w:t>
      </w:r>
      <w:r>
        <w:t xml:space="preserve">Liquidation</w:t>
      </w:r>
      <w:r>
        <w:t xml:space="preserve"> </w:t>
      </w:r>
      <w:r>
        <w:t xml:space="preserve">1.1%</w:t>
      </w:r>
      <w:r>
        <w:t xml:space="preserve"> </w:t>
      </w:r>
      <w:r>
        <w:t xml:space="preserve">2.0%</w:t>
      </w:r>
      <w:r>
        <w:t xml:space="preserve"> </w:t>
      </w:r>
      <w:r>
        <w:t xml:space="preserve">1.1%</w:t>
      </w:r>
      <w:r>
        <w:t xml:space="preserve"> </w:t>
      </w:r>
      <w:r>
        <w:t xml:space="preserve">1.0%</w:t>
      </w:r>
      <w:r>
        <w:t xml:space="preserve"> </w:t>
      </w:r>
      <w:r>
        <w:t xml:space="preserve">1.6%</w:t>
      </w:r>
      <w:r>
        <w:t xml:space="preserve"> </w:t>
      </w:r>
      <w:r>
        <w:t xml:space="preserve">0.9%</w:t>
      </w:r>
      <w:r>
        <w:t xml:space="preserve"> </w:t>
      </w:r>
      <w:r>
        <w:t xml:space="preserve">1.7%</w:t>
      </w:r>
      <w:r>
        <w:t xml:space="preserve"> </w:t>
      </w:r>
      <w:r>
        <w:t xml:space="preserve">3.5%</w:t>
      </w:r>
      <w:r>
        <w:t xml:space="preserve"> </w:t>
      </w:r>
      <w:r>
        <w:t xml:space="preserve">1.7%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1.7%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2.4%</w:t>
      </w:r>
      <w:r>
        <w:t xml:space="preserve"> </w:t>
      </w:r>
      <w:r>
        <w:t xml:space="preserve">1.3%</w:t>
      </w:r>
      <w:r>
        <w:t xml:space="preserve"> </w:t>
      </w:r>
      <w:r>
        <w:t xml:space="preserve">1.3%</w:t>
      </w:r>
      <w:r>
        <w:t xml:space="preserve"> </w:t>
      </w:r>
      <w:r>
        <w:t xml:space="preserve">Mid</w:t>
      </w:r>
      <w:r>
        <w:t xml:space="preserve"> </w:t>
      </w:r>
      <w:r>
        <w:t xml:space="preserve">2.6%</w:t>
      </w:r>
      <w:r>
        <w:t xml:space="preserve"> </w:t>
      </w:r>
      <w:r>
        <w:t xml:space="preserve">3.3%</w:t>
      </w:r>
      <w:r>
        <w:t xml:space="preserve"> </w:t>
      </w:r>
      <w:r>
        <w:t xml:space="preserve">2.6%</w:t>
      </w:r>
      <w:r>
        <w:t xml:space="preserve"> </w:t>
      </w:r>
      <w:r>
        <w:t xml:space="preserve">2.6%</w:t>
      </w:r>
      <w:r>
        <w:t xml:space="preserve"> </w:t>
      </w:r>
      <w:r>
        <w:t xml:space="preserve">3.0%</w:t>
      </w:r>
      <w:r>
        <w:t xml:space="preserve"> </w:t>
      </w:r>
      <w:r>
        <w:t xml:space="preserve">2.5%</w:t>
      </w:r>
      <w:r>
        <w:t xml:space="preserve"> </w:t>
      </w:r>
      <w:r>
        <w:t xml:space="preserve">3.0%</w:t>
      </w:r>
      <w:r>
        <w:t xml:space="preserve"> </w:t>
      </w:r>
      <w:r>
        <w:t xml:space="preserve">4.4%</w:t>
      </w:r>
      <w:r>
        <w:t xml:space="preserve"> </w:t>
      </w:r>
      <w:r>
        <w:t xml:space="preserve">2.9%</w:t>
      </w:r>
      <w:r>
        <w:t xml:space="preserve"> </w:t>
      </w:r>
      <w:r>
        <w:t xml:space="preserve">Mid-High</w:t>
      </w:r>
      <w:r>
        <w:t xml:space="preserve"> </w:t>
      </w:r>
      <w:r>
        <w:t xml:space="preserve">2.3%</w:t>
      </w:r>
      <w:r>
        <w:t xml:space="preserve"> </w:t>
      </w:r>
      <w:r>
        <w:t xml:space="preserve">3.0%</w:t>
      </w:r>
      <w:r>
        <w:t xml:space="preserve"> </w:t>
      </w:r>
      <w:r>
        <w:t xml:space="preserve">2.5%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2.2%</w:t>
      </w:r>
      <w:r>
        <w:t xml:space="preserve"> </w:t>
      </w:r>
      <w:r>
        <w:t xml:space="preserve">2.9%</w:t>
      </w:r>
      <w:r>
        <w:t xml:space="preserve"> </w:t>
      </w:r>
      <w:r>
        <w:t xml:space="preserve">4.5%</w:t>
      </w:r>
      <w:r>
        <w:t xml:space="preserve"> </w:t>
      </w:r>
      <w:r>
        <w:t xml:space="preserve">3.3%</w:t>
      </w:r>
      <w:r>
        <w:t xml:space="preserve"> </w:t>
      </w:r>
      <w:r>
        <w:t xml:space="preserve">High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1.4%</w:t>
      </w:r>
      <w:r>
        <w:t xml:space="preserve"> </w:t>
      </w:r>
      <w:r>
        <w:t xml:space="preserve">1.3%</w:t>
      </w:r>
      <w:r>
        <w:t xml:space="preserve"> </w:t>
      </w:r>
      <w:r>
        <w:t xml:space="preserve">2.2%</w:t>
      </w:r>
      <w:r>
        <w:t xml:space="preserve"> </w:t>
      </w:r>
      <w:r>
        <w:t xml:space="preserve">1.2%</w:t>
      </w:r>
      <w:r>
        <w:t xml:space="preserve"> </w:t>
      </w:r>
      <w:r>
        <w:t xml:space="preserve">2.3%</w:t>
      </w:r>
      <w:r>
        <w:t xml:space="preserve"> </w:t>
      </w:r>
      <w:r>
        <w:t xml:space="preserve">4.7%</w:t>
      </w:r>
      <w:r>
        <w:t xml:space="preserve"> </w:t>
      </w:r>
      <w:r>
        <w:t xml:space="preserve">2.1%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1.1%</w:t>
      </w:r>
      <w:r>
        <w:t xml:space="preserve"> </w:t>
      </w:r>
      <w:r>
        <w:t xml:space="preserve">1.6%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0.7%</w:t>
      </w:r>
      <w:r>
        <w:t xml:space="preserve"> </w:t>
      </w:r>
      <w:r>
        <w:t xml:space="preserve">1.9%</w:t>
      </w:r>
      <w:r>
        <w:t xml:space="preserve"> </w:t>
      </w:r>
      <w:r>
        <w:t xml:space="preserve">3.0%</w:t>
      </w:r>
      <w:r>
        <w:t xml:space="preserve"> </w:t>
      </w:r>
      <w:r>
        <w:t xml:space="preserve">1.4%</w:t>
      </w:r>
      <w:r>
        <w:t xml:space="preserve"> </w:t>
      </w:r>
      <w:r>
        <w:t xml:space="preserve">Source: Commission services, based on EBA CfA report and SRB data as of Q4 2019.</w:t>
      </w:r>
    </w:p>
    <w:p>
      <w:pPr>
        <w:pStyle w:val="BodyText"/>
      </w:pPr>
      <w:r>
        <w:t xml:space="preserve">Table 25: Average number of banks for which resolution funds would intervene</w:t>
      </w:r>
      <w:r>
        <w:t xml:space="preserve"> </w:t>
      </w:r>
      <w:r>
        <w:t xml:space="preserve">Global financial crisis (2008)</w:t>
      </w:r>
      <w:r>
        <w:br/>
      </w: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Depositor</w:t>
      </w:r>
      <w:r>
        <w:t xml:space="preserve"> </w:t>
      </w:r>
      <w:r>
        <w:t xml:space="preserve">preference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 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All</w:t>
      </w:r>
      <w:r>
        <w:t xml:space="preserve"> </w:t>
      </w:r>
      <w:r>
        <w:t xml:space="preserve">4.12</w:t>
      </w:r>
      <w:r>
        <w:t xml:space="preserve"> </w:t>
      </w:r>
      <w:r>
        <w:t xml:space="preserve">5.89</w:t>
      </w:r>
      <w:r>
        <w:br/>
      </w:r>
      <w:r>
        <w:t xml:space="preserve">3.01</w:t>
      </w:r>
      <w:r>
        <w:br/>
      </w:r>
      <w:r>
        <w:t xml:space="preserve">3.30</w:t>
      </w:r>
      <w:r>
        <w:br/>
      </w:r>
      <w:r>
        <w:t xml:space="preserve">4.53</w:t>
      </w:r>
      <w:r>
        <w:br/>
      </w:r>
      <w:r>
        <w:t xml:space="preserve">2.47</w:t>
      </w:r>
      <w:r>
        <w:t xml:space="preserve"> </w:t>
      </w:r>
      <w:r>
        <w:t xml:space="preserve">7.14 11.07</w:t>
      </w:r>
      <w:r>
        <w:br/>
      </w:r>
      <w:r>
        <w:t xml:space="preserve">5.24</w:t>
      </w:r>
      <w:r>
        <w:br/>
      </w:r>
      <w:r>
        <w:t xml:space="preserve">Source: Commission services, based on EBA CfA report and SRB data as of Q4 2019.</w:t>
      </w:r>
      <w:r>
        <w:t xml:space="preserve"> </w:t>
      </w:r>
      <w:r>
        <w:t xml:space="preserve">The contribution of the resolution fund would, on average, amount to EUR 1.5 bn when</w:t>
      </w:r>
      <w:r>
        <w:t xml:space="preserve"> </w:t>
      </w:r>
      <w:r>
        <w:t xml:space="preserve">considering the currently applicable creditor hierarchy, and be reduced to EUR 1.3 bn in</w:t>
      </w:r>
      <w:r>
        <w:t xml:space="preserve"> </w:t>
      </w:r>
      <w:r>
        <w:t xml:space="preserve">case of a single-tier depositor preference, under a similar crisis as in 2008. When</w:t>
      </w:r>
      <w:r>
        <w:t xml:space="preserve"> </w:t>
      </w:r>
      <w:r>
        <w:t xml:space="preserve">considering a more severe crisis, interventions from the resolution funds could amount to</w:t>
      </w:r>
      <w:r>
        <w:t xml:space="preserve"> </w:t>
      </w:r>
      <w:r>
        <w:t xml:space="preserve">EUR 3.9 bn or 3 bn, respectively.</w:t>
      </w:r>
      <w:r>
        <w:br/>
      </w:r>
      <w:r>
        <w:t xml:space="preserve">These results must be read with caution. First, the analysis only covers for the usage of</w:t>
      </w:r>
      <w:r>
        <w:t xml:space="preserve"> </w:t>
      </w:r>
      <w:r>
        <w:t xml:space="preserve">resolution funds for loss-absorption and recapitalisation, and not interventions to provide</w:t>
      </w:r>
      <w:r>
        <w:t xml:space="preserve"> </w:t>
      </w:r>
      <w:r>
        <w:t xml:space="preserve">liquidity support or compensate certain classes of creditors when mitigating NCWO</w:t>
      </w:r>
      <w:r>
        <w:t xml:space="preserve"> </w:t>
      </w:r>
      <w:r>
        <w:t xml:space="preserve">risks. The analysis also considers that all bail-inable capacity excluding deposits (e.g. </w:t>
      </w:r>
      <w:r>
        <w:t xml:space="preserve"> </w:t>
      </w:r>
      <w:r>
        <w:t xml:space="preserve">including derivatives and structured notes, where applicable) is used in order to reach the</w:t>
      </w:r>
      <w:r>
        <w:t xml:space="preserve"> </w:t>
      </w:r>
      <w:r>
        <w:t xml:space="preserve">8% TLOF threshold, i.e. without considering potential discretionary exclusions from</w:t>
      </w:r>
      <w:r>
        <w:t xml:space="preserve"> </w:t>
      </w:r>
      <w:r>
        <w:t xml:space="preserve">bail-in pursuant to Article 44(3) BRRD. The results must also be considered taking into</w:t>
      </w:r>
      <w:r>
        <w:t xml:space="preserve"> </w:t>
      </w:r>
      <w:r>
        <w:t xml:space="preserve">account that the sample used for the impact assessment represents approximately a third</w:t>
      </w:r>
      <w:r>
        <w:t xml:space="preserve"> </w:t>
      </w:r>
      <w:r>
        <w:t xml:space="preserve">of the amount of covered deposits in the EU.</w:t>
      </w:r>
    </w:p>
    <w:p>
      <w:pPr>
        <w:pStyle w:val="BodyText"/>
      </w:pPr>
      <w:r>
        <w:t xml:space="preserve">297</w:t>
      </w:r>
      <w:r>
        <w:t xml:space="preserve"> </w:t>
      </w:r>
      <w:r>
        <w:t xml:space="preserve">Second, the limited size of the resolution funds contribution may also be explained by the</w:t>
      </w:r>
      <w:r>
        <w:t xml:space="preserve"> </w:t>
      </w:r>
      <w:r>
        <w:t xml:space="preserve">strengthening of balance sheets since the last financial crisis and the resulting lower</w:t>
      </w:r>
      <w:r>
        <w:t xml:space="preserve"> </w:t>
      </w:r>
      <w:r>
        <w:t xml:space="preserve">impact of a similar loss scenario on more robust asset and liability structures at EU level.</w:t>
      </w:r>
      <w:r>
        <w:t xml:space="preserve"> </w:t>
      </w:r>
      <w:r>
        <w:t xml:space="preserve">The progress made on risk reduction, via the reduction of non-performing loans or the</w:t>
      </w:r>
      <w:r>
        <w:t xml:space="preserve"> </w:t>
      </w:r>
      <w:r>
        <w:t xml:space="preserve">build-up of capital ratios and MREL capacity may render the use of contributions from</w:t>
      </w:r>
      <w:r>
        <w:t xml:space="preserve"> </w:t>
      </w:r>
      <w:r>
        <w:t xml:space="preserve">resolution funds for loss-absorption and recapitalisation purposes more limited. Without</w:t>
      </w:r>
      <w:r>
        <w:t xml:space="preserve"> </w:t>
      </w:r>
      <w:r>
        <w:t xml:space="preserve">prejudice of the need for mutualised safety nets to promote financial stability and ensure</w:t>
      </w:r>
      <w:r>
        <w:t xml:space="preserve"> </w:t>
      </w:r>
      <w:r>
        <w:t xml:space="preserve">market discipline, further analysis could be conducted to explore whether and how the</w:t>
      </w:r>
      <w:r>
        <w:t xml:space="preserve"> </w:t>
      </w:r>
      <w:r>
        <w:t xml:space="preserve">calibration of the safety nets may be revisited at a later stage.</w:t>
      </w:r>
      <w:r>
        <w:t xml:space="preserve"> </w:t>
      </w:r>
      <w:r>
        <w:t xml:space="preserve">Table 35 shows the impact of the simulation under the assumption that the resolution</w:t>
      </w:r>
      <w:r>
        <w:t xml:space="preserve"> </w:t>
      </w:r>
      <w:r>
        <w:t xml:space="preserve">group structure is not maintained. The number of observations underlying the figures</w:t>
      </w:r>
      <w:r>
        <w:t xml:space="preserve"> </w:t>
      </w:r>
      <w:r>
        <w:t xml:space="preserve">contained in the table is larger than in the previous analysis because the assessment is</w:t>
      </w:r>
      <w:r>
        <w:t xml:space="preserve"> </w:t>
      </w:r>
      <w:r>
        <w:t xml:space="preserve">conducted at individual level including subsidiaries.</w:t>
      </w:r>
      <w:r>
        <w:t xml:space="preserve"> </w:t>
      </w:r>
      <w:r>
        <w:t xml:space="preserve">On average, resolution funds would intervene for an average of 0.5% to 1.0% of the</w:t>
      </w:r>
      <w:r>
        <w:t xml:space="preserve"> </w:t>
      </w:r>
      <w:r>
        <w:t xml:space="preserve">banks in the sample depending the depositor preference, especially for large banks or,</w:t>
      </w:r>
      <w:r>
        <w:t xml:space="preserve"> </w:t>
      </w:r>
      <w:r>
        <w:t xml:space="preserve">under a single-tier depositor preference, for banks with a high prevalence of deposits in</w:t>
      </w:r>
      <w:r>
        <w:t xml:space="preserve"> </w:t>
      </w:r>
      <w:r>
        <w:t xml:space="preserve">the balance sheet. Consequently, in a crisis similar to 2008, on average between seven</w:t>
      </w:r>
      <w:r>
        <w:t xml:space="preserve"> </w:t>
      </w:r>
      <w:r>
        <w:t xml:space="preserve">and nine banks would need an intervention of the RF/SRF under a single-tier preference,</w:t>
      </w:r>
      <w:r>
        <w:t xml:space="preserve"> </w:t>
      </w:r>
      <w:r>
        <w:t xml:space="preserve">and on average 17 banks in case of a more severe crisis. Similarly, the three-tier</w:t>
      </w:r>
      <w:r>
        <w:t xml:space="preserve"> </w:t>
      </w:r>
      <w:r>
        <w:t xml:space="preserve">depositor preference lowers the probabilities for resolution funds to intervene, also</w:t>
      </w:r>
      <w:r>
        <w:t xml:space="preserve"> </w:t>
      </w:r>
      <w:r>
        <w:t xml:space="preserve">compared to the baseline.</w:t>
      </w:r>
      <w:r>
        <w:t xml:space="preserve"> </w:t>
      </w:r>
      <w:r>
        <w:t xml:space="preserve">When considering the amounts, assuming the resolution group’s structures break</w:t>
      </w:r>
      <w:r>
        <w:t xml:space="preserve"> </w:t>
      </w:r>
      <w:r>
        <w:t xml:space="preserve">increases the amounts of the interventions to EUR 1.9 bn under the currently applicable</w:t>
      </w:r>
      <w:r>
        <w:t xml:space="preserve"> </w:t>
      </w:r>
      <w:r>
        <w:t xml:space="preserve">creditor hierarchies, compared to EUR 1.9 bn or EUR 1 bn under a single-tier and three-</w:t>
      </w:r>
      <w:r>
        <w:t xml:space="preserve"> </w:t>
      </w:r>
      <w:r>
        <w:t xml:space="preserve">tier depositor preference, respectively. Assuming a more severe crisis, interventions</w:t>
      </w:r>
      <w:r>
        <w:t xml:space="preserve"> </w:t>
      </w:r>
      <w:r>
        <w:t xml:space="preserve">could amount up to EUR 4.3 bn under a single-tier depositor preference, i.e. allowing for</w:t>
      </w:r>
      <w:r>
        <w:t xml:space="preserve"> </w:t>
      </w:r>
      <w:r>
        <w:t xml:space="preserve">a more frequent use of resolution funds.</w:t>
      </w:r>
    </w:p>
    <w:p>
      <w:pPr>
        <w:pStyle w:val="BodyText"/>
      </w:pPr>
      <w:r>
        <w:t xml:space="preserve">298</w:t>
      </w:r>
      <w:r>
        <w:t xml:space="preserve"> </w:t>
      </w:r>
      <w:r>
        <w:t xml:space="preserve">Table 26: Average proportion of banks for which resolution funds would intervene (in</w:t>
      </w:r>
      <w:r>
        <w:t xml:space="preserve"> </w:t>
      </w:r>
      <w:r>
        <w:t xml:space="preserve">percentage of all banks in the sample, assuming the resolution group’s structure is not</w:t>
      </w:r>
      <w:r>
        <w:t xml:space="preserve"> </w:t>
      </w:r>
      <w:r>
        <w:t xml:space="preserve">maintained)</w:t>
      </w:r>
      <w:r>
        <w:t xml:space="preserve"> </w:t>
      </w:r>
      <w:r>
        <w:t xml:space="preserve">Global financial crisis (2008)</w:t>
      </w:r>
    </w:p>
    <w:p>
      <w:pPr>
        <w:pStyle w:val="BodyText"/>
      </w:pP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Depositor</w:t>
      </w:r>
      <w:r>
        <w:t xml:space="preserve"> </w:t>
      </w:r>
      <w:r>
        <w:t xml:space="preserve">preference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 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Small</w:t>
      </w:r>
      <w:r>
        <w:t xml:space="preserve"> </w:t>
      </w:r>
      <w:r>
        <w:t xml:space="preserve">1.1%</w:t>
      </w:r>
      <w:r>
        <w:t xml:space="preserve"> </w:t>
      </w:r>
      <w:r>
        <w:t xml:space="preserve">1.2%</w:t>
      </w:r>
      <w:r>
        <w:t xml:space="preserve"> </w:t>
      </w:r>
      <w:r>
        <w:t xml:space="preserve">0.7%</w:t>
      </w:r>
      <w:r>
        <w:br/>
      </w:r>
      <w:r>
        <w:t xml:space="preserve">0.9%</w:t>
      </w:r>
      <w:r>
        <w:t xml:space="preserve"> </w:t>
      </w:r>
      <w:r>
        <w:t xml:space="preserve">0.9%</w:t>
      </w:r>
      <w:r>
        <w:t xml:space="preserve"> </w:t>
      </w:r>
      <w:r>
        <w:t xml:space="preserve">0.5%</w:t>
      </w:r>
      <w:r>
        <w:t xml:space="preserve"> </w:t>
      </w:r>
      <w:r>
        <w:t xml:space="preserve">1.7%</w:t>
      </w:r>
      <w:r>
        <w:t xml:space="preserve"> </w:t>
      </w:r>
      <w:r>
        <w:t xml:space="preserve">2.2%</w:t>
      </w:r>
      <w:r>
        <w:t xml:space="preserve"> </w:t>
      </w:r>
      <w:r>
        <w:t xml:space="preserve">1.1%</w:t>
      </w:r>
      <w:r>
        <w:t xml:space="preserve"> </w:t>
      </w:r>
      <w:r>
        <w:t xml:space="preserve">Medium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0.6%</w:t>
      </w:r>
      <w:r>
        <w:t xml:space="preserve"> </w:t>
      </w:r>
      <w:r>
        <w:t xml:space="preserve">0.6%</w:t>
      </w:r>
      <w:r>
        <w:t xml:space="preserve"> </w:t>
      </w:r>
      <w:r>
        <w:t xml:space="preserve">0.8%</w:t>
      </w:r>
      <w:r>
        <w:t xml:space="preserve"> </w:t>
      </w:r>
      <w:r>
        <w:t xml:space="preserve">0.6%</w:t>
      </w:r>
      <w:r>
        <w:t xml:space="preserve"> </w:t>
      </w:r>
      <w:r>
        <w:t xml:space="preserve">1.0%</w:t>
      </w:r>
      <w:r>
        <w:t xml:space="preserve"> </w:t>
      </w:r>
      <w:r>
        <w:t xml:space="preserve">1.8%</w:t>
      </w:r>
      <w:r>
        <w:t xml:space="preserve"> </w:t>
      </w:r>
      <w:r>
        <w:t xml:space="preserve">1.0%</w:t>
      </w:r>
      <w:r>
        <w:t xml:space="preserve"> </w:t>
      </w:r>
      <w:r>
        <w:t xml:space="preserve">Large</w:t>
      </w:r>
      <w:r>
        <w:t xml:space="preserve"> </w:t>
      </w:r>
      <w:r>
        <w:t xml:space="preserve">2.1%</w:t>
      </w:r>
      <w:r>
        <w:t xml:space="preserve"> </w:t>
      </w:r>
      <w:r>
        <w:t xml:space="preserve">2.1%</w:t>
      </w:r>
      <w:r>
        <w:t xml:space="preserve"> </w:t>
      </w:r>
      <w:r>
        <w:t xml:space="preserve">1.9%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1.9%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2.2%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1.3%</w:t>
      </w:r>
      <w:r>
        <w:t xml:space="preserve"> </w:t>
      </w:r>
      <w:r>
        <w:t xml:space="preserve">0.6%</w:t>
      </w:r>
      <w:r>
        <w:t xml:space="preserve"> </w:t>
      </w:r>
      <w:r>
        <w:t xml:space="preserve">0.6%</w:t>
      </w:r>
      <w:r>
        <w:t xml:space="preserve"> </w:t>
      </w:r>
      <w:r>
        <w:t xml:space="preserve">1.1%</w:t>
      </w:r>
      <w:r>
        <w:t xml:space="preserve"> </w:t>
      </w:r>
      <w:r>
        <w:t xml:space="preserve">0.6%</w:t>
      </w:r>
      <w:r>
        <w:t xml:space="preserve"> </w:t>
      </w:r>
      <w:r>
        <w:t xml:space="preserve">0.5%</w:t>
      </w:r>
      <w:r>
        <w:t xml:space="preserve"> </w:t>
      </w:r>
      <w:r>
        <w:t xml:space="preserve">1.9%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Mid</w:t>
      </w:r>
      <w:r>
        <w:t xml:space="preserve"> </w:t>
      </w:r>
      <w:r>
        <w:t xml:space="preserve">1.1%</w:t>
      </w:r>
      <w:r>
        <w:t xml:space="preserve"> </w:t>
      </w:r>
      <w:r>
        <w:t xml:space="preserve">1.4%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1.3%</w:t>
      </w:r>
      <w:r>
        <w:t xml:space="preserve"> </w:t>
      </w:r>
      <w:r>
        <w:t xml:space="preserve">1.0%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1.2%</w:t>
      </w:r>
      <w:r>
        <w:t xml:space="preserve"> </w:t>
      </w:r>
      <w:r>
        <w:t xml:space="preserve">Mid-High</w:t>
      </w:r>
      <w:r>
        <w:t xml:space="preserve"> </w:t>
      </w:r>
      <w:r>
        <w:t xml:space="preserve">0.8%</w:t>
      </w:r>
      <w:r>
        <w:t xml:space="preserve"> </w:t>
      </w:r>
      <w:r>
        <w:t xml:space="preserve">1.1%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0.9%</w:t>
      </w:r>
      <w:r>
        <w:t xml:space="preserve"> </w:t>
      </w:r>
      <w:r>
        <w:t xml:space="preserve">0.7%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1.1%</w:t>
      </w:r>
      <w:r>
        <w:t xml:space="preserve"> </w:t>
      </w:r>
      <w:r>
        <w:t xml:space="preserve">High</w:t>
      </w:r>
      <w:r>
        <w:t xml:space="preserve"> </w:t>
      </w:r>
      <w:r>
        <w:t xml:space="preserve">1.1%</w:t>
      </w:r>
      <w:r>
        <w:t xml:space="preserve"> </w:t>
      </w:r>
      <w:r>
        <w:t xml:space="preserve">2.1%</w:t>
      </w:r>
      <w:r>
        <w:t xml:space="preserve"> </w:t>
      </w:r>
      <w:r>
        <w:t xml:space="preserve">1.1%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0.9%</w:t>
      </w:r>
      <w:r>
        <w:t xml:space="preserve"> </w:t>
      </w:r>
      <w:r>
        <w:t xml:space="preserve">1.8%</w:t>
      </w:r>
      <w:r>
        <w:t xml:space="preserve"> </w:t>
      </w:r>
      <w:r>
        <w:t xml:space="preserve">3.7%</w:t>
      </w:r>
      <w:r>
        <w:t xml:space="preserve"> </w:t>
      </w:r>
      <w:r>
        <w:t xml:space="preserve">1.8%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0.8%</w:t>
      </w:r>
      <w:r>
        <w:t xml:space="preserve"> </w:t>
      </w:r>
      <w:r>
        <w:t xml:space="preserve">1.0%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0.8%</w:t>
      </w:r>
      <w:r>
        <w:t xml:space="preserve"> </w:t>
      </w:r>
      <w:r>
        <w:t xml:space="preserve">0.4%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1.0%</w:t>
      </w:r>
      <w:r>
        <w:t xml:space="preserve"> </w:t>
      </w:r>
      <w:r>
        <w:t xml:space="preserve">Source: Commission services, based on EBA CfA report and SRB data as of Q4 2019.</w:t>
      </w:r>
      <w:r>
        <w:t xml:space="preserve"> </w:t>
      </w:r>
      <w:r>
        <w:t xml:space="preserve">4.4. Availability of DGS funds and EDIS (Steps F, G and H)</w:t>
      </w:r>
      <w:r>
        <w:t xml:space="preserve"> </w:t>
      </w:r>
      <w:r>
        <w:t xml:space="preserve">The objectives of this section are to: (i) compare the DGS funding needs (in resolution</w:t>
      </w:r>
      <w:r>
        <w:t xml:space="preserve"> </w:t>
      </w:r>
      <w:r>
        <w:t xml:space="preserve">and insolvency) with the DGS financial means, both under the statistical and modelling</w:t>
      </w:r>
      <w:r>
        <w:t xml:space="preserve"> </w:t>
      </w:r>
      <w:r>
        <w:t xml:space="preserve">approaches in order to identify potential DGS liquidity shortfalls per Member State, (ii)</w:t>
      </w:r>
      <w:r>
        <w:t xml:space="preserve"> </w:t>
      </w:r>
      <w:r>
        <w:t xml:space="preserve">assess the efficiency of EDIS models versus national DGS in providing funding.</w:t>
      </w:r>
      <w:r>
        <w:t xml:space="preserve"> </w:t>
      </w:r>
      <w:r>
        <w:t xml:space="preserve">In resolution, the DGS funds would be used to bridge the gap towards 8% TLOF for</w:t>
      </w:r>
      <w:r>
        <w:t xml:space="preserve"> </w:t>
      </w:r>
      <w:r>
        <w:t xml:space="preserve">banks that cannot reach this threshold without imposing losses on deposits. The amount</w:t>
      </w:r>
      <w:r>
        <w:t xml:space="preserve"> </w:t>
      </w:r>
      <w:r>
        <w:t xml:space="preserve">of DGS funds is capped by the LCT, calculated as the amount of affected covered</w:t>
      </w:r>
      <w:r>
        <w:t xml:space="preserve"> </w:t>
      </w:r>
      <w:r>
        <w:t xml:space="preserve">deposits in insolvency, taking into account a recovery rate in the insolvency</w:t>
      </w:r>
      <w:r>
        <w:t xml:space="preserve"> </w:t>
      </w:r>
      <w:r>
        <w:t xml:space="preserve">counterfactual of 85%. In addition, the amount of DGS funds used in resolution is also</w:t>
      </w:r>
      <w:r>
        <w:t xml:space="preserve"> </w:t>
      </w:r>
      <w:r>
        <w:t xml:space="preserve">capped by a limit of 50% of the DGS available financial means per intervention, in line</w:t>
      </w:r>
      <w:r>
        <w:t xml:space="preserve"> </w:t>
      </w:r>
      <w:r>
        <w:t xml:space="preserve">with the BRRD.</w:t>
      </w:r>
      <w:r>
        <w:t xml:space="preserve"> </w:t>
      </w:r>
      <w:r>
        <w:t xml:space="preserve">In insolvency, the DGS fund can contribute to alternative measures up to the limit</w:t>
      </w:r>
      <w:r>
        <w:t xml:space="preserve"> </w:t>
      </w:r>
      <w:r>
        <w:t xml:space="preserve">provided by the LCT. This method has two biases: (i) an alternative measure may be less</w:t>
      </w:r>
      <w:r>
        <w:t xml:space="preserve"> </w:t>
      </w:r>
      <w:r>
        <w:t xml:space="preserve">costly than the limit provided by the LCT, and (ii) payout cases are not taken into</w:t>
      </w:r>
      <w:r>
        <w:t xml:space="preserve"> </w:t>
      </w:r>
      <w:r>
        <w:t xml:space="preserve">account. The same LCT calculation applies in insolvency as in resolution, however, the</w:t>
      </w:r>
      <w:r>
        <w:t xml:space="preserve"> </w:t>
      </w:r>
      <w:r>
        <w:t xml:space="preserve">50% limit on DGS funds per individual intervention does not apply.</w:t>
      </w:r>
      <w:r>
        <w:t xml:space="preserve"> </w:t>
      </w:r>
      <w:r>
        <w:t xml:space="preserve">Given the sample size limitations and to ensure comparability of results, the amounts of</w:t>
      </w:r>
      <w:r>
        <w:t xml:space="preserve"> </w:t>
      </w:r>
      <w:r>
        <w:t xml:space="preserve">DGS available financial means are restated for the sample for the purpose of this analysis</w:t>
      </w:r>
      <w:r>
        <w:t xml:space="preserve"> </w:t>
      </w:r>
      <w:r>
        <w:t xml:space="preserve">(i.e. 0.8% contribution rate applied to covered deposits in the sample per Member State).</w:t>
      </w:r>
      <w:r>
        <w:t xml:space="preserve"> </w:t>
      </w:r>
      <w:r>
        <w:t xml:space="preserve">While it does not reflect the real amounts of DGS financial means in Member States, this</w:t>
      </w:r>
    </w:p>
    <w:p>
      <w:pPr>
        <w:pStyle w:val="BodyText"/>
      </w:pPr>
      <w:r>
        <w:t xml:space="preserve">299</w:t>
      </w:r>
      <w:r>
        <w:t xml:space="preserve"> </w:t>
      </w:r>
      <w:r>
        <w:t xml:space="preserve">adjustment is key in avoiding overestimating the DGS financial means452. This method</w:t>
      </w:r>
      <w:r>
        <w:t xml:space="preserve"> </w:t>
      </w:r>
      <w:r>
        <w:t xml:space="preserve">also assumes that the DGS target level is reached in all Member States.</w:t>
      </w:r>
      <w:r>
        <w:t xml:space="preserve"> </w:t>
      </w:r>
      <w:r>
        <w:t xml:space="preserve">4.4.1. Statistical analysis – Baseline versus combined scenarios</w:t>
      </w:r>
      <w:r>
        <w:t xml:space="preserve"> </w:t>
      </w:r>
      <w:r>
        <w:t xml:space="preserve">Summary assessment – Baseline versus combined scenarios</w:t>
      </w:r>
      <w:r>
        <w:t xml:space="preserve"> </w:t>
      </w:r>
      <w:r>
        <w:t xml:space="preserve">Under the baseline scenario and considering a recovery rate of 85% in the insolvency</w:t>
      </w:r>
      <w:r>
        <w:t xml:space="preserve"> </w:t>
      </w:r>
      <w:r>
        <w:t xml:space="preserve">counterfactual, due to negative LCT, the DGS would not be allowed to finance the gap</w:t>
      </w:r>
      <w:r>
        <w:t xml:space="preserve"> </w:t>
      </w:r>
      <w:r>
        <w:t xml:space="preserve">to the 8% TLOF threshold in almost all cases.</w:t>
      </w:r>
      <w:r>
        <w:br/>
      </w:r>
      <w:r>
        <w:t xml:space="preserve">The combined scenario 1 has two main impacts: (i) it reduces the number of banks</w:t>
      </w:r>
      <w:r>
        <w:t xml:space="preserve"> </w:t>
      </w:r>
      <w:r>
        <w:t xml:space="preserve">unable to reach the 8% TLOF threshold and; (ii) it unlocks significantly more DGS</w:t>
      </w:r>
      <w:r>
        <w:t xml:space="preserve"> </w:t>
      </w:r>
      <w:r>
        <w:t xml:space="preserve">funds. However, for 35% of the banks unable to reach the 8% TLOF threshold, the</w:t>
      </w:r>
      <w:r>
        <w:t xml:space="preserve"> </w:t>
      </w:r>
      <w:r>
        <w:t xml:space="preserve">LCT is still not sufficient to bridge the gap. Including indirect costs in the LCT</w:t>
      </w:r>
      <w:r>
        <w:t xml:space="preserve"> </w:t>
      </w:r>
      <w:r>
        <w:t xml:space="preserve">calculation could be considered to mitigate this shortcoming. Assuming the DGS were</w:t>
      </w:r>
      <w:r>
        <w:t xml:space="preserve"> </w:t>
      </w:r>
      <w:r>
        <w:t xml:space="preserve">allowed to fully finance the gap to the 8% TLOF under the LCT, three DGSs would</w:t>
      </w:r>
      <w:r>
        <w:t xml:space="preserve"> </w:t>
      </w:r>
      <w:r>
        <w:t xml:space="preserve">face a liquidity shortfall.</w:t>
      </w:r>
    </w:p>
    <w:p>
      <w:pPr>
        <w:pStyle w:val="BodyText"/>
      </w:pPr>
      <w:r>
        <w:t xml:space="preserve">Detailed analysis</w:t>
      </w:r>
      <w:r>
        <w:t xml:space="preserve"> </w:t>
      </w:r>
      <w:r>
        <w:t xml:space="preserve">When considering the entirety of the sample under the baseline scenario, under the</w:t>
      </w:r>
      <w:r>
        <w:t xml:space="preserve"> </w:t>
      </w:r>
      <w:r>
        <w:t xml:space="preserve">baseline creditor hierarchy and assuming a recovery rate of 85%, the DGSs would not be</w:t>
      </w:r>
      <w:r>
        <w:t xml:space="preserve"> </w:t>
      </w:r>
      <w:r>
        <w:t xml:space="preserve">allowed to bridge the gap to 8% TLOF in 88 cases (negative LCT) and under the LCT,</w:t>
      </w:r>
      <w:r>
        <w:t xml:space="preserve"> </w:t>
      </w:r>
      <w:r>
        <w:t xml:space="preserve">DGS interventions would be allowed in only three cases. The LCT would only allow the</w:t>
      </w:r>
      <w:r>
        <w:t xml:space="preserve"> </w:t>
      </w:r>
      <w:r>
        <w:t xml:space="preserve">DGS to finance EUR 0.05 bn while the gap to reach 8% TLOF would be EUR 18.3 bn.</w:t>
      </w:r>
      <w:r>
        <w:t xml:space="preserve"> </w:t>
      </w:r>
      <w:r>
        <w:t xml:space="preserve">In case the DGSs would be able to finance the gap towards 8% TLOF, 6 DGSs would</w:t>
      </w:r>
      <w:r>
        <w:t xml:space="preserve"> </w:t>
      </w:r>
      <w:r>
        <w:t xml:space="preserve">face a liquidity shortfall.</w:t>
      </w:r>
      <w:r>
        <w:t xml:space="preserve"> </w:t>
      </w:r>
      <w:r>
        <w:t xml:space="preserve">Under the combined scenario 1 (no CET1 depletion and single-tier depositor preference),</w:t>
      </w:r>
      <w:r>
        <w:t xml:space="preserve"> </w:t>
      </w:r>
      <w:r>
        <w:t xml:space="preserve">creating one single preferred category for all deposits has the following impacts. In</w:t>
      </w:r>
      <w:r>
        <w:t xml:space="preserve"> </w:t>
      </w:r>
      <w:r>
        <w:t xml:space="preserve">general, as also explained in Annex 8, it leads to a better protection of deposits and a</w:t>
      </w:r>
      <w:r>
        <w:t xml:space="preserve"> </w:t>
      </w:r>
      <w:r>
        <w:t xml:space="preserve">lower protection of senior unsecured creditors. The number of banks where deposits</w:t>
      </w:r>
      <w:r>
        <w:t xml:space="preserve"> </w:t>
      </w:r>
      <w:r>
        <w:t xml:space="preserve">would be impacted in order to reach 8% TLOF decrease significantly from 91 under the</w:t>
      </w:r>
      <w:r>
        <w:t xml:space="preserve"> </w:t>
      </w:r>
      <w:r>
        <w:t xml:space="preserve">baseline to 48 under the single-tier deposit preference.</w:t>
      </w:r>
      <w:r>
        <w:br/>
      </w:r>
      <w:r>
        <w:t xml:space="preserve">However, among the different categories of deposits, the non-preferred deposits would</w:t>
      </w:r>
      <w:r>
        <w:t xml:space="preserve"> </w:t>
      </w:r>
      <w:r>
        <w:t xml:space="preserve">be better protected and the covered ones would become theoretically more exposed453</w:t>
      </w:r>
      <w:r>
        <w:t xml:space="preserve"> </w:t>
      </w:r>
      <w:r>
        <w:t xml:space="preserve">than under the baseline: EUR 17.2 bn of non-preferred deposits under the baseline versus</w:t>
      </w:r>
      <w:r>
        <w:t xml:space="preserve"> </w:t>
      </w:r>
      <w:r>
        <w:t xml:space="preserve">EUR 2.7 bn under the single-tier preference. Conversely, EUR 0.25 bn of covered</w:t>
      </w:r>
      <w:r>
        <w:t xml:space="preserve"> </w:t>
      </w:r>
      <w:r>
        <w:t xml:space="preserve">deposits are affected by the 8% TLOF threshold under the baseline versus EUR 2.82 bn</w:t>
      </w:r>
      <w:r>
        <w:t xml:space="preserve"> </w:t>
      </w:r>
      <w:r>
        <w:t xml:space="preserve">under the single-tier preference. In terms of LCT impact, the single-tier deposit</w:t>
      </w:r>
      <w:r>
        <w:t xml:space="preserve"> </w:t>
      </w:r>
      <w:r>
        <w:t xml:space="preserve">preference would unlock the largest amount of DGS funds to allow for a more effective</w:t>
      </w:r>
      <w:r>
        <w:t xml:space="preserve"> </w:t>
      </w:r>
      <w:r>
        <w:t xml:space="preserve">substitution of potential depositors losses by the DGS. However, even under a revised</w:t>
      </w:r>
      <w:r>
        <w:t xml:space="preserve"> </w:t>
      </w:r>
      <w:r>
        <w:t xml:space="preserve">single-tier hierarchy of claims, the LCT would still not provide all the funds necessary to</w:t>
      </w:r>
    </w:p>
    <w:p>
      <w:pPr>
        <w:pStyle w:val="BodyText"/>
      </w:pPr>
      <w:r>
        <w:t xml:space="preserve">452 Otherwise, the DGS funding needs would be based on the sample of banks, while the DGS financial</w:t>
      </w:r>
      <w:r>
        <w:t xml:space="preserve"> </w:t>
      </w:r>
      <w:r>
        <w:t xml:space="preserve">means would be reflecting the real banking sectors.</w:t>
      </w:r>
      <w:r>
        <w:t xml:space="preserve"> </w:t>
      </w:r>
      <w:r>
        <w:t xml:space="preserve">453 Covered deposits are always protected.</w:t>
      </w:r>
    </w:p>
    <w:p>
      <w:pPr>
        <w:pStyle w:val="BodyText"/>
      </w:pPr>
      <w:r>
        <w:t xml:space="preserve">300</w:t>
      </w:r>
      <w:r>
        <w:t xml:space="preserve"> </w:t>
      </w:r>
      <w:r>
        <w:t xml:space="preserve">reach the 8% TLOF in all cases. Among the 48 banks unable to reach the 8% TLOF</w:t>
      </w:r>
      <w:r>
        <w:t xml:space="preserve"> </w:t>
      </w:r>
      <w:r>
        <w:t xml:space="preserve">without deposits, 17 banks would have a negative or an insufficient LCT.</w:t>
      </w:r>
      <w:r>
        <w:br/>
      </w:r>
      <w:r>
        <w:t xml:space="preserve">Besides, in almost all cases, the cap corresponding to the maximum amount a DGS can</w:t>
      </w:r>
      <w:r>
        <w:t xml:space="preserve"> </w:t>
      </w:r>
      <w:r>
        <w:t xml:space="preserve">use in resolution (i.e. 50% of the DGS financial means) does not seem binding. The LCT</w:t>
      </w:r>
      <w:r>
        <w:t xml:space="preserve"> </w:t>
      </w:r>
      <w:r>
        <w:t xml:space="preserve">is the main driver explaining the inability of the DGS to finance the gap to the 8%</w:t>
      </w:r>
      <w:r>
        <w:t xml:space="preserve"> </w:t>
      </w:r>
      <w:r>
        <w:t xml:space="preserve">threshold.</w:t>
      </w:r>
      <w:r>
        <w:t xml:space="preserve"> </w:t>
      </w:r>
      <w:r>
        <w:t xml:space="preserve">The combined scenarios 2 and 3 were also analysed. However, while the results of these</w:t>
      </w:r>
      <w:r>
        <w:t xml:space="preserve"> </w:t>
      </w:r>
      <w:r>
        <w:t xml:space="preserve">combined scenarios are relevant for other parts of the annex, such scenarios involving</w:t>
      </w:r>
      <w:r>
        <w:t xml:space="preserve"> </w:t>
      </w:r>
      <w:r>
        <w:t xml:space="preserve">significant capital depletion simultaneously for all the banks in the sample should be</w:t>
      </w:r>
      <w:r>
        <w:t xml:space="preserve"> </w:t>
      </w:r>
      <w:r>
        <w:t xml:space="preserve">carefully considered in the context of assessing the DGS financial means454.</w:t>
      </w:r>
      <w:r>
        <w:br/>
      </w:r>
      <w:r>
        <w:t xml:space="preserve">Under the combined scenario 2, the number of banks unable to reach the 8% TLOF</w:t>
      </w:r>
      <w:r>
        <w:t xml:space="preserve"> </w:t>
      </w:r>
      <w:r>
        <w:t xml:space="preserve">without affecting the deposits is quite important for the DGSs funding capacity (198</w:t>
      </w:r>
      <w:r>
        <w:t xml:space="preserve"> </w:t>
      </w:r>
      <w:r>
        <w:t xml:space="preserve">institutions). The LCT would allow 54 banks to reach the 8% but most of the DGSs</w:t>
      </w:r>
      <w:r>
        <w:t xml:space="preserve"> </w:t>
      </w:r>
      <w:r>
        <w:t xml:space="preserve">would face liquidity shortfalls.</w:t>
      </w:r>
      <w:r>
        <w:br/>
      </w:r>
      <w:r>
        <w:t xml:space="preserve">As regards combined scenario 3, the number of banks unable to reach the 8% TLOF and</w:t>
      </w:r>
      <w:r>
        <w:t xml:space="preserve"> </w:t>
      </w:r>
      <w:r>
        <w:t xml:space="preserve">the amounts of DGS funds necessary to reach this threshold are similar as under</w:t>
      </w:r>
      <w:r>
        <w:t xml:space="preserve"> </w:t>
      </w:r>
      <w:r>
        <w:t xml:space="preserve">combined scenario 2. However, the LCT, based on a three-tier depositor preference,</w:t>
      </w:r>
      <w:r>
        <w:t xml:space="preserve"> </w:t>
      </w:r>
      <w:r>
        <w:t xml:space="preserve">would only allow three banks to reach the 8% TLOF.</w:t>
      </w:r>
      <w:r>
        <w:t xml:space="preserve"> </w:t>
      </w:r>
      <w:r>
        <w:t xml:space="preserve">When considering only the 187 banks with resolution strategies, the main conclusions of</w:t>
      </w:r>
      <w:r>
        <w:t xml:space="preserve"> </w:t>
      </w:r>
      <w:r>
        <w:t xml:space="preserve">the analysis do not change. Under the baseline scenario, among the 42 banks that could</w:t>
      </w:r>
      <w:r>
        <w:t xml:space="preserve"> </w:t>
      </w:r>
      <w:r>
        <w:t xml:space="preserve">not reach the 8% TLOF threshold without touching deposits, only 1 would have a</w:t>
      </w:r>
      <w:r>
        <w:t xml:space="preserve"> </w:t>
      </w:r>
      <w:r>
        <w:t xml:space="preserve">sufficient LCT to allow for DGS intervention. In case the DGSs would be able to finance</w:t>
      </w:r>
      <w:r>
        <w:t xml:space="preserve"> </w:t>
      </w:r>
      <w:r>
        <w:t xml:space="preserve">the gap towards 8% TLOF, 5 DGSs would face a liquidity shortfall455. Under the</w:t>
      </w:r>
      <w:r>
        <w:t xml:space="preserve"> </w:t>
      </w:r>
      <w:r>
        <w:t xml:space="preserve">combined scenario 1, the single-tier depositor preference leads to a lower number of</w:t>
      </w:r>
      <w:r>
        <w:t xml:space="preserve"> </w:t>
      </w:r>
      <w:r>
        <w:t xml:space="preserve">banks unable to reach the 8% TLOF threshold and unlock more DGS funds.</w:t>
      </w:r>
    </w:p>
    <w:p>
      <w:pPr>
        <w:pStyle w:val="BodyText"/>
      </w:pPr>
      <w:r>
        <w:t xml:space="preserve">454 The assumption of simultaneous failures for all members of a DGS is not a realistic assumption for the</w:t>
      </w:r>
      <w:r>
        <w:t xml:space="preserve"> </w:t>
      </w:r>
      <w:r>
        <w:t xml:space="preserve">purpose of this analysis.</w:t>
      </w:r>
      <w:r>
        <w:br/>
      </w:r>
      <w:r>
        <w:t xml:space="preserve">455 When identifying the DGS shortfalls, the uses of funds both in resolution and alternative measures in</w:t>
      </w:r>
      <w:r>
        <w:t xml:space="preserve"> </w:t>
      </w:r>
      <w:r>
        <w:t xml:space="preserve">insolvency are taken into account. In insolvency, it is assumed that the LCT represents the cost for the</w:t>
      </w:r>
      <w:r>
        <w:t xml:space="preserve"> </w:t>
      </w:r>
      <w:r>
        <w:t xml:space="preserve">DGS.</w:t>
      </w:r>
    </w:p>
    <w:p>
      <w:pPr>
        <w:pStyle w:val="BodyText"/>
      </w:pPr>
      <w:r>
        <w:t xml:space="preserve">301</w:t>
      </w:r>
      <w:r>
        <w:t xml:space="preserve"> </w:t>
      </w:r>
      <w:r>
        <w:t xml:space="preserve">Table 27: DGS financial means – Static statistical analysis (all sample of resolution</w:t>
      </w:r>
      <w:r>
        <w:t xml:space="preserve"> </w:t>
      </w:r>
      <w:r>
        <w:t xml:space="preserve">entities)</w:t>
      </w:r>
    </w:p>
    <w:p>
      <w:pPr>
        <w:pStyle w:val="BodyText"/>
      </w:pPr>
      <w:r>
        <w:t xml:space="preserve">Baseline scenario</w:t>
      </w:r>
      <w:r>
        <w:t xml:space="preserve"> </w:t>
      </w:r>
      <w:r>
        <w:t xml:space="preserve">Combined scenario 1</w:t>
      </w:r>
    </w:p>
    <w:p>
      <w:pPr>
        <w:pStyle w:val="BodyText"/>
      </w:pPr>
      <w:r>
        <w:t xml:space="preserve">Of which:</w:t>
      </w:r>
      <w:r>
        <w:t xml:space="preserve"> </w:t>
      </w:r>
      <w:r>
        <w:t xml:space="preserve">resolution</w:t>
      </w:r>
      <w:r>
        <w:t xml:space="preserve"> </w:t>
      </w:r>
      <w:r>
        <w:t xml:space="preserve">strategies</w:t>
      </w:r>
      <w:r>
        <w:br/>
      </w:r>
      <w:r>
        <w:t xml:space="preserve">Of which:</w:t>
      </w:r>
      <w:r>
        <w:t xml:space="preserve"> </w:t>
      </w:r>
      <w:r>
        <w:t xml:space="preserve">resolution</w:t>
      </w:r>
      <w:r>
        <w:t xml:space="preserve"> </w:t>
      </w:r>
      <w:r>
        <w:t xml:space="preserve">strategies</w:t>
      </w:r>
      <w:r>
        <w:t xml:space="preserve"> </w:t>
      </w:r>
      <w:r>
        <w:t xml:space="preserve">Institutions unable to reach the 8% TLOF without deposits</w:t>
      </w:r>
      <w:r>
        <w:t xml:space="preserve"> </w:t>
      </w:r>
      <w:r>
        <w:t xml:space="preserve">Count</w:t>
      </w:r>
      <w:r>
        <w:t xml:space="preserve"> </w:t>
      </w:r>
      <w:r>
        <w:t xml:space="preserve">91</w:t>
      </w:r>
      <w:r>
        <w:t xml:space="preserve"> </w:t>
      </w:r>
      <w:r>
        <w:t xml:space="preserve">42</w:t>
      </w:r>
      <w:r>
        <w:t xml:space="preserve"> </w:t>
      </w:r>
      <w:r>
        <w:t xml:space="preserve">48</w:t>
      </w:r>
      <w:r>
        <w:t xml:space="preserve"> </w:t>
      </w:r>
      <w:r>
        <w:t xml:space="preserve">20</w:t>
      </w:r>
      <w:r>
        <w:t xml:space="preserve"> </w:t>
      </w:r>
      <w:r>
        <w:t xml:space="preserve">of which positive LCT and sufficient to reach 8% TLOF</w:t>
      </w:r>
      <w:r>
        <w:t xml:space="preserve"> </w:t>
      </w:r>
      <w:r>
        <w:t xml:space="preserve">Count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31</w:t>
      </w:r>
      <w:r>
        <w:t xml:space="preserve"> </w:t>
      </w:r>
      <w:r>
        <w:t xml:space="preserve">14</w:t>
      </w:r>
      <w:r>
        <w:t xml:space="preserve"> </w:t>
      </w:r>
      <w:r>
        <w:t xml:space="preserve">of which the positive LCT, but insufficient to reach 8% TLOF</w:t>
      </w:r>
      <w:r>
        <w:t xml:space="preserve"> </w:t>
      </w:r>
      <w:r>
        <w:t xml:space="preserve">Count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of which negative LCT</w:t>
      </w:r>
      <w:r>
        <w:t xml:space="preserve"> </w:t>
      </w:r>
      <w:r>
        <w:t xml:space="preserve">Count</w:t>
      </w:r>
      <w:r>
        <w:t xml:space="preserve"> </w:t>
      </w:r>
      <w:r>
        <w:t xml:space="preserve">88</w:t>
      </w:r>
      <w:r>
        <w:t xml:space="preserve"> </w:t>
      </w:r>
      <w:r>
        <w:t xml:space="preserve">41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Total amount of DGS funds needed to reach the 8% TLOF</w:t>
      </w:r>
      <w:r>
        <w:t xml:space="preserve"> </w:t>
      </w:r>
      <w:r>
        <w:t xml:space="preserve">EUR bn</w:t>
      </w:r>
      <w:r>
        <w:t xml:space="preserve"> </w:t>
      </w:r>
      <w:r>
        <w:t xml:space="preserve">18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Number of DGSs facing a liquidity shortfall, where DGSs</w:t>
      </w:r>
      <w:r>
        <w:br/>
      </w:r>
      <w:r>
        <w:t xml:space="preserve">allowed to finance all the gap to the 8% TLOF</w:t>
      </w:r>
      <w:r>
        <w:t xml:space="preserve"> </w:t>
      </w:r>
      <w:r>
        <w:t xml:space="preserve">Count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Maximum amount used by all the DGSs under the LCT</w:t>
      </w:r>
      <w:r>
        <w:t xml:space="preserve"> </w:t>
      </w:r>
      <w:r>
        <w:t xml:space="preserve">EUR bn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Total DGSs financial means (restated to the sample)</w:t>
      </w:r>
      <w:r>
        <w:t xml:space="preserve"> </w:t>
      </w:r>
      <w:r>
        <w:t xml:space="preserve">EUR bn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Source: Commission services, based on EBA CfA report, data as of Q4 2019, assuming an 85% recovery</w:t>
      </w:r>
      <w:r>
        <w:t xml:space="preserve"> </w:t>
      </w:r>
      <w:r>
        <w:t xml:space="preserve">rate.</w:t>
      </w:r>
      <w:r>
        <w:t xml:space="preserve"> </w:t>
      </w:r>
      <w:r>
        <w:t xml:space="preserve">4.4.2. Modelling analysis</w:t>
      </w:r>
      <w:r>
        <w:t xml:space="preserve"> </w:t>
      </w:r>
      <w:r>
        <w:t xml:space="preserve">Summary assessment</w:t>
      </w:r>
      <w:r>
        <w:t xml:space="preserve"> </w:t>
      </w:r>
      <w:r>
        <w:t xml:space="preserve">The modelling analysis confirms the general conclusions of the static statistical analysis.</w:t>
      </w:r>
      <w:r>
        <w:t xml:space="preserve"> </w:t>
      </w:r>
      <w:r>
        <w:t xml:space="preserve">In most of the cases, assuming an 85% recovery rate in the insolvency counterfactual, the</w:t>
      </w:r>
      <w:r>
        <w:t xml:space="preserve"> </w:t>
      </w:r>
      <w:r>
        <w:t xml:space="preserve">current hierarchy of claims does not allow the DGSs to finance the gaps to the 8% TLOF</w:t>
      </w:r>
      <w:r>
        <w:t xml:space="preserve"> </w:t>
      </w:r>
      <w:r>
        <w:t xml:space="preserve">threshold. The single-tier preference has two main impacts. It reduces the number of</w:t>
      </w:r>
      <w:r>
        <w:t xml:space="preserve"> </w:t>
      </w:r>
      <w:r>
        <w:t xml:space="preserve">banks that need DGS funds, while unlocking more DGS funds to finance the remaining</w:t>
      </w:r>
      <w:r>
        <w:t xml:space="preserve"> </w:t>
      </w:r>
      <w:r>
        <w:t xml:space="preserve">gaps to the 8% TLOF threshold.</w:t>
      </w:r>
      <w:r>
        <w:br/>
      </w:r>
      <w:r>
        <w:t xml:space="preserve">The results vary substantively depending on whether the structures of the resolution</w:t>
      </w:r>
      <w:r>
        <w:t xml:space="preserve"> </w:t>
      </w:r>
      <w:r>
        <w:t xml:space="preserve">groups are assumed to be maintained. Considering that the resolution structures break</w:t>
      </w:r>
      <w:r>
        <w:t xml:space="preserve"> </w:t>
      </w:r>
      <w:r>
        <w:t xml:space="preserve">leads to an increase of the amount of DGS funding and consequently of the number of</w:t>
      </w:r>
      <w:r>
        <w:t xml:space="preserve"> </w:t>
      </w:r>
      <w:r>
        <w:t xml:space="preserve">DGSs facing a liquidity shortfall. Indeed, the number of DGSs facing a liquidity shortfall</w:t>
      </w:r>
      <w:r>
        <w:t xml:space="preserve"> </w:t>
      </w:r>
      <w:r>
        <w:t xml:space="preserve">increases significantly when assuming the break-up of resolution structures (from three</w:t>
      </w:r>
      <w:r>
        <w:t xml:space="preserve"> </w:t>
      </w:r>
      <w:r>
        <w:t xml:space="preserve">to nine DGSs under a crisis as severe as in 2008).</w:t>
      </w:r>
      <w:r>
        <w:t xml:space="preserve"> </w:t>
      </w:r>
      <w:r>
        <w:t xml:space="preserve">An estimation of the probabilities and of the amounts of liquidity shortfall for the DGSs</w:t>
      </w:r>
      <w:r>
        <w:t xml:space="preserve"> </w:t>
      </w:r>
      <w:r>
        <w:t xml:space="preserve">and the EDIS designs aim at assessing the relative effectiveness of EDIS in providing the</w:t>
      </w:r>
      <w:r>
        <w:t xml:space="preserve"> </w:t>
      </w:r>
      <w:r>
        <w:t xml:space="preserve">funding needed. It shows that, while it is likely that the DGSs face liquidity shortfalls,</w:t>
      </w:r>
      <w:r>
        <w:t xml:space="preserve"> </w:t>
      </w:r>
      <w:r>
        <w:t xml:space="preserve">EDIS would strongly mitigate this risk. However, these results should be interpreted with</w:t>
      </w:r>
      <w:r>
        <w:t xml:space="preserve"> </w:t>
      </w:r>
      <w:r>
        <w:t xml:space="preserve">caution as they are subject to many assumptions and caveats that may lead to</w:t>
      </w:r>
      <w:r>
        <w:t xml:space="preserve"> </w:t>
      </w:r>
      <w:r>
        <w:t xml:space="preserve">significantly underestimate the results.</w:t>
      </w:r>
    </w:p>
    <w:p>
      <w:pPr>
        <w:pStyle w:val="BodyText"/>
      </w:pPr>
      <w:r>
        <w:t xml:space="preserve">302</w:t>
      </w:r>
      <w:r>
        <w:t xml:space="preserve"> </w:t>
      </w:r>
      <w:r>
        <w:t xml:space="preserve">Detailed analysis</w:t>
      </w:r>
      <w:r>
        <w:t xml:space="preserve"> </w:t>
      </w:r>
      <w:r>
        <w:t xml:space="preserve">Under crisis simulations as severe as in 2008, 5.28% of the banks would need DGS funds</w:t>
      </w:r>
      <w:r>
        <w:t xml:space="preserve"> </w:t>
      </w:r>
      <w:r>
        <w:t xml:space="preserve">to reach the 8% TLOF threshold under the current creditor hierarchy. However, 97.11%</w:t>
      </w:r>
      <w:r>
        <w:t xml:space="preserve"> </w:t>
      </w:r>
      <w:r>
        <w:t xml:space="preserve">of the funds needed to reach this threshold could not be financed by the DGSs, mainly</w:t>
      </w:r>
      <w:r>
        <w:t xml:space="preserve"> </w:t>
      </w:r>
      <w:r>
        <w:t xml:space="preserve">due to an insufficient LCT. The cap of 0.4% of the covered deposits does not appear</w:t>
      </w:r>
      <w:r>
        <w:t xml:space="preserve"> </w:t>
      </w:r>
      <w:r>
        <w:t xml:space="preserve">binding in most of the simulations. Changing the intensity of the crisis simulations or</w:t>
      </w:r>
      <w:r>
        <w:t xml:space="preserve"> </w:t>
      </w:r>
      <w:r>
        <w:t xml:space="preserve">assuming that the resolution group structures are not maintained do not change this</w:t>
      </w:r>
      <w:r>
        <w:t xml:space="preserve"> </w:t>
      </w:r>
      <w:r>
        <w:t xml:space="preserve">general conclusion456. However, in case the DGS would be allowed to finance the gap,</w:t>
      </w:r>
      <w:r>
        <w:t xml:space="preserve"> </w:t>
      </w:r>
      <w:r>
        <w:t xml:space="preserve">between six and 15 DGSs would face a liquidity shortfall. The number DGSs facing a</w:t>
      </w:r>
      <w:r>
        <w:t xml:space="preserve"> </w:t>
      </w:r>
      <w:r>
        <w:t xml:space="preserve">liquidity shortfall mainly depends on the resolution group structure holding or breaking</w:t>
      </w:r>
      <w:r>
        <w:t xml:space="preserve"> </w:t>
      </w:r>
      <w:r>
        <w:t xml:space="preserve">up. When assuming that the resolution group structures are maintained, the parent entities</w:t>
      </w:r>
      <w:r>
        <w:t xml:space="preserve"> </w:t>
      </w:r>
      <w:r>
        <w:t xml:space="preserve">absorb the losses of their subsidiaries. Consequently, the DGS funding needs are</w:t>
      </w:r>
      <w:r>
        <w:t xml:space="preserve"> </w:t>
      </w:r>
      <w:r>
        <w:t xml:space="preserve">minimised, as is the number of DGSs facing a liquidity shortfall (between six and 10</w:t>
      </w:r>
      <w:r>
        <w:t xml:space="preserve"> </w:t>
      </w:r>
      <w:r>
        <w:t xml:space="preserve">depending on the intensity of the crisis). Conversely, when assuming that the resolution</w:t>
      </w:r>
      <w:r>
        <w:t xml:space="preserve"> </w:t>
      </w:r>
      <w:r>
        <w:t xml:space="preserve">group structures are not maintained, more subsidiaries fail as the parents do not absorb</w:t>
      </w:r>
      <w:r>
        <w:t xml:space="preserve"> </w:t>
      </w:r>
      <w:r>
        <w:t xml:space="preserve">their losses, leading to more DGS funding needs and a higher number of DGSs facing a</w:t>
      </w:r>
      <w:r>
        <w:t xml:space="preserve"> </w:t>
      </w:r>
      <w:r>
        <w:t xml:space="preserve">liquidity shortfall (between nine and 15 depending on the intensity of the crisis).</w:t>
      </w:r>
      <w:r>
        <w:t xml:space="preserve"> </w:t>
      </w:r>
      <w:r>
        <w:t xml:space="preserve">Compared to the baseline, the single-tier preference has two main impacts. First, it</w:t>
      </w:r>
      <w:r>
        <w:t xml:space="preserve"> </w:t>
      </w:r>
      <w:r>
        <w:t xml:space="preserve">reduces the number of banks where deposits would be on the line to take losses and</w:t>
      </w:r>
      <w:r>
        <w:t xml:space="preserve"> </w:t>
      </w:r>
      <w:r>
        <w:t xml:space="preserve">requiring DGS funds to reach the 8% TLOF threshold, lowering the amount of DGS</w:t>
      </w:r>
      <w:r>
        <w:t xml:space="preserve"> </w:t>
      </w:r>
      <w:r>
        <w:t xml:space="preserve">funding needed. In addition, it unlocks more DGS funds to finance the remaining gap,</w:t>
      </w:r>
      <w:r>
        <w:t xml:space="preserve"> </w:t>
      </w:r>
      <w:r>
        <w:t xml:space="preserve">significantly increasing the number of banks that would be able to reach the threshold.</w:t>
      </w:r>
      <w:r>
        <w:t xml:space="preserve"> </w:t>
      </w:r>
      <w:r>
        <w:t xml:space="preserve">Under crisis simulations as severe as in 2008, around 80% of the banks that need DGS</w:t>
      </w:r>
      <w:r>
        <w:t xml:space="preserve"> </w:t>
      </w:r>
      <w:r>
        <w:t xml:space="preserve">funds would be able to reach the 8% TLOF threshold (versus only 7% under the baseline</w:t>
      </w:r>
      <w:r>
        <w:t xml:space="preserve"> </w:t>
      </w:r>
      <w:r>
        <w:t xml:space="preserve">and 9% under the three-tier preference).</w:t>
      </w:r>
      <w:r>
        <w:br/>
      </w:r>
      <w:r>
        <w:t xml:space="preserve">The inclusion of indirect costs in the LCT calculation may be envisaged in order to</w:t>
      </w:r>
      <w:r>
        <w:t xml:space="preserve"> </w:t>
      </w:r>
      <w:r>
        <w:t xml:space="preserve">unlock more DGS funds and allow a higher percentage of banks to reach the 8% TLOF</w:t>
      </w:r>
      <w:r>
        <w:t xml:space="preserve"> </w:t>
      </w:r>
      <w:r>
        <w:t xml:space="preserve">threshold. Under the single-tier preference, on average, the gap to reach the 8% TLOF</w:t>
      </w:r>
      <w:r>
        <w:t xml:space="preserve"> </w:t>
      </w:r>
      <w:r>
        <w:t xml:space="preserve">represents 0.25% of covered deposits457. Assuming as objective covering this entire gap,</w:t>
      </w:r>
      <w:r>
        <w:t xml:space="preserve"> </w:t>
      </w:r>
      <w:r>
        <w:t xml:space="preserve">indirect costs would need to be calibrated accordingly. However, this amount should be</w:t>
      </w:r>
      <w:r>
        <w:t xml:space="preserve"> </w:t>
      </w:r>
      <w:r>
        <w:t xml:space="preserve">seen as a preliminary result due to the following considerations: (i) the amount of indirect</w:t>
      </w:r>
      <w:r>
        <w:t xml:space="preserve"> </w:t>
      </w:r>
      <w:r>
        <w:t xml:space="preserve">costs needed to unlock sufficient DGS funds range from 0.02% to 0.70% of covered</w:t>
      </w:r>
      <w:r>
        <w:t xml:space="preserve"> </w:t>
      </w:r>
      <w:r>
        <w:t xml:space="preserve">deposits among the DGSs; (ii) the LCT is based on an 85% recovery rate that may not be</w:t>
      </w:r>
      <w:r>
        <w:t xml:space="preserve"> </w:t>
      </w:r>
      <w:r>
        <w:t xml:space="preserve">appropriate in all cases. For instance, assuming a lower recovery rate would unlock more</w:t>
      </w:r>
      <w:r>
        <w:t xml:space="preserve"> </w:t>
      </w:r>
      <w:r>
        <w:t xml:space="preserve">DGS funds under the current LCT, potentially lowering the level of indirect costs</w:t>
      </w:r>
      <w:r>
        <w:t xml:space="preserve"> </w:t>
      </w:r>
      <w:r>
        <w:t xml:space="preserve">required in the LCT calculation.</w:t>
      </w:r>
      <w:r>
        <w:t xml:space="preserve"> </w:t>
      </w:r>
      <w:r>
        <w:t xml:space="preserve">Assuming that the resolution group structures are not maintained has a significant impact</w:t>
      </w:r>
      <w:r>
        <w:t xml:space="preserve"> </w:t>
      </w:r>
      <w:r>
        <w:t xml:space="preserve">on the number of DGSs facing liquidity shortfalls. Under a crisis as severe as in 2008, on</w:t>
      </w:r>
    </w:p>
    <w:p>
      <w:pPr>
        <w:pStyle w:val="BodyText"/>
      </w:pPr>
      <w:r>
        <w:t xml:space="preserve">456 For instance, under more severe crisis simulations, the share of banks that would need DGS funds</w:t>
      </w:r>
      <w:r>
        <w:t xml:space="preserve"> </w:t>
      </w:r>
      <w:r>
        <w:t xml:space="preserve">would increase, as well as the amount of DGS funds needed to reach the 8% TLOF. However, the LCT</w:t>
      </w:r>
      <w:r>
        <w:t xml:space="preserve"> </w:t>
      </w:r>
      <w:r>
        <w:t xml:space="preserve">would still prevent the DGSs from providing around 97% of the funds needed.</w:t>
      </w:r>
      <w:r>
        <w:t xml:space="preserve"> </w:t>
      </w:r>
      <w:r>
        <w:t xml:space="preserve">457 The percentage does not change significantly when increasing the severity of the crisis simulations.</w:t>
      </w:r>
    </w:p>
    <w:p>
      <w:pPr>
        <w:pStyle w:val="BodyText"/>
      </w:pPr>
      <w:r>
        <w:t xml:space="preserve">303</w:t>
      </w:r>
      <w:r>
        <w:t xml:space="preserve"> </w:t>
      </w:r>
      <w:r>
        <w:t xml:space="preserve">average the amount of DGS funds needed would increase from EUR 1.2 bn to EUR</w:t>
      </w:r>
      <w:r>
        <w:t xml:space="preserve"> </w:t>
      </w:r>
      <w:r>
        <w:t xml:space="preserve">2.73 bn and some DGSs would not be able to service their liquidity needs. The number of</w:t>
      </w:r>
      <w:r>
        <w:t xml:space="preserve"> </w:t>
      </w:r>
      <w:r>
        <w:t xml:space="preserve">DGSs facing a liquidity shortfall would increase from three to nine under these</w:t>
      </w:r>
      <w:r>
        <w:t xml:space="preserve"> </w:t>
      </w:r>
      <w:r>
        <w:t xml:space="preserve">assumptions.</w:t>
      </w:r>
      <w:r>
        <w:t xml:space="preserve"> </w:t>
      </w:r>
      <w:r>
        <w:t xml:space="preserve">The three-tier depositor preference would lead to similar DGS funding needs as under the</w:t>
      </w:r>
      <w:r>
        <w:t xml:space="preserve"> </w:t>
      </w:r>
      <w:r>
        <w:t xml:space="preserve">single-tier preference. However, in most of the cases, the DGSs would not be able to</w:t>
      </w:r>
      <w:r>
        <w:t xml:space="preserve"> </w:t>
      </w:r>
      <w:r>
        <w:t xml:space="preserve">finance the gap to the 8% TLOF threshold as a result of an insufficient LCT.</w:t>
      </w:r>
      <w:r>
        <w:br/>
      </w:r>
      <w:r>
        <w:t xml:space="preserve">Table 33 presents the results under the assumption that all the resolution group structures</w:t>
      </w:r>
      <w:r>
        <w:t xml:space="preserve"> </w:t>
      </w:r>
      <w:r>
        <w:t xml:space="preserve">are maintained, leading to minimise the amount of DGS funds needed and the number of</w:t>
      </w:r>
      <w:r>
        <w:t xml:space="preserve"> </w:t>
      </w:r>
      <w:r>
        <w:t xml:space="preserve">DGSs facing a liquidity shortfall. Table 34 presents the results under the assumption that</w:t>
      </w:r>
      <w:r>
        <w:t xml:space="preserve"> </w:t>
      </w:r>
      <w:r>
        <w:t xml:space="preserve">all the resolution group structures break down, leading to maximise the amount of DGS</w:t>
      </w:r>
      <w:r>
        <w:t xml:space="preserve"> </w:t>
      </w:r>
      <w:r>
        <w:t xml:space="preserve">funds needed and the number of DGSs facing a liquidity shortfall.</w:t>
      </w:r>
      <w:r>
        <w:t xml:space="preserve"> </w:t>
      </w:r>
      <w:r>
        <w:t xml:space="preserve">Table 28: DGS financial means – Modelling analysis (all sample of resolution entities</w:t>
      </w:r>
      <w:r>
        <w:t xml:space="preserve"> </w:t>
      </w:r>
      <w:r>
        <w:t xml:space="preserve">– resolution structures are maintained)</w:t>
      </w:r>
      <w:r>
        <w:t xml:space="preserve"> </w:t>
      </w:r>
      <w:r>
        <w:t xml:space="preserve">Resolution structure is</w:t>
      </w:r>
      <w:r>
        <w:t xml:space="preserve"> </w:t>
      </w:r>
      <w:r>
        <w:t xml:space="preserve">maintained</w:t>
      </w:r>
      <w:r>
        <w:t xml:space="preserve"> </w:t>
      </w:r>
      <w:r>
        <w:t xml:space="preserve">Global financial crisis (2008)</w:t>
      </w:r>
    </w:p>
    <w:p>
      <w:pPr>
        <w:pStyle w:val="BodyText"/>
      </w:pP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Average % of</w:t>
      </w:r>
      <w:r>
        <w:t xml:space="preserve"> </w:t>
      </w:r>
      <w:r>
        <w:t xml:space="preserve">banks that need</w:t>
      </w:r>
      <w:r>
        <w:t xml:space="preserve"> </w:t>
      </w:r>
      <w:r>
        <w:t xml:space="preserve">DGS funds to</w:t>
      </w:r>
      <w:r>
        <w:t xml:space="preserve"> </w:t>
      </w:r>
      <w:r>
        <w:t xml:space="preserve">reach the 8%</w:t>
      </w:r>
      <w:r>
        <w:t xml:space="preserve"> </w:t>
      </w:r>
      <w:r>
        <w:t xml:space="preserve">TLOF threshold</w:t>
      </w:r>
      <w:r>
        <w:t xml:space="preserve"> </w:t>
      </w:r>
      <w:r>
        <w:t xml:space="preserve">%</w:t>
      </w:r>
      <w:r>
        <w:t xml:space="preserve"> </w:t>
      </w:r>
      <w:r>
        <w:t xml:space="preserve">5.28</w:t>
      </w:r>
      <w:r>
        <w:t xml:space="preserve"> </w:t>
      </w:r>
      <w:r>
        <w:t xml:space="preserve">3.01</w:t>
      </w:r>
      <w:r>
        <w:t xml:space="preserve"> </w:t>
      </w:r>
      <w:r>
        <w:t xml:space="preserve">3.01</w:t>
      </w:r>
    </w:p>
    <w:p>
      <w:pPr>
        <w:pStyle w:val="BodyText"/>
      </w:pPr>
      <w:r>
        <w:t xml:space="preserve">4.04</w:t>
      </w:r>
      <w:r>
        <w:t xml:space="preserve"> </w:t>
      </w:r>
      <w:r>
        <w:t xml:space="preserve">2.30</w:t>
      </w:r>
      <w:r>
        <w:t xml:space="preserve"> </w:t>
      </w:r>
      <w:r>
        <w:t xml:space="preserve">2.30</w:t>
      </w:r>
      <w:r>
        <w:t xml:space="preserve"> </w:t>
      </w:r>
      <w:r>
        <w:t xml:space="preserve">9.28</w:t>
      </w:r>
      <w:r>
        <w:t xml:space="preserve"> </w:t>
      </w:r>
      <w:r>
        <w:t xml:space="preserve">5.35</w:t>
      </w:r>
      <w:r>
        <w:t xml:space="preserve"> </w:t>
      </w:r>
      <w:r>
        <w:t xml:space="preserve">5.35</w:t>
      </w:r>
      <w:r>
        <w:t xml:space="preserve"> </w:t>
      </w:r>
      <w:r>
        <w:t xml:space="preserve">Among which,</w:t>
      </w:r>
      <w:r>
        <w:t xml:space="preserve"> </w:t>
      </w:r>
      <w:r>
        <w:t xml:space="preserve">average % of</w:t>
      </w:r>
      <w:r>
        <w:t xml:space="preserve"> </w:t>
      </w:r>
      <w:r>
        <w:t xml:space="preserve">banks that cannot</w:t>
      </w:r>
      <w:r>
        <w:t xml:space="preserve"> </w:t>
      </w:r>
      <w:r>
        <w:t xml:space="preserve">reach the 8%</w:t>
      </w:r>
      <w:r>
        <w:t xml:space="preserve"> </w:t>
      </w:r>
      <w:r>
        <w:t xml:space="preserve">threshold</w:t>
      </w:r>
      <w:r>
        <w:t xml:space="preserve"> </w:t>
      </w:r>
      <w:r>
        <w:t xml:space="preserve">%</w:t>
      </w:r>
      <w:r>
        <w:t xml:space="preserve"> </w:t>
      </w:r>
      <w:r>
        <w:t xml:space="preserve">92.99</w:t>
      </w:r>
      <w:r>
        <w:t xml:space="preserve"> </w:t>
      </w:r>
      <w:r>
        <w:t xml:space="preserve">19.18</w:t>
      </w:r>
      <w:r>
        <w:t xml:space="preserve"> </w:t>
      </w:r>
      <w:r>
        <w:t xml:space="preserve">91.43</w:t>
      </w:r>
      <w:r>
        <w:t xml:space="preserve"> </w:t>
      </w:r>
      <w:r>
        <w:t xml:space="preserve">93.21</w:t>
      </w:r>
      <w:r>
        <w:t xml:space="preserve"> </w:t>
      </w:r>
      <w:r>
        <w:t xml:space="preserve">21.59</w:t>
      </w:r>
      <w:r>
        <w:t xml:space="preserve"> </w:t>
      </w:r>
      <w:r>
        <w:t xml:space="preserve">91.77</w:t>
      </w:r>
      <w:r>
        <w:t xml:space="preserve"> </w:t>
      </w:r>
      <w:r>
        <w:t xml:space="preserve">92.39</w:t>
      </w:r>
      <w:r>
        <w:t xml:space="preserve"> </w:t>
      </w:r>
      <w:r>
        <w:t xml:space="preserve">16.15</w:t>
      </w:r>
      <w:r>
        <w:t xml:space="preserve"> </w:t>
      </w:r>
      <w:r>
        <w:t xml:space="preserve">90.15</w:t>
      </w:r>
      <w:r>
        <w:t xml:space="preserve"> </w:t>
      </w:r>
      <w:r>
        <w:t xml:space="preserve">Average amount</w:t>
      </w:r>
      <w:r>
        <w:t xml:space="preserve"> </w:t>
      </w:r>
      <w:r>
        <w:t xml:space="preserve">of DGS funds</w:t>
      </w:r>
      <w:r>
        <w:t xml:space="preserve"> </w:t>
      </w:r>
      <w:r>
        <w:t xml:space="preserve">needed to reach</w:t>
      </w:r>
      <w:r>
        <w:t xml:space="preserve"> </w:t>
      </w:r>
      <w:r>
        <w:t xml:space="preserve">the 8% TLOF</w:t>
      </w:r>
      <w:r>
        <w:t xml:space="preserve"> </w:t>
      </w:r>
      <w:r>
        <w:t xml:space="preserve">threshold,</w:t>
      </w:r>
      <w:r>
        <w:t xml:space="preserve"> </w:t>
      </w:r>
      <w:r>
        <w:t xml:space="preserve">EUR bn</w:t>
      </w:r>
      <w:r>
        <w:t xml:space="preserve"> </w:t>
      </w:r>
      <w:r>
        <w:t xml:space="preserve">3.94</w:t>
      </w:r>
      <w:r>
        <w:t xml:space="preserve"> </w:t>
      </w:r>
      <w:r>
        <w:t xml:space="preserve">1.17</w:t>
      </w:r>
      <w:r>
        <w:t xml:space="preserve"> </w:t>
      </w:r>
      <w:r>
        <w:t xml:space="preserve">1.17</w:t>
      </w:r>
      <w:r>
        <w:t xml:space="preserve"> </w:t>
      </w:r>
      <w:r>
        <w:t xml:space="preserve">2.77</w:t>
      </w:r>
      <w:r>
        <w:t xml:space="preserve"> </w:t>
      </w:r>
      <w:r>
        <w:t xml:space="preserve">0.84</w:t>
      </w:r>
      <w:r>
        <w:t xml:space="preserve"> </w:t>
      </w:r>
      <w:r>
        <w:t xml:space="preserve">0.84</w:t>
      </w:r>
      <w:r>
        <w:t xml:space="preserve"> </w:t>
      </w:r>
      <w:r>
        <w:t xml:space="preserve">8</w:t>
      </w:r>
      <w:r>
        <w:t xml:space="preserve"> </w:t>
      </w:r>
      <w:r>
        <w:t xml:space="preserve">2.41</w:t>
      </w:r>
      <w:r>
        <w:t xml:space="preserve"> </w:t>
      </w:r>
      <w:r>
        <w:t xml:space="preserve">2.41</w:t>
      </w:r>
      <w:r>
        <w:t xml:space="preserve"> </w:t>
      </w:r>
      <w:r>
        <w:t xml:space="preserve">Among which,</w:t>
      </w:r>
      <w:r>
        <w:t xml:space="preserve"> </w:t>
      </w:r>
      <w:r>
        <w:t xml:space="preserve">average % of the</w:t>
      </w:r>
      <w:r>
        <w:t xml:space="preserve"> </w:t>
      </w:r>
      <w:r>
        <w:t xml:space="preserve">needed amount</w:t>
      </w:r>
      <w:r>
        <w:t xml:space="preserve"> </w:t>
      </w:r>
      <w:r>
        <w:t xml:space="preserve">that cannot be</w:t>
      </w:r>
      <w:r>
        <w:t xml:space="preserve"> </w:t>
      </w:r>
      <w:r>
        <w:t xml:space="preserve">provided</w:t>
      </w:r>
      <w:r>
        <w:t xml:space="preserve"> </w:t>
      </w:r>
      <w:r>
        <w:t xml:space="preserve">%</w:t>
      </w:r>
      <w:r>
        <w:t xml:space="preserve"> </w:t>
      </w:r>
      <w:r>
        <w:t xml:space="preserve">97.11</w:t>
      </w:r>
      <w:r>
        <w:t xml:space="preserve"> </w:t>
      </w:r>
      <w:r>
        <w:t xml:space="preserve">29.88</w:t>
      </w:r>
      <w:r>
        <w:t xml:space="preserve"> </w:t>
      </w:r>
      <w:r>
        <w:t xml:space="preserve">94.01</w:t>
      </w:r>
      <w:r>
        <w:t xml:space="preserve"> </w:t>
      </w:r>
      <w:r>
        <w:t xml:space="preserve">97.11</w:t>
      </w:r>
      <w:r>
        <w:t xml:space="preserve"> </w:t>
      </w:r>
      <w:r>
        <w:t xml:space="preserve">34.22</w:t>
      </w:r>
      <w:r>
        <w:t xml:space="preserve"> </w:t>
      </w:r>
      <w:r>
        <w:t xml:space="preserve">94.30</w:t>
      </w:r>
      <w:r>
        <w:t xml:space="preserve"> </w:t>
      </w:r>
      <w:r>
        <w:t xml:space="preserve">96.77</w:t>
      </w:r>
      <w:r>
        <w:t xml:space="preserve"> </w:t>
      </w:r>
      <w:r>
        <w:t xml:space="preserve">23.86</w:t>
      </w:r>
      <w:r>
        <w:t xml:space="preserve"> </w:t>
      </w:r>
      <w:r>
        <w:t xml:space="preserve">92.84</w:t>
      </w:r>
      <w:r>
        <w:t xml:space="preserve"> </w:t>
      </w:r>
      <w:r>
        <w:t xml:space="preserve">Number of DGSs</w:t>
      </w:r>
      <w:r>
        <w:t xml:space="preserve"> </w:t>
      </w:r>
      <w:r>
        <w:t xml:space="preserve">facing a liquidity</w:t>
      </w:r>
      <w:r>
        <w:t xml:space="preserve"> </w:t>
      </w:r>
      <w:r>
        <w:t xml:space="preserve">shortfall, if</w:t>
      </w:r>
      <w:r>
        <w:t xml:space="preserve"> </w:t>
      </w:r>
      <w:r>
        <w:t xml:space="preserve">DGSs were</w:t>
      </w:r>
      <w:r>
        <w:t xml:space="preserve"> </w:t>
      </w:r>
      <w:r>
        <w:t xml:space="preserve">allowed to</w:t>
      </w:r>
      <w:r>
        <w:t xml:space="preserve"> </w:t>
      </w:r>
      <w:r>
        <w:t xml:space="preserve">finance all the</w:t>
      </w:r>
      <w:r>
        <w:t xml:space="preserve"> </w:t>
      </w:r>
      <w:r>
        <w:t xml:space="preserve">gap to the 8%</w:t>
      </w:r>
      <w:r>
        <w:t xml:space="preserve"> </w:t>
      </w:r>
      <w:r>
        <w:t xml:space="preserve">TLOF threshold</w:t>
      </w:r>
      <w:r>
        <w:t xml:space="preserve"> </w:t>
      </w:r>
      <w:r>
        <w:t xml:space="preserve">Count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Source: Commission services, based on EBA CfA report, data as of Q4 2019, assuming an 85%</w:t>
      </w:r>
      <w:r>
        <w:t xml:space="preserve"> </w:t>
      </w:r>
      <w:r>
        <w:t xml:space="preserve">recovery rate.</w:t>
      </w:r>
    </w:p>
    <w:p>
      <w:pPr>
        <w:pStyle w:val="BodyText"/>
      </w:pPr>
      <w:r>
        <w:t xml:space="preserve">304</w:t>
      </w:r>
      <w:r>
        <w:t xml:space="preserve"> </w:t>
      </w:r>
      <w:r>
        <w:t xml:space="preserve">Table 29: DGS financial means – Modelling analysis (all sample of resolution entities</w:t>
      </w:r>
      <w:r>
        <w:t xml:space="preserve"> </w:t>
      </w:r>
      <w:r>
        <w:t xml:space="preserve">– resolution structures are not maintained)</w:t>
      </w:r>
      <w:r>
        <w:t xml:space="preserve"> </w:t>
      </w:r>
      <w:r>
        <w:t xml:space="preserve">Resolution structure is</w:t>
      </w:r>
      <w:r>
        <w:t xml:space="preserve"> </w:t>
      </w:r>
      <w:r>
        <w:t xml:space="preserve">not maintained</w:t>
      </w:r>
      <w:r>
        <w:t xml:space="preserve"> </w:t>
      </w:r>
      <w:r>
        <w:t xml:space="preserve">Global financial crisis</w:t>
      </w:r>
      <w:r>
        <w:t xml:space="preserve"> </w:t>
      </w:r>
      <w:r>
        <w:t xml:space="preserve">(2008)</w:t>
      </w:r>
    </w:p>
    <w:p>
      <w:pPr>
        <w:pStyle w:val="BodyText"/>
      </w:pP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Baseline</w:t>
      </w:r>
      <w:r>
        <w:t xml:space="preserve"> </w:t>
      </w:r>
      <w:r>
        <w:t xml:space="preserve">Single-</w:t>
      </w:r>
      <w:r>
        <w:t xml:space="preserve"> </w:t>
      </w:r>
      <w:r>
        <w:t xml:space="preserve">tier</w:t>
      </w:r>
      <w:r>
        <w:t xml:space="preserve"> </w:t>
      </w:r>
      <w:r>
        <w:t xml:space="preserve">Three-</w:t>
      </w:r>
      <w:r>
        <w:t xml:space="preserve"> </w:t>
      </w:r>
      <w:r>
        <w:t xml:space="preserve">tier</w:t>
      </w:r>
      <w:r>
        <w:t xml:space="preserve"> </w:t>
      </w:r>
      <w:r>
        <w:t xml:space="preserve">Average % of</w:t>
      </w:r>
      <w:r>
        <w:t xml:space="preserve"> </w:t>
      </w:r>
      <w:r>
        <w:t xml:space="preserve">banks that need</w:t>
      </w:r>
      <w:r>
        <w:t xml:space="preserve"> </w:t>
      </w:r>
      <w:r>
        <w:t xml:space="preserve">DGS funds to</w:t>
      </w:r>
      <w:r>
        <w:t xml:space="preserve"> </w:t>
      </w:r>
      <w:r>
        <w:t xml:space="preserve">reach the 8%</w:t>
      </w:r>
      <w:r>
        <w:t xml:space="preserve"> </w:t>
      </w:r>
      <w:r>
        <w:t xml:space="preserve">TLOF threshold</w:t>
      </w:r>
      <w:r>
        <w:t xml:space="preserve"> </w:t>
      </w:r>
      <w:r>
        <w:t xml:space="preserve">%</w:t>
      </w:r>
      <w:r>
        <w:t xml:space="preserve"> </w:t>
      </w:r>
      <w:r>
        <w:t xml:space="preserve">4.28</w:t>
      </w:r>
      <w:r>
        <w:t xml:space="preserve"> </w:t>
      </w:r>
      <w:r>
        <w:t xml:space="preserve">2.14</w:t>
      </w:r>
      <w:r>
        <w:t xml:space="preserve"> </w:t>
      </w:r>
      <w:r>
        <w:t xml:space="preserve">2.14</w:t>
      </w:r>
    </w:p>
    <w:p>
      <w:pPr>
        <w:pStyle w:val="BodyText"/>
      </w:pPr>
      <w:r>
        <w:t xml:space="preserve">3.25</w:t>
      </w:r>
      <w:r>
        <w:t xml:space="preserve"> </w:t>
      </w:r>
      <w:r>
        <w:t xml:space="preserve">1.64</w:t>
      </w:r>
      <w:r>
        <w:t xml:space="preserve"> </w:t>
      </w:r>
      <w:r>
        <w:t xml:space="preserve">1.64</w:t>
      </w:r>
      <w:r>
        <w:t xml:space="preserve"> </w:t>
      </w:r>
      <w:r>
        <w:t xml:space="preserve">7.64</w:t>
      </w:r>
      <w:r>
        <w:t xml:space="preserve"> </w:t>
      </w:r>
      <w:r>
        <w:t xml:space="preserve">3.78</w:t>
      </w:r>
      <w:r>
        <w:t xml:space="preserve"> </w:t>
      </w:r>
      <w:r>
        <w:t xml:space="preserve">3.78</w:t>
      </w:r>
      <w:r>
        <w:t xml:space="preserve"> </w:t>
      </w:r>
      <w:r>
        <w:t xml:space="preserve">Among which,</w:t>
      </w:r>
      <w:r>
        <w:t xml:space="preserve"> </w:t>
      </w:r>
      <w:r>
        <w:t xml:space="preserve">average % of</w:t>
      </w:r>
      <w:r>
        <w:t xml:space="preserve"> </w:t>
      </w:r>
      <w:r>
        <w:t xml:space="preserve">banks that cannot</w:t>
      </w:r>
      <w:r>
        <w:t xml:space="preserve"> </w:t>
      </w:r>
      <w:r>
        <w:t xml:space="preserve">reach the 8%</w:t>
      </w:r>
      <w:r>
        <w:t xml:space="preserve"> </w:t>
      </w:r>
      <w:r>
        <w:t xml:space="preserve">threshold</w:t>
      </w:r>
      <w:r>
        <w:t xml:space="preserve"> </w:t>
      </w:r>
      <w:r>
        <w:t xml:space="preserve">%</w:t>
      </w:r>
      <w:r>
        <w:t xml:space="preserve"> </w:t>
      </w:r>
      <w:r>
        <w:t xml:space="preserve">91.77</w:t>
      </w:r>
      <w:r>
        <w:t xml:space="preserve"> </w:t>
      </w:r>
      <w:r>
        <w:t xml:space="preserve">18.83</w:t>
      </w:r>
      <w:r>
        <w:t xml:space="preserve"> </w:t>
      </w:r>
      <w:r>
        <w:t xml:space="preserve">86.74</w:t>
      </w:r>
      <w:r>
        <w:t xml:space="preserve"> </w:t>
      </w:r>
      <w:r>
        <w:t xml:space="preserve">91.47</w:t>
      </w:r>
      <w:r>
        <w:t xml:space="preserve"> </w:t>
      </w:r>
      <w:r>
        <w:t xml:space="preserve">19.45</w:t>
      </w:r>
      <w:r>
        <w:t xml:space="preserve"> </w:t>
      </w:r>
      <w:r>
        <w:t xml:space="preserve">86.27</w:t>
      </w:r>
      <w:r>
        <w:t xml:space="preserve"> </w:t>
      </w:r>
      <w:r>
        <w:t xml:space="preserve">92.17</w:t>
      </w:r>
      <w:r>
        <w:t xml:space="preserve"> </w:t>
      </w:r>
      <w:r>
        <w:t xml:space="preserve">19.06</w:t>
      </w:r>
      <w:r>
        <w:t xml:space="preserve"> </w:t>
      </w:r>
      <w:r>
        <w:t xml:space="preserve">87.22</w:t>
      </w:r>
      <w:r>
        <w:t xml:space="preserve"> </w:t>
      </w:r>
      <w:r>
        <w:t xml:space="preserve">Average amount</w:t>
      </w:r>
      <w:r>
        <w:t xml:space="preserve"> </w:t>
      </w:r>
      <w:r>
        <w:t xml:space="preserve">of DGS funds</w:t>
      </w:r>
      <w:r>
        <w:t xml:space="preserve"> </w:t>
      </w:r>
      <w:r>
        <w:t xml:space="preserve">needed to reach</w:t>
      </w:r>
      <w:r>
        <w:t xml:space="preserve"> </w:t>
      </w:r>
      <w:r>
        <w:t xml:space="preserve">the 8%</w:t>
      </w:r>
      <w:r>
        <w:t xml:space="preserve"> </w:t>
      </w:r>
      <w:r>
        <w:t xml:space="preserve">threshold,</w:t>
      </w:r>
      <w:r>
        <w:t xml:space="preserve"> </w:t>
      </w:r>
      <w:r>
        <w:t xml:space="preserve">EUR bn</w:t>
      </w:r>
      <w:r>
        <w:t xml:space="preserve"> </w:t>
      </w:r>
      <w:r>
        <w:t xml:space="preserve">7.62</w:t>
      </w:r>
      <w:r>
        <w:t xml:space="preserve"> </w:t>
      </w:r>
      <w:r>
        <w:t xml:space="preserve">2.73</w:t>
      </w:r>
      <w:r>
        <w:t xml:space="preserve"> </w:t>
      </w:r>
      <w:r>
        <w:t xml:space="preserve">2.73</w:t>
      </w:r>
      <w:r>
        <w:t xml:space="preserve"> </w:t>
      </w:r>
      <w:r>
        <w:t xml:space="preserve">5.38</w:t>
      </w:r>
      <w:r>
        <w:t xml:space="preserve"> </w:t>
      </w:r>
      <w:r>
        <w:t xml:space="preserve">1.95</w:t>
      </w:r>
      <w:r>
        <w:t xml:space="preserve"> </w:t>
      </w:r>
      <w:r>
        <w:t xml:space="preserve">1.95</w:t>
      </w:r>
      <w:r>
        <w:t xml:space="preserve"> </w:t>
      </w:r>
      <w:r>
        <w:t xml:space="preserve">15.71</w:t>
      </w:r>
      <w:r>
        <w:t xml:space="preserve"> </w:t>
      </w:r>
      <w:r>
        <w:t xml:space="preserve">5.85</w:t>
      </w:r>
      <w:r>
        <w:t xml:space="preserve"> </w:t>
      </w:r>
      <w:r>
        <w:t xml:space="preserve">5.85</w:t>
      </w:r>
      <w:r>
        <w:t xml:space="preserve"> </w:t>
      </w:r>
      <w:r>
        <w:t xml:space="preserve">Among which,</w:t>
      </w:r>
      <w:r>
        <w:t xml:space="preserve"> </w:t>
      </w:r>
      <w:r>
        <w:t xml:space="preserve">average % of the</w:t>
      </w:r>
      <w:r>
        <w:t xml:space="preserve"> </w:t>
      </w:r>
      <w:r>
        <w:t xml:space="preserve">needed amount</w:t>
      </w:r>
      <w:r>
        <w:t xml:space="preserve"> </w:t>
      </w:r>
      <w:r>
        <w:t xml:space="preserve">that cannot be</w:t>
      </w:r>
      <w:r>
        <w:t xml:space="preserve"> </w:t>
      </w:r>
      <w:r>
        <w:t xml:space="preserve">provided</w:t>
      </w:r>
      <w:r>
        <w:t xml:space="preserve"> </w:t>
      </w:r>
      <w:r>
        <w:t xml:space="preserve">%</w:t>
      </w:r>
      <w:r>
        <w:t xml:space="preserve"> </w:t>
      </w:r>
      <w:r>
        <w:t xml:space="preserve">96.39</w:t>
      </w:r>
      <w:r>
        <w:t xml:space="preserve"> </w:t>
      </w:r>
      <w:r>
        <w:t xml:space="preserve">25.16</w:t>
      </w:r>
      <w:r>
        <w:t xml:space="preserve"> </w:t>
      </w:r>
      <w:r>
        <w:t xml:space="preserve">92.04</w:t>
      </w:r>
      <w:r>
        <w:t xml:space="preserve"> </w:t>
      </w:r>
      <w:r>
        <w:t xml:space="preserve">96.22</w:t>
      </w:r>
      <w:r>
        <w:t xml:space="preserve"> </w:t>
      </w:r>
      <w:r>
        <w:t xml:space="preserve">24.69</w:t>
      </w:r>
      <w:r>
        <w:t xml:space="preserve"> </w:t>
      </w:r>
      <w:r>
        <w:t xml:space="preserve">91.71</w:t>
      </w:r>
      <w:r>
        <w:t xml:space="preserve"> </w:t>
      </w:r>
      <w:r>
        <w:t xml:space="preserve">96.34</w:t>
      </w:r>
      <w:r>
        <w:t xml:space="preserve"> </w:t>
      </w:r>
      <w:r>
        <w:t xml:space="preserve">27.25</w:t>
      </w:r>
      <w:r>
        <w:t xml:space="preserve"> </w:t>
      </w:r>
      <w:r>
        <w:t xml:space="preserve">92.25</w:t>
      </w:r>
      <w:r>
        <w:t xml:space="preserve"> </w:t>
      </w:r>
      <w:r>
        <w:t xml:space="preserve">Number of</w:t>
      </w:r>
      <w:r>
        <w:t xml:space="preserve"> </w:t>
      </w:r>
      <w:r>
        <w:t xml:space="preserve">DGSs facing a</w:t>
      </w:r>
      <w:r>
        <w:t xml:space="preserve"> </w:t>
      </w:r>
      <w:r>
        <w:t xml:space="preserve">liquidity</w:t>
      </w:r>
      <w:r>
        <w:t xml:space="preserve"> </w:t>
      </w:r>
      <w:r>
        <w:t xml:space="preserve">shortfall, if</w:t>
      </w:r>
      <w:r>
        <w:t xml:space="preserve"> </w:t>
      </w:r>
      <w:r>
        <w:t xml:space="preserve">DGSs were</w:t>
      </w:r>
      <w:r>
        <w:t xml:space="preserve"> </w:t>
      </w:r>
      <w:r>
        <w:t xml:space="preserve">allowed to</w:t>
      </w:r>
      <w:r>
        <w:t xml:space="preserve"> </w:t>
      </w:r>
      <w:r>
        <w:t xml:space="preserve">finance all the</w:t>
      </w:r>
      <w:r>
        <w:t xml:space="preserve"> </w:t>
      </w:r>
      <w:r>
        <w:t xml:space="preserve">gap to the 8%</w:t>
      </w:r>
      <w:r>
        <w:t xml:space="preserve"> </w:t>
      </w:r>
      <w:r>
        <w:t xml:space="preserve">TLOF threshold</w:t>
      </w:r>
      <w:r>
        <w:t xml:space="preserve"> </w:t>
      </w:r>
      <w:r>
        <w:t xml:space="preserve">Count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15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Source: Commission services, based on EBA CfA report, data as of Q4 2019, assuming an 85%</w:t>
      </w:r>
      <w:r>
        <w:t xml:space="preserve"> </w:t>
      </w:r>
      <w:r>
        <w:t xml:space="preserve">recovery rate.</w:t>
      </w:r>
      <w:r>
        <w:br/>
      </w:r>
      <w:r>
        <w:t xml:space="preserve">Table 35 and Table 40 compare the probabilities and the amounts of liquidity shortfalls</w:t>
      </w:r>
      <w:r>
        <w:t xml:space="preserve"> </w:t>
      </w:r>
      <w:r>
        <w:t xml:space="preserve">in the Banking Union, considering in turn only the DGSs and different ways to design</w:t>
      </w:r>
      <w:r>
        <w:t xml:space="preserve"> </w:t>
      </w:r>
      <w:r>
        <w:t xml:space="preserve">EDIS458.</w:t>
      </w:r>
      <w:r>
        <w:t xml:space="preserve"> </w:t>
      </w:r>
      <w:r>
        <w:t xml:space="preserve">Under a high-ambition hybrid EDIS, a target level of 0.6% of covered deposits is</w:t>
      </w:r>
      <w:r>
        <w:t xml:space="preserve"> </w:t>
      </w:r>
      <w:r>
        <w:t xml:space="preserve">considered, where 75% of the funds are in the central fund and 25% remaining in the</w:t>
      </w:r>
      <w:r>
        <w:t xml:space="preserve"> </w:t>
      </w:r>
      <w:r>
        <w:t xml:space="preserve">national DGSs. A medium-ambition hybrid EDIS considers a target level of 0.7% of</w:t>
      </w:r>
      <w:r>
        <w:t xml:space="preserve"> </w:t>
      </w:r>
      <w:r>
        <w:t xml:space="preserve">covered deposits, where 50% of the funds are in the central fund and 50% remaining in</w:t>
      </w:r>
      <w:r>
        <w:t xml:space="preserve"> </w:t>
      </w:r>
      <w:r>
        <w:t xml:space="preserve">the national DGSs. A low-ambition hybrid EDIS considers a 0.8% covered deposits</w:t>
      </w:r>
      <w:r>
        <w:t xml:space="preserve"> </w:t>
      </w:r>
      <w:r>
        <w:t xml:space="preserve">target level with 25% of the funds in the central fund and 75% in the national DGSs.</w:t>
      </w:r>
      <w:r>
        <w:t xml:space="preserve"> </w:t>
      </w:r>
      <w:r>
        <w:t xml:space="preserve">The results show an important probability that at least one DGS faces a liquidity shortfall</w:t>
      </w:r>
      <w:r>
        <w:t xml:space="preserve"> </w:t>
      </w:r>
      <w:r>
        <w:t xml:space="preserve">in the Banking Union in case of financial crisis. For instance, under a financial crisis as</w:t>
      </w:r>
      <w:r>
        <w:t xml:space="preserve"> </w:t>
      </w:r>
      <w:r>
        <w:t xml:space="preserve">severe as in 2008 and considering a single-tier depositor preference, there is 30.78%</w:t>
      </w:r>
      <w:r>
        <w:t xml:space="preserve"> </w:t>
      </w:r>
      <w:r>
        <w:t xml:space="preserve">probability that at least one DGS faces a liquidity shortfall. On average, the amount of</w:t>
      </w:r>
      <w:r>
        <w:t xml:space="preserve"> </w:t>
      </w:r>
      <w:r>
        <w:t xml:space="preserve">the liquidity shortfall would amount to EUR 0.3 bn. Assuming that the resolution group</w:t>
      </w:r>
      <w:r>
        <w:t xml:space="preserve"> </w:t>
      </w:r>
      <w:r>
        <w:t xml:space="preserve">structures break down has a significant impact on the results. The probability of DGS</w:t>
      </w:r>
    </w:p>
    <w:p>
      <w:pPr>
        <w:pStyle w:val="BodyText"/>
      </w:pPr>
      <w:r>
        <w:t xml:space="preserve">458 See Annex 10 for more details on the hybrid model designs.</w:t>
      </w:r>
    </w:p>
    <w:p>
      <w:pPr>
        <w:pStyle w:val="BodyText"/>
      </w:pPr>
      <w:r>
        <w:t xml:space="preserve">305</w:t>
      </w:r>
      <w:r>
        <w:t xml:space="preserve"> </w:t>
      </w:r>
      <w:r>
        <w:t xml:space="preserve">liquidity shortfall would raise from 30.78% to 74.78% and the amount of liquidity</w:t>
      </w:r>
      <w:r>
        <w:t xml:space="preserve"> </w:t>
      </w:r>
      <w:r>
        <w:t xml:space="preserve">shortfall would increase on average from EUR 0.3 bn to EUR 0.8 bn. In addition,</w:t>
      </w:r>
      <w:r>
        <w:t xml:space="preserve"> </w:t>
      </w:r>
      <w:r>
        <w:t xml:space="preserve">increasing the severity of the crisis simulations would have a significant impact on the</w:t>
      </w:r>
      <w:r>
        <w:t xml:space="preserve"> </w:t>
      </w:r>
      <w:r>
        <w:t xml:space="preserve">probability of shortfall (58.17% if the resolution group structure is maintained and</w:t>
      </w:r>
      <w:r>
        <w:t xml:space="preserve"> </w:t>
      </w:r>
      <w:r>
        <w:t xml:space="preserve">91.34% if the resolution group structure is not maintained).</w:t>
      </w:r>
      <w:r>
        <w:t xml:space="preserve"> </w:t>
      </w:r>
      <w:r>
        <w:t xml:space="preserve">The hybrid EDIS models would significantly mitigate the risk of liquidity shortfall. The</w:t>
      </w:r>
      <w:r>
        <w:t xml:space="preserve"> </w:t>
      </w:r>
      <w:r>
        <w:t xml:space="preserve">high-ambition hybrid EDIS would reduce the probability of liquidity shortfall to a</w:t>
      </w:r>
      <w:r>
        <w:t xml:space="preserve"> </w:t>
      </w:r>
      <w:r>
        <w:t xml:space="preserve">negligible level in all situations. The low-ambition hybrid EDIS would also reduce the</w:t>
      </w:r>
      <w:r>
        <w:t xml:space="preserve"> </w:t>
      </w:r>
      <w:r>
        <w:t xml:space="preserve">probability of liquidity shortfall. In case the resolution group structures are maintained,</w:t>
      </w:r>
      <w:r>
        <w:t xml:space="preserve"> </w:t>
      </w:r>
      <w:r>
        <w:t xml:space="preserve">the probability of liquidity shortfall is negligible, but it raises to 6.68% in the worst case</w:t>
      </w:r>
      <w:r>
        <w:t xml:space="preserve"> </w:t>
      </w:r>
      <w:r>
        <w:t xml:space="preserve">scenario including crisis simulations more severe than in 2008 and considering a break-</w:t>
      </w:r>
      <w:r>
        <w:t xml:space="preserve"> </w:t>
      </w:r>
      <w:r>
        <w:t xml:space="preserve">up of the resolution group. The shortfall amount would be limited.</w:t>
      </w:r>
      <w:r>
        <w:t xml:space="preserve"> </w:t>
      </w:r>
      <w:r>
        <w:t xml:space="preserve">These results should be interpreted with great caution, as the probabilities and the</w:t>
      </w:r>
      <w:r>
        <w:t xml:space="preserve"> </w:t>
      </w:r>
      <w:r>
        <w:t xml:space="preserve">amounts of liquidity shortfalls are may be significantly underestimated:</w:t>
      </w:r>
      <w:r>
        <w:br/>
      </w:r>
      <w:r>
        <w:t xml:space="preserve">-</w:t>
      </w:r>
      <w:r>
        <w:t xml:space="preserve"> </w:t>
      </w:r>
      <w:r>
        <w:t xml:space="preserve">First, the results do not include payout cases, which are much more cash</w:t>
      </w:r>
      <w:r>
        <w:t xml:space="preserve"> </w:t>
      </w:r>
      <w:r>
        <w:t xml:space="preserve">consuming. Including them would significantly increase the funding needs of the</w:t>
      </w:r>
      <w:r>
        <w:t xml:space="preserve"> </w:t>
      </w:r>
      <w:r>
        <w:t xml:space="preserve">DGSs and hybrid EDIS models, leading to higher probabilities and amounts of</w:t>
      </w:r>
      <w:r>
        <w:t xml:space="preserve"> </w:t>
      </w:r>
      <w:r>
        <w:t xml:space="preserve">liquidity shortfalls both for the DGSs and the hybrid EDIS models.</w:t>
      </w:r>
      <w:r>
        <w:br/>
      </w:r>
      <w:r>
        <w:t xml:space="preserve">-</w:t>
      </w:r>
      <w:r>
        <w:t xml:space="preserve"> </w:t>
      </w:r>
      <w:r>
        <w:t xml:space="preserve">Second, the analysis is based on an 85% recovery rate. Assuming a lower</w:t>
      </w:r>
      <w:r>
        <w:t xml:space="preserve"> </w:t>
      </w:r>
      <w:r>
        <w:t xml:space="preserve">recovery rate would unlock more funds, leading to higher probabilities and</w:t>
      </w:r>
      <w:r>
        <w:t xml:space="preserve"> </w:t>
      </w:r>
      <w:r>
        <w:t xml:space="preserve">amounts of shortfalls for the DGSs and the hybrid EDIS models.</w:t>
      </w:r>
      <w:r>
        <w:br/>
      </w:r>
      <w:r>
        <w:t xml:space="preserve">-</w:t>
      </w:r>
      <w:r>
        <w:t xml:space="preserve"> </w:t>
      </w:r>
      <w:r>
        <w:t xml:space="preserve">Third, the results are based on restated amounts of DGS and hybrid EDIS</w:t>
      </w:r>
      <w:r>
        <w:t xml:space="preserve"> </w:t>
      </w:r>
      <w:r>
        <w:t xml:space="preserve">financial means that may not be fully representative for all Member States459. In</w:t>
      </w:r>
      <w:r>
        <w:t xml:space="preserve"> </w:t>
      </w:r>
      <w:r>
        <w:t xml:space="preserve">addition, a larger sample of banks would automatically increase the probabilities</w:t>
      </w:r>
      <w:r>
        <w:t xml:space="preserve"> </w:t>
      </w:r>
      <w:r>
        <w:t xml:space="preserve">and the amounts of liquidity shortfall.</w:t>
      </w:r>
    </w:p>
    <w:p>
      <w:pPr>
        <w:pStyle w:val="BodyText"/>
      </w:pPr>
      <w:r>
        <w:t xml:space="preserve">459 Given that the analysed sample only covers a share of the EU banks, the size of the DGS funds and</w:t>
      </w:r>
      <w:r>
        <w:t xml:space="preserve"> </w:t>
      </w:r>
      <w:r>
        <w:t xml:space="preserve">hybrid EDIS funds have been restated for comparability reasons.</w:t>
      </w:r>
    </w:p>
    <w:p>
      <w:pPr>
        <w:pStyle w:val="BodyText"/>
      </w:pPr>
      <w:r>
        <w:t xml:space="preserve">306</w:t>
      </w:r>
      <w:r>
        <w:t xml:space="preserve"> </w:t>
      </w:r>
      <w:r>
        <w:t xml:space="preserve">Table 30: Performances of the DGSs and the hybrid EDIS in providing funding in</w:t>
      </w:r>
      <w:r>
        <w:t xml:space="preserve"> </w:t>
      </w:r>
      <w:r>
        <w:t xml:space="preserve">resolution (Resolution structure is maintained)</w:t>
      </w:r>
      <w:r>
        <w:t xml:space="preserve"> </w:t>
      </w:r>
      <w:r>
        <w:t xml:space="preserve">Resolution structure is maintained</w:t>
      </w:r>
      <w:r>
        <w:t xml:space="preserve"> </w:t>
      </w:r>
      <w:r>
        <w:t xml:space="preserve">Global financial crisis</w:t>
      </w:r>
      <w:r>
        <w:t xml:space="preserve"> </w:t>
      </w:r>
      <w:r>
        <w:t xml:space="preserve">(2008)</w:t>
      </w:r>
    </w:p>
    <w:p>
      <w:pPr>
        <w:pStyle w:val="BodyText"/>
      </w:pP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Single-tier</w:t>
      </w:r>
      <w:r>
        <w:t xml:space="preserve"> </w:t>
      </w:r>
      <w:r>
        <w:t xml:space="preserve">Single-tier</w:t>
      </w:r>
      <w:r>
        <w:t xml:space="preserve"> </w:t>
      </w:r>
      <w:r>
        <w:t xml:space="preserve">Single-tier</w:t>
      </w:r>
      <w:r>
        <w:t xml:space="preserve"> </w:t>
      </w:r>
      <w:r>
        <w:t xml:space="preserve">DGSs only</w:t>
      </w:r>
      <w:r>
        <w:t xml:space="preserve"> </w:t>
      </w:r>
      <w:r>
        <w:t xml:space="preserve">Probability of</w:t>
      </w:r>
      <w:r>
        <w:t xml:space="preserve"> </w:t>
      </w:r>
      <w:r>
        <w:t xml:space="preserve">liquidity shortfall</w:t>
      </w:r>
      <w:r>
        <w:t xml:space="preserve"> </w:t>
      </w:r>
      <w:r>
        <w:t xml:space="preserve">%</w:t>
      </w:r>
      <w:r>
        <w:t xml:space="preserve"> </w:t>
      </w:r>
      <w:r>
        <w:t xml:space="preserve">30.78</w:t>
      </w:r>
      <w:r>
        <w:t xml:space="preserve"> </w:t>
      </w:r>
      <w:r>
        <w:t xml:space="preserve">22.06</w:t>
      </w:r>
      <w:r>
        <w:t xml:space="preserve"> </w:t>
      </w:r>
      <w:r>
        <w:t xml:space="preserve">58.17</w:t>
      </w:r>
      <w:r>
        <w:t xml:space="preserve"> </w:t>
      </w:r>
      <w:r>
        <w:t xml:space="preserve">Amount of liquidity</w:t>
      </w:r>
      <w:r>
        <w:t xml:space="preserve"> </w:t>
      </w:r>
      <w:r>
        <w:t xml:space="preserve">shortfall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High</w:t>
      </w:r>
      <w:r>
        <w:t xml:space="preserve"> </w:t>
      </w:r>
      <w:r>
        <w:t xml:space="preserve">ambition</w:t>
      </w:r>
      <w:r>
        <w:t xml:space="preserve"> </w:t>
      </w:r>
      <w:r>
        <w:t xml:space="preserve">hybrid</w:t>
      </w:r>
      <w:r>
        <w:t xml:space="preserve"> </w:t>
      </w:r>
      <w:r>
        <w:t xml:space="preserve">EDIS</w:t>
      </w:r>
      <w:r>
        <w:t xml:space="preserve"> </w:t>
      </w:r>
      <w:r>
        <w:t xml:space="preserve">Probability of</w:t>
      </w:r>
      <w:r>
        <w:t xml:space="preserve"> </w:t>
      </w:r>
      <w:r>
        <w:t xml:space="preserve">liquidity shortfall</w:t>
      </w:r>
      <w:r>
        <w:t xml:space="preserve"> </w:t>
      </w:r>
      <w:r>
        <w:t xml:space="preserve">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Amount of liquidity</w:t>
      </w:r>
      <w:r>
        <w:t xml:space="preserve"> </w:t>
      </w:r>
      <w:r>
        <w:t xml:space="preserve">shortfall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</w:t>
      </w:r>
      <w:r>
        <w:t xml:space="preserve"> </w:t>
      </w:r>
      <w:r>
        <w:t xml:space="preserve">hybrid</w:t>
      </w:r>
      <w:r>
        <w:t xml:space="preserve"> </w:t>
      </w:r>
      <w:r>
        <w:t xml:space="preserve">EDIS</w:t>
      </w:r>
      <w:r>
        <w:t xml:space="preserve"> </w:t>
      </w:r>
      <w:r>
        <w:t xml:space="preserve">Probability of</w:t>
      </w:r>
      <w:r>
        <w:t xml:space="preserve"> </w:t>
      </w:r>
      <w:r>
        <w:t xml:space="preserve">liquidity shortfall</w:t>
      </w:r>
      <w:r>
        <w:t xml:space="preserve"> </w:t>
      </w:r>
      <w:r>
        <w:t xml:space="preserve">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Amount of liquidity</w:t>
      </w:r>
      <w:r>
        <w:t xml:space="preserve"> </w:t>
      </w:r>
      <w:r>
        <w:t xml:space="preserve">shortfall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Low</w:t>
      </w:r>
      <w:r>
        <w:t xml:space="preserve"> </w:t>
      </w:r>
      <w:r>
        <w:t xml:space="preserve">ambition</w:t>
      </w:r>
      <w:r>
        <w:t xml:space="preserve"> </w:t>
      </w:r>
      <w:r>
        <w:t xml:space="preserve">hybrid</w:t>
      </w:r>
      <w:r>
        <w:t xml:space="preserve"> </w:t>
      </w:r>
      <w:r>
        <w:t xml:space="preserve">EDIS</w:t>
      </w:r>
      <w:r>
        <w:t xml:space="preserve"> </w:t>
      </w:r>
      <w:r>
        <w:t xml:space="preserve">Probability of</w:t>
      </w:r>
      <w:r>
        <w:t xml:space="preserve"> </w:t>
      </w:r>
      <w:r>
        <w:t xml:space="preserve">liquidity shortfall</w:t>
      </w:r>
      <w:r>
        <w:t xml:space="preserve"> </w:t>
      </w:r>
      <w:r>
        <w:t xml:space="preserve">%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0.25</w:t>
      </w:r>
      <w:r>
        <w:t xml:space="preserve"> </w:t>
      </w:r>
      <w:r>
        <w:t xml:space="preserve">Amount of liquidity</w:t>
      </w:r>
      <w:r>
        <w:t xml:space="preserve"> </w:t>
      </w:r>
      <w:r>
        <w:t xml:space="preserve">shortfall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Source: Commission services, based on EBA CfA report, data as of Q4 2019, assuming an 85%</w:t>
      </w:r>
      <w:r>
        <w:t xml:space="preserve"> </w:t>
      </w:r>
      <w:r>
        <w:t xml:space="preserve">recovery rate.</w:t>
      </w:r>
    </w:p>
    <w:p>
      <w:pPr>
        <w:pStyle w:val="BodyText"/>
      </w:pPr>
      <w:r>
        <w:t xml:space="preserve">Table 31: Performances of the DGSs and the hybrid EDIS in providing funding in</w:t>
      </w:r>
      <w:r>
        <w:t xml:space="preserve"> </w:t>
      </w:r>
      <w:r>
        <w:t xml:space="preserve">resolution (Resolution structure is not maintained)</w:t>
      </w:r>
      <w:r>
        <w:t xml:space="preserve"> </w:t>
      </w:r>
      <w:r>
        <w:t xml:space="preserve">Resolution structure is not maintained</w:t>
      </w:r>
      <w:r>
        <w:t xml:space="preserve"> </w:t>
      </w:r>
      <w:r>
        <w:t xml:space="preserve">Global financial crisis</w:t>
      </w:r>
      <w:r>
        <w:t xml:space="preserve"> </w:t>
      </w:r>
      <w:r>
        <w:t xml:space="preserve">(2008)</w:t>
      </w:r>
    </w:p>
    <w:p>
      <w:pPr>
        <w:pStyle w:val="BodyText"/>
      </w:pPr>
      <w:r>
        <w:t xml:space="preserve">Less severe crisis</w:t>
      </w:r>
      <w:r>
        <w:t xml:space="preserve"> </w:t>
      </w:r>
      <w:r>
        <w:t xml:space="preserve">More severe crisis</w:t>
      </w:r>
      <w:r>
        <w:t xml:space="preserve"> </w:t>
      </w:r>
      <w:r>
        <w:t xml:space="preserve">Single-tier</w:t>
      </w:r>
      <w:r>
        <w:t xml:space="preserve"> </w:t>
      </w:r>
      <w:r>
        <w:t xml:space="preserve">Single-tier</w:t>
      </w:r>
      <w:r>
        <w:t xml:space="preserve"> </w:t>
      </w:r>
      <w:r>
        <w:t xml:space="preserve">Single-tier</w:t>
      </w:r>
      <w:r>
        <w:t xml:space="preserve"> </w:t>
      </w:r>
      <w:r>
        <w:t xml:space="preserve">DGSs only</w:t>
      </w:r>
      <w:r>
        <w:t xml:space="preserve"> </w:t>
      </w:r>
      <w:r>
        <w:t xml:space="preserve">Probability of</w:t>
      </w:r>
      <w:r>
        <w:t xml:space="preserve"> </w:t>
      </w:r>
      <w:r>
        <w:t xml:space="preserve">liquidity shortfall</w:t>
      </w:r>
      <w:r>
        <w:t xml:space="preserve"> </w:t>
      </w:r>
      <w:r>
        <w:t xml:space="preserve">%</w:t>
      </w:r>
      <w:r>
        <w:t xml:space="preserve"> </w:t>
      </w:r>
      <w:r>
        <w:t xml:space="preserve">74.28</w:t>
      </w:r>
      <w:r>
        <w:t xml:space="preserve"> </w:t>
      </w:r>
      <w:r>
        <w:t xml:space="preserve">63.02</w:t>
      </w:r>
      <w:r>
        <w:t xml:space="preserve"> </w:t>
      </w:r>
      <w:r>
        <w:t xml:space="preserve">91.34</w:t>
      </w:r>
      <w:r>
        <w:t xml:space="preserve"> </w:t>
      </w:r>
      <w:r>
        <w:t xml:space="preserve">Amount of liquidity</w:t>
      </w:r>
      <w:r>
        <w:t xml:space="preserve"> </w:t>
      </w:r>
      <w:r>
        <w:t xml:space="preserve">shortfall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t xml:space="preserve"> </w:t>
      </w:r>
      <w:r>
        <w:t xml:space="preserve">0.8</w:t>
      </w:r>
      <w:r>
        <w:t xml:space="preserve"> </w:t>
      </w:r>
      <w:r>
        <w:t xml:space="preserve">0.6</w:t>
      </w:r>
      <w:r>
        <w:t xml:space="preserve"> </w:t>
      </w:r>
      <w:r>
        <w:t xml:space="preserve">1.4</w:t>
      </w:r>
      <w:r>
        <w:t xml:space="preserve"> </w:t>
      </w:r>
      <w:r>
        <w:t xml:space="preserve">High</w:t>
      </w:r>
      <w:r>
        <w:t xml:space="preserve"> </w:t>
      </w:r>
      <w:r>
        <w:t xml:space="preserve">ambition</w:t>
      </w:r>
      <w:r>
        <w:t xml:space="preserve"> </w:t>
      </w:r>
      <w:r>
        <w:t xml:space="preserve">hybrid</w:t>
      </w:r>
      <w:r>
        <w:t xml:space="preserve"> </w:t>
      </w:r>
      <w:r>
        <w:t xml:space="preserve">EDIS</w:t>
      </w:r>
      <w:r>
        <w:t xml:space="preserve"> </w:t>
      </w:r>
      <w:r>
        <w:t xml:space="preserve">Probability of</w:t>
      </w:r>
      <w:r>
        <w:t xml:space="preserve"> </w:t>
      </w:r>
      <w:r>
        <w:t xml:space="preserve">liquidity shortfall</w:t>
      </w:r>
      <w:r>
        <w:t xml:space="preserve"> </w:t>
      </w:r>
      <w:r>
        <w:t xml:space="preserve">%</w:t>
      </w:r>
      <w:r>
        <w:t xml:space="preserve"> </w:t>
      </w:r>
      <w:r>
        <w:t xml:space="preserve">0.1</w:t>
      </w:r>
      <w:r>
        <w:t xml:space="preserve"> </w:t>
      </w:r>
      <w:r>
        <w:t xml:space="preserve">0.05</w:t>
      </w:r>
      <w:r>
        <w:t xml:space="preserve"> </w:t>
      </w:r>
      <w:r>
        <w:t xml:space="preserve">0.5</w:t>
      </w:r>
      <w:r>
        <w:t xml:space="preserve"> </w:t>
      </w:r>
      <w:r>
        <w:t xml:space="preserve">Amount of liquidity</w:t>
      </w:r>
      <w:r>
        <w:t xml:space="preserve"> </w:t>
      </w:r>
      <w:r>
        <w:t xml:space="preserve">shortfall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0.01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</w:t>
      </w:r>
      <w:r>
        <w:t xml:space="preserve"> </w:t>
      </w:r>
      <w:r>
        <w:t xml:space="preserve">hybrid</w:t>
      </w:r>
      <w:r>
        <w:t xml:space="preserve"> </w:t>
      </w:r>
      <w:r>
        <w:t xml:space="preserve">EDIS</w:t>
      </w:r>
      <w:r>
        <w:t xml:space="preserve"> </w:t>
      </w:r>
      <w:r>
        <w:t xml:space="preserve">Probability of</w:t>
      </w:r>
      <w:r>
        <w:t xml:space="preserve"> </w:t>
      </w:r>
      <w:r>
        <w:t xml:space="preserve">liquidity shortfall</w:t>
      </w:r>
      <w:r>
        <w:t xml:space="preserve"> </w:t>
      </w:r>
      <w:r>
        <w:t xml:space="preserve">%</w:t>
      </w:r>
      <w:r>
        <w:t xml:space="preserve"> </w:t>
      </w:r>
      <w:r>
        <w:t xml:space="preserve">0.5</w:t>
      </w:r>
      <w:r>
        <w:t xml:space="preserve"> </w:t>
      </w:r>
      <w:r>
        <w:t xml:space="preserve">0.25</w:t>
      </w:r>
      <w:r>
        <w:t xml:space="preserve"> </w:t>
      </w:r>
      <w:r>
        <w:t xml:space="preserve">2.48</w:t>
      </w:r>
      <w:r>
        <w:t xml:space="preserve"> </w:t>
      </w:r>
      <w:r>
        <w:t xml:space="preserve">Amount of liquidity</w:t>
      </w:r>
      <w:r>
        <w:t xml:space="preserve"> </w:t>
      </w:r>
      <w:r>
        <w:t xml:space="preserve">shortfall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t xml:space="preserve"> </w:t>
      </w:r>
      <w:r>
        <w:t xml:space="preserve">0.02</w:t>
      </w:r>
    </w:p>
    <w:p>
      <w:pPr>
        <w:pStyle w:val="BodyText"/>
      </w:pPr>
      <w:r>
        <w:t xml:space="preserve">0.01</w:t>
      </w:r>
      <w:r>
        <w:t xml:space="preserve"> </w:t>
      </w:r>
      <w:r>
        <w:t xml:space="preserve">0.07</w:t>
      </w:r>
      <w:r>
        <w:t xml:space="preserve"> </w:t>
      </w:r>
      <w:r>
        <w:t xml:space="preserve">Low</w:t>
      </w:r>
      <w:r>
        <w:t xml:space="preserve"> </w:t>
      </w:r>
      <w:r>
        <w:t xml:space="preserve">ambition</w:t>
      </w:r>
      <w:r>
        <w:t xml:space="preserve"> </w:t>
      </w:r>
      <w:r>
        <w:t xml:space="preserve">hybrid</w:t>
      </w:r>
      <w:r>
        <w:t xml:space="preserve"> </w:t>
      </w:r>
      <w:r>
        <w:t xml:space="preserve">EDIS</w:t>
      </w:r>
      <w:r>
        <w:t xml:space="preserve"> </w:t>
      </w:r>
      <w:r>
        <w:t xml:space="preserve">Probability of</w:t>
      </w:r>
      <w:r>
        <w:t xml:space="preserve"> </w:t>
      </w:r>
      <w:r>
        <w:t xml:space="preserve">liquidity shortfall</w:t>
      </w:r>
      <w:r>
        <w:t xml:space="preserve"> </w:t>
      </w:r>
      <w:r>
        <w:t xml:space="preserve">%</w:t>
      </w:r>
      <w:r>
        <w:t xml:space="preserve"> </w:t>
      </w:r>
      <w:r>
        <w:t xml:space="preserve">1.74</w:t>
      </w:r>
    </w:p>
    <w:p>
      <w:pPr>
        <w:pStyle w:val="BodyText"/>
      </w:pPr>
      <w:r>
        <w:t xml:space="preserve">0.99</w:t>
      </w:r>
      <w:r>
        <w:t xml:space="preserve"> </w:t>
      </w:r>
      <w:r>
        <w:t xml:space="preserve">6.68</w:t>
      </w:r>
      <w:r>
        <w:t xml:space="preserve"> </w:t>
      </w:r>
      <w:r>
        <w:t xml:space="preserve">Amount of liquidity</w:t>
      </w:r>
      <w:r>
        <w:t xml:space="preserve"> </w:t>
      </w:r>
      <w:r>
        <w:t xml:space="preserve">shortfall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t xml:space="preserve"> </w:t>
      </w:r>
      <w:r>
        <w:t xml:space="preserve">0.08</w:t>
      </w:r>
    </w:p>
    <w:p>
      <w:pPr>
        <w:pStyle w:val="BodyText"/>
      </w:pPr>
      <w:r>
        <w:t xml:space="preserve">0.05</w:t>
      </w:r>
      <w:r>
        <w:t xml:space="preserve"> </w:t>
      </w:r>
      <w:r>
        <w:t xml:space="preserve">0.28</w:t>
      </w:r>
      <w:r>
        <w:t xml:space="preserve"> </w:t>
      </w:r>
      <w:r>
        <w:t xml:space="preserve">Source: Commission services, based on EBA CfA report, data as of Q4 2019, assuming an 85%</w:t>
      </w:r>
      <w:r>
        <w:t xml:space="preserve"> </w:t>
      </w:r>
      <w:r>
        <w:t xml:space="preserve">recovery rate.</w:t>
      </w:r>
    </w:p>
    <w:p>
      <w:pPr>
        <w:pStyle w:val="BodyText"/>
      </w:pPr>
      <w:r>
        <w:t xml:space="preserve">4.5. Sensitivity analysis of the impact of the recovery rates in insolvency</w:t>
      </w:r>
      <w:r>
        <w:t xml:space="preserve"> </w:t>
      </w:r>
      <w:r>
        <w:t xml:space="preserve">The recovery rates in insolvency are extremely heterogeneous across banks and Member</w:t>
      </w:r>
      <w:r>
        <w:t xml:space="preserve"> </w:t>
      </w:r>
      <w:r>
        <w:t xml:space="preserve">States and are impacted by many factors, such as the bank’s individual characteristics</w:t>
      </w:r>
      <w:r>
        <w:t xml:space="preserve"> </w:t>
      </w:r>
      <w:r>
        <w:t xml:space="preserve">(asset quality, other financial fundamentals), the market situation, the national insolvency</w:t>
      </w:r>
      <w:r>
        <w:t xml:space="preserve"> </w:t>
      </w:r>
      <w:r>
        <w:t xml:space="preserve">laws and national judicial regimes as well as the severity of the crisis.</w:t>
      </w:r>
    </w:p>
    <w:p>
      <w:pPr>
        <w:pStyle w:val="BodyText"/>
      </w:pPr>
      <w:r>
        <w:t xml:space="preserve">307</w:t>
      </w:r>
      <w:r>
        <w:t xml:space="preserve"> </w:t>
      </w:r>
      <w:r>
        <w:t xml:space="preserve">In this context, the results of the analyses are very sensitive to the value of the haircuts</w:t>
      </w:r>
      <w:r>
        <w:t xml:space="preserve"> </w:t>
      </w:r>
      <w:r>
        <w:t xml:space="preserve">and corresponding recovery rates applied to the assets in insolvency that serves as a basis</w:t>
      </w:r>
      <w:r>
        <w:t xml:space="preserve"> </w:t>
      </w:r>
      <w:r>
        <w:t xml:space="preserve">for the calculation of the LCT. Lower recovery rates (i.e. higher haircuts) lead to</w:t>
      </w:r>
      <w:r>
        <w:t xml:space="preserve"> </w:t>
      </w:r>
      <w:r>
        <w:t xml:space="preserve">comparatively larger losses in insolvency due to the inability to recover all proceeds from</w:t>
      </w:r>
      <w:r>
        <w:t xml:space="preserve"> </w:t>
      </w:r>
      <w:r>
        <w:t xml:space="preserve">the liquidation of the assets, and would result in a higher probability to reach covered</w:t>
      </w:r>
      <w:r>
        <w:t xml:space="preserve"> </w:t>
      </w:r>
      <w:r>
        <w:t xml:space="preserve">deposits in the hierarchy of claims in the insolvency counterfactual. As a consequence,</w:t>
      </w:r>
      <w:r>
        <w:t xml:space="preserve"> </w:t>
      </w:r>
      <w:r>
        <w:t xml:space="preserve">more banks may face a positive LCT on the basis of low recovery rates on assets.</w:t>
      </w:r>
      <w:r>
        <w:t xml:space="preserve"> </w:t>
      </w:r>
      <w:r>
        <w:t xml:space="preserve">These results affect the magnitude of the different options tested in the quantitative</w:t>
      </w:r>
      <w:r>
        <w:t xml:space="preserve"> </w:t>
      </w:r>
      <w:r>
        <w:t xml:space="preserve">analysis, but do not alter the conclusions related to the banks’ ability to reach 8% TLOF</w:t>
      </w:r>
      <w:r>
        <w:t xml:space="preserve"> </w:t>
      </w:r>
      <w:r>
        <w:t xml:space="preserve">without DGS interventions nor to the comparison between the various scenarios of</w:t>
      </w:r>
      <w:r>
        <w:t xml:space="preserve"> </w:t>
      </w:r>
      <w:r>
        <w:t xml:space="preserve">depositor preference.</w:t>
      </w:r>
      <w:r>
        <w:t xml:space="preserve"> </w:t>
      </w:r>
      <w:r>
        <w:t xml:space="preserve">In fact, changing the level of haircuts does not affect the liability structure and, as a</w:t>
      </w:r>
      <w:r>
        <w:t xml:space="preserve"> </w:t>
      </w:r>
      <w:r>
        <w:t xml:space="preserve">result, the capacity of institutions to access the 8% TLOF without deposits, or to what</w:t>
      </w:r>
      <w:r>
        <w:t xml:space="preserve"> </w:t>
      </w:r>
      <w:r>
        <w:t xml:space="preserve">extent certain forms of deposits would have to bear losses in order to reach that</w:t>
      </w:r>
      <w:r>
        <w:t xml:space="preserve"> </w:t>
      </w:r>
      <w:r>
        <w:t xml:space="preserve">threshold. However, higher haircuts impact the frequency with which DGS could</w:t>
      </w:r>
      <w:r>
        <w:t xml:space="preserve"> </w:t>
      </w:r>
      <w:r>
        <w:t xml:space="preserve">intervene under the LCT as well as the ability of the DGS’s intervention to help reaching</w:t>
      </w:r>
      <w:r>
        <w:t xml:space="preserve"> </w:t>
      </w:r>
      <w:r>
        <w:t xml:space="preserve">8% TLOF. The number of banks with a positive LCT and the maximum amount of DGS</w:t>
      </w:r>
      <w:r>
        <w:t xml:space="preserve"> </w:t>
      </w:r>
      <w:r>
        <w:t xml:space="preserve">funds unlocked by the LCT increases significantly with a recovery rate of 50% compared</w:t>
      </w:r>
      <w:r>
        <w:t xml:space="preserve"> </w:t>
      </w:r>
      <w:r>
        <w:t xml:space="preserve">to the primary assumption of 85%.</w:t>
      </w:r>
      <w:r>
        <w:br/>
      </w:r>
      <w:r>
        <w:t xml:space="preserve">More specifically, assuming a 50% recovery rate, the currently applicable creditor</w:t>
      </w:r>
      <w:r>
        <w:t xml:space="preserve"> </w:t>
      </w:r>
      <w:r>
        <w:t xml:space="preserve">hierarchies and no CET1 depletion, 232 institutions would have a positive LCT</w:t>
      </w:r>
      <w:r>
        <w:t xml:space="preserve"> </w:t>
      </w:r>
      <w:r>
        <w:t xml:space="preserve">irrespective of their ability to reach the 8% TLOF threshold, against eight when</w:t>
      </w:r>
      <w:r>
        <w:t xml:space="preserve"> </w:t>
      </w:r>
      <w:r>
        <w:t xml:space="preserve">considering an 85% recovery rate. In this case, 63% of the small banks, 76% of the</w:t>
      </w:r>
      <w:r>
        <w:t xml:space="preserve"> </w:t>
      </w:r>
      <w:r>
        <w:t xml:space="preserve">medium-sized and 64% of the large banks would have a positive LCT. At least 90% of</w:t>
      </w:r>
      <w:r>
        <w:t xml:space="preserve"> </w:t>
      </w:r>
      <w:r>
        <w:t xml:space="preserve">the banks in the sample would have a positive LCT in eight Member States.</w:t>
      </w:r>
      <w:r>
        <w:br/>
      </w:r>
      <w:r>
        <w:t xml:space="preserve">Under a single-tier depositor preference, the number of banks with a positive LCT would</w:t>
      </w:r>
      <w:r>
        <w:t xml:space="preserve"> </w:t>
      </w:r>
      <w:r>
        <w:t xml:space="preserve">increase from 150 assuming a recovery rate of 85% to 300 with a recovery rate of 50%</w:t>
      </w:r>
      <w:r>
        <w:t xml:space="preserve"> </w:t>
      </w:r>
      <w:r>
        <w:t xml:space="preserve">(out of a total sample of 343 institutions). Under this scenario, 84% of the small banks,</w:t>
      </w:r>
      <w:r>
        <w:t xml:space="preserve"> </w:t>
      </w:r>
      <w:r>
        <w:t xml:space="preserve">92% of the medium-sized and 86% of the large banks would have a positive LCT. When</w:t>
      </w:r>
      <w:r>
        <w:t xml:space="preserve"> </w:t>
      </w:r>
      <w:r>
        <w:t xml:space="preserve">considering the funding structure, 98% of the banks in the sample with a prevalence of</w:t>
      </w:r>
      <w:r>
        <w:t xml:space="preserve"> </w:t>
      </w:r>
      <w:r>
        <w:t xml:space="preserve">deposits higher than 70% of TLOF would have a positive LCT. Similarly, at least 90% of</w:t>
      </w:r>
      <w:r>
        <w:t xml:space="preserve"> </w:t>
      </w:r>
      <w:r>
        <w:t xml:space="preserve">the banks in the sample would have a positive LCT in 14 Member States.</w:t>
      </w:r>
      <w:r>
        <w:t xml:space="preserve"> </w:t>
      </w:r>
      <w:r>
        <w:t xml:space="preserve">In terms of amounts of DGS funds unlocked under the LCT, lowering the recovery rate</w:t>
      </w:r>
      <w:r>
        <w:t xml:space="preserve"> </w:t>
      </w:r>
      <w:r>
        <w:t xml:space="preserve">increases the maximum amount for DGS intervention to EUR 15.8 bn assuming a 50%</w:t>
      </w:r>
      <w:r>
        <w:t xml:space="preserve"> </w:t>
      </w:r>
      <w:r>
        <w:t xml:space="preserve">recovery rate, the currently applicable creditor hierarchies and no CET1 depletion,</w:t>
      </w:r>
      <w:r>
        <w:t xml:space="preserve"> </w:t>
      </w:r>
      <w:r>
        <w:t xml:space="preserve">compared to EUR 0.23 bn with a recovery rate of 85%. Results are similar for scenarios</w:t>
      </w:r>
      <w:r>
        <w:t xml:space="preserve"> </w:t>
      </w:r>
      <w:r>
        <w:t xml:space="preserve">3 and 4 of depositor preference. This amount increases from EUR 1.15 bn to EUR</w:t>
      </w:r>
      <w:r>
        <w:t xml:space="preserve"> </w:t>
      </w:r>
      <w:r>
        <w:t xml:space="preserve">20.8 bn when considering a single-tier creditor hierarchy, and from EUR 0.40 bn to EUR</w:t>
      </w:r>
      <w:r>
        <w:t xml:space="preserve"> </w:t>
      </w:r>
      <w:r>
        <w:t xml:space="preserve">18.7 bn under scenario 5 of depositor preference. While the magnitude of the increase is</w:t>
      </w:r>
      <w:r>
        <w:t xml:space="preserve"> </w:t>
      </w:r>
      <w:r>
        <w:t xml:space="preserve">higher for all other scenarios, the single-tier depositor preference remains the option</w:t>
      </w:r>
      <w:r>
        <w:t xml:space="preserve"> </w:t>
      </w:r>
      <w:r>
        <w:t xml:space="preserve">under which the maximum amounts of DGS funds can be mobilised under the LCT, even</w:t>
      </w:r>
      <w:r>
        <w:t xml:space="preserve"> </w:t>
      </w:r>
      <w:r>
        <w:t xml:space="preserve">assuming a 50% recovery rate, while being the most protective of depositors given the</w:t>
      </w:r>
      <w:r>
        <w:t xml:space="preserve"> </w:t>
      </w:r>
      <w:r>
        <w:t xml:space="preserve">number of banks able to reach the 8% TLOF without deposits, as shown in section 3.2.3.</w:t>
      </w:r>
    </w:p>
    <w:p>
      <w:pPr>
        <w:pStyle w:val="BodyText"/>
      </w:pPr>
      <w:r>
        <w:t xml:space="preserve">308</w:t>
      </w:r>
      <w:r>
        <w:t xml:space="preserve"> </w:t>
      </w:r>
      <w:r>
        <w:t xml:space="preserve">5.</w:t>
      </w:r>
      <w:r>
        <w:t xml:space="preserve"> </w:t>
      </w:r>
      <w:r>
        <w:t xml:space="preserve">CAVEATS AND DISCLAIMERS</w:t>
      </w:r>
      <w:r>
        <w:t xml:space="preserve"> </w:t>
      </w:r>
      <w:r>
        <w:t xml:space="preserve">Overview of main caveats and disclaimers</w:t>
      </w:r>
      <w:r>
        <w:t xml:space="preserve"> </w:t>
      </w:r>
      <w:r>
        <w:t xml:space="preserve">Caveat/disclaimer</w:t>
      </w:r>
      <w:r>
        <w:t xml:space="preserve"> </w:t>
      </w:r>
      <w:r>
        <w:t xml:space="preserve">Description</w:t>
      </w:r>
      <w:r>
        <w:t xml:space="preserve"> </w:t>
      </w:r>
      <w:r>
        <w:t xml:space="preserve">Mitigating factor(s)</w:t>
      </w:r>
      <w:r>
        <w:t xml:space="preserve"> </w:t>
      </w:r>
      <w:r>
        <w:t xml:space="preserve">Representativeness of the</w:t>
      </w:r>
      <w:r>
        <w:t xml:space="preserve"> </w:t>
      </w:r>
      <w:r>
        <w:t xml:space="preserve">sample</w:t>
      </w:r>
      <w:r>
        <w:t xml:space="preserve"> </w:t>
      </w:r>
      <w:r>
        <w:t xml:space="preserve">The sample of banks underpinning</w:t>
      </w:r>
      <w:r>
        <w:t xml:space="preserve"> </w:t>
      </w:r>
      <w:r>
        <w:t xml:space="preserve">all analyses in this Annex is based</w:t>
      </w:r>
      <w:r>
        <w:t xml:space="preserve"> </w:t>
      </w:r>
      <w:r>
        <w:t xml:space="preserve">on the data collected by the EBA as</w:t>
      </w:r>
      <w:r>
        <w:t xml:space="preserve"> </w:t>
      </w:r>
      <w:r>
        <w:t xml:space="preserve">part of their annual exercise</w:t>
      </w:r>
      <w:r>
        <w:t xml:space="preserve"> </w:t>
      </w:r>
      <w:r>
        <w:t xml:space="preserve">whereby national resolution</w:t>
      </w:r>
      <w:r>
        <w:t xml:space="preserve"> </w:t>
      </w:r>
      <w:r>
        <w:t xml:space="preserve">authorities report banks’ liability</w:t>
      </w:r>
      <w:r>
        <w:t xml:space="preserve"> </w:t>
      </w:r>
      <w:r>
        <w:t xml:space="preserve">data and MREL decisions to the</w:t>
      </w:r>
      <w:r>
        <w:t xml:space="preserve"> </w:t>
      </w:r>
      <w:r>
        <w:t xml:space="preserve">EBA. The sample include 368</w:t>
      </w:r>
      <w:r>
        <w:t xml:space="preserve"> </w:t>
      </w:r>
      <w:r>
        <w:t xml:space="preserve">banks when considering parent-</w:t>
      </w:r>
      <w:r>
        <w:t xml:space="preserve"> </w:t>
      </w:r>
      <w:r>
        <w:t xml:space="preserve">level entities and 862 banks when</w:t>
      </w:r>
      <w:r>
        <w:t xml:space="preserve"> </w:t>
      </w:r>
      <w:r>
        <w:t xml:space="preserve">counting also subsidiaries. A</w:t>
      </w:r>
      <w:r>
        <w:t xml:space="preserve"> </w:t>
      </w:r>
      <w:r>
        <w:t xml:space="preserve">number of entities have been</w:t>
      </w:r>
      <w:r>
        <w:t xml:space="preserve"> </w:t>
      </w:r>
      <w:r>
        <w:t xml:space="preserve">eliminated from the sample due to</w:t>
      </w:r>
      <w:r>
        <w:t xml:space="preserve"> </w:t>
      </w:r>
      <w:r>
        <w:t xml:space="preserve">data quality issues. The banks in</w:t>
      </w:r>
      <w:r>
        <w:t xml:space="preserve"> </w:t>
      </w:r>
      <w:r>
        <w:t xml:space="preserve">the sample represent approximately</w:t>
      </w:r>
      <w:r>
        <w:t xml:space="preserve"> </w:t>
      </w:r>
      <w:r>
        <w:t xml:space="preserve">52% (when also considering third</w:t>
      </w:r>
      <w:r>
        <w:t xml:space="preserve"> </w:t>
      </w:r>
      <w:r>
        <w:t xml:space="preserve">country assets) to 73% (when only</w:t>
      </w:r>
      <w:r>
        <w:t xml:space="preserve"> </w:t>
      </w:r>
      <w:r>
        <w:t xml:space="preserve">considering domestic assets) of the</w:t>
      </w:r>
      <w:r>
        <w:t xml:space="preserve"> </w:t>
      </w:r>
      <w:r>
        <w:t xml:space="preserve">total banking asset in the EU. The</w:t>
      </w:r>
      <w:r>
        <w:t xml:space="preserve"> </w:t>
      </w:r>
      <w:r>
        <w:t xml:space="preserve">covered deposits of the banks in the</w:t>
      </w:r>
      <w:r>
        <w:t xml:space="preserve"> </w:t>
      </w:r>
      <w:r>
        <w:t xml:space="preserve">sample represent 38.3% of the</w:t>
      </w:r>
      <w:r>
        <w:t xml:space="preserve"> </w:t>
      </w:r>
      <w:r>
        <w:t xml:space="preserve">covered deposits reported for the</w:t>
      </w:r>
      <w:r>
        <w:t xml:space="preserve"> </w:t>
      </w:r>
      <w:r>
        <w:t xml:space="preserve">entire EU as of Q4 2019.</w:t>
      </w:r>
      <w:r>
        <w:br/>
      </w:r>
      <w:r>
        <w:t xml:space="preserve">The sample represents 73% of the</w:t>
      </w:r>
      <w:r>
        <w:t xml:space="preserve"> </w:t>
      </w:r>
      <w:r>
        <w:t xml:space="preserve">total EU domestic banking assets,</w:t>
      </w:r>
      <w:r>
        <w:t xml:space="preserve"> </w:t>
      </w:r>
      <w:r>
        <w:t xml:space="preserve">excluding third country assets.</w:t>
      </w:r>
      <w:r>
        <w:br/>
      </w:r>
      <w:r>
        <w:t xml:space="preserve">For the purpose of assessing the</w:t>
      </w:r>
      <w:r>
        <w:t xml:space="preserve"> </w:t>
      </w:r>
      <w:r>
        <w:t xml:space="preserve">DGS intervention against the DGS</w:t>
      </w:r>
      <w:r>
        <w:t xml:space="preserve"> </w:t>
      </w:r>
      <w:r>
        <w:t xml:space="preserve">financial means, the level of DGS</w:t>
      </w:r>
      <w:r>
        <w:t xml:space="preserve"> </w:t>
      </w:r>
      <w:r>
        <w:t xml:space="preserve">financial means has been</w:t>
      </w:r>
      <w:r>
        <w:t xml:space="preserve"> </w:t>
      </w:r>
      <w:r>
        <w:t xml:space="preserve">recalibrated to match the banks in</w:t>
      </w:r>
      <w:r>
        <w:t xml:space="preserve"> </w:t>
      </w:r>
      <w:r>
        <w:t xml:space="preserve">the sample.</w:t>
      </w:r>
      <w:r>
        <w:br/>
      </w:r>
      <w:r>
        <w:t xml:space="preserve">Expansion of the PIA as per</w:t>
      </w:r>
      <w:r>
        <w:t xml:space="preserve"> </w:t>
      </w:r>
      <w:r>
        <w:t xml:space="preserve">policy options in Chapters 5</w:t>
      </w:r>
      <w:r>
        <w:t xml:space="preserve"> </w:t>
      </w:r>
      <w:r>
        <w:t xml:space="preserve">and 6 could not be quantified.</w:t>
      </w:r>
      <w:r>
        <w:br/>
      </w:r>
      <w:r>
        <w:t xml:space="preserve">The number of additional banks</w:t>
      </w:r>
      <w:r>
        <w:t xml:space="preserve"> </w:t>
      </w:r>
      <w:r>
        <w:t xml:space="preserve">that would go in resolution under</w:t>
      </w:r>
      <w:r>
        <w:t xml:space="preserve"> </w:t>
      </w:r>
      <w:r>
        <w:t xml:space="preserve">the policy options cannot be</w:t>
      </w:r>
      <w:r>
        <w:t xml:space="preserve"> </w:t>
      </w:r>
      <w:r>
        <w:t xml:space="preserve">estimated upfront, as the PIA</w:t>
      </w:r>
      <w:r>
        <w:t xml:space="preserve"> </w:t>
      </w:r>
      <w:r>
        <w:t xml:space="preserve">remains a case-by-case assessment</w:t>
      </w:r>
      <w:r>
        <w:t xml:space="preserve"> </w:t>
      </w:r>
      <w:r>
        <w:t xml:space="preserve">by resolution authorities, retaining</w:t>
      </w:r>
      <w:r>
        <w:t xml:space="preserve"> </w:t>
      </w:r>
      <w:r>
        <w:t xml:space="preserve">elements of discretion and highly</w:t>
      </w:r>
      <w:r>
        <w:t xml:space="preserve"> </w:t>
      </w:r>
      <w:r>
        <w:t xml:space="preserve">dependent on the financial</w:t>
      </w:r>
      <w:r>
        <w:t xml:space="preserve"> </w:t>
      </w:r>
      <w:r>
        <w:t xml:space="preserve">condition of the bank at the</w:t>
      </w:r>
      <w:r>
        <w:t xml:space="preserve"> </w:t>
      </w:r>
      <w:r>
        <w:t xml:space="preserve">moment of failure. Moreover, the</w:t>
      </w:r>
      <w:r>
        <w:t xml:space="preserve"> </w:t>
      </w:r>
      <w:r>
        <w:t xml:space="preserve">strategy set out for a bank at the</w:t>
      </w:r>
      <w:r>
        <w:t xml:space="preserve"> </w:t>
      </w:r>
      <w:r>
        <w:t xml:space="preserve">planning stage (resolution vs</w:t>
      </w:r>
      <w:r>
        <w:t xml:space="preserve"> </w:t>
      </w:r>
      <w:r>
        <w:t xml:space="preserve">liquidation) is a presumptive path</w:t>
      </w:r>
      <w:r>
        <w:t xml:space="preserve"> </w:t>
      </w:r>
      <w:r>
        <w:t xml:space="preserve">based on backward looking</w:t>
      </w:r>
      <w:r>
        <w:t xml:space="preserve"> </w:t>
      </w:r>
      <w:r>
        <w:t xml:space="preserve">information, which allows</w:t>
      </w:r>
      <w:r>
        <w:t xml:space="preserve"> </w:t>
      </w:r>
      <w:r>
        <w:t xml:space="preserve">deviations to take account of the</w:t>
      </w:r>
      <w:r>
        <w:t xml:space="preserve"> </w:t>
      </w:r>
      <w:r>
        <w:t xml:space="preserve">specific situation at the time of</w:t>
      </w:r>
      <w:r>
        <w:t xml:space="preserve"> </w:t>
      </w:r>
      <w:r>
        <w:t xml:space="preserve">failure.</w:t>
      </w:r>
      <w:r>
        <w:t xml:space="preserve"> </w:t>
      </w:r>
      <w:r>
        <w:t xml:space="preserve">The calculations and analyses</w:t>
      </w:r>
      <w:r>
        <w:t xml:space="preserve"> </w:t>
      </w:r>
      <w:r>
        <w:t xml:space="preserve">carried out in this Annex illustrate</w:t>
      </w:r>
      <w:r>
        <w:t xml:space="preserve"> </w:t>
      </w:r>
      <w:r>
        <w:t xml:space="preserve">the results on two perimeters:</w:t>
      </w:r>
      <w:r>
        <w:br/>
      </w:r>
      <w:r>
        <w:t xml:space="preserve">- the entire sample of banks</w:t>
      </w:r>
      <w:r>
        <w:t xml:space="preserve"> </w:t>
      </w:r>
      <w:r>
        <w:t xml:space="preserve">(parent level) irrespective of</w:t>
      </w:r>
      <w:r>
        <w:t xml:space="preserve"> </w:t>
      </w:r>
      <w:r>
        <w:t xml:space="preserve">their</w:t>
      </w:r>
      <w:r>
        <w:t xml:space="preserve"> </w:t>
      </w:r>
      <w:r>
        <w:t xml:space="preserve">resolution</w:t>
      </w:r>
      <w:r>
        <w:t xml:space="preserve"> </w:t>
      </w:r>
      <w:r>
        <w:t xml:space="preserve">strategy</w:t>
      </w:r>
      <w:r>
        <w:t xml:space="preserve"> </w:t>
      </w:r>
      <w:r>
        <w:t xml:space="preserve">(resolution or liquidation). This</w:t>
      </w:r>
      <w:r>
        <w:t xml:space="preserve"> </w:t>
      </w:r>
      <w:r>
        <w:t xml:space="preserve">would</w:t>
      </w:r>
      <w:r>
        <w:t xml:space="preserve"> </w:t>
      </w:r>
      <w:r>
        <w:t xml:space="preserve">show</w:t>
      </w:r>
      <w:r>
        <w:t xml:space="preserve"> </w:t>
      </w:r>
      <w:r>
        <w:t xml:space="preserve">the</w:t>
      </w:r>
      <w:r>
        <w:t xml:space="preserve"> </w:t>
      </w:r>
      <w:r>
        <w:t xml:space="preserve">impacts</w:t>
      </w:r>
      <w:r>
        <w:t xml:space="preserve"> </w:t>
      </w:r>
      <w:r>
        <w:t xml:space="preserve">assuming all banks would be</w:t>
      </w:r>
      <w:r>
        <w:t xml:space="preserve"> </w:t>
      </w:r>
      <w:r>
        <w:t xml:space="preserve">placed in resolution; and</w:t>
      </w:r>
      <w:r>
        <w:t xml:space="preserve"> </w:t>
      </w:r>
      <w:r>
        <w:t xml:space="preserve">- only</w:t>
      </w:r>
      <w:r>
        <w:t xml:space="preserve"> </w:t>
      </w:r>
      <w:r>
        <w:t xml:space="preserve">banks</w:t>
      </w:r>
      <w:r>
        <w:t xml:space="preserve"> </w:t>
      </w:r>
      <w:r>
        <w:t xml:space="preserve">with</w:t>
      </w:r>
      <w:r>
        <w:t xml:space="preserve"> </w:t>
      </w:r>
      <w:r>
        <w:t xml:space="preserve">strategy</w:t>
      </w:r>
      <w:r>
        <w:t xml:space="preserve"> </w:t>
      </w:r>
      <w:r>
        <w:t xml:space="preserve">resolution as per 2019 data.</w:t>
      </w:r>
    </w:p>
    <w:p>
      <w:pPr>
        <w:pStyle w:val="BodyText"/>
      </w:pPr>
      <w:r>
        <w:t xml:space="preserve">309</w:t>
      </w:r>
      <w:r>
        <w:t xml:space="preserve"> </w:t>
      </w:r>
      <w:r>
        <w:t xml:space="preserve">Insolvency</w:t>
      </w:r>
      <w:r>
        <w:t xml:space="preserve"> </w:t>
      </w:r>
      <w:r>
        <w:t xml:space="preserve">haircut</w:t>
      </w:r>
      <w:r>
        <w:t xml:space="preserve"> </w:t>
      </w:r>
      <w:r>
        <w:t xml:space="preserve">(loss)</w:t>
      </w:r>
      <w:r>
        <w:t xml:space="preserve"> </w:t>
      </w:r>
      <w:r>
        <w:t xml:space="preserve">assumption of 15% of total</w:t>
      </w:r>
      <w:r>
        <w:t xml:space="preserve"> </w:t>
      </w:r>
      <w:r>
        <w:t xml:space="preserve">assets (corresponding to a</w:t>
      </w:r>
      <w:r>
        <w:t xml:space="preserve"> </w:t>
      </w:r>
      <w:r>
        <w:t xml:space="preserve">recovery rate of 85%) in the</w:t>
      </w:r>
      <w:r>
        <w:t xml:space="preserve"> </w:t>
      </w:r>
      <w:r>
        <w:t xml:space="preserve">context of calculating the</w:t>
      </w:r>
      <w:r>
        <w:t xml:space="preserve"> </w:t>
      </w:r>
      <w:r>
        <w:t xml:space="preserve">LCT.</w:t>
      </w:r>
      <w:r>
        <w:br/>
      </w:r>
      <w:r>
        <w:t xml:space="preserve">The recovery rates and therefore,</w:t>
      </w:r>
      <w:r>
        <w:t xml:space="preserve"> </w:t>
      </w:r>
      <w:r>
        <w:t xml:space="preserve">the losses in insolvency, range</w:t>
      </w:r>
      <w:r>
        <w:t xml:space="preserve"> </w:t>
      </w:r>
      <w:r>
        <w:t xml:space="preserve">widely across Member States as</w:t>
      </w:r>
      <w:r>
        <w:t xml:space="preserve"> </w:t>
      </w:r>
      <w:r>
        <w:t xml:space="preserve">they are impacted by national</w:t>
      </w:r>
      <w:r>
        <w:t xml:space="preserve"> </w:t>
      </w:r>
      <w:r>
        <w:t xml:space="preserve">insolvency laws and judicial</w:t>
      </w:r>
      <w:r>
        <w:t xml:space="preserve"> </w:t>
      </w:r>
      <w:r>
        <w:t xml:space="preserve">regimes. Moreover, recovery rates</w:t>
      </w:r>
      <w:r>
        <w:t xml:space="preserve"> </w:t>
      </w:r>
      <w:r>
        <w:t xml:space="preserve">are also highly case-dependant.</w:t>
      </w:r>
      <w:r>
        <w:br/>
      </w:r>
      <w:r>
        <w:t xml:space="preserve">For the purpose of the analyses</w:t>
      </w:r>
      <w:r>
        <w:t xml:space="preserve"> </w:t>
      </w:r>
      <w:r>
        <w:t xml:space="preserve">carried out in, one primary</w:t>
      </w:r>
      <w:r>
        <w:t xml:space="preserve"> </w:t>
      </w:r>
      <w:r>
        <w:t xml:space="preserve">assumption has been used (15%</w:t>
      </w:r>
      <w:r>
        <w:t xml:space="preserve"> </w:t>
      </w:r>
      <w:r>
        <w:t xml:space="preserve">haircut in insolvency corresponding</w:t>
      </w:r>
      <w:r>
        <w:t xml:space="preserve"> </w:t>
      </w:r>
      <w:r>
        <w:t xml:space="preserve">to a recovery rate of 85%), however</w:t>
      </w:r>
      <w:r>
        <w:t xml:space="preserve"> </w:t>
      </w:r>
      <w:r>
        <w:t xml:space="preserve">results corresponding to a 50%</w:t>
      </w:r>
      <w:r>
        <w:t xml:space="preserve"> </w:t>
      </w:r>
      <w:r>
        <w:t xml:space="preserve">haircut and recovery rate have also</w:t>
      </w:r>
      <w:r>
        <w:t xml:space="preserve"> </w:t>
      </w:r>
      <w:r>
        <w:t xml:space="preserve">been presented.</w:t>
      </w:r>
      <w:r>
        <w:br/>
      </w:r>
      <w:r>
        <w:t xml:space="preserve">To</w:t>
      </w:r>
      <w:r>
        <w:t xml:space="preserve"> </w:t>
      </w:r>
      <w:r>
        <w:t xml:space="preserve">mitigate</w:t>
      </w:r>
      <w:r>
        <w:t xml:space="preserve"> </w:t>
      </w:r>
      <w:r>
        <w:t xml:space="preserve">the</w:t>
      </w:r>
      <w:r>
        <w:t xml:space="preserve"> </w:t>
      </w:r>
      <w:r>
        <w:t xml:space="preserve">uncertainties</w:t>
      </w:r>
      <w:r>
        <w:t xml:space="preserve"> </w:t>
      </w:r>
      <w:r>
        <w:t xml:space="preserve">deriving from these limitations,</w:t>
      </w:r>
      <w:r>
        <w:t xml:space="preserve"> </w:t>
      </w:r>
      <w:r>
        <w:t xml:space="preserve">qualitative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are</w:t>
      </w:r>
      <w:r>
        <w:t xml:space="preserve"> </w:t>
      </w:r>
      <w:r>
        <w:t xml:space="preserve">provided in order to show how the</w:t>
      </w:r>
      <w:r>
        <w:t xml:space="preserve"> </w:t>
      </w:r>
      <w:r>
        <w:t xml:space="preserve">results would be impacted if</w:t>
      </w:r>
      <w:r>
        <w:t xml:space="preserve"> </w:t>
      </w:r>
      <w:r>
        <w:t xml:space="preserve">higher or lower recovery rates</w:t>
      </w:r>
      <w:r>
        <w:t xml:space="preserve"> </w:t>
      </w:r>
      <w:r>
        <w:t xml:space="preserve">were considered.</w:t>
      </w:r>
      <w:r>
        <w:t xml:space="preserve"> </w:t>
      </w:r>
      <w:r>
        <w:t xml:space="preserve">The impact of using different</w:t>
      </w:r>
      <w:r>
        <w:t xml:space="preserve"> </w:t>
      </w:r>
      <w:r>
        <w:t xml:space="preserve">insolvency haircuts or</w:t>
      </w:r>
      <w:r>
        <w:t xml:space="preserve"> </w:t>
      </w:r>
      <w:r>
        <w:t xml:space="preserve">corresponding recovery rates</w:t>
      </w:r>
      <w:r>
        <w:t xml:space="preserve"> </w:t>
      </w:r>
      <w:r>
        <w:t xml:space="preserve">on the results cannot be</w:t>
      </w:r>
      <w:r>
        <w:t xml:space="preserve"> </w:t>
      </w:r>
      <w:r>
        <w:t xml:space="preserve">clearly attributed to a single</w:t>
      </w:r>
      <w:r>
        <w:t xml:space="preserve"> </w:t>
      </w:r>
      <w:r>
        <w:t xml:space="preserve">factor – such as the need to</w:t>
      </w:r>
      <w:r>
        <w:t xml:space="preserve"> </w:t>
      </w:r>
      <w:r>
        <w:t xml:space="preserve">harmonise insolvency laws.</w:t>
      </w:r>
      <w:r>
        <w:t xml:space="preserve"> </w:t>
      </w:r>
      <w:r>
        <w:t xml:space="preserve">The recovery rates which are</w:t>
      </w:r>
      <w:r>
        <w:t xml:space="preserve"> </w:t>
      </w:r>
      <w:r>
        <w:t xml:space="preserve">extremely heterogeneous across</w:t>
      </w:r>
      <w:r>
        <w:t xml:space="preserve"> </w:t>
      </w:r>
      <w:r>
        <w:t xml:space="preserve">banks and Member States are</w:t>
      </w:r>
      <w:r>
        <w:t xml:space="preserve"> </w:t>
      </w:r>
      <w:r>
        <w:t xml:space="preserve">impacted by many factors, such as:</w:t>
      </w:r>
      <w:r>
        <w:t xml:space="preserve"> </w:t>
      </w:r>
      <w:r>
        <w:t xml:space="preserve">the bank’s individual characteristics</w:t>
      </w:r>
      <w:r>
        <w:t xml:space="preserve"> </w:t>
      </w:r>
      <w:r>
        <w:t xml:space="preserve">(asset quality, other financial</w:t>
      </w:r>
      <w:r>
        <w:t xml:space="preserve"> </w:t>
      </w:r>
      <w:r>
        <w:t xml:space="preserve">fundamentals), the market situation,</w:t>
      </w:r>
      <w:r>
        <w:t xml:space="preserve"> </w:t>
      </w:r>
      <w:r>
        <w:t xml:space="preserve">the national insolvency laws and</w:t>
      </w:r>
      <w:r>
        <w:t xml:space="preserve"> </w:t>
      </w:r>
      <w:r>
        <w:t xml:space="preserve">national judicial regimes as well as</w:t>
      </w:r>
      <w:r>
        <w:t xml:space="preserve"> </w:t>
      </w:r>
      <w:r>
        <w:t xml:space="preserve">the severity of the crisis. While one</w:t>
      </w:r>
      <w:r>
        <w:t xml:space="preserve"> </w:t>
      </w:r>
      <w:r>
        <w:t xml:space="preserve">may argue that further</w:t>
      </w:r>
      <w:r>
        <w:t xml:space="preserve"> </w:t>
      </w:r>
      <w:r>
        <w:t xml:space="preserve">harmonisation of insolvency laws</w:t>
      </w:r>
      <w:r>
        <w:t xml:space="preserve"> </w:t>
      </w:r>
      <w:r>
        <w:t xml:space="preserve">may reduce the heterogeneity in</w:t>
      </w:r>
      <w:r>
        <w:t xml:space="preserve"> </w:t>
      </w:r>
      <w:r>
        <w:t xml:space="preserve">recovery rates, this may not be</w:t>
      </w:r>
      <w:r>
        <w:t xml:space="preserve"> </w:t>
      </w:r>
      <w:r>
        <w:t xml:space="preserve">necessarily the case, as a direct</w:t>
      </w:r>
      <w:r>
        <w:t xml:space="preserve"> </w:t>
      </w:r>
      <w:r>
        <w:t xml:space="preserve">relationship cannot be established</w:t>
      </w:r>
      <w:r>
        <w:t xml:space="preserve"> </w:t>
      </w:r>
      <w:r>
        <w:t xml:space="preserve">between these two elements. The</w:t>
      </w:r>
      <w:r>
        <w:t xml:space="preserve"> </w:t>
      </w:r>
      <w:r>
        <w:t xml:space="preserve">impact of insolvency laws on</w:t>
      </w:r>
      <w:r>
        <w:t xml:space="preserve"> </w:t>
      </w:r>
      <w:r>
        <w:t xml:space="preserve">recovery rates cannot be</w:t>
      </w:r>
      <w:r>
        <w:t xml:space="preserve"> </w:t>
      </w:r>
      <w:r>
        <w:t xml:space="preserve">disentangled from the impact of</w:t>
      </w:r>
      <w:r>
        <w:t xml:space="preserve"> </w:t>
      </w:r>
      <w:r>
        <w:t xml:space="preserve">other relevant factors.</w:t>
      </w:r>
      <w:r>
        <w:br/>
      </w:r>
      <w:r>
        <w:t xml:space="preserve">Transparency is ensured in the</w:t>
      </w:r>
      <w:r>
        <w:t xml:space="preserve"> </w:t>
      </w:r>
      <w:r>
        <w:t xml:space="preserve">reading of the results throughout</w:t>
      </w:r>
      <w:r>
        <w:t xml:space="preserve"> </w:t>
      </w:r>
      <w:r>
        <w:t xml:space="preserve">this Annex, with respect to the</w:t>
      </w:r>
      <w:r>
        <w:t xml:space="preserve"> </w:t>
      </w:r>
      <w:r>
        <w:t xml:space="preserve">impact of various recovery rates</w:t>
      </w:r>
      <w:r>
        <w:t xml:space="preserve"> </w:t>
      </w:r>
      <w:r>
        <w:t xml:space="preserve">on the results. However, the</w:t>
      </w:r>
      <w:r>
        <w:t xml:space="preserve"> </w:t>
      </w:r>
      <w:r>
        <w:t xml:space="preserve">variation in results cannot be</w:t>
      </w:r>
      <w:r>
        <w:t xml:space="preserve"> </w:t>
      </w:r>
      <w:r>
        <w:t xml:space="preserve">clearly attributed to one particular</w:t>
      </w:r>
      <w:r>
        <w:t xml:space="preserve"> </w:t>
      </w:r>
      <w:r>
        <w:t xml:space="preserve">cause.</w:t>
      </w:r>
    </w:p>
    <w:p>
      <w:pPr>
        <w:pStyle w:val="BodyText"/>
      </w:pPr>
      <w:r>
        <w:t xml:space="preserve">Creditor hierarchy applicable</w:t>
      </w:r>
      <w:r>
        <w:t xml:space="preserve"> </w:t>
      </w:r>
      <w:r>
        <w:t xml:space="preserve">in each Member State</w:t>
      </w:r>
      <w:r>
        <w:t xml:space="preserve"> </w:t>
      </w:r>
      <w:r>
        <w:t xml:space="preserve">Each national creditor hierarchy has</w:t>
      </w:r>
      <w:r>
        <w:t xml:space="preserve"> </w:t>
      </w:r>
      <w:r>
        <w:t xml:space="preserve">been adjusted to follow a common</w:t>
      </w:r>
      <w:r>
        <w:t xml:space="preserve"> </w:t>
      </w:r>
      <w:r>
        <w:t xml:space="preserve">list of insolvency ranking based on</w:t>
      </w:r>
      <w:r>
        <w:t xml:space="preserve"> </w:t>
      </w:r>
      <w:r>
        <w:t xml:space="preserve">a simpler standard structure to</w:t>
      </w:r>
      <w:r>
        <w:t xml:space="preserve"> </w:t>
      </w:r>
      <w:r>
        <w:t xml:space="preserve">perform the analysis in sections 3</w:t>
      </w:r>
      <w:r>
        <w:t xml:space="preserve"> </w:t>
      </w:r>
      <w:r>
        <w:t xml:space="preserve">and 4. Individual liabilities reported</w:t>
      </w:r>
      <w:r>
        <w:t xml:space="preserve"> </w:t>
      </w:r>
      <w:r>
        <w:t xml:space="preserve">in the dataset have been mapped</w:t>
      </w:r>
      <w:r>
        <w:t xml:space="preserve"> </w:t>
      </w:r>
      <w:r>
        <w:t xml:space="preserve">accordingly.</w:t>
      </w:r>
      <w:r>
        <w:t xml:space="preserve"> </w:t>
      </w:r>
      <w:r>
        <w:t xml:space="preserve">The ranks under the national</w:t>
      </w:r>
      <w:r>
        <w:t xml:space="preserve"> </w:t>
      </w:r>
      <w:r>
        <w:t xml:space="preserve">hierarchies have been mapped to a</w:t>
      </w:r>
      <w:r>
        <w:t xml:space="preserve"> </w:t>
      </w:r>
      <w:r>
        <w:t xml:space="preserve">standard ladder keeping the</w:t>
      </w:r>
      <w:r>
        <w:t xml:space="preserve"> </w:t>
      </w:r>
      <w:r>
        <w:t xml:space="preserve">relative seniority between the</w:t>
      </w:r>
      <w:r>
        <w:t xml:space="preserve"> </w:t>
      </w:r>
      <w:r>
        <w:t xml:space="preserve">main categories of liabilities, in</w:t>
      </w:r>
      <w:r>
        <w:t xml:space="preserve"> </w:t>
      </w:r>
      <w:r>
        <w:t xml:space="preserve">particular deposits, and taking into</w:t>
      </w:r>
      <w:r>
        <w:t xml:space="preserve"> </w:t>
      </w:r>
      <w:r>
        <w:t xml:space="preserve">account the most frequent rank</w:t>
      </w:r>
      <w:r>
        <w:t xml:space="preserve"> </w:t>
      </w:r>
      <w:r>
        <w:t xml:space="preserve">reported for each form of</w:t>
      </w:r>
      <w:r>
        <w:t xml:space="preserve"> </w:t>
      </w:r>
      <w:r>
        <w:t xml:space="preserve">liabilities to cater for cases where</w:t>
      </w:r>
      <w:r>
        <w:t xml:space="preserve"> </w:t>
      </w:r>
      <w:r>
        <w:t xml:space="preserve">contractual features affect the rank</w:t>
      </w:r>
      <w:r>
        <w:t xml:space="preserve"> </w:t>
      </w:r>
      <w:r>
        <w:t xml:space="preserve">of a given liability.</w:t>
      </w:r>
    </w:p>
    <w:p>
      <w:pPr>
        <w:pStyle w:val="BodyText"/>
      </w:pPr>
      <w:r>
        <w:t xml:space="preserve">310</w:t>
      </w:r>
      <w:r>
        <w:t xml:space="preserve"> </w:t>
      </w:r>
      <w:r>
        <w:t xml:space="preserve">The analyses reflect the</w:t>
      </w:r>
      <w:r>
        <w:t xml:space="preserve"> </w:t>
      </w:r>
      <w:r>
        <w:t xml:space="preserve">balance sheet data as of Q4</w:t>
      </w:r>
      <w:r>
        <w:t xml:space="preserve"> </w:t>
      </w:r>
      <w:r>
        <w:t xml:space="preserve">2019 when banks were still in</w:t>
      </w:r>
      <w:r>
        <w:t xml:space="preserve"> </w:t>
      </w:r>
      <w:r>
        <w:t xml:space="preserve">transitional period to comply</w:t>
      </w:r>
      <w:r>
        <w:t xml:space="preserve"> </w:t>
      </w:r>
      <w:r>
        <w:t xml:space="preserve">with their MREL</w:t>
      </w:r>
      <w:r>
        <w:t xml:space="preserve"> </w:t>
      </w:r>
      <w:r>
        <w:t xml:space="preserve">requirements.</w:t>
      </w:r>
      <w:r>
        <w:br/>
      </w:r>
      <w:r>
        <w:t xml:space="preserve">Modelling or estimating potential</w:t>
      </w:r>
      <w:r>
        <w:t xml:space="preserve"> </w:t>
      </w:r>
      <w:r>
        <w:t xml:space="preserve">changes in balance sheets as of</w:t>
      </w:r>
      <w:r>
        <w:t xml:space="preserve"> </w:t>
      </w:r>
      <w:r>
        <w:t xml:space="preserve">2024 when most banks are expected</w:t>
      </w:r>
      <w:r>
        <w:t xml:space="preserve"> </w:t>
      </w:r>
      <w:r>
        <w:t xml:space="preserve">to reach compliance with their</w:t>
      </w:r>
      <w:r>
        <w:t xml:space="preserve"> </w:t>
      </w:r>
      <w:r>
        <w:t xml:space="preserve">MREL requirements was not</w:t>
      </w:r>
      <w:r>
        <w:t xml:space="preserve"> </w:t>
      </w:r>
      <w:r>
        <w:t xml:space="preserve">attempted in this analysis due to the</w:t>
      </w:r>
      <w:r>
        <w:t xml:space="preserve"> </w:t>
      </w:r>
      <w:r>
        <w:t xml:space="preserve">complexity of such a task and the</w:t>
      </w:r>
      <w:r>
        <w:t xml:space="preserve"> </w:t>
      </w:r>
      <w:r>
        <w:t xml:space="preserve">additional required assumptions</w:t>
      </w:r>
      <w:r>
        <w:t xml:space="preserve"> </w:t>
      </w:r>
      <w:r>
        <w:t xml:space="preserve">that would require extrapolation</w:t>
      </w:r>
      <w:r>
        <w:t xml:space="preserve"> </w:t>
      </w:r>
      <w:r>
        <w:t xml:space="preserve">across the sample.</w:t>
      </w:r>
      <w:r>
        <w:br/>
      </w:r>
      <w:r>
        <w:t xml:space="preserve">A scenario was added assessing</w:t>
      </w:r>
      <w:r>
        <w:t xml:space="preserve"> </w:t>
      </w:r>
      <w:r>
        <w:t xml:space="preserve">the impact of reaching 8% TLOF</w:t>
      </w:r>
      <w:r>
        <w:t xml:space="preserve"> </w:t>
      </w:r>
      <w:r>
        <w:t xml:space="preserve">and allowing for DGS</w:t>
      </w:r>
      <w:r>
        <w:t xml:space="preserve"> </w:t>
      </w:r>
      <w:r>
        <w:t xml:space="preserve">intervention by considering</w:t>
      </w:r>
      <w:r>
        <w:t xml:space="preserve"> </w:t>
      </w:r>
      <w:r>
        <w:t xml:space="preserve">MREL requirements (assuming all</w:t>
      </w:r>
      <w:r>
        <w:t xml:space="preserve"> </w:t>
      </w:r>
      <w:r>
        <w:t xml:space="preserve">banks will comply with their</w:t>
      </w:r>
      <w:r>
        <w:t xml:space="preserve"> </w:t>
      </w:r>
      <w:r>
        <w:t xml:space="preserve">requirements by 2024) rather than</w:t>
      </w:r>
      <w:r>
        <w:t xml:space="preserve"> </w:t>
      </w:r>
      <w:r>
        <w:t xml:space="preserve">the bail-inable capacity as of Q4</w:t>
      </w:r>
      <w:r>
        <w:t xml:space="preserve"> </w:t>
      </w:r>
      <w:r>
        <w:t xml:space="preserve">2019. However, this scenario was</w:t>
      </w:r>
      <w:r>
        <w:t xml:space="preserve"> </w:t>
      </w:r>
      <w:r>
        <w:t xml:space="preserve">not relevant as for almost all</w:t>
      </w:r>
      <w:r>
        <w:t xml:space="preserve"> </w:t>
      </w:r>
      <w:r>
        <w:t xml:space="preserve">banks (except one), the bail-inable</w:t>
      </w:r>
      <w:r>
        <w:t xml:space="preserve"> </w:t>
      </w:r>
      <w:r>
        <w:t xml:space="preserve">capacity as of Q4 2019 exceeded</w:t>
      </w:r>
      <w:r>
        <w:t xml:space="preserve"> </w:t>
      </w:r>
      <w:r>
        <w:t xml:space="preserve">their MREL requirement.</w:t>
      </w:r>
      <w:r>
        <w:br/>
      </w:r>
      <w:r>
        <w:t xml:space="preserve">The results of the model-</w:t>
      </w:r>
      <w:r>
        <w:t xml:space="preserve"> </w:t>
      </w:r>
      <w:r>
        <w:t xml:space="preserve">based approach are based on</w:t>
      </w:r>
      <w:r>
        <w:t xml:space="preserve"> </w:t>
      </w:r>
      <w:r>
        <w:t xml:space="preserve">three scenarios of crises: one</w:t>
      </w:r>
      <w:r>
        <w:t xml:space="preserve"> </w:t>
      </w:r>
      <w:r>
        <w:t xml:space="preserve">similar to the 2008 global</w:t>
      </w:r>
      <w:r>
        <w:t xml:space="preserve"> </w:t>
      </w:r>
      <w:r>
        <w:t xml:space="preserve">financial crisis and two other</w:t>
      </w:r>
      <w:r>
        <w:t xml:space="preserve"> </w:t>
      </w:r>
      <w:r>
        <w:t xml:space="preserve">crises, one less severe and one</w:t>
      </w:r>
      <w:r>
        <w:t xml:space="preserve"> </w:t>
      </w:r>
      <w:r>
        <w:t xml:space="preserve">more severe.</w:t>
      </w:r>
      <w:r>
        <w:br/>
      </w:r>
      <w:r>
        <w:t xml:space="preserve">A multitude of crises with different</w:t>
      </w:r>
      <w:r>
        <w:t xml:space="preserve"> </w:t>
      </w:r>
      <w:r>
        <w:t xml:space="preserve">intensities have been simulated</w:t>
      </w:r>
      <w:r>
        <w:t xml:space="preserve"> </w:t>
      </w:r>
      <w:r>
        <w:t xml:space="preserve">using the SYMBOL model.</w:t>
      </w:r>
      <w:r>
        <w:t xml:space="preserve"> </w:t>
      </w:r>
      <w:r>
        <w:t xml:space="preserve">However, for reasons related to</w:t>
      </w:r>
      <w:r>
        <w:t xml:space="preserve"> </w:t>
      </w:r>
      <w:r>
        <w:t xml:space="preserve">complexity, readability and</w:t>
      </w:r>
      <w:r>
        <w:t xml:space="preserve"> </w:t>
      </w:r>
      <w:r>
        <w:t xml:space="preserve">relevance, not all results are</w:t>
      </w:r>
      <w:r>
        <w:t xml:space="preserve"> </w:t>
      </w:r>
      <w:r>
        <w:t xml:space="preserve">presented in this analysis.</w:t>
      </w:r>
      <w:r>
        <w:br/>
      </w:r>
      <w:r>
        <w:t xml:space="preserve">The results are presented for three</w:t>
      </w:r>
      <w:r>
        <w:t xml:space="preserve"> </w:t>
      </w:r>
      <w:r>
        <w:t xml:space="preserve">selected simulated crises, to which</w:t>
      </w:r>
      <w:r>
        <w:t xml:space="preserve"> </w:t>
      </w:r>
      <w:r>
        <w:t xml:space="preserve">the reader can easily relate. The</w:t>
      </w:r>
      <w:r>
        <w:t xml:space="preserve"> </w:t>
      </w:r>
      <w:r>
        <w:t xml:space="preserve">CMDI framework was enacted in</w:t>
      </w:r>
      <w:r>
        <w:t xml:space="preserve"> </w:t>
      </w:r>
      <w:r>
        <w:t xml:space="preserve">the wake of the 2008 global</w:t>
      </w:r>
      <w:r>
        <w:t xml:space="preserve"> </w:t>
      </w:r>
      <w:r>
        <w:t xml:space="preserve">financial crisis, therefore</w:t>
      </w:r>
      <w:r>
        <w:t xml:space="preserve"> </w:t>
      </w:r>
      <w:r>
        <w:t xml:space="preserve">presenting simulations of a crisis</w:t>
      </w:r>
      <w:r>
        <w:t xml:space="preserve"> </w:t>
      </w:r>
      <w:r>
        <w:t xml:space="preserve">similar to that particular crisis, as</w:t>
      </w:r>
      <w:r>
        <w:t xml:space="preserve"> </w:t>
      </w:r>
      <w:r>
        <w:t xml:space="preserve">well as less and more severe crises</w:t>
      </w:r>
      <w:r>
        <w:t xml:space="preserve"> </w:t>
      </w:r>
      <w:r>
        <w:t xml:space="preserve">is a sensible approach.</w:t>
      </w:r>
      <w:r>
        <w:t xml:space="preserve"> </w:t>
      </w:r>
      <w:r>
        <w:t xml:space="preserve">Impact of COVID-19 crisis on</w:t>
      </w:r>
      <w:r>
        <w:t xml:space="preserve"> </w:t>
      </w:r>
      <w:r>
        <w:t xml:space="preserve">presented results</w:t>
      </w:r>
      <w:r>
        <w:t xml:space="preserve"> </w:t>
      </w:r>
      <w:r>
        <w:t xml:space="preserve">The figures presented in this Annex</w:t>
      </w:r>
      <w:r>
        <w:t xml:space="preserve"> </w:t>
      </w:r>
      <w:r>
        <w:t xml:space="preserve">reflect the situation as of Q4 2019,</w:t>
      </w:r>
      <w:r>
        <w:t xml:space="preserve"> </w:t>
      </w:r>
      <w:r>
        <w:t xml:space="preserve">prior to the set-up of the COVID-19</w:t>
      </w:r>
      <w:r>
        <w:t xml:space="preserve"> </w:t>
      </w:r>
      <w:r>
        <w:t xml:space="preserve">crisis.</w:t>
      </w:r>
      <w:r>
        <w:t xml:space="preserve"> </w:t>
      </w:r>
      <w:r>
        <w:t xml:space="preserve">As shown by the report</w:t>
      </w:r>
      <w:r>
        <w:t xml:space="preserve"> </w:t>
      </w:r>
      <w:r>
        <w:t xml:space="preserve">monitoring risk reduction</w:t>
      </w:r>
      <w:r>
        <w:t xml:space="preserve"> </w:t>
      </w:r>
      <w:r>
        <w:t xml:space="preserve">indicators as of May and</w:t>
      </w:r>
      <w:r>
        <w:t xml:space="preserve"> </w:t>
      </w:r>
      <w:r>
        <w:t xml:space="preserve">November 2021 by the</w:t>
      </w:r>
      <w:r>
        <w:t xml:space="preserve"> </w:t>
      </w:r>
      <w:r>
        <w:t xml:space="preserve">Commission, the ECB and the</w:t>
      </w:r>
      <w:r>
        <w:t xml:space="preserve"> </w:t>
      </w:r>
      <w:r>
        <w:t xml:space="preserve">SRB, the consequences of the</w:t>
      </w:r>
      <w:r>
        <w:t xml:space="preserve"> </w:t>
      </w:r>
      <w:r>
        <w:t xml:space="preserve">COVID-19 pandemic have not led</w:t>
      </w:r>
      <w:r>
        <w:t xml:space="preserve"> </w:t>
      </w:r>
      <w:r>
        <w:t xml:space="preserve">to a material deterioration of</w:t>
      </w:r>
      <w:r>
        <w:t xml:space="preserve"> </w:t>
      </w:r>
      <w:r>
        <w:t xml:space="preserve">Banking Union institutions’</w:t>
      </w:r>
      <w:r>
        <w:t xml:space="preserve"> </w:t>
      </w:r>
      <w:r>
        <w:t xml:space="preserve">solvency or liquidity position.</w:t>
      </w:r>
      <w:r>
        <w:t xml:space="preserve"> </w:t>
      </w:r>
      <w:r>
        <w:t xml:space="preserve">This is in part due to the</w:t>
      </w:r>
      <w:r>
        <w:t xml:space="preserve"> </w:t>
      </w:r>
      <w:r>
        <w:t xml:space="preserve">extraordinary policy measures</w:t>
      </w:r>
      <w:r>
        <w:t xml:space="preserve"> </w:t>
      </w:r>
      <w:r>
        <w:t xml:space="preserve">taken in response to the COVID-</w:t>
      </w:r>
      <w:r>
        <w:t xml:space="preserve"> </w:t>
      </w:r>
      <w:r>
        <w:t xml:space="preserve">19 pandemic including in</w:t>
      </w:r>
      <w:r>
        <w:t xml:space="preserve"> </w:t>
      </w:r>
      <w:r>
        <w:t xml:space="preserve">particular the introduction of loan</w:t>
      </w:r>
      <w:r>
        <w:t xml:space="preserve"> </w:t>
      </w:r>
      <w:r>
        <w:t xml:space="preserve">moratoria and public guarantee</w:t>
      </w:r>
      <w:r>
        <w:t xml:space="preserve"> </w:t>
      </w:r>
      <w:r>
        <w:t xml:space="preserve">schemes. The borrower relief and</w:t>
      </w:r>
      <w:r>
        <w:t xml:space="preserve"> </w:t>
      </w:r>
      <w:r>
        <w:t xml:space="preserve">liquidity support measures have</w:t>
      </w:r>
      <w:r>
        <w:t xml:space="preserve"> </w:t>
      </w:r>
      <w:r>
        <w:t xml:space="preserve">mitigated the impact of the</w:t>
      </w:r>
      <w:r>
        <w:t xml:space="preserve"> </w:t>
      </w:r>
      <w:r>
        <w:t xml:space="preserve">pandemic on bank balance sheets,</w:t>
      </w:r>
      <w:r>
        <w:t xml:space="preserve"> </w:t>
      </w:r>
      <w:r>
        <w:t xml:space="preserve">and as these measures have or are</w:t>
      </w:r>
      <w:r>
        <w:t xml:space="preserve"> </w:t>
      </w:r>
      <w:r>
        <w:t xml:space="preserve">being phased out, banks remained</w:t>
      </w:r>
      <w:r>
        <w:t xml:space="preserve"> </w:t>
      </w:r>
      <w:r>
        <w:t xml:space="preserve">resilient.</w:t>
      </w:r>
      <w:r>
        <w:br/>
      </w:r>
      <w:r>
        <w:t xml:space="preserve">See also the analysis of the</w:t>
      </w:r>
      <w:r>
        <w:t xml:space="preserve"> </w:t>
      </w:r>
      <w:r>
        <w:t xml:space="preserve">evolution of balance sheets</w:t>
      </w:r>
      <w:r>
        <w:t xml:space="preserve"> </w:t>
      </w:r>
      <w:r>
        <w:t xml:space="preserve">changes in section 6 ‘Other</w:t>
      </w:r>
      <w:r>
        <w:t xml:space="preserve"> </w:t>
      </w:r>
      <w:r>
        <w:t xml:space="preserve">methodological considerations’.</w:t>
      </w:r>
    </w:p>
    <w:p>
      <w:pPr>
        <w:pStyle w:val="BodyText"/>
      </w:pPr>
      <w:r>
        <w:t xml:space="preserve">311</w:t>
      </w:r>
      <w:r>
        <w:t xml:space="preserve"> </w:t>
      </w:r>
      <w:r>
        <w:t xml:space="preserve">6.</w:t>
      </w:r>
      <w:r>
        <w:t xml:space="preserve"> </w:t>
      </w:r>
      <w:r>
        <w:t xml:space="preserve">OTHER METHODOLOGICAL CONSIDERATIONS</w:t>
      </w:r>
      <w:r>
        <w:t xml:space="preserve"> </w:t>
      </w:r>
      <w:r>
        <w:t xml:space="preserve">General information on data</w:t>
      </w:r>
      <w:r>
        <w:t xml:space="preserve"> </w:t>
      </w:r>
      <w:r>
        <w:t xml:space="preserve">The analysis in this annex is based on resolution data reported under Commission</w:t>
      </w:r>
      <w:r>
        <w:t xml:space="preserve"> </w:t>
      </w:r>
      <w:r>
        <w:t xml:space="preserve">Implementing Regulation (EU) 2018/1624 of 23 October 2018 (ITS on resolution</w:t>
      </w:r>
      <w:r>
        <w:t xml:space="preserve"> </w:t>
      </w:r>
      <w:r>
        <w:t xml:space="preserve">reporting) by institutions included in the scope of the BRRD and submitted to the EBA.</w:t>
      </w:r>
      <w:r>
        <w:t xml:space="preserve"> </w:t>
      </w:r>
      <w:r>
        <w:t xml:space="preserve">The analysis is complemented with data on formally adopted MREL decision that were</w:t>
      </w:r>
      <w:r>
        <w:t xml:space="preserve"> </w:t>
      </w:r>
      <w:r>
        <w:t xml:space="preserve">reported to the EBA for the reference date 31 December 2019. Where formally adopted</w:t>
      </w:r>
      <w:r>
        <w:t xml:space="preserve"> </w:t>
      </w:r>
      <w:r>
        <w:t xml:space="preserve">MREL decision were not yet available at the point of reporting, indicative decisions are</w:t>
      </w:r>
      <w:r>
        <w:t xml:space="preserve"> </w:t>
      </w:r>
      <w:r>
        <w:t xml:space="preserve">considered. Where neither formal nor indicative MREL decisions were included, an</w:t>
      </w:r>
      <w:r>
        <w:t xml:space="preserve"> </w:t>
      </w:r>
      <w:r>
        <w:t xml:space="preserve">MREL proxy was considered, as explained in the assumptions and scenarios section 2.3.</w:t>
      </w:r>
      <w:r>
        <w:t xml:space="preserve"> </w:t>
      </w:r>
      <w:r>
        <w:t xml:space="preserve">General information on the sample and data quality checks</w:t>
      </w:r>
      <w:r>
        <w:t xml:space="preserve"> </w:t>
      </w:r>
      <w:r>
        <w:t xml:space="preserve">The sample of covered institutions includes 368 entities when counting all parent-level</w:t>
      </w:r>
      <w:r>
        <w:t xml:space="preserve"> </w:t>
      </w:r>
      <w:r>
        <w:t xml:space="preserve">institutions and 862 entities when also including the subsidiaries. The composition of the</w:t>
      </w:r>
      <w:r>
        <w:t xml:space="preserve"> </w:t>
      </w:r>
      <w:r>
        <w:t xml:space="preserve">sample and the exclusion of certain entities is driven by number of institutions</w:t>
      </w:r>
      <w:r>
        <w:t xml:space="preserve"> </w:t>
      </w:r>
      <w:r>
        <w:t xml:space="preserve">participating in the data collection exercise and data quality criteria460.</w:t>
      </w:r>
      <w:r>
        <w:t xml:space="preserve"> </w:t>
      </w:r>
      <w:r>
        <w:t xml:space="preserve">General information on the reference date for data analysis</w:t>
      </w:r>
      <w:r>
        <w:t xml:space="preserve"> </w:t>
      </w:r>
      <w:r>
        <w:t xml:space="preserve">The quantitative assessments included in this annex are based on data as of 31 December</w:t>
      </w:r>
      <w:r>
        <w:t xml:space="preserve"> </w:t>
      </w:r>
      <w:r>
        <w:t xml:space="preserve">2019, in line with the analysis published in the EBA’s CfA report on 22 October 2021.</w:t>
      </w:r>
      <w:r>
        <w:br/>
      </w:r>
      <w:r>
        <w:t xml:space="preserve">The recent evolution of key indicators of banks’ balance sheets shows that the</w:t>
      </w:r>
      <w:r>
        <w:t xml:space="preserve"> </w:t>
      </w:r>
      <w:r>
        <w:t xml:space="preserve">conclusions drawn in this annex would not change if they were based on the latest</w:t>
      </w:r>
      <w:r>
        <w:t xml:space="preserve"> </w:t>
      </w:r>
      <w:r>
        <w:t xml:space="preserve">available data points (e.g. end-2022).</w:t>
      </w:r>
      <w:r>
        <w:t xml:space="preserve"> </w:t>
      </w:r>
      <w:r>
        <w:t xml:space="preserve">-</w:t>
      </w:r>
      <w:r>
        <w:t xml:space="preserve"> </w:t>
      </w:r>
      <w:r>
        <w:t xml:space="preserve">Evolution of the liability structure</w:t>
      </w:r>
    </w:p>
    <w:p>
      <w:pPr>
        <w:pStyle w:val="BodyText"/>
      </w:pPr>
      <w:r>
        <w:t xml:space="preserve">In the EU, banks’ total liabilities increased by 8.7% between end-2019 and end-2022461.</w:t>
      </w:r>
      <w:r>
        <w:t xml:space="preserve"> </w:t>
      </w:r>
      <w:r>
        <w:t xml:space="preserve">This evolution is partly driven by an increase in deposits and other MREL eligible</w:t>
      </w:r>
      <w:r>
        <w:t xml:space="preserve"> </w:t>
      </w:r>
      <w:r>
        <w:t xml:space="preserve">liabilities.</w:t>
      </w:r>
      <w:r>
        <w:br/>
      </w:r>
      <w:r>
        <w:t xml:space="preserve">At the level of the EU, covered deposits increased by 14.3% between end-2019 and end-</w:t>
      </w:r>
      <w:r>
        <w:t xml:space="preserve"> </w:t>
      </w:r>
      <w:r>
        <w:t xml:space="preserve">2021462. However, despite this nominal increase, the share of deposits from households</w:t>
      </w:r>
      <w:r>
        <w:t xml:space="preserve"> </w:t>
      </w:r>
      <w:r>
        <w:t xml:space="preserve">and non-financial corporations as percentage of the total liabilities remained stable (on</w:t>
      </w:r>
      <w:r>
        <w:t xml:space="preserve"> </w:t>
      </w:r>
      <w:r>
        <w:t xml:space="preserve">average, 47.6% of total liabilities as of end-2022, compared to 44.9% as of end 2019),</w:t>
      </w:r>
      <w:r>
        <w:t xml:space="preserve"> </w:t>
      </w:r>
      <w:r>
        <w:t xml:space="preserve">suggesting the absence of material changes in banks’ liability structure463.</w:t>
      </w:r>
    </w:p>
    <w:p>
      <w:pPr>
        <w:pStyle w:val="BodyText"/>
      </w:pPr>
      <w:r>
        <w:t xml:space="preserve">460 EBA (22 October 2021), Call for advice regarding funding in resolution and insolvency. As shown by</w:t>
      </w:r>
      <w:r>
        <w:t xml:space="preserve"> </w:t>
      </w:r>
      <w:r>
        <w:t xml:space="preserve">the EBA CfA report, the loss simulation requires a minimum set of three variables (total assets, total risk</w:t>
      </w:r>
      <w:r>
        <w:t xml:space="preserve"> </w:t>
      </w:r>
      <w:r>
        <w:t xml:space="preserve">exposure amount (TREA) and CET1 capital) to be reported by each entity to be included in the analysis.</w:t>
      </w:r>
      <w:r>
        <w:t xml:space="preserve"> </w:t>
      </w:r>
      <w:r>
        <w:t xml:space="preserve">Entities, for which this information is missing are excluded from the analysis. Prior to excluding entities</w:t>
      </w:r>
      <w:r>
        <w:t xml:space="preserve"> </w:t>
      </w:r>
      <w:r>
        <w:t xml:space="preserve">without reported total assets, reported TLOF is used as a proxy for non-systemic and smaller institutions</w:t>
      </w:r>
      <w:r>
        <w:t xml:space="preserve"> </w:t>
      </w:r>
      <w:r>
        <w:t xml:space="preserve">(&lt; EUR 50 bn TLOF).</w:t>
      </w:r>
      <w:r>
        <w:t xml:space="preserve"> </w:t>
      </w:r>
      <w:r>
        <w:t xml:space="preserve">461 EBA risk dashboards</w:t>
      </w:r>
      <w:r>
        <w:t xml:space="preserve"> </w:t>
      </w:r>
      <w:r>
        <w:t xml:space="preserve">462 EBA Deposit Guarantee Schemes data</w:t>
      </w:r>
      <w:r>
        <w:t xml:space="preserve"> </w:t>
      </w:r>
      <w:r>
        <w:t xml:space="preserve">463 EBA risk dashboards</w:t>
      </w:r>
    </w:p>
    <w:p>
      <w:pPr>
        <w:pStyle w:val="BodyText"/>
      </w:pPr>
      <w:r>
        <w:t xml:space="preserve">312</w:t>
      </w:r>
      <w:r>
        <w:t xml:space="preserve"> </w:t>
      </w:r>
      <w:r>
        <w:t xml:space="preserve">In fact, based on data covering the Banking Union, the aggregated amount of MREL</w:t>
      </w:r>
      <w:r>
        <w:t xml:space="preserve"> </w:t>
      </w:r>
      <w:r>
        <w:t xml:space="preserve">eligible liabilities held by banks within the SRB remit increased by 14.8% between end-</w:t>
      </w:r>
      <w:r>
        <w:t xml:space="preserve"> </w:t>
      </w:r>
      <w:r>
        <w:t xml:space="preserve">2019 and Q3-2022. The stock of eligible liabilities in percentage of TREA (i.e. </w:t>
      </w:r>
      <w:r>
        <w:t xml:space="preserve"> </w:t>
      </w:r>
      <w:r>
        <w:t xml:space="preserve">considering the risk profile of the banks) increased in most Member States during that</w:t>
      </w:r>
      <w:r>
        <w:t xml:space="preserve"> </w:t>
      </w:r>
      <w:r>
        <w:t xml:space="preserve">period464. In the EU, and with a focus on smaller banks, data shows that the share of</w:t>
      </w:r>
      <w:r>
        <w:t xml:space="preserve"> </w:t>
      </w:r>
      <w:r>
        <w:t xml:space="preserve">MREL resources, in percentage of TREA, generally increased for domestically systemic</w:t>
      </w:r>
      <w:r>
        <w:t xml:space="preserve"> </w:t>
      </w:r>
      <w:r>
        <w:t xml:space="preserve">banks (by 1.6% for the larger ones, and approximately 4% for systemic banks with less</w:t>
      </w:r>
      <w:r>
        <w:t xml:space="preserve"> </w:t>
      </w:r>
      <w:r>
        <w:t xml:space="preserve">than EUR 10 billion balance sheet) as well as for other smaller lenders (by approximately</w:t>
      </w:r>
      <w:r>
        <w:t xml:space="preserve"> </w:t>
      </w:r>
      <w:r>
        <w:t xml:space="preserve">6% for non-systemic banks with less than EUR 5 billion balance sheet). These groups of</w:t>
      </w:r>
      <w:r>
        <w:t xml:space="preserve"> </w:t>
      </w:r>
      <w:r>
        <w:t xml:space="preserve">banks often rely on deposits to comply with MREL requirements, representing up to 5-</w:t>
      </w:r>
      <w:r>
        <w:t xml:space="preserve"> </w:t>
      </w:r>
      <w:r>
        <w:t xml:space="preserve">6% TREA for the smaller banks465.</w:t>
      </w:r>
      <w:r>
        <w:t xml:space="preserve"> </w:t>
      </w:r>
      <w:r>
        <w:t xml:space="preserve">As a result, the impact on banks’ ability to reach 8% TLOF without deposits would</w:t>
      </w:r>
      <w:r>
        <w:t xml:space="preserve"> </w:t>
      </w:r>
      <w:r>
        <w:t xml:space="preserve">remain neutral because of these two conflicting trends: the increase of loss-absorbing</w:t>
      </w:r>
      <w:r>
        <w:t xml:space="preserve"> </w:t>
      </w:r>
      <w:r>
        <w:t xml:space="preserve">capacity improves banks’ resilience using internal resources, which are often ranking</w:t>
      </w:r>
      <w:r>
        <w:t xml:space="preserve"> </w:t>
      </w:r>
      <w:r>
        <w:t xml:space="preserve">lower than deposits in the hierarchy of claims, reducing the need to rely on deposits to</w:t>
      </w:r>
      <w:r>
        <w:t xml:space="preserve"> </w:t>
      </w:r>
      <w:r>
        <w:t xml:space="preserve">reach 8% TLOF; at the same time, part of the increase of these MREL eligible</w:t>
      </w:r>
      <w:r>
        <w:t xml:space="preserve"> </w:t>
      </w:r>
      <w:r>
        <w:t xml:space="preserve">instruments takes the form of deposits.</w:t>
      </w:r>
      <w:r>
        <w:br/>
      </w:r>
      <w:r>
        <w:t xml:space="preserve">In addition, the amount of assets, which is used to estimate the losses in SYMBOL, has</w:t>
      </w:r>
      <w:r>
        <w:t xml:space="preserve"> </w:t>
      </w:r>
      <w:r>
        <w:t xml:space="preserve">increased in the same proportion as the liabilities, in particular the amount of loss-</w:t>
      </w:r>
      <w:r>
        <w:t xml:space="preserve"> </w:t>
      </w:r>
      <w:r>
        <w:t xml:space="preserve">absorbing capacity. Higher potential losses stemming from the increased asset base are</w:t>
      </w:r>
      <w:r>
        <w:t xml:space="preserve"> </w:t>
      </w:r>
      <w:r>
        <w:t xml:space="preserve">therefore commensurate to an observed higher amount of loss-absorbing capacity,</w:t>
      </w:r>
      <w:r>
        <w:t xml:space="preserve"> </w:t>
      </w:r>
      <w:r>
        <w:t xml:space="preserve">maintaining the conclusion as regards the ability to reach the 8% TLOF without deposits.</w:t>
      </w:r>
      <w:r>
        <w:t xml:space="preserve"> </w:t>
      </w:r>
      <w:r>
        <w:t xml:space="preserve">The absence of a relative shift in the share of deposits in banks’ balance sheets also</w:t>
      </w:r>
      <w:r>
        <w:t xml:space="preserve"> </w:t>
      </w:r>
      <w:r>
        <w:t xml:space="preserve">supports the assumption that the evolution of the liability composition is not likely to</w:t>
      </w:r>
      <w:r>
        <w:t xml:space="preserve"> </w:t>
      </w:r>
      <w:r>
        <w:t xml:space="preserve">fundamentally affect the analysis of banks’ ability to access resolution funding</w:t>
      </w:r>
      <w:r>
        <w:t xml:space="preserve"> </w:t>
      </w:r>
      <w:r>
        <w:t xml:space="preserve">arrangements.</w:t>
      </w:r>
      <w:r>
        <w:br/>
      </w:r>
      <w:r>
        <w:t xml:space="preserve">Similarly, these evolutions are not expected to materially impact DGS’s ability to</w:t>
      </w:r>
      <w:r>
        <w:t xml:space="preserve"> </w:t>
      </w:r>
      <w:r>
        <w:t xml:space="preserve">intervene based on the least cost test to support the access to resolution funding</w:t>
      </w:r>
      <w:r>
        <w:t xml:space="preserve"> </w:t>
      </w:r>
      <w:r>
        <w:t xml:space="preserve">arrangement. In fact, two independent effects can be drawn from the evolution of banks’</w:t>
      </w:r>
      <w:r>
        <w:t xml:space="preserve"> </w:t>
      </w:r>
      <w:r>
        <w:t xml:space="preserve">liability structure. On one hand, the least cost test may lead to a higher amount of</w:t>
      </w:r>
      <w:r>
        <w:t xml:space="preserve"> </w:t>
      </w:r>
      <w:r>
        <w:t xml:space="preserve">possible support due to the increased volumes of covered deposits that would have to be</w:t>
      </w:r>
      <w:r>
        <w:t xml:space="preserve"> </w:t>
      </w:r>
      <w:r>
        <w:t xml:space="preserve">paid out in insolvency. This may facilitate the bridge to the 8% TLOF threshold. On the</w:t>
      </w:r>
      <w:r>
        <w:t xml:space="preserve"> </w:t>
      </w:r>
      <w:r>
        <w:t xml:space="preserve">other hand, the stable proportion of deposits in banks’ total liabilities, compared to other</w:t>
      </w:r>
      <w:r>
        <w:t xml:space="preserve"> </w:t>
      </w:r>
      <w:r>
        <w:t xml:space="preserve">loss-absorbing resources, would not materially affect the triggers based on which DGS</w:t>
      </w:r>
      <w:r>
        <w:t xml:space="preserve"> </w:t>
      </w:r>
      <w:r>
        <w:t xml:space="preserve">can intervene (i.e. when loss absorption needs reach deposits). As a result, the possible</w:t>
      </w:r>
      <w:r>
        <w:t xml:space="preserve"> </w:t>
      </w:r>
      <w:r>
        <w:t xml:space="preserve">higher volume of DGS support would not necessarily be accompanied by a more</w:t>
      </w:r>
      <w:r>
        <w:t xml:space="preserve"> </w:t>
      </w:r>
      <w:r>
        <w:t xml:space="preserve">frequent ability of DGS to intervene compared to the situation as of end 2019.</w:t>
      </w:r>
    </w:p>
    <w:p>
      <w:pPr>
        <w:pStyle w:val="BodyText"/>
      </w:pPr>
      <w:r>
        <w:t xml:space="preserve">464 SRB MREL Dashboard, Q3 2022</w:t>
      </w:r>
      <w:r>
        <w:t xml:space="preserve"> </w:t>
      </w:r>
      <w:r>
        <w:t xml:space="preserve">465 EBA quantitative MREL reports 2019 (27 May 2021) and 2020 (22 April 2022).</w:t>
      </w:r>
    </w:p>
    <w:bookmarkEnd w:id="21"/>
    <w:bookmarkStart w:id="22" w:name="section-2"/>
    <w:p>
      <w:pPr>
        <w:pStyle w:val="Heading2"/>
      </w:pPr>
      <w:r>
        <w:t xml:space="preserve">313</w:t>
      </w:r>
    </w:p>
    <w:p>
      <w:pPr>
        <w:pStyle w:val="FirstParagraph"/>
      </w:pPr>
      <w:r>
        <w:t xml:space="preserve">Evolution of the asset quality and prudential requirements</w:t>
      </w:r>
    </w:p>
    <w:p>
      <w:pPr>
        <w:pStyle w:val="BodyText"/>
      </w:pPr>
      <w:r>
        <w:t xml:space="preserve">In addition, data shows that the quality of the assets have not materially changed, nor</w:t>
      </w:r>
      <w:r>
        <w:t xml:space="preserve"> </w:t>
      </w:r>
      <w:r>
        <w:t xml:space="preserve">deteriorated over the last years despite the impact of the COVID pandemic, which had</w:t>
      </w:r>
      <w:r>
        <w:t xml:space="preserve"> </w:t>
      </w:r>
      <w:r>
        <w:t xml:space="preserve">led to an expectation of credit risk deteriorations. Importantly, banks keep fulfilling</w:t>
      </w:r>
      <w:r>
        <w:t xml:space="preserve"> </w:t>
      </w:r>
      <w:r>
        <w:t xml:space="preserve">prudential requirements.</w:t>
      </w:r>
      <w:r>
        <w:t xml:space="preserve"> </w:t>
      </w:r>
      <w:r>
        <w:t xml:space="preserve">Banks risk-weighted assets slightly increased between end-2019 and end-2022, with an</w:t>
      </w:r>
      <w:r>
        <w:t xml:space="preserve"> </w:t>
      </w:r>
      <w:r>
        <w:t xml:space="preserve">increase of 6.4% mainly since end-2021, driven by credit risk466. In this context, the</w:t>
      </w:r>
      <w:r>
        <w:t xml:space="preserve"> </w:t>
      </w:r>
      <w:r>
        <w:t xml:space="preserve">gross non-performing loans (NPL) ratios continued to decrease between 2020 and 2022</w:t>
      </w:r>
      <w:r>
        <w:t xml:space="preserve"> </w:t>
      </w:r>
      <w:r>
        <w:t xml:space="preserve">for the majority of Member States while remaining largely stable for the remaining</w:t>
      </w:r>
      <w:r>
        <w:t xml:space="preserve"> </w:t>
      </w:r>
      <w:r>
        <w:t xml:space="preserve">Member States and closed at 1.8% in Q4 2022 respectively. The feared negative impact</w:t>
      </w:r>
      <w:r>
        <w:t xml:space="preserve"> </w:t>
      </w:r>
      <w:r>
        <w:t xml:space="preserve">of the Covid-pandemic did not materialize. The gross and net NPL ratios continued to</w:t>
      </w:r>
      <w:r>
        <w:t xml:space="preserve"> </w:t>
      </w:r>
      <w:r>
        <w:t xml:space="preserve">decrease in 2021 and 2022, in almost all Member States, highlighting the absence of</w:t>
      </w:r>
      <w:r>
        <w:t xml:space="preserve"> </w:t>
      </w:r>
      <w:r>
        <w:t xml:space="preserve">significant negative shift in asset quality. These evolutions could be explained by the</w:t>
      </w:r>
      <w:r>
        <w:t xml:space="preserve"> </w:t>
      </w:r>
      <w:r>
        <w:t xml:space="preserve">effectiveness of the various policy measures introduced to cushion the impact of the</w:t>
      </w:r>
      <w:r>
        <w:t xml:space="preserve"> </w:t>
      </w:r>
      <w:r>
        <w:t xml:space="preserve">COVID-19 pandemic. Since the start of the pandemic, all Member States, with the</w:t>
      </w:r>
      <w:r>
        <w:t xml:space="preserve"> </w:t>
      </w:r>
      <w:r>
        <w:t xml:space="preserve">support of SURE and Next Generation EU, implemented various forms of support for</w:t>
      </w:r>
      <w:r>
        <w:t xml:space="preserve"> </w:t>
      </w:r>
      <w:r>
        <w:t xml:space="preserve">households (furlough) and non-financial corporations including some form of</w:t>
      </w:r>
      <w:r>
        <w:t xml:space="preserve"> </w:t>
      </w:r>
      <w:r>
        <w:t xml:space="preserve">moratorium on payments of credit obligations467.</w:t>
      </w:r>
      <w:r>
        <w:t xml:space="preserve"> </w:t>
      </w:r>
      <w:r>
        <w:t xml:space="preserve">At the same time, prudential ratios, both on solvency and liquidity, remained high,</w:t>
      </w:r>
      <w:r>
        <w:t xml:space="preserve"> </w:t>
      </w:r>
      <w:r>
        <w:t xml:space="preserve">showing a resilience of the banking sector despite the economic environment.</w:t>
      </w:r>
      <w:r>
        <w:t xml:space="preserve"> </w:t>
      </w:r>
      <w:r>
        <w:t xml:space="preserve">Compliance with MREL requirements also improved over the period468.</w:t>
      </w:r>
      <w:r>
        <w:t xml:space="preserve"> </w:t>
      </w:r>
      <w:r>
        <w:t xml:space="preserve">In this context, the crisis scenarios simulated by the SYMBOL model would apply to a</w:t>
      </w:r>
      <w:r>
        <w:t xml:space="preserve"> </w:t>
      </w:r>
      <w:r>
        <w:t xml:space="preserve">population of banks, which is essentially unchanged, in particular not riskier and</w:t>
      </w:r>
      <w:r>
        <w:t xml:space="preserve"> </w:t>
      </w:r>
      <w:r>
        <w:t xml:space="preserve">displaying a resilience level comparable to the evidence as of end-2019. Since the impact</w:t>
      </w:r>
      <w:r>
        <w:t xml:space="preserve"> </w:t>
      </w:r>
      <w:r>
        <w:t xml:space="preserve">of the recent evolution of banks’ balance sheet did not lead to major shift in terms of</w:t>
      </w:r>
      <w:r>
        <w:t xml:space="preserve"> </w:t>
      </w:r>
      <w:r>
        <w:t xml:space="preserve">liability structure or general riskiness, one may assume that the models used in this</w:t>
      </w:r>
      <w:r>
        <w:t xml:space="preserve"> </w:t>
      </w:r>
      <w:r>
        <w:t xml:space="preserve">assessment would lead to comparable results even if fed with more recent data.</w:t>
      </w:r>
      <w:r>
        <w:t xml:space="preserve"> </w:t>
      </w:r>
      <w:r>
        <w:t xml:space="preserve">These elements provide comfort that the conclusions of the assessment performed on the</w:t>
      </w:r>
      <w:r>
        <w:t xml:space="preserve"> </w:t>
      </w:r>
      <w:r>
        <w:t xml:space="preserve">ability to access the resolution fund and the possible use of DGS would not be materially</w:t>
      </w:r>
      <w:r>
        <w:t xml:space="preserve"> </w:t>
      </w:r>
      <w:r>
        <w:t xml:space="preserve">affected by adding more recent data. In fact, banks’ balance sheets have not changed</w:t>
      </w:r>
      <w:r>
        <w:t xml:space="preserve"> </w:t>
      </w:r>
      <w:r>
        <w:t xml:space="preserve">fundamentally over the recent years and the risks remain contained.</w:t>
      </w:r>
      <w:r>
        <w:t xml:space="preserve"> </w:t>
      </w:r>
      <w:r>
        <w:t xml:space="preserve">-</w:t>
      </w:r>
      <w:r>
        <w:t xml:space="preserve"> </w:t>
      </w:r>
      <w:r>
        <w:t xml:space="preserve">Evolution of DGS available financial means</w:t>
      </w:r>
    </w:p>
    <w:p>
      <w:pPr>
        <w:pStyle w:val="BodyText"/>
      </w:pPr>
      <w:r>
        <w:t xml:space="preserve">Finally, recent trends in banks’ balance sheets would not affect the robustness of the</w:t>
      </w:r>
      <w:r>
        <w:t xml:space="preserve"> </w:t>
      </w:r>
      <w:r>
        <w:t xml:space="preserve">safety nets tested in this analysis either, in particular on the ability of DGS to provide the</w:t>
      </w:r>
      <w:r>
        <w:t xml:space="preserve"> </w:t>
      </w:r>
      <w:r>
        <w:t xml:space="preserve">necessary funding. Data shows that the DGS available financial means in the EU</w:t>
      </w:r>
      <w:r>
        <w:t xml:space="preserve"> </w:t>
      </w:r>
      <w:r>
        <w:t xml:space="preserve">increased by 33.4% between end-2019 and end-2021. As of end-2021, available financial</w:t>
      </w:r>
      <w:r>
        <w:t xml:space="preserve"> </w:t>
      </w:r>
      <w:r>
        <w:t xml:space="preserve">means stood at 0.75% of covered deposits, in aggregated terms (0.64% as of end-2019),</w:t>
      </w:r>
    </w:p>
    <w:p>
      <w:pPr>
        <w:pStyle w:val="BodyText"/>
      </w:pPr>
      <w:r>
        <w:t xml:space="preserve">466 EBA risk dashboards</w:t>
      </w:r>
      <w:r>
        <w:t xml:space="preserve"> </w:t>
      </w:r>
      <w:r>
        <w:t xml:space="preserve">467 Monitoring reports on risk reduction indicators (Commission, ECB, SRB), May 2021, November 2021</w:t>
      </w:r>
      <w:r>
        <w:t xml:space="preserve"> </w:t>
      </w:r>
      <w:r>
        <w:t xml:space="preserve">468 Idem.</w:t>
      </w:r>
    </w:p>
    <w:p>
      <w:pPr>
        <w:pStyle w:val="BodyText"/>
      </w:pPr>
      <w:r>
        <w:t xml:space="preserve">314</w:t>
      </w:r>
      <w:r>
        <w:t xml:space="preserve"> </w:t>
      </w:r>
      <w:r>
        <w:t xml:space="preserve">remaining high despite the significant increase of covered deposits observed during the</w:t>
      </w:r>
      <w:r>
        <w:t xml:space="preserve"> </w:t>
      </w:r>
      <w:r>
        <w:t xml:space="preserve">period. However, there are still important differences among Member States and deposit</w:t>
      </w:r>
      <w:r>
        <w:t xml:space="preserve"> </w:t>
      </w:r>
      <w:r>
        <w:t xml:space="preserve">guarantee schemes (even within some jurisdictions when they have several deposit</w:t>
      </w:r>
      <w:r>
        <w:t xml:space="preserve"> </w:t>
      </w:r>
      <w:r>
        <w:t xml:space="preserve">guarantee schemes)469.</w:t>
      </w:r>
      <w:r>
        <w:br/>
      </w:r>
      <w:r>
        <w:t xml:space="preserve">Noteworthy, the analysis performed in this annex assumes that target levels are reached</w:t>
      </w:r>
      <w:r>
        <w:t xml:space="preserve"> </w:t>
      </w:r>
      <w:r>
        <w:t xml:space="preserve">(the deadline foreseen in DGSD is July 2024). As a result, the evolution of the DGS</w:t>
      </w:r>
      <w:r>
        <w:t xml:space="preserve"> </w:t>
      </w:r>
      <w:r>
        <w:t xml:space="preserve">available financial means does not change the assumptions nor the outcome of the</w:t>
      </w:r>
      <w:r>
        <w:t xml:space="preserve"> </w:t>
      </w:r>
      <w:r>
        <w:t xml:space="preserve">simulations.</w:t>
      </w:r>
      <w:r>
        <w:t xml:space="preserve"> </w:t>
      </w:r>
      <w:r>
        <w:t xml:space="preserve">Other considerations</w:t>
      </w:r>
      <w:r>
        <w:t xml:space="preserve"> </w:t>
      </w:r>
      <w:r>
        <w:t xml:space="preserve">The analyses in this annex are based on the solo balance sheet data of the entities</w:t>
      </w:r>
      <w:r>
        <w:t xml:space="preserve"> </w:t>
      </w:r>
      <w:r>
        <w:t xml:space="preserve">included in the sample. This is to reflect that resolution action such as bail-in of eligible</w:t>
      </w:r>
      <w:r>
        <w:t xml:space="preserve"> </w:t>
      </w:r>
      <w:r>
        <w:t xml:space="preserve">liabilities in order to access resolution financing arrangements (if needed) is applied to</w:t>
      </w:r>
      <w:r>
        <w:t xml:space="preserve"> </w:t>
      </w:r>
      <w:r>
        <w:t xml:space="preserve">the parent entity, assuming that the resolution group structure holds.</w:t>
      </w:r>
      <w:r>
        <w:br/>
      </w:r>
      <w:r>
        <w:t xml:space="preserve">Statistics in this annex show results covering the entire perimeter of the sample at parent</w:t>
      </w:r>
      <w:r>
        <w:t xml:space="preserve"> </w:t>
      </w:r>
      <w:r>
        <w:t xml:space="preserve">entity level as well as the sub-sets of banks with resolution and liquidation strategies</w:t>
      </w:r>
      <w:r>
        <w:t xml:space="preserve"> </w:t>
      </w:r>
      <w:r>
        <w:t xml:space="preserve">reflecting the PIA decisions as of Q4 2019. Offering results for the entire perimeter</w:t>
      </w:r>
      <w:r>
        <w:t xml:space="preserve"> </w:t>
      </w:r>
      <w:r>
        <w:t xml:space="preserve">caters for a potential expansion of the PIA to more banks. Still, results displayed in the</w:t>
      </w:r>
      <w:r>
        <w:t xml:space="preserve"> </w:t>
      </w:r>
      <w:r>
        <w:t xml:space="preserve">various sections provides for a breakdown per type of resolution strategy.</w:t>
      </w:r>
      <w:r>
        <w:t xml:space="preserve"> </w:t>
      </w:r>
      <w:r>
        <w:t xml:space="preserve">In the tables in section 3 of this annex, the figures expressed as percentage of TLOF have</w:t>
      </w:r>
      <w:r>
        <w:t xml:space="preserve"> </w:t>
      </w:r>
      <w:r>
        <w:t xml:space="preserve">as denominator the total TLOF of the banks where each type of deposits would be</w:t>
      </w:r>
      <w:r>
        <w:t xml:space="preserve"> </w:t>
      </w:r>
      <w:r>
        <w:t xml:space="preserve">impacted (non-preferred, preferred, covered deposits), broken down by the perimeter of</w:t>
      </w:r>
      <w:r>
        <w:t xml:space="preserve"> </w:t>
      </w:r>
      <w:r>
        <w:t xml:space="preserve">banks concerned (e.g. by size, funding profile, strategy, etc.).</w:t>
      </w:r>
    </w:p>
    <w:p>
      <w:pPr>
        <w:pStyle w:val="BodyText"/>
      </w:pPr>
      <w:r>
        <w:t xml:space="preserve">469 EBA Deposit Guarantee Schemes data</w:t>
      </w:r>
    </w:p>
    <w:p>
      <w:pPr>
        <w:pStyle w:val="BodyText"/>
      </w:pPr>
      <w:r>
        <w:t xml:space="preserve">315</w:t>
      </w:r>
      <w:r>
        <w:t xml:space="preserve"> </w:t>
      </w:r>
      <w:r>
        <w:t xml:space="preserve">ANNEX 8: IMPACT ASSESSMENT OF TECHNICAL TOPICS THAT</w:t>
      </w:r>
      <w:r>
        <w:t xml:space="preserve"> </w:t>
      </w:r>
      <w:r>
        <w:t xml:space="preserve">WERE NOT EXHAUSTIVELY COVERED IN THE MAIN BODY OF THE</w:t>
      </w:r>
      <w:r>
        <w:t xml:space="preserve"> </w:t>
      </w:r>
      <w:r>
        <w:t xml:space="preserve">IMPACT ASSESSMENT</w:t>
      </w:r>
    </w:p>
    <w:p>
      <w:pPr>
        <w:pStyle w:val="Compact"/>
        <w:numPr>
          <w:ilvl w:val="0"/>
          <w:numId w:val="1050"/>
        </w:numPr>
      </w:pPr>
      <w:r>
        <w:t xml:space="preserve">EXPERIENCES WITH BAILING-IN DEPOSITORS</w:t>
      </w:r>
      <w:r>
        <w:br/>
      </w:r>
      <w:r>
        <w:t xml:space="preserve">The liability structure of banks shows substantial differences across the European</w:t>
      </w:r>
      <w:r>
        <w:t xml:space="preserve"> </w:t>
      </w:r>
      <w:r>
        <w:t xml:space="preserve">banking sector. In this regard, recent experiences demonstrated that bailing-in470 certain</w:t>
      </w:r>
      <w:r>
        <w:t xml:space="preserve"> </w:t>
      </w:r>
      <w:r>
        <w:t xml:space="preserve">liabilities - such as uncovered deposits - could entail a certain risk of depositor runs</w:t>
      </w:r>
      <w:r>
        <w:t xml:space="preserve"> </w:t>
      </w:r>
      <w:r>
        <w:t xml:space="preserve">thereby putting the overall financial stability at risk. In some instances, a bank run</w:t>
      </w:r>
      <w:r>
        <w:t xml:space="preserve"> </w:t>
      </w:r>
      <w:r>
        <w:t xml:space="preserve">occurred although a harmonised depositor protection was already in place471. In</w:t>
      </w:r>
      <w:r>
        <w:t xml:space="preserve"> </w:t>
      </w:r>
      <w:r>
        <w:t xml:space="preserve">particular, during and after the global financial crisis, Cyprus, Greece and Iceland</w:t>
      </w:r>
      <w:r>
        <w:t xml:space="preserve"> </w:t>
      </w:r>
      <w:r>
        <w:t xml:space="preserve">adopted several types of administrative measures to stop financial instability and</w:t>
      </w:r>
      <w:r>
        <w:t xml:space="preserve"> </w:t>
      </w:r>
      <w:r>
        <w:t xml:space="preserve">contagion. In Italy precautionary measures were required to maintain depositor</w:t>
      </w:r>
      <w:r>
        <w:t xml:space="preserve"> </w:t>
      </w:r>
      <w:r>
        <w:t xml:space="preserve">confidence. Conversely, the resolution of a small Danish bank in 2016 apparently did not</w:t>
      </w:r>
      <w:r>
        <w:t xml:space="preserve"> </w:t>
      </w:r>
      <w:r>
        <w:t xml:space="preserve">influence depositor confidence although uncovered depositors were bailed-in.</w:t>
      </w:r>
      <w:r>
        <w:br/>
      </w:r>
      <w:r>
        <w:t xml:space="preserve">Non-exhaustive list of observed depositor runs/outflow in the context of bail-in</w:t>
      </w:r>
      <w:r>
        <w:br/>
      </w:r>
      <w:r>
        <w:t xml:space="preserve">The case of Northern Rock472 in England in 2007 represents one of the emblematic</w:t>
      </w:r>
      <w:r>
        <w:t xml:space="preserve"> </w:t>
      </w:r>
      <w:r>
        <w:t xml:space="preserve">examples of bank runs. Throughout that summer, serious concerns emerged about the</w:t>
      </w:r>
      <w:r>
        <w:t xml:space="preserve"> </w:t>
      </w:r>
      <w:r>
        <w:t xml:space="preserve">viability of Northern Rock’s business model (heavy reliance on wholesale market</w:t>
      </w:r>
      <w:r>
        <w:t xml:space="preserve"> </w:t>
      </w:r>
      <w:r>
        <w:t xml:space="preserve">funding leading to considerable liquidity risk), which were compounded by the</w:t>
      </w:r>
      <w:r>
        <w:t xml:space="preserve"> </w:t>
      </w:r>
      <w:r>
        <w:t xml:space="preserve">developments in the US sub-prime mortgage market. Both elements combined led</w:t>
      </w:r>
      <w:r>
        <w:t xml:space="preserve"> </w:t>
      </w:r>
      <w:r>
        <w:t xml:space="preserve">Northern Rock seeking assistance from the Bank of England in September 2007, which</w:t>
      </w:r>
      <w:r>
        <w:t xml:space="preserve"> </w:t>
      </w:r>
      <w:r>
        <w:t xml:space="preserve">sparked a dramatic bank run with GBP 3 bn of deposits withdrawn in the span of three</w:t>
      </w:r>
      <w:r>
        <w:t xml:space="preserve"> </w:t>
      </w:r>
      <w:r>
        <w:t xml:space="preserve">days473.</w:t>
      </w:r>
      <w:r>
        <w:br/>
      </w:r>
      <w:r>
        <w:t xml:space="preserve">In 2008 in Iceland, a loss of market access caused three systemic cross-border banks to</w:t>
      </w:r>
      <w:r>
        <w:t xml:space="preserve"> </w:t>
      </w:r>
      <w:r>
        <w:t xml:space="preserve">default on their foreign liabilities and led to a widespread financial distress resulting in</w:t>
      </w:r>
    </w:p>
    <w:p>
      <w:pPr>
        <w:pStyle w:val="FirstParagraph"/>
      </w:pPr>
      <w:r>
        <w:t xml:space="preserve">470 From January 1, 2015, all EU Member States were required to transpose the BRRD into their national</w:t>
      </w:r>
      <w:r>
        <w:t xml:space="preserve"> </w:t>
      </w:r>
      <w:r>
        <w:t xml:space="preserve">law. A key element of the new powers is the bail-in tool (as of January 1, 2016), requiring banks to absorb</w:t>
      </w:r>
      <w:r>
        <w:t xml:space="preserve"> </w:t>
      </w:r>
      <w:r>
        <w:t xml:space="preserve">losses and recapitalise thanks to own resources. Some Member States had already similar tools available in</w:t>
      </w:r>
      <w:r>
        <w:t xml:space="preserve"> </w:t>
      </w:r>
      <w:r>
        <w:t xml:space="preserve">their national laws.</w:t>
      </w:r>
      <w:r>
        <w:t xml:space="preserve"> </w:t>
      </w:r>
      <w:r>
        <w:t xml:space="preserve">471 The original DGS Directive of 1994 only required a minimum level of harmonisation between domestic</w:t>
      </w:r>
      <w:r>
        <w:t xml:space="preserve"> </w:t>
      </w:r>
      <w:r>
        <w:t xml:space="preserve">deposit guarantee schemes in the EU. It proved disruptive for financial stability and the internal market,</w:t>
      </w:r>
      <w:r>
        <w:t xml:space="preserve"> </w:t>
      </w:r>
      <w:r>
        <w:t xml:space="preserve">especially during the financial crisis of 2007-2009. An amending Directive in 2009 required EU countries</w:t>
      </w:r>
      <w:r>
        <w:t xml:space="preserve"> </w:t>
      </w:r>
      <w:r>
        <w:t xml:space="preserve">to increase their protection of deposits firstly to a minimum of EUR 50,000, and then to a uniform level of</w:t>
      </w:r>
      <w:r>
        <w:t xml:space="preserve"> </w:t>
      </w:r>
      <w:r>
        <w:t xml:space="preserve">EUR 100,000 by the end of 2010. In 2014, the EU adopted Directive 2014/49/EU (DGSD). It requires EU</w:t>
      </w:r>
      <w:r>
        <w:t xml:space="preserve"> </w:t>
      </w:r>
      <w:r>
        <w:t xml:space="preserve">countries to introduce laws setting up at least one DGS that all banks must join and to ensure a harmonised</w:t>
      </w:r>
      <w:r>
        <w:t xml:space="preserve"> </w:t>
      </w:r>
      <w:r>
        <w:t xml:space="preserve">level of protection for depositors on the basis of protected types of deposits.</w:t>
      </w:r>
      <w:r>
        <w:t xml:space="preserve"> </w:t>
      </w:r>
      <w:r>
        <w:t xml:space="preserve">472 Reference research gate (2009), The Northern Rock Crisis: a multi-dimensional problem.</w:t>
      </w:r>
      <w:r>
        <w:br/>
      </w:r>
      <w:r>
        <w:t xml:space="preserve">473 In February 2008, Northern Rock was nationalised. By using emergency legislation to pass the Banking</w:t>
      </w:r>
      <w:r>
        <w:t xml:space="preserve"> </w:t>
      </w:r>
      <w:r>
        <w:t xml:space="preserve">(Special Provisions) Act, which enabled HM Treasury to carry out direct transfers of securities, liabilities</w:t>
      </w:r>
      <w:r>
        <w:t xml:space="preserve"> </w:t>
      </w:r>
      <w:r>
        <w:t xml:space="preserve">and property. Two years later, the bank was eventually split into two to facilitate its return to the private</w:t>
      </w:r>
      <w:r>
        <w:t xml:space="preserve"> </w:t>
      </w:r>
      <w:r>
        <w:t xml:space="preserve">sector and Virgin Money, in 2012, completed their purchase of NR, costing approximately GBP 1 bn (see:</w:t>
      </w:r>
      <w:r>
        <w:t xml:space="preserve"> </w:t>
      </w:r>
      <w:r>
        <w:t xml:space="preserve">(PDF) The Northern Rock Crisis: a multi-dimensional problem in previous footnote.</w:t>
      </w:r>
    </w:p>
    <w:p>
      <w:pPr>
        <w:pStyle w:val="BodyText"/>
      </w:pPr>
      <w:r>
        <w:t xml:space="preserve">316</w:t>
      </w:r>
      <w:r>
        <w:t xml:space="preserve"> </w:t>
      </w:r>
      <w:r>
        <w:t xml:space="preserve">intense deposits outflows, accompanied by a currency depreciation. The banking crisis in</w:t>
      </w:r>
      <w:r>
        <w:t xml:space="preserve"> </w:t>
      </w:r>
      <w:r>
        <w:t xml:space="preserve">Iceland474 was unprecedented in certain aspects, as the three banks Kaupthing,</w:t>
      </w:r>
      <w:r>
        <w:t xml:space="preserve"> </w:t>
      </w:r>
      <w:r>
        <w:t xml:space="preserve">Landsbanki and Glitnir (over 80% of the Icelandic financial system) collapsed within a</w:t>
      </w:r>
      <w:r>
        <w:t xml:space="preserve"> </w:t>
      </w:r>
      <w:r>
        <w:t xml:space="preserve">few days. The main causes of the collapse were multidimensional475. In September 2008,</w:t>
      </w:r>
      <w:r>
        <w:t xml:space="preserve"> </w:t>
      </w:r>
      <w:r>
        <w:t xml:space="preserve">Glitnir Bank was the first amongst the three to request Emergency Liquidity Assistance</w:t>
      </w:r>
      <w:r>
        <w:t xml:space="preserve"> </w:t>
      </w:r>
      <w:r>
        <w:t xml:space="preserve">(ELA) from the Central Bank of Iceland as it had exhausted its market options. The</w:t>
      </w:r>
      <w:r>
        <w:t xml:space="preserve"> </w:t>
      </w:r>
      <w:r>
        <w:t xml:space="preserve">request was declined by the Central Bank of Iceland and suggestions about a partial</w:t>
      </w:r>
      <w:r>
        <w:t xml:space="preserve"> </w:t>
      </w:r>
      <w:r>
        <w:t xml:space="preserve">nationalisation were raised instead. The announcement of the latter caused credit default</w:t>
      </w:r>
      <w:r>
        <w:t xml:space="preserve"> </w:t>
      </w:r>
      <w:r>
        <w:t xml:space="preserve">swap spreads to jump, leading to funding problems for several other banks. This was</w:t>
      </w:r>
      <w:r>
        <w:t xml:space="preserve"> </w:t>
      </w:r>
      <w:r>
        <w:t xml:space="preserve">coupled with an important deposit withdrawal by retail depositors that brought the entire</w:t>
      </w:r>
      <w:r>
        <w:t xml:space="preserve"> </w:t>
      </w:r>
      <w:r>
        <w:t xml:space="preserve">Icelandic banking system on the brink of collapse by October 2008. As the crisis erupted,</w:t>
      </w:r>
      <w:r>
        <w:t xml:space="preserve"> </w:t>
      </w:r>
      <w:r>
        <w:t xml:space="preserve">several measures were taken in relation to deposits, starting with the government’s</w:t>
      </w:r>
      <w:r>
        <w:t xml:space="preserve"> </w:t>
      </w:r>
      <w:r>
        <w:t xml:space="preserve">announcement of a blanket guarantee for all domestic deposits. The aim of the</w:t>
      </w:r>
      <w:r>
        <w:t xml:space="preserve"> </w:t>
      </w:r>
      <w:r>
        <w:t xml:space="preserve">announcement was to stop the run on the banks. It was limited to covered deposits in</w:t>
      </w:r>
      <w:r>
        <w:t xml:space="preserve"> </w:t>
      </w:r>
      <w:r>
        <w:t xml:space="preserve">domestic banks in Iceland, given the limited resources of the Deposit Guarantee Fund</w:t>
      </w:r>
      <w:r>
        <w:t xml:space="preserve"> </w:t>
      </w:r>
      <w:r>
        <w:t xml:space="preserve">and the Ministry of Finance’s inability to provide a credible backstop. Further, it was</w:t>
      </w:r>
      <w:r>
        <w:t xml:space="preserve"> </w:t>
      </w:r>
      <w:r>
        <w:t xml:space="preserve">required to introduce a depositor preference in the creditor hierarchy via the Emergency</w:t>
      </w:r>
      <w:r>
        <w:t xml:space="preserve"> </w:t>
      </w:r>
      <w:r>
        <w:t xml:space="preserve">Act (regardless whether they were collected through domestic or foreign branches). Until</w:t>
      </w:r>
      <w:r>
        <w:t xml:space="preserve"> </w:t>
      </w:r>
      <w:r>
        <w:t xml:space="preserve">then, deposits were general claims and were therefore more likely to bear losses. The</w:t>
      </w:r>
      <w:r>
        <w:t xml:space="preserve"> </w:t>
      </w:r>
      <w:r>
        <w:t xml:space="preserve">change in the creditor hierarchy was expected to reduce losses to depositors, both in</w:t>
      </w:r>
      <w:r>
        <w:t xml:space="preserve"> </w:t>
      </w:r>
      <w:r>
        <w:t xml:space="preserve">branches and subsidiaries in Iceland and abroad476. A government bailout could not be</w:t>
      </w:r>
      <w:r>
        <w:t xml:space="preserve"> </w:t>
      </w:r>
      <w:r>
        <w:t xml:space="preserve">realised as the State’s resources unmatched the size of the problem. Furthermore, the</w:t>
      </w:r>
      <w:r>
        <w:t xml:space="preserve"> </w:t>
      </w:r>
      <w:r>
        <w:t xml:space="preserve">Central Bank of Iceland was unable to act as a lender of last resort in foreign currency</w:t>
      </w:r>
      <w:r>
        <w:t xml:space="preserve"> </w:t>
      </w:r>
      <w:r>
        <w:t xml:space="preserve">given that its foreign credit lines and FX reserves could not cope with the banks’ needs.</w:t>
      </w:r>
      <w:r>
        <w:t xml:space="preserve"> </w:t>
      </w:r>
      <w:r>
        <w:t xml:space="preserve">Therefore, each bank was resolved through the transfer of domestic activities to a new</w:t>
      </w:r>
      <w:r>
        <w:t xml:space="preserve"> </w:t>
      </w:r>
      <w:r>
        <w:t xml:space="preserve">bank and the economic and financial assistance of the IMF programme was provided</w:t>
      </w:r>
      <w:r>
        <w:t xml:space="preserve"> </w:t>
      </w:r>
      <w:r>
        <w:t xml:space="preserve">where capital controls and the restructuring of private debt were introduced.</w:t>
      </w:r>
      <w:r>
        <w:t xml:space="preserve"> </w:t>
      </w:r>
      <w:r>
        <w:t xml:space="preserve">In 2013 in Cyprus, depositors suffered losses in two systemic banks (following the bail-</w:t>
      </w:r>
      <w:r>
        <w:t xml:space="preserve"> </w:t>
      </w:r>
      <w:r>
        <w:t xml:space="preserve">in of retail investors), which undermined the short-term confidence leading to significant</w:t>
      </w:r>
      <w:r>
        <w:t xml:space="preserve"> </w:t>
      </w:r>
      <w:r>
        <w:t xml:space="preserve">outflows of deposits, especially from the affected banks. The Cypriot banking sector was</w:t>
      </w:r>
    </w:p>
    <w:p>
      <w:pPr>
        <w:pStyle w:val="BodyText"/>
      </w:pPr>
      <w:r>
        <w:t xml:space="preserve">474 Financial Stability Institute (FSI) (2020), FSI crisis management series No.1, The banking crisis in</w:t>
      </w:r>
      <w:r>
        <w:t xml:space="preserve"> </w:t>
      </w:r>
      <w:r>
        <w:t xml:space="preserve">Iceland.</w:t>
      </w:r>
      <w:r>
        <w:br/>
      </w:r>
      <w:r>
        <w:t xml:space="preserve">475 First, the Icelandic banking system grew at a significant pace in the years prior to the crisis, which</w:t>
      </w:r>
      <w:r>
        <w:t xml:space="preserve"> </w:t>
      </w:r>
      <w:r>
        <w:t xml:space="preserve">subsequently led to liquidity and funding concerns as the three banks increasingly relied on funding</w:t>
      </w:r>
      <w:r>
        <w:t xml:space="preserve"> </w:t>
      </w:r>
      <w:r>
        <w:t xml:space="preserve">abroad. Second, there were undetected asset quality issues, where the prudential rules on large exposures</w:t>
      </w:r>
      <w:r>
        <w:t xml:space="preserve"> </w:t>
      </w:r>
      <w:r>
        <w:t xml:space="preserve">could often be circumvented, enabling banks to build up important concentration risk. Finally, Iceland was</w:t>
      </w:r>
      <w:r>
        <w:t xml:space="preserve"> </w:t>
      </w:r>
      <w:r>
        <w:t xml:space="preserve">particularly vulnerable to the global financial crisis due to its own imbalances. A high proportion of the</w:t>
      </w:r>
      <w:r>
        <w:t xml:space="preserve"> </w:t>
      </w:r>
      <w:r>
        <w:t xml:space="preserve">banks’ assets and liabilities were denominated in foreign currency and larger banks were even</w:t>
      </w:r>
      <w:r>
        <w:t xml:space="preserve"> </w:t>
      </w:r>
      <w:r>
        <w:t xml:space="preserve">interconnected through credit links. Reference: FSI crisis management series papers, see link in previous</w:t>
      </w:r>
      <w:r>
        <w:t xml:space="preserve"> </w:t>
      </w:r>
      <w:r>
        <w:t xml:space="preserve">footnote.</w:t>
      </w:r>
      <w:r>
        <w:t xml:space="preserve"> </w:t>
      </w:r>
      <w:r>
        <w:t xml:space="preserve">476 Several other emergency measures introduced were directed towards deposits: (i) domestic branches</w:t>
      </w:r>
      <w:r>
        <w:t xml:space="preserve"> </w:t>
      </w:r>
      <w:r>
        <w:t xml:space="preserve">transferred their guaranteed deposits to new banks and remained unaffected by the crisis, (ii) payment</w:t>
      </w:r>
      <w:r>
        <w:t xml:space="preserve"> </w:t>
      </w:r>
      <w:r>
        <w:t xml:space="preserve">systems continued to be operational throughout the resolution process and all bank branches remained</w:t>
      </w:r>
      <w:r>
        <w:t xml:space="preserve"> </w:t>
      </w:r>
      <w:r>
        <w:t xml:space="preserve">open, (iii) in 2011, a new separated guarantee fund within the deposit guarantee fund was established. The</w:t>
      </w:r>
      <w:r>
        <w:t xml:space="preserve"> </w:t>
      </w:r>
      <w:r>
        <w:t xml:space="preserve">resources in the new fund are devoted to cover deposits in the new Icelandic banks, without the risk of</w:t>
      </w:r>
      <w:r>
        <w:t xml:space="preserve"> </w:t>
      </w:r>
      <w:r>
        <w:t xml:space="preserve">being claimed by the depositors in the old banks. Besides other features the 0.15% limit on banks’</w:t>
      </w:r>
      <w:r>
        <w:t xml:space="preserve"> </w:t>
      </w:r>
      <w:r>
        <w:t xml:space="preserve">contributions was abolished. Reference: FSI crisis management series papers, the banking crisis in Iceland,</w:t>
      </w:r>
      <w:r>
        <w:t xml:space="preserve"> </w:t>
      </w:r>
      <w:r>
        <w:t xml:space="preserve">see link in previous footnote.</w:t>
      </w:r>
    </w:p>
    <w:p>
      <w:pPr>
        <w:pStyle w:val="BodyText"/>
      </w:pPr>
      <w:r>
        <w:t xml:space="preserve">317</w:t>
      </w:r>
      <w:r>
        <w:t xml:space="preserve"> </w:t>
      </w:r>
      <w:r>
        <w:t xml:space="preserve">increasingly cut off from international market funding and major financial institutions</w:t>
      </w:r>
      <w:r>
        <w:t xml:space="preserve"> </w:t>
      </w:r>
      <w:r>
        <w:t xml:space="preserve">recorded substantial capital shortfalls against the backdrop of the exposure to the Greek</w:t>
      </w:r>
      <w:r>
        <w:t xml:space="preserve"> </w:t>
      </w:r>
      <w:r>
        <w:t xml:space="preserve">economy and deteriorating loan quality in Cyprus477. Research confirms that concerns</w:t>
      </w:r>
      <w:r>
        <w:t xml:space="preserve"> </w:t>
      </w:r>
      <w:r>
        <w:t xml:space="preserve">about the safety and soundness of the banking system are very likely to result in a</w:t>
      </w:r>
      <w:r>
        <w:t xml:space="preserve"> </w:t>
      </w:r>
      <w:r>
        <w:t xml:space="preserve">reallocation of deposit holdings towards cash. As part of the agreement for the Economic</w:t>
      </w:r>
      <w:r>
        <w:t xml:space="preserve"> </w:t>
      </w:r>
      <w:r>
        <w:t xml:space="preserve">Adjustment Program for Cyprus (the Cypriot Program), in March 2013478, Cyprus</w:t>
      </w:r>
      <w:r>
        <w:t xml:space="preserve"> </w:t>
      </w:r>
      <w:r>
        <w:t xml:space="preserve">implemented an estimated EUR 7 bn bail-in solution479 to recapitalise the largest</w:t>
      </w:r>
      <w:r>
        <w:t xml:space="preserve"> </w:t>
      </w:r>
      <w:r>
        <w:t xml:space="preserve">systemic bank (Bank of Cyprus, BoC). The second largest bank (Cyprus Popular</w:t>
      </w:r>
      <w:r>
        <w:t xml:space="preserve"> </w:t>
      </w:r>
      <w:r>
        <w:t xml:space="preserve">Bank, Laiki) was subject to the sale-of-business tool merging it with BoC. For the first</w:t>
      </w:r>
      <w:r>
        <w:t xml:space="preserve"> </w:t>
      </w:r>
      <w:r>
        <w:t xml:space="preserve">time in the euro area, unsecured depositors were called upon to recapitalise their banks</w:t>
      </w:r>
      <w:r>
        <w:t xml:space="preserve"> </w:t>
      </w:r>
      <w:r>
        <w:t xml:space="preserve">raising the risk of a system wide run. As a result, capital controls and certain other</w:t>
      </w:r>
      <w:r>
        <w:t xml:space="preserve"> </w:t>
      </w:r>
      <w:r>
        <w:t xml:space="preserve">administrative measures (like bank holidays, limits on cash withdrawals and domestic</w:t>
      </w:r>
      <w:r>
        <w:t xml:space="preserve"> </w:t>
      </w:r>
      <w:r>
        <w:t xml:space="preserve">transfers) were imposed480. By the time the final agreement on the Cypriot program was</w:t>
      </w:r>
      <w:r>
        <w:t xml:space="preserve"> </w:t>
      </w:r>
      <w:r>
        <w:t xml:space="preserve">reached481, the two banks had experienced deposit outflows of about EUR 10-17 bn.</w:t>
      </w:r>
      <w:r>
        <w:t xml:space="preserve"> </w:t>
      </w:r>
      <w:r>
        <w:t xml:space="preserve">Through the intense outflows, fewer deposits remained available for the bail-in and</w:t>
      </w:r>
      <w:r>
        <w:t xml:space="preserve"> </w:t>
      </w:r>
      <w:r>
        <w:t xml:space="preserve">exacerbated the loop between bank and sovereign balance sheets (including cross-border</w:t>
      </w:r>
      <w:r>
        <w:t xml:space="preserve"> </w:t>
      </w:r>
      <w:r>
        <w:t xml:space="preserve">in Greece). To ring-fence exposure of Cyprus to Greek risks482, all Greek-related assets</w:t>
      </w:r>
      <w:r>
        <w:t xml:space="preserve"> </w:t>
      </w:r>
      <w:r>
        <w:t xml:space="preserve">(loans and fixed assets) and customer deposits of all Cypriot banks in Greece (including</w:t>
      </w:r>
      <w:r>
        <w:t xml:space="preserve"> </w:t>
      </w:r>
      <w:r>
        <w:t xml:space="preserve">of the third largest, Hellenic Bank) were sold to Piraeus Bank at a net asset value</w:t>
      </w:r>
      <w:r>
        <w:t xml:space="preserve"> </w:t>
      </w:r>
      <w:r>
        <w:t xml:space="preserve">estimated using an adverse valuation scenario (around EUR 3.2 bn)483.</w:t>
      </w:r>
    </w:p>
    <w:p>
      <w:pPr>
        <w:pStyle w:val="BodyText"/>
      </w:pPr>
      <w:r>
        <w:t xml:space="preserve">477 European Commission (2013), The economic adjustment programme for Cyprus, Occasional Papers,</w:t>
      </w:r>
      <w:r>
        <w:t xml:space="preserve"> </w:t>
      </w:r>
      <w:r>
        <w:t xml:space="preserve">149.</w:t>
      </w:r>
      <w:r>
        <w:t xml:space="preserve"> </w:t>
      </w:r>
      <w:r>
        <w:t xml:space="preserve">478 In March 2013, the Eurogroup reached a political agreement with the Cypriot authorities on the key</w:t>
      </w:r>
      <w:r>
        <w:t xml:space="preserve"> </w:t>
      </w:r>
      <w:r>
        <w:t xml:space="preserve">elements necessary for a future macroeconomic adjustment programme. The European Commission, the</w:t>
      </w:r>
      <w:r>
        <w:t xml:space="preserve"> </w:t>
      </w:r>
      <w:r>
        <w:t xml:space="preserve">European Central Bank (ECB) and the International Monetary Fund (IMF) agreed an economic adjustment</w:t>
      </w:r>
      <w:r>
        <w:t xml:space="preserve"> </w:t>
      </w:r>
      <w:r>
        <w:t xml:space="preserve">programme with the Cypriot authorities on 2 April 2013. The programme covered the period 2013-16 and</w:t>
      </w:r>
      <w:r>
        <w:t xml:space="preserve"> </w:t>
      </w:r>
      <w:r>
        <w:t xml:space="preserve">the financial package covered up to EUR 10 bn with the ESM providing up to EUR 9 bn, and the IMF</w:t>
      </w:r>
      <w:r>
        <w:t xml:space="preserve"> </w:t>
      </w:r>
      <w:r>
        <w:t xml:space="preserve">contributing around EUR 1 bn.</w:t>
      </w:r>
      <w:r>
        <w:t xml:space="preserve"> </w:t>
      </w:r>
      <w:r>
        <w:t xml:space="preserve">479 World Bank Group, Bank resolution and “bail-in” in the EU: selected case studies pre and post BRRD.</w:t>
      </w:r>
      <w:r>
        <w:t xml:space="preserve"> </w:t>
      </w:r>
      <w:r>
        <w:t xml:space="preserve">On March 22 2013, the Parliament urgently approved a new law enabling the Central Bank of Cyprus to</w:t>
      </w:r>
      <w:r>
        <w:t xml:space="preserve"> </w:t>
      </w:r>
      <w:r>
        <w:t xml:space="preserve">resolve insolvent institutions (Cyprus Resolution Law (2013)). A new bail-out plan was announced on</w:t>
      </w:r>
      <w:r>
        <w:t xml:space="preserve"> </w:t>
      </w:r>
      <w:r>
        <w:t xml:space="preserve">March 25 2013, which did not require further parliamentary approval. The new bank resolution law now</w:t>
      </w:r>
      <w:r>
        <w:t xml:space="preserve"> </w:t>
      </w:r>
      <w:r>
        <w:t xml:space="preserve">provided a legal basis to implement change: Laiki was resolved immediately with full contribution from</w:t>
      </w:r>
      <w:r>
        <w:t xml:space="preserve"> </w:t>
      </w:r>
      <w:r>
        <w:t xml:space="preserve">shareholders, bondholders and uninsured depositors. Selected Laiki assets and EUR 9 bn of ELA were</w:t>
      </w:r>
      <w:r>
        <w:t xml:space="preserve"> </w:t>
      </w:r>
      <w:r>
        <w:t xml:space="preserve">folded into the BoC with uninsured depositors converted to shareholders (at a rate determined after a</w:t>
      </w:r>
      <w:r>
        <w:t xml:space="preserve"> </w:t>
      </w:r>
      <w:r>
        <w:t xml:space="preserve">detailed asset valuation by the summer of 2013 but expected at the time to be between 40-50%).</w:t>
      </w:r>
      <w:r>
        <w:t xml:space="preserve"> </w:t>
      </w:r>
      <w:r>
        <w:t xml:space="preserve">480 IMF publication (2020), Managing systemic bank crises, new lessons and lessons relearned.</w:t>
      </w:r>
      <w:r>
        <w:br/>
      </w:r>
      <w:r>
        <w:t xml:space="preserve">481 The Cypriot authorities requested financial assistance from the EU and the IMF on 25 June 2012, while</w:t>
      </w:r>
      <w:r>
        <w:t xml:space="preserve"> </w:t>
      </w:r>
      <w:r>
        <w:t xml:space="preserve">a political agreement on the key elements necessary for the Cypriot program was reached between the</w:t>
      </w:r>
      <w:r>
        <w:t xml:space="preserve"> </w:t>
      </w:r>
      <w:r>
        <w:t xml:space="preserve">Eurogroup and the Cypriot authorities on 16 March 2013.</w:t>
      </w:r>
      <w:r>
        <w:br/>
      </w:r>
      <w:r>
        <w:t xml:space="preserve">482 European Commission (2013), The economic adjustment programme for Cyprus, Occasional Papers,</w:t>
      </w:r>
      <w:r>
        <w:t xml:space="preserve"> </w:t>
      </w:r>
      <w:r>
        <w:t xml:space="preserve">149. Concerning their Greek exposure, Cypriot banks were vulnerable on two fronts. First, they</w:t>
      </w:r>
      <w:r>
        <w:t xml:space="preserve"> </w:t>
      </w:r>
      <w:r>
        <w:t xml:space="preserve">considerably expanded their loan operations in Greece from 2005 onwards. The second channel of</w:t>
      </w:r>
      <w:r>
        <w:t xml:space="preserve"> </w:t>
      </w:r>
      <w:r>
        <w:t xml:space="preserve">exposure consisted of investments in Greek government bonds. With respect to loan quality in Cyprus,</w:t>
      </w:r>
      <w:r>
        <w:t xml:space="preserve"> </w:t>
      </w:r>
      <w:r>
        <w:t xml:space="preserve">impaired credits for real estate projects in particular were behind the deterioration linked to the high</w:t>
      </w:r>
      <w:r>
        <w:t xml:space="preserve"> </w:t>
      </w:r>
      <w:r>
        <w:t xml:space="preserve">indebtedness of the private sector and the worsening macroeconomic environment. As a consequence,</w:t>
      </w:r>
      <w:r>
        <w:t xml:space="preserve"> </w:t>
      </w:r>
      <w:r>
        <w:t xml:space="preserve">confidence in the banking sector waned and liquidity pressures mounted.</w:t>
      </w:r>
      <w:r>
        <w:br/>
      </w:r>
      <w:r>
        <w:t xml:space="preserve">483 World Bank, Bank resolution and “bail-in” in the EU: selected case studies pre and post BRRD.</w:t>
      </w:r>
    </w:p>
    <w:p>
      <w:pPr>
        <w:pStyle w:val="BodyText"/>
      </w:pPr>
      <w:r>
        <w:t xml:space="preserve">318</w:t>
      </w:r>
      <w:r>
        <w:t xml:space="preserve"> </w:t>
      </w:r>
      <w:r>
        <w:t xml:space="preserve">In 2018, Cyprus Cooperative Bank (CCB) – by then the second largest credit</w:t>
      </w:r>
      <w:r>
        <w:t xml:space="preserve"> </w:t>
      </w:r>
      <w:r>
        <w:t xml:space="preserve">institution in Cyprus – witnessed intense liquidity outflows484 as press rumours spread</w:t>
      </w:r>
      <w:r>
        <w:t xml:space="preserve"> </w:t>
      </w:r>
      <w:r>
        <w:t xml:space="preserve">suggesting a possible depositor haircut485, which echoed the 2013 events and led to a</w:t>
      </w:r>
      <w:r>
        <w:t xml:space="preserve"> </w:t>
      </w:r>
      <w:r>
        <w:t xml:space="preserve">depletion of EUR 3 bn (with EUR 300 m in a few days only) out of around EUR 11 bn of</w:t>
      </w:r>
      <w:r>
        <w:t xml:space="preserve"> </w:t>
      </w:r>
      <w:r>
        <w:t xml:space="preserve">deposits486. The bank was entirely funded through deposits and it did not have any senior</w:t>
      </w:r>
      <w:r>
        <w:t xml:space="preserve"> </w:t>
      </w:r>
      <w:r>
        <w:t xml:space="preserve">or subordinated debt. In 2018, the bank was split into a good and a bad bank, with the</w:t>
      </w:r>
      <w:r>
        <w:t xml:space="preserve"> </w:t>
      </w:r>
      <w:r>
        <w:t xml:space="preserve">operating bank network sold to Hellenic Bank487. As the restructuring of CCB started on</w:t>
      </w:r>
      <w:r>
        <w:t xml:space="preserve"> </w:t>
      </w:r>
      <w:r>
        <w:t xml:space="preserve">the basis of the national resolution law before the EU rules entered into force (namely the</w:t>
      </w:r>
      <w:r>
        <w:t xml:space="preserve"> </w:t>
      </w:r>
      <w:r>
        <w:t xml:space="preserve">BRRD/SRMR), the process remained governed by Cypriot national law and managed by</w:t>
      </w:r>
      <w:r>
        <w:t xml:space="preserve"> </w:t>
      </w:r>
      <w:r>
        <w:t xml:space="preserve">national authorities (see also Annex 9)488.</w:t>
      </w:r>
      <w:r>
        <w:t xml:space="preserve"> </w:t>
      </w:r>
      <w:r>
        <w:t xml:space="preserve">The bail-in of depositors in Cyprus triggered certain cross-border spill-overs effects. For</w:t>
      </w:r>
      <w:r>
        <w:t xml:space="preserve"> </w:t>
      </w:r>
      <w:r>
        <w:t xml:space="preserve">instance, in Romania the branch of BoC experienced intense liquidity outflows</w:t>
      </w:r>
      <w:r>
        <w:t xml:space="preserve"> </w:t>
      </w:r>
      <w:r>
        <w:t xml:space="preserve">following the resolution measures implemented by the Cypriot authorities, which</w:t>
      </w:r>
      <w:r>
        <w:t xml:space="preserve"> </w:t>
      </w:r>
      <w:r>
        <w:t xml:space="preserve">included, as aforementioned, a bail-in depositors of BoC and Laiki. Indeed, initially, it</w:t>
      </w:r>
      <w:r>
        <w:t xml:space="preserve"> </w:t>
      </w:r>
      <w:r>
        <w:t xml:space="preserve">was envisaged to also bail-in the depositors of that branch, but the plan could not be</w:t>
      </w:r>
      <w:r>
        <w:t xml:space="preserve"> </w:t>
      </w:r>
      <w:r>
        <w:t xml:space="preserve">implemented. The branch ran out of liquidity and eligible collateral for the refinancing</w:t>
      </w:r>
      <w:r>
        <w:t xml:space="preserve"> </w:t>
      </w:r>
      <w:r>
        <w:t xml:space="preserve">operations with the Romanian National Bank which led to the temporary closure of the</w:t>
      </w:r>
      <w:r>
        <w:t xml:space="preserve"> </w:t>
      </w:r>
      <w:r>
        <w:t xml:space="preserve">branch. The Romanian authorities tried to avoid any negative financial stability impact</w:t>
      </w:r>
      <w:r>
        <w:t xml:space="preserve"> </w:t>
      </w:r>
      <w:r>
        <w:t xml:space="preserve">and hence, to bail-in depositors. After almost four weeks of closure and intense</w:t>
      </w:r>
      <w:r>
        <w:t xml:space="preserve"> </w:t>
      </w:r>
      <w:r>
        <w:t xml:space="preserve">cooperation between the Romanian and Cypriot bank supervisors, the branch was</w:t>
      </w:r>
      <w:r>
        <w:t xml:space="preserve"> </w:t>
      </w:r>
      <w:r>
        <w:t xml:space="preserve">successfully integrated into Marfin Bank, the Romanian subsidiary of Laiki Bank. The</w:t>
      </w:r>
      <w:r>
        <w:t xml:space="preserve"> </w:t>
      </w:r>
      <w:r>
        <w:t xml:space="preserve">transfer concerned all local deposits, cash, liquid assets and a sufficient amount of loans.</w:t>
      </w:r>
      <w:r>
        <w:t xml:space="preserve"> </w:t>
      </w:r>
      <w:r>
        <w:t xml:space="preserve">This solution satisfied all involved parties and proved to be a good example of cross</w:t>
      </w:r>
      <w:r>
        <w:t xml:space="preserve"> </w:t>
      </w:r>
      <w:r>
        <w:t xml:space="preserve">border home-host supervisory cooperation in a crisis situation. Albeit, the percentage of</w:t>
      </w:r>
      <w:r>
        <w:t xml:space="preserve"> </w:t>
      </w:r>
      <w:r>
        <w:t xml:space="preserve">total assets of Cypriot banks, in the Romanian banking sector were rather low, there was</w:t>
      </w:r>
      <w:r>
        <w:t xml:space="preserve"> </w:t>
      </w:r>
      <w:r>
        <w:t xml:space="preserve">also a risk of contagion to the Greek banks. The Romanian subsidiaries of the Greek</w:t>
      </w:r>
      <w:r>
        <w:t xml:space="preserve"> </w:t>
      </w:r>
      <w:r>
        <w:t xml:space="preserve">banks were confronted with deposit outflows since the start of the Greek crisis and</w:t>
      </w:r>
      <w:r>
        <w:t xml:space="preserve"> </w:t>
      </w:r>
      <w:r>
        <w:t xml:space="preserve">although their situation stabilised in the second half of 2012, their deposit base remained</w:t>
      </w:r>
      <w:r>
        <w:t xml:space="preserve"> </w:t>
      </w:r>
      <w:r>
        <w:t xml:space="preserve">highly sensitive to any adverse developments in the euro area.</w:t>
      </w:r>
      <w:r>
        <w:br/>
      </w:r>
      <w:r>
        <w:t xml:space="preserve">In Greece, successive rounds of deposit outflows took place throughout the period 2010-</w:t>
      </w:r>
      <w:r>
        <w:t xml:space="preserve"> </w:t>
      </w:r>
      <w:r>
        <w:t xml:space="preserve">2012 due to a collapse in depositor confidence, caused by economic and political turmoil,</w:t>
      </w:r>
      <w:r>
        <w:t xml:space="preserve"> </w:t>
      </w:r>
      <w:r>
        <w:t xml:space="preserve">coupled with speculations about a disorderly default, an exit from the Eurozone and a</w:t>
      </w:r>
      <w:r>
        <w:t xml:space="preserve"> </w:t>
      </w:r>
      <w:r>
        <w:t xml:space="preserve">forcible currency redenomination. Overall, during the period mid-January 2010 to June</w:t>
      </w:r>
    </w:p>
    <w:p>
      <w:pPr>
        <w:pStyle w:val="BodyText"/>
      </w:pPr>
      <w:r>
        <w:t xml:space="preserve">484 According to the press (2009), Cyprus co-operative bank.</w:t>
      </w:r>
      <w:r>
        <w:t xml:space="preserve"> </w:t>
      </w:r>
      <w:r>
        <w:t xml:space="preserve">485 European Commission (2018), Post-Programme Surveillance Report- Spring 2018, institutional papers,</w:t>
      </w:r>
      <w:r>
        <w:t xml:space="preserve"> </w:t>
      </w:r>
      <w:r>
        <w:t xml:space="preserve">p.83. This coincided with the final steps in the restructuring process of the CCB, which was initiated by the</w:t>
      </w:r>
      <w:r>
        <w:t xml:space="preserve"> </w:t>
      </w:r>
      <w:r>
        <w:t xml:space="preserve">Cypriot authorities in February 2014 and modified in December 2015. Contrary to initial expectations, the</w:t>
      </w:r>
      <w:r>
        <w:t xml:space="preserve"> </w:t>
      </w:r>
      <w:r>
        <w:t xml:space="preserve">CCB was unable to return to viability: it failed to recover much money from its very significant portfolio of</w:t>
      </w:r>
      <w:r>
        <w:t xml:space="preserve"> </w:t>
      </w:r>
      <w:r>
        <w:t xml:space="preserve">non-performing loans (NPLs), partly because of the CCB’s own governance failures and partly because of</w:t>
      </w:r>
      <w:r>
        <w:t xml:space="preserve"> </w:t>
      </w:r>
      <w:r>
        <w:t xml:space="preserve">obstacles created by the Cypriot legal framework to work out NPLs.</w:t>
      </w:r>
      <w:r>
        <w:t xml:space="preserve"> </w:t>
      </w:r>
      <w:r>
        <w:t xml:space="preserve">486 According to the press (2009), Cyprus co-operative bank.</w:t>
      </w:r>
      <w:r>
        <w:t xml:space="preserve"> </w:t>
      </w:r>
      <w:r>
        <w:t xml:space="preserve">487 According to the press, the operating bank network sold to Hellenic Bank: EUR 9.7 bn in deposits,</w:t>
      </w:r>
      <w:r>
        <w:t xml:space="preserve"> </w:t>
      </w:r>
      <w:r>
        <w:t xml:space="preserve">performing loans of EUR 4 bn, Cyprus government bonds of EUR 4bn and EUR 1bn in cash. Most of the</w:t>
      </w:r>
      <w:r>
        <w:t xml:space="preserve"> </w:t>
      </w:r>
      <w:r>
        <w:t xml:space="preserve">non-performing assets (EUR 8.3 bn) were handed over to Kedipes (the Cyprus Asset Management</w:t>
      </w:r>
      <w:r>
        <w:t xml:space="preserve"> </w:t>
      </w:r>
      <w:r>
        <w:t xml:space="preserve">Company).</w:t>
      </w:r>
      <w:r>
        <w:br/>
      </w:r>
      <w:r>
        <w:t xml:space="preserve">488 European Commission (2018), State Aid SA.35334 (2018/N-2); OJ C 406, 9.11.2018, p. 1–12.</w:t>
      </w:r>
    </w:p>
    <w:p>
      <w:pPr>
        <w:pStyle w:val="BodyText"/>
      </w:pPr>
      <w:r>
        <w:t xml:space="preserve">319</w:t>
      </w:r>
      <w:r>
        <w:t xml:space="preserve"> </w:t>
      </w:r>
      <w:r>
        <w:t xml:space="preserve">2012, private sector deposits plummeted by 37%, as Greek households and businesses</w:t>
      </w:r>
      <w:r>
        <w:t xml:space="preserve"> </w:t>
      </w:r>
      <w:r>
        <w:t xml:space="preserve">withdrew domestic deposits of roughly EUR 87 bn. Deposits stabilised only after the</w:t>
      </w:r>
      <w:r>
        <w:t xml:space="preserve"> </w:t>
      </w:r>
      <w:r>
        <w:t xml:space="preserve">parliamentary elections of June 2012 as the new coalition government declared its</w:t>
      </w:r>
      <w:r>
        <w:t xml:space="preserve"> </w:t>
      </w:r>
      <w:r>
        <w:t xml:space="preserve">intention to implement the terms of the economic adjustment programme agreement.</w:t>
      </w:r>
      <w:r>
        <w:t xml:space="preserve"> </w:t>
      </w:r>
      <w:r>
        <w:t xml:space="preserve">However, the January 2015 elections triggered a new wave of “Grexit” fears and a</w:t>
      </w:r>
      <w:r>
        <w:t xml:space="preserve"> </w:t>
      </w:r>
      <w:r>
        <w:t xml:space="preserve">deposit run. The liquidity pressures created by the deposit flight amplified, as during</w:t>
      </w:r>
      <w:r>
        <w:t xml:space="preserve"> </w:t>
      </w:r>
      <w:r>
        <w:t xml:space="preserve">December 2014 to June 2015, households and businesses withdrew EUR 43 bn from</w:t>
      </w:r>
      <w:r>
        <w:t xml:space="preserve"> </w:t>
      </w:r>
      <w:r>
        <w:t xml:space="preserve">banks (nearly a quarter of the total deposits). In February 2015, the ECB withdrew the</w:t>
      </w:r>
      <w:r>
        <w:t xml:space="preserve"> </w:t>
      </w:r>
      <w:r>
        <w:t xml:space="preserve">waiver on eligibility of Greek government bonds as acceptable collateral for the</w:t>
      </w:r>
      <w:r>
        <w:t xml:space="preserve"> </w:t>
      </w:r>
      <w:r>
        <w:t xml:space="preserve">Eurosystem refinancing operations leading to the reliance of Greek banks on the more</w:t>
      </w:r>
      <w:r>
        <w:t xml:space="preserve"> </w:t>
      </w:r>
      <w:r>
        <w:t xml:space="preserve">costly ELA mechanism. Nevertheless, again banks runs were triggered when the ECB</w:t>
      </w:r>
      <w:r>
        <w:t xml:space="preserve"> </w:t>
      </w:r>
      <w:r>
        <w:t xml:space="preserve">Governing Council decided on 28 June 2015 not to increase the amount of ELA available</w:t>
      </w:r>
      <w:r>
        <w:t xml:space="preserve"> </w:t>
      </w:r>
      <w:r>
        <w:t xml:space="preserve">to Greek banks because of the uncertainty created by the Greek government’s surprise</w:t>
      </w:r>
      <w:r>
        <w:t xml:space="preserve"> </w:t>
      </w:r>
      <w:r>
        <w:t xml:space="preserve">decision to call a snap referendum. As almost all banks ran out of cash, the Greek</w:t>
      </w:r>
      <w:r>
        <w:t xml:space="preserve"> </w:t>
      </w:r>
      <w:r>
        <w:t xml:space="preserve">government imposed sweeping capital controls on 28 June 2015 and introduced a bank</w:t>
      </w:r>
      <w:r>
        <w:t xml:space="preserve"> </w:t>
      </w:r>
      <w:r>
        <w:t xml:space="preserve">holiday period to stem deposit outflows. On 18 July 2015, a new legislative act was</w:t>
      </w:r>
      <w:r>
        <w:t xml:space="preserve"> </w:t>
      </w:r>
      <w:r>
        <w:t xml:space="preserve">passed, with which the bank holiday period ended and banks re-opened. However,</w:t>
      </w:r>
      <w:r>
        <w:t xml:space="preserve"> </w:t>
      </w:r>
      <w:r>
        <w:t xml:space="preserve">certain restrictions on cash withdrawals and transfers of funds remained. Capital controls</w:t>
      </w:r>
      <w:r>
        <w:t xml:space="preserve"> </w:t>
      </w:r>
      <w:r>
        <w:t xml:space="preserve">were gradually relaxed in line with a conditions-based roadmap, but were fully lifted</w:t>
      </w:r>
      <w:r>
        <w:t xml:space="preserve"> </w:t>
      </w:r>
      <w:r>
        <w:t xml:space="preserve">only on 1 September 2019.</w:t>
      </w:r>
      <w:r>
        <w:t xml:space="preserve"> </w:t>
      </w:r>
      <w:r>
        <w:t xml:space="preserve">In November 2015 in Italy, the resolution of four small banks489 (combined market share</w:t>
      </w:r>
      <w:r>
        <w:t xml:space="preserve"> </w:t>
      </w:r>
      <w:r>
        <w:t xml:space="preserve">of around only 1%), raised concerns how to maintain depositor confidence. The bank of</w:t>
      </w:r>
      <w:r>
        <w:t xml:space="preserve"> </w:t>
      </w:r>
      <w:r>
        <w:t xml:space="preserve">Italy490 put the four banks under special administration with the aim to apply the just</w:t>
      </w:r>
      <w:r>
        <w:t xml:space="preserve"> </w:t>
      </w:r>
      <w:r>
        <w:t xml:space="preserve">transposed resolution tools introduced by the BRRD. However, the bail-in tool was only</w:t>
      </w:r>
      <w:r>
        <w:t xml:space="preserve"> </w:t>
      </w:r>
      <w:r>
        <w:t xml:space="preserve">available as of 1 January 2016. Four temporary bridge banks were set up that took over</w:t>
      </w:r>
      <w:r>
        <w:t xml:space="preserve"> </w:t>
      </w:r>
      <w:r>
        <w:t xml:space="preserve">the respective banks’ good assets and liabilities, while preserving their regular business</w:t>
      </w:r>
      <w:r>
        <w:t xml:space="preserve"> </w:t>
      </w:r>
      <w:r>
        <w:t xml:space="preserve">and employment. In line with the applicable State aid rules491, part of the losses incurred</w:t>
      </w:r>
      <w:r>
        <w:t xml:space="preserve"> </w:t>
      </w:r>
      <w:r>
        <w:t xml:space="preserve">were borne by the banks’ shareholders and subordinated bondholders (including retail</w:t>
      </w:r>
      <w:r>
        <w:t xml:space="preserve"> </w:t>
      </w:r>
      <w:r>
        <w:t xml:space="preserve">investors)492. Since some of the bailed-in retail investors were also depositors, it was</w:t>
      </w:r>
      <w:r>
        <w:t xml:space="preserve"> </w:t>
      </w:r>
      <w:r>
        <w:t xml:space="preserve">required to limit the risk of deposit outflows and to stabilise the deposit base of the newly</w:t>
      </w:r>
      <w:r>
        <w:t xml:space="preserve"> </w:t>
      </w:r>
      <w:r>
        <w:t xml:space="preserve">created bridge banks. Therefore, on 22 November 2015, Italy decided to set up a</w:t>
      </w:r>
      <w:r>
        <w:t xml:space="preserve"> </w:t>
      </w:r>
      <w:r>
        <w:t xml:space="preserve">solidarity fund to compensate losses and restore investor confidence493. The solidarity</w:t>
      </w:r>
      <w:r>
        <w:t xml:space="preserve"> </w:t>
      </w:r>
      <w:r>
        <w:t xml:space="preserve">fund was endowed with EUR 100 m funded by contributions of Italian banks and</w:t>
      </w:r>
      <w:r>
        <w:t xml:space="preserve"> </w:t>
      </w:r>
      <w:r>
        <w:t xml:space="preserve">managed by the Italian Deposit Guarantee Fund (FITD)494. In addition, an arbitration</w:t>
      </w:r>
      <w:r>
        <w:t xml:space="preserve"> </w:t>
      </w:r>
      <w:r>
        <w:t xml:space="preserve">mechanism was set up to deal with the damages claimed by retail subordinated</w:t>
      </w:r>
    </w:p>
    <w:p>
      <w:pPr>
        <w:pStyle w:val="BodyText"/>
      </w:pPr>
      <w:r>
        <w:t xml:space="preserve">489 Banca delle Marche, Banca Popolare dell’Etruria e del Lazio, Cassa di Risparmio della Provincia di</w:t>
      </w:r>
      <w:r>
        <w:t xml:space="preserve"> </w:t>
      </w:r>
      <w:r>
        <w:t xml:space="preserve">Chieti, Cassa di Risparmio di Ferrara.</w:t>
      </w:r>
      <w:r>
        <w:t xml:space="preserve"> </w:t>
      </w:r>
      <w:r>
        <w:t xml:space="preserve">490 Bank of Italy (2015), Information on resolution.</w:t>
      </w:r>
      <w:r>
        <w:t xml:space="preserve"> </w:t>
      </w:r>
      <w:r>
        <w:t xml:space="preserve">491 European Commission (2016), Commission decision of 29.04.2016 on the State Aid SA.39543</w:t>
      </w:r>
      <w:r>
        <w:t xml:space="preserve"> </w:t>
      </w:r>
      <w:r>
        <w:t xml:space="preserve">(2015/N), SA.41134 (2015/N), SA.41925 (2015/N), SA.43547 (2015/N) implemented by Italy Amendment to</w:t>
      </w:r>
      <w:r>
        <w:t xml:space="preserve"> </w:t>
      </w:r>
      <w:r>
        <w:t xml:space="preserve">the resolution of Banca Marche, Banca Etruria, Carife and Carichieti.</w:t>
      </w:r>
      <w:r>
        <w:br/>
      </w:r>
      <w:r>
        <w:t xml:space="preserve">492 According to the press (2015), Who paid for saving the four Italian banks.</w:t>
      </w:r>
      <w:r>
        <w:t xml:space="preserve"> </w:t>
      </w:r>
      <w:r>
        <w:t xml:space="preserve">493 Bank of Italy (2016), Speech by the Governor of the Bank of Italy Ignazio Visco.</w:t>
      </w:r>
      <w:r>
        <w:br/>
      </w:r>
      <w:r>
        <w:t xml:space="preserve">494 Italian Deposit Guarantee Fund (FITD), Solidarity Fund and Official Journal of the Italian Republic</w:t>
      </w:r>
      <w:r>
        <w:t xml:space="preserve"> </w:t>
      </w:r>
      <w:r>
        <w:t xml:space="preserve">(2016), Law Decree 59, 3 May 2016.</w:t>
      </w:r>
    </w:p>
    <w:p>
      <w:pPr>
        <w:pStyle w:val="BodyText"/>
      </w:pPr>
      <w:r>
        <w:t xml:space="preserve">320</w:t>
      </w:r>
      <w:r>
        <w:t xml:space="preserve"> </w:t>
      </w:r>
      <w:r>
        <w:t xml:space="preserve">bondholders from banks that may have violated rules on consumer protection in</w:t>
      </w:r>
      <w:r>
        <w:t xml:space="preserve"> </w:t>
      </w:r>
      <w:r>
        <w:t xml:space="preserve">investment services.</w:t>
      </w:r>
      <w:r>
        <w:t xml:space="preserve"> </w:t>
      </w:r>
      <w:r>
        <w:t xml:space="preserve">In 2016, the Danish case of Andelskassen JAK Slagelse495 was one of the first BRRD</w:t>
      </w:r>
      <w:r>
        <w:t xml:space="preserve"> </w:t>
      </w:r>
      <w:r>
        <w:t xml:space="preserve">bail-in cases including the write-down of unsecured depositors and contributions of the</w:t>
      </w:r>
      <w:r>
        <w:t xml:space="preserve"> </w:t>
      </w:r>
      <w:r>
        <w:t xml:space="preserve">DGS, while ensuring uninterrupted access to the bank’s deposits and critical functions</w:t>
      </w:r>
      <w:r>
        <w:t xml:space="preserve"> </w:t>
      </w:r>
      <w:r>
        <w:t xml:space="preserve">and hence without observed loss of depositor confidence.</w:t>
      </w:r>
      <w:r>
        <w:t xml:space="preserve"> </w:t>
      </w:r>
      <w:r>
        <w:t xml:space="preserve">Recently, cases in Spain demonstrated that political events have the potential to cause</w:t>
      </w:r>
      <w:r>
        <w:t xml:space="preserve"> </w:t>
      </w:r>
      <w:r>
        <w:t xml:space="preserve">bank runs. In particular, the cases of CaixaBank and Banco Sabadell have underlined the</w:t>
      </w:r>
      <w:r>
        <w:t xml:space="preserve"> </w:t>
      </w:r>
      <w:r>
        <w:t xml:space="preserve">occasional political nature of bank runs. The Catalan crisis significantly impacted the</w:t>
      </w:r>
      <w:r>
        <w:t xml:space="preserve"> </w:t>
      </w:r>
      <w:r>
        <w:t xml:space="preserve">financial sector in the area, with clients boycotting the independence movement and</w:t>
      </w:r>
      <w:r>
        <w:t xml:space="preserve"> </w:t>
      </w:r>
      <w:r>
        <w:t xml:space="preserve">removing their savings from Catalan banks. It further prompted a general fear that, in the</w:t>
      </w:r>
      <w:r>
        <w:t xml:space="preserve"> </w:t>
      </w:r>
      <w:r>
        <w:t xml:space="preserve">event of independence, clients would not be able to access their savings and that banks</w:t>
      </w:r>
      <w:r>
        <w:t xml:space="preserve"> </w:t>
      </w:r>
      <w:r>
        <w:t xml:space="preserve">would not have access to the ECB refinancing operations. According to the information</w:t>
      </w:r>
      <w:r>
        <w:t xml:space="preserve"> </w:t>
      </w:r>
      <w:r>
        <w:t xml:space="preserve">provided by both entities496, Caixabank experienced an outflow of EUR 7 bn of deposits</w:t>
      </w:r>
      <w:r>
        <w:t xml:space="preserve"> </w:t>
      </w:r>
      <w:r>
        <w:t xml:space="preserve">and Sabadell of EUR 4.6 bn. Overall, more than 1300 companies – including CaixaBank</w:t>
      </w:r>
      <w:r>
        <w:t xml:space="preserve"> </w:t>
      </w:r>
      <w:r>
        <w:t xml:space="preserve">and Banco Sabadell – decided to transfer their legal headquarters out of Catalonia as</w:t>
      </w:r>
      <w:r>
        <w:t xml:space="preserve"> </w:t>
      </w:r>
      <w:r>
        <w:t xml:space="preserve">result of the ongoing uncertainty.</w:t>
      </w:r>
      <w:r>
        <w:t xml:space="preserve"> </w:t>
      </w:r>
      <w:r>
        <w:t xml:space="preserve">2.</w:t>
      </w:r>
      <w:r>
        <w:t xml:space="preserve"> </w:t>
      </w:r>
      <w:r>
        <w:t xml:space="preserve">DEPOSITOR RANKING IN THE HIERARCHY OF CLAIMS</w:t>
      </w:r>
      <w:r>
        <w:t xml:space="preserve"> </w:t>
      </w:r>
      <w:r>
        <w:t xml:space="preserve">Existing CMDI framework</w:t>
      </w:r>
      <w:r>
        <w:t xml:space="preserve"> </w:t>
      </w:r>
      <w:r>
        <w:t xml:space="preserve">In terms of terminology, the existing framework distinguishes among four main types of</w:t>
      </w:r>
      <w:r>
        <w:t xml:space="preserve"> </w:t>
      </w:r>
      <w:r>
        <w:t xml:space="preserve">deposits:</w:t>
      </w:r>
      <w:r>
        <w:br/>
      </w:r>
      <w:r>
        <w:t xml:space="preserve">(1) covered deposits (eligible deposits497 whose amounts are protected by DGS funds</w:t>
      </w:r>
      <w:r>
        <w:t xml:space="preserve"> </w:t>
      </w:r>
      <w:r>
        <w:t xml:space="preserve">up to the coverage level set out by the DGSD (EUR 100 000)),</w:t>
      </w:r>
      <w:r>
        <w:br/>
      </w:r>
      <w:r>
        <w:t xml:space="preserve">(2) non-covered preferred deposits (eligible deposits from natural persons and SMEs</w:t>
      </w:r>
      <w:r>
        <w:t xml:space="preserve"> </w:t>
      </w:r>
      <w:r>
        <w:t xml:space="preserve">exceeding the DGSD coverage level),</w:t>
      </w:r>
      <w:r>
        <w:br/>
      </w:r>
      <w:r>
        <w:t xml:space="preserve">(3) non-covered non-preferred deposits (large corporate deposits (non-SME)</w:t>
      </w:r>
      <w:r>
        <w:t xml:space="preserve"> </w:t>
      </w:r>
      <w:r>
        <w:t xml:space="preserve">exceeding the DGSD coverage level), and</w:t>
      </w:r>
      <w:r>
        <w:br/>
      </w:r>
      <w:r>
        <w:t xml:space="preserve">(4) non-eligible deposits excluded from repayment by the DGS pursuant to Article</w:t>
      </w:r>
      <w:r>
        <w:t xml:space="preserve"> </w:t>
      </w:r>
      <w:r>
        <w:t xml:space="preserve">5(1) DGSD, which currently include deposits held by public authorities, financial</w:t>
      </w:r>
      <w:r>
        <w:t xml:space="preserve"> </w:t>
      </w:r>
      <w:r>
        <w:t xml:space="preserve">sector entities and pension funds. In the hierarchy of claims, non-eligible deposits</w:t>
      </w:r>
      <w:r>
        <w:t xml:space="preserve"> </w:t>
      </w:r>
      <w:r>
        <w:t xml:space="preserve">rank the same as non-preferred non-covered deposits.</w:t>
      </w:r>
      <w:r>
        <w:br/>
      </w:r>
      <w:r>
        <w:t xml:space="preserve">Under the existing CMDI framework, Article 108(1) BRRD creates a three-tier</w:t>
      </w:r>
      <w:r>
        <w:t xml:space="preserve"> </w:t>
      </w:r>
      <w:r>
        <w:t xml:space="preserve">depositor preference in the hierarchy of claims. It provides that covered deposits and</w:t>
      </w:r>
      <w:r>
        <w:t xml:space="preserve"> </w:t>
      </w:r>
      <w:r>
        <w:t xml:space="preserve">the claims of DGSs in insolvency (subrogating to the right and obligations of covered</w:t>
      </w:r>
      <w:r>
        <w:t xml:space="preserve"> </w:t>
      </w:r>
      <w:r>
        <w:t xml:space="preserve">deposits following a payout) must rank above non-covered preferred deposits ((deposits</w:t>
      </w:r>
    </w:p>
    <w:p>
      <w:pPr>
        <w:pStyle w:val="BodyText"/>
      </w:pPr>
      <w:r>
        <w:t xml:space="preserve">495 Finansiel Stabilitet Group, a public limited company owned by the Danish State through the Ministry of</w:t>
      </w:r>
      <w:r>
        <w:t xml:space="preserve"> </w:t>
      </w:r>
      <w:r>
        <w:t xml:space="preserve">Business and Growth (2016), Annual Report 2016. The lack of effective corporate governance coupled</w:t>
      </w:r>
      <w:r>
        <w:t xml:space="preserve"> </w:t>
      </w:r>
      <w:r>
        <w:t xml:space="preserve">with prior careless lending led to numerous Danish banks, notably small and medium-sized financial</w:t>
      </w:r>
      <w:r>
        <w:t xml:space="preserve"> </w:t>
      </w:r>
      <w:r>
        <w:t xml:space="preserve">institutions, to significant distress. By December 2016, the portfolio of financial assets of Andelskassen</w:t>
      </w:r>
      <w:r>
        <w:t xml:space="preserve"> </w:t>
      </w:r>
      <w:r>
        <w:t xml:space="preserve">amounted to DKK 275 mn in comparison to DKK 1.3 bn in 2015.</w:t>
      </w:r>
      <w:r>
        <w:br/>
      </w:r>
      <w:r>
        <w:t xml:space="preserve">496 According to the press (2020), El Pais article.</w:t>
      </w:r>
      <w:r>
        <w:br/>
      </w:r>
      <w:r>
        <w:t xml:space="preserve">497 An ‘eligible deposit’ is a deposit that is eligible to be protected by a DGS.</w:t>
      </w:r>
    </w:p>
    <w:p>
      <w:pPr>
        <w:pStyle w:val="BodyText"/>
      </w:pPr>
      <w:r>
        <w:t xml:space="preserve">321</w:t>
      </w:r>
      <w:r>
        <w:t xml:space="preserve"> </w:t>
      </w:r>
      <w:r>
        <w:t xml:space="preserve">by natural persons and SMEs exceeding EUR 100 000). In turn, the latter must rank</w:t>
      </w:r>
      <w:r>
        <w:t xml:space="preserve"> </w:t>
      </w:r>
      <w:r>
        <w:t xml:space="preserve">above the claims of ordinary unsecured creditors (senior debt). Therefore, the DGS has</w:t>
      </w:r>
      <w:r>
        <w:t xml:space="preserve"> </w:t>
      </w:r>
      <w:r>
        <w:t xml:space="preserve">the same ranking as covered deposits, which is preferred relative to all other types of</w:t>
      </w:r>
      <w:r>
        <w:t xml:space="preserve"> </w:t>
      </w:r>
      <w:r>
        <w:t xml:space="preserve">non-covered deposits.</w:t>
      </w:r>
      <w:r>
        <w:t xml:space="preserve"> </w:t>
      </w:r>
      <w:r>
        <w:t xml:space="preserve">There are, however, two types of deposits whose ranking is not contemplated in Article</w:t>
      </w:r>
      <w:r>
        <w:t xml:space="preserve"> </w:t>
      </w:r>
      <w:r>
        <w:t xml:space="preserve">108(1) BRRD: the non-covered non preferred deposits (e.g. corporate non-SME deposits</w:t>
      </w:r>
      <w:r>
        <w:t xml:space="preserve"> </w:t>
      </w:r>
      <w:r>
        <w:t xml:space="preserve">exceeding the coverage level of EUR 100 000) and the non-eligible deposits excluded</w:t>
      </w:r>
      <w:r>
        <w:t xml:space="preserve"> </w:t>
      </w:r>
      <w:r>
        <w:t xml:space="preserve">from repayment by the DGS. While Article 108(1) BRRD does not allow these deposits</w:t>
      </w:r>
      <w:r>
        <w:t xml:space="preserve"> </w:t>
      </w:r>
      <w:r>
        <w:t xml:space="preserve">to rank alongside the preferred deposits mentioned therein, thus setting out a three-tier</w:t>
      </w:r>
      <w:r>
        <w:t xml:space="preserve"> </w:t>
      </w:r>
      <w:r>
        <w:t xml:space="preserve">approach to the ranking of deposits, the directive is otherwise silent on what level of the</w:t>
      </w:r>
      <w:r>
        <w:t xml:space="preserve"> </w:t>
      </w:r>
      <w:r>
        <w:t xml:space="preserve">insolvency creditor hierarchy they should be placed, leaving that choice to the national</w:t>
      </w:r>
      <w:r>
        <w:t xml:space="preserve"> </w:t>
      </w:r>
      <w:r>
        <w:t xml:space="preserve">legislator. In most Member States, the deposits not covered by Article 108(1) BRRD</w:t>
      </w:r>
      <w:r>
        <w:t xml:space="preserve"> </w:t>
      </w:r>
      <w:r>
        <w:t xml:space="preserve">rank in insolvency alongside ordinary unsecured claims, including senior debt</w:t>
      </w:r>
      <w:r>
        <w:t xml:space="preserve"> </w:t>
      </w:r>
      <w:r>
        <w:t xml:space="preserve">instruments eligible for MREL (section A of below figure), while in a minority of</w:t>
      </w:r>
      <w:r>
        <w:t xml:space="preserve"> </w:t>
      </w:r>
      <w:r>
        <w:t xml:space="preserve">Member States, they already rank above ordinary unsecured claims (section B of below</w:t>
      </w:r>
      <w:r>
        <w:t xml:space="preserve"> </w:t>
      </w:r>
      <w:r>
        <w:t xml:space="preserve">figure).</w:t>
      </w:r>
      <w:r>
        <w:br/>
      </w:r>
      <w:r>
        <w:t xml:space="preserve">Figure 28: Stylised view of the three-tier depositor preference in the current creditor</w:t>
      </w:r>
      <w:r>
        <w:t xml:space="preserve"> </w:t>
      </w:r>
      <w:r>
        <w:t xml:space="preserve">hierarchies in insolvency laws (baseline)</w:t>
      </w:r>
    </w:p>
    <w:p>
      <w:pPr>
        <w:pStyle w:val="BodyText"/>
      </w:pPr>
      <w:r>
        <w:t xml:space="preserve">Source: Commission services</w:t>
      </w:r>
      <w:r>
        <w:t xml:space="preserve"> </w:t>
      </w:r>
      <w:r>
        <w:t xml:space="preserve">Nevertheless, in recent years, an increasing number of Member States have granted a</w:t>
      </w:r>
      <w:r>
        <w:t xml:space="preserve"> </w:t>
      </w:r>
      <w:r>
        <w:t xml:space="preserve">legal preference in insolvency to those deposits under their national laws498. In</w:t>
      </w:r>
      <w:r>
        <w:t xml:space="preserve"> </w:t>
      </w:r>
      <w:r>
        <w:t xml:space="preserve">compliance with the three-tier approach required by Article 108(1), in those Member</w:t>
      </w:r>
      <w:r>
        <w:t xml:space="preserve"> </w:t>
      </w:r>
      <w:r>
        <w:t xml:space="preserve">States, the deposits of large corporates and the excluded deposits rank below covered</w:t>
      </w:r>
    </w:p>
    <w:p>
      <w:pPr>
        <w:pStyle w:val="BodyText"/>
      </w:pPr>
      <w:r>
        <w:t xml:space="preserve">498 Other Member States may be considering similar amendments in their national insolvency legislation.</w:t>
      </w:r>
    </w:p>
    <w:p>
      <w:pPr>
        <w:pStyle w:val="BodyText"/>
      </w:pPr>
      <w:r>
        <w:t xml:space="preserve">322</w:t>
      </w:r>
      <w:r>
        <w:t xml:space="preserve"> </w:t>
      </w:r>
      <w:r>
        <w:t xml:space="preserve">deposits, DGS claims and eligible deposits of natural persons and SMEs, but above</w:t>
      </w:r>
      <w:r>
        <w:t xml:space="preserve"> </w:t>
      </w:r>
      <w:r>
        <w:t xml:space="preserve">ordinary unsecured claims.</w:t>
      </w:r>
      <w:r>
        <w:br/>
      </w:r>
      <w:r>
        <w:t xml:space="preserve">Table 32: Forms of depositor preference in the EU under the existing hierarchies of</w:t>
      </w:r>
      <w:r>
        <w:t xml:space="preserve"> </w:t>
      </w:r>
      <w:r>
        <w:t xml:space="preserve">claims</w:t>
      </w:r>
      <w:r>
        <w:t xml:space="preserve"> </w:t>
      </w:r>
      <w:r>
        <w:t xml:space="preserve">Form of depositor preference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Depositor preference compared to senior unsecured</w:t>
      </w:r>
      <w:r>
        <w:t xml:space="preserve"> </w:t>
      </w:r>
      <w:r>
        <w:t xml:space="preserve">claims, under a three-tier approach</w:t>
      </w:r>
      <w:r>
        <w:t xml:space="preserve"> </w:t>
      </w:r>
      <w:r>
        <w:t xml:space="preserve">8 Member States (BG, CY, EL,</w:t>
      </w:r>
      <w:r>
        <w:t xml:space="preserve"> </w:t>
      </w:r>
      <w:r>
        <w:t xml:space="preserve">HR, HU, IT, PT, SI)</w:t>
      </w:r>
      <w:r>
        <w:br/>
      </w:r>
      <w:r>
        <w:t xml:space="preserve">No depositor preference, where non-preferred non-</w:t>
      </w:r>
      <w:r>
        <w:t xml:space="preserve"> </w:t>
      </w:r>
      <w:r>
        <w:t xml:space="preserve">covered deposits rank pari passu with other senior</w:t>
      </w:r>
      <w:r>
        <w:t xml:space="preserve"> </w:t>
      </w:r>
      <w:r>
        <w:t xml:space="preserve">unsecured claims</w:t>
      </w:r>
      <w:r>
        <w:t xml:space="preserve"> </w:t>
      </w:r>
      <w:r>
        <w:t xml:space="preserve">19 Member States (AT, BE, CZ,</w:t>
      </w:r>
      <w:r>
        <w:t xml:space="preserve"> </w:t>
      </w:r>
      <w:r>
        <w:t xml:space="preserve">DE, DK, EE, ES, FI, FR, IE, LV,</w:t>
      </w:r>
      <w:r>
        <w:t xml:space="preserve"> </w:t>
      </w:r>
      <w:r>
        <w:t xml:space="preserve">LT, LU, MT, NL, PL, RO, SE, SK)</w:t>
      </w:r>
      <w:r>
        <w:t xml:space="preserve"> </w:t>
      </w:r>
      <w:r>
        <w:t xml:space="preserve">Source: Commission services</w:t>
      </w:r>
      <w:r>
        <w:t xml:space="preserve"> </w:t>
      </w:r>
      <w:r>
        <w:t xml:space="preserve">These relevant differences in the creditor hierarchy in insolvency among Member States</w:t>
      </w:r>
      <w:r>
        <w:t xml:space="preserve"> </w:t>
      </w:r>
      <w:r>
        <w:t xml:space="preserve">lead to a divergent treatment of deposits across the EU and pose complications when</w:t>
      </w:r>
      <w:r>
        <w:t xml:space="preserve"> </w:t>
      </w:r>
      <w:r>
        <w:t xml:space="preserve">calculating the relevant insolvency counterfactual for the purposes of the NCWO</w:t>
      </w:r>
      <w:r>
        <w:t xml:space="preserve"> </w:t>
      </w:r>
      <w:r>
        <w:t xml:space="preserve">assessment and the least cost test.</w:t>
      </w:r>
      <w:r>
        <w:t xml:space="preserve"> </w:t>
      </w:r>
      <w:r>
        <w:t xml:space="preserve">The impact of DGS ranking in the hierarchy of claims on the least cost test (LCT)</w:t>
      </w:r>
      <w:r>
        <w:t xml:space="preserve"> </w:t>
      </w:r>
      <w:r>
        <w:t xml:space="preserve">The super-preference of the DGS in the current framework, i.e. the fact that it ranks</w:t>
      </w:r>
      <w:r>
        <w:t xml:space="preserve"> </w:t>
      </w:r>
      <w:r>
        <w:t xml:space="preserve">above other deposits, and its impact on the least cost test (LCT), is the main reason why</w:t>
      </w:r>
      <w:r>
        <w:t xml:space="preserve"> </w:t>
      </w:r>
      <w:r>
        <w:t xml:space="preserve">the DGS funds can almost never be used outside a payout event of covered deposits in</w:t>
      </w:r>
      <w:r>
        <w:t xml:space="preserve"> </w:t>
      </w:r>
      <w:r>
        <w:t xml:space="preserve">insolvency.</w:t>
      </w:r>
      <w:r>
        <w:br/>
      </w:r>
      <w:r>
        <w:t xml:space="preserve">The objective of the LCT safeguard is to ensure that any DGS intervention other than</w:t>
      </w:r>
      <w:r>
        <w:t xml:space="preserve"> </w:t>
      </w:r>
      <w:r>
        <w:t xml:space="preserve">paying out of covered deposits would not expose the DGS to losses greater than the ones</w:t>
      </w:r>
      <w:r>
        <w:t xml:space="preserve"> </w:t>
      </w:r>
      <w:r>
        <w:t xml:space="preserve">it would incur in a payout of covered depositors in an insolvency counterfactual. The</w:t>
      </w:r>
      <w:r>
        <w:t xml:space="preserve"> </w:t>
      </w:r>
      <w:r>
        <w:t xml:space="preserve">DGS can only provide an amount up to the losses it would bear in case of a hypothetical</w:t>
      </w:r>
      <w:r>
        <w:t xml:space="preserve"> </w:t>
      </w:r>
      <w:r>
        <w:t xml:space="preserve">payout in insolvency. These losses are given by the difference between the amount</w:t>
      </w:r>
      <w:r>
        <w:t xml:space="preserve"> </w:t>
      </w:r>
      <w:r>
        <w:t xml:space="preserve">disbursed by the DGS in case of a payout and the proceeds the DGS would recover from</w:t>
      </w:r>
      <w:r>
        <w:t xml:space="preserve"> </w:t>
      </w:r>
      <w:r>
        <w:t xml:space="preserve">the liquidation/sale of the bank’s assets in insolvency. Given the super-preferred ranking</w:t>
      </w:r>
      <w:r>
        <w:t xml:space="preserve"> </w:t>
      </w:r>
      <w:r>
        <w:t xml:space="preserve">of the DGS in the hierarchy of claims, the DGS has the hypothetical possibility to</w:t>
      </w:r>
      <w:r>
        <w:t xml:space="preserve"> </w:t>
      </w:r>
      <w:r>
        <w:t xml:space="preserve">recover most or all of its expenditure in insolvency. Importantly, with such a super-</w:t>
      </w:r>
      <w:r>
        <w:t xml:space="preserve"> </w:t>
      </w:r>
      <w:r>
        <w:t xml:space="preserve">preference, the DGS would benefit from these recovered amounts before other creditors,</w:t>
      </w:r>
      <w:r>
        <w:t xml:space="preserve"> </w:t>
      </w:r>
      <w:r>
        <w:t xml:space="preserve">including eligible uncovered depositors (preferred and non-preferred). However, in some</w:t>
      </w:r>
      <w:r>
        <w:t xml:space="preserve"> </w:t>
      </w:r>
      <w:r>
        <w:t xml:space="preserve">Member States, the recovery rate can be low, mostly depending on the efficiency and</w:t>
      </w:r>
      <w:r>
        <w:t xml:space="preserve"> </w:t>
      </w:r>
      <w:r>
        <w:t xml:space="preserve">performance of judicial systems, the quality of assets to be liquidated, the time required</w:t>
      </w:r>
      <w:r>
        <w:t xml:space="preserve"> </w:t>
      </w:r>
      <w:r>
        <w:t xml:space="preserve">to conduct the insolvency proceedings and other factors499.</w:t>
      </w:r>
      <w:r>
        <w:br/>
      </w:r>
      <w:r>
        <w:t xml:space="preserve">Under the existing framework, the DGS can almost never be used for measures other</w:t>
      </w:r>
      <w:r>
        <w:t xml:space="preserve"> </w:t>
      </w:r>
      <w:r>
        <w:t xml:space="preserve">than the payout of covered deposits in insolvency, such as use in resolution provided</w:t>
      </w:r>
      <w:r>
        <w:t xml:space="preserve"> </w:t>
      </w:r>
      <w:r>
        <w:t xml:space="preserve">under Article 109 BRRD. The high ranking of the DGS and consequently high likelihood</w:t>
      </w:r>
      <w:r>
        <w:t xml:space="preserve"> </w:t>
      </w:r>
      <w:r>
        <w:t xml:space="preserve">to get its claims paid from the insolvency estate, before other creditors, make the</w:t>
      </w:r>
      <w:r>
        <w:t xml:space="preserve"> </w:t>
      </w:r>
      <w:r>
        <w:t xml:space="preserve">counterfactual of a payout in insolvency appear artificially less costly, despite the fact</w:t>
      </w:r>
      <w:r>
        <w:t xml:space="preserve"> </w:t>
      </w:r>
      <w:r>
        <w:t xml:space="preserve">that a DGS contribution to resolution or an alternative measure could be more cost</w:t>
      </w:r>
      <w:r>
        <w:t xml:space="preserve"> </w:t>
      </w:r>
      <w:r>
        <w:t xml:space="preserve">efficient (involve a lower need for cash disbursement from the DGS to support a sale of</w:t>
      </w:r>
    </w:p>
    <w:p>
      <w:pPr>
        <w:pStyle w:val="BodyText"/>
      </w:pPr>
      <w:r>
        <w:t xml:space="preserve">499 Given the heterogeneity in recovery rates, Annex 7, which is based on the EBA’s reply to the call for</w:t>
      </w:r>
      <w:r>
        <w:t xml:space="preserve"> </w:t>
      </w:r>
      <w:r>
        <w:t xml:space="preserve">advice, takes a conservative assumption for an 85% recovery rate. It also shows how a higher or lower</w:t>
      </w:r>
      <w:r>
        <w:t xml:space="preserve"> </w:t>
      </w:r>
      <w:r>
        <w:t xml:space="preserve">recovery rate would impact the LCT.</w:t>
      </w:r>
    </w:p>
    <w:p>
      <w:pPr>
        <w:pStyle w:val="BodyText"/>
      </w:pPr>
      <w:r>
        <w:t xml:space="preserve">323</w:t>
      </w:r>
      <w:r>
        <w:t xml:space="preserve"> </w:t>
      </w:r>
      <w:r>
        <w:t xml:space="preserve">business strategy, compared to a full payout of all covered deposits), better preserve</w:t>
      </w:r>
      <w:r>
        <w:t xml:space="preserve"> </w:t>
      </w:r>
      <w:r>
        <w:t xml:space="preserve">depositors’ confidence and facilitate a more efficient crisis management. On one hand,</w:t>
      </w:r>
      <w:r>
        <w:t xml:space="preserve"> </w:t>
      </w:r>
      <w:r>
        <w:t xml:space="preserve">paying out covered deposits in insolvency is likely to require a very significant upfront</w:t>
      </w:r>
      <w:r>
        <w:t xml:space="preserve"> </w:t>
      </w:r>
      <w:r>
        <w:t xml:space="preserve">cash disbursement by the DGS (especially in cases of predominantly deposit-funded mid-</w:t>
      </w:r>
      <w:r>
        <w:t xml:space="preserve"> </w:t>
      </w:r>
      <w:r>
        <w:t xml:space="preserve">sized banks with significant amounts of covered deposits) (see reference to ECB paper</w:t>
      </w:r>
      <w:r>
        <w:t xml:space="preserve"> </w:t>
      </w:r>
      <w:r>
        <w:t xml:space="preserve">below). On the other hand, an intervention in resolution to support the transfer of a</w:t>
      </w:r>
      <w:r>
        <w:t xml:space="preserve"> </w:t>
      </w:r>
      <w:r>
        <w:t xml:space="preserve">failing bank to a buyer may require only a portion of those DGS financial means.</w:t>
      </w:r>
      <w:r>
        <w:t xml:space="preserve"> </w:t>
      </w:r>
      <w:r>
        <w:t xml:space="preserve">Transfer transactions can unfold in many ways, depending on the quality of assets and</w:t>
      </w:r>
      <w:r>
        <w:t xml:space="preserve"> </w:t>
      </w:r>
      <w:r>
        <w:t xml:space="preserve">the funding/liabilities to match these, as well as the appetite of the buyer and the offered</w:t>
      </w:r>
      <w:r>
        <w:t xml:space="preserve"> </w:t>
      </w:r>
      <w:r>
        <w:t xml:space="preserve">price. Considering the likely need to plug a gap between the value of assets and deposits</w:t>
      </w:r>
      <w:r>
        <w:t xml:space="preserve"> </w:t>
      </w:r>
      <w:r>
        <w:t xml:space="preserve">to be transferred to a buyer, the DGS/resolution fund contribution to support such</w:t>
      </w:r>
      <w:r>
        <w:t xml:space="preserve"> </w:t>
      </w:r>
      <w:r>
        <w:t xml:space="preserve">transfer may be much lower than the total value of covered deposits that would need to</w:t>
      </w:r>
      <w:r>
        <w:t xml:space="preserve"> </w:t>
      </w:r>
      <w:r>
        <w:t xml:space="preserve">be paid out in insolvency. Under the current set-up, the DGS super-priority ends up</w:t>
      </w:r>
      <w:r>
        <w:t xml:space="preserve"> </w:t>
      </w:r>
      <w:r>
        <w:t xml:space="preserve">protecting the financial means of the DGS and of the banking industry from possible</w:t>
      </w:r>
      <w:r>
        <w:t xml:space="preserve"> </w:t>
      </w:r>
      <w:r>
        <w:t xml:space="preserve">replenishment burden by hindering any DGS intervention, without bringing a better</w:t>
      </w:r>
      <w:r>
        <w:t xml:space="preserve"> </w:t>
      </w:r>
      <w:r>
        <w:t xml:space="preserve">protection for covered deposits. The protection of covered deposits does not depend on</w:t>
      </w:r>
      <w:r>
        <w:t xml:space="preserve"> </w:t>
      </w:r>
      <w:r>
        <w:t xml:space="preserve">their ranking in the hierarchy of claims; rather, it is insured through the obligation to be</w:t>
      </w:r>
      <w:r>
        <w:t xml:space="preserve"> </w:t>
      </w:r>
      <w:r>
        <w:t xml:space="preserve">paid out under the DGSD when accounts become unavailable and the mandatory</w:t>
      </w:r>
      <w:r>
        <w:t xml:space="preserve"> </w:t>
      </w:r>
      <w:r>
        <w:t xml:space="preserve">exclusion from bearing any losses in resolution.</w:t>
      </w:r>
      <w:r>
        <w:br/>
      </w:r>
      <w:r>
        <w:t xml:space="preserve">To overcome these limitations, certain Member States include indirect costs in the LCT</w:t>
      </w:r>
      <w:r>
        <w:t xml:space="preserve"> </w:t>
      </w:r>
      <w:r>
        <w:t xml:space="preserve">in order to facilitate the use of DGS and counteract at least to some extent the super-</w:t>
      </w:r>
      <w:r>
        <w:t xml:space="preserve"> </w:t>
      </w:r>
      <w:r>
        <w:t xml:space="preserve">preference of the DGS. Other Member States are concerned about including indirect</w:t>
      </w:r>
      <w:r>
        <w:t xml:space="preserve"> </w:t>
      </w:r>
      <w:r>
        <w:t xml:space="preserve">costs as some of them may be difficult to quantify and have the potential to weaken the</w:t>
      </w:r>
      <w:r>
        <w:t xml:space="preserve"> </w:t>
      </w:r>
      <w:r>
        <w:t xml:space="preserve">LCT safeguard.</w:t>
      </w:r>
      <w:r>
        <w:br/>
      </w:r>
      <w:r>
        <w:t xml:space="preserve">Regarding the argument of cost-efficiency associated with the use of DGS funds in</w:t>
      </w:r>
      <w:r>
        <w:t xml:space="preserve"> </w:t>
      </w:r>
      <w:r>
        <w:t xml:space="preserve">resolution or alternative measures versus the cost of a payout of covered deposits in</w:t>
      </w:r>
      <w:r>
        <w:t xml:space="preserve"> </w:t>
      </w:r>
      <w:r>
        <w:t xml:space="preserve">insolvency, an ECB paper on DGS alternative measures500 shows that 261 banks,</w:t>
      </w:r>
      <w:r>
        <w:t xml:space="preserve"> </w:t>
      </w:r>
      <w:r>
        <w:t xml:space="preserve">banking groups or hosted subsidiaries in the Banking Union could individually deplete</w:t>
      </w:r>
      <w:r>
        <w:t xml:space="preserve"> </w:t>
      </w:r>
      <w:r>
        <w:t xml:space="preserve">their fully-filled DGSs with a single payout of covered deposits in insolvency. While 129</w:t>
      </w:r>
      <w:r>
        <w:t xml:space="preserve"> </w:t>
      </w:r>
      <w:r>
        <w:t xml:space="preserve">of these banks are significant institutions likely to involve resolution rather than a</w:t>
      </w:r>
      <w:r>
        <w:t xml:space="preserve"> </w:t>
      </w:r>
      <w:r>
        <w:t xml:space="preserve">depositor payout in insolvency, the remaining 132 are less significant institutions, which</w:t>
      </w:r>
      <w:r>
        <w:t xml:space="preserve"> </w:t>
      </w:r>
      <w:r>
        <w:t xml:space="preserve">also have covered deposits exceeding the target level of their DGSs and are spread across</w:t>
      </w:r>
      <w:r>
        <w:t xml:space="preserve"> </w:t>
      </w:r>
      <w:r>
        <w:t xml:space="preserve">all Banking Union Member States. We can conclude for this reason that, it is appropriate</w:t>
      </w:r>
      <w:r>
        <w:t xml:space="preserve"> </w:t>
      </w:r>
      <w:r>
        <w:t xml:space="preserve">to allow for cheaper, more cost-efficient alternative uses of the DGS in resolution, to</w:t>
      </w:r>
      <w:r>
        <w:t xml:space="preserve"> </w:t>
      </w:r>
      <w:r>
        <w:t xml:space="preserve">support a transfer of assets and liabilities (deposits) followed by market exit.</w:t>
      </w:r>
      <w:r>
        <w:br/>
      </w:r>
      <w:r>
        <w:t xml:space="preserve">Relevant policy options analysed in the context of the CMDI reform</w:t>
      </w:r>
      <w:r>
        <w:t xml:space="preserve"> </w:t>
      </w:r>
      <w:r>
        <w:t xml:space="preserve">Withdrawing the super-preference of the DGS and envisaging a more harmonised</w:t>
      </w:r>
      <w:r>
        <w:t xml:space="preserve"> </w:t>
      </w:r>
      <w:r>
        <w:t xml:space="preserve">depositor preference when compared to the current situation is instrumental in providing</w:t>
      </w:r>
      <w:r>
        <w:t xml:space="preserve"> </w:t>
      </w:r>
      <w:r>
        <w:t xml:space="preserve">adequate funding in resolution and making resolution effective for smaller and medium-</w:t>
      </w:r>
      <w:r>
        <w:t xml:space="preserve"> </w:t>
      </w:r>
      <w:r>
        <w:t xml:space="preserve">sized banks that would involve the transfer of the business and market exit of the failed</w:t>
      </w:r>
      <w:r>
        <w:t xml:space="preserve"> </w:t>
      </w:r>
      <w:r>
        <w:t xml:space="preserve">bank. The main reasoning behind this proposal relies on the notion that the super-</w:t>
      </w:r>
      <w:r>
        <w:t xml:space="preserve"> </w:t>
      </w:r>
      <w:r>
        <w:t xml:space="preserve">preference of covered deposits and DGS claims subrogating to covered deposits in the</w:t>
      </w:r>
    </w:p>
    <w:p>
      <w:pPr>
        <w:pStyle w:val="BodyText"/>
      </w:pPr>
      <w:r>
        <w:t xml:space="preserve">500ECB (October 2022) Protecting depositors and saving money - why DGS in the EU should be able to</w:t>
      </w:r>
      <w:r>
        <w:t xml:space="preserve"> </w:t>
      </w:r>
      <w:r>
        <w:t xml:space="preserve">support transfers of assets and liabilities when a bank fails.</w:t>
      </w:r>
    </w:p>
    <w:p>
      <w:pPr>
        <w:pStyle w:val="BodyText"/>
      </w:pPr>
      <w:r>
        <w:t xml:space="preserve">324</w:t>
      </w:r>
      <w:r>
        <w:t xml:space="preserve"> </w:t>
      </w:r>
      <w:r>
        <w:t xml:space="preserve">current framework significantly reduces the likelihood that a DGS would be exposed to</w:t>
      </w:r>
      <w:r>
        <w:t xml:space="preserve"> </w:t>
      </w:r>
      <w:r>
        <w:t xml:space="preserve">losses in a hypothetical insolvency considered as the counterfactual for DGS</w:t>
      </w:r>
      <w:r>
        <w:t xml:space="preserve"> </w:t>
      </w:r>
      <w:r>
        <w:t xml:space="preserve">interventions other than payout. As a result, the capacity of a DGS to contribute to the</w:t>
      </w:r>
      <w:r>
        <w:t xml:space="preserve"> </w:t>
      </w:r>
      <w:r>
        <w:t xml:space="preserve">alternative measures or in resolution is limited or null.</w:t>
      </w:r>
      <w:r>
        <w:t xml:space="preserve"> </w:t>
      </w:r>
      <w:r>
        <w:t xml:space="preserve">Two changes to the BRRD rules on the ranking of deposits are key across all the option</w:t>
      </w:r>
      <w:r>
        <w:t xml:space="preserve"> </w:t>
      </w:r>
      <w:r>
        <w:t xml:space="preserve">packages considered in Chapter 6 of this impact assessment (except the baseline), to</w:t>
      </w:r>
      <w:r>
        <w:t xml:space="preserve"> </w:t>
      </w:r>
      <w:r>
        <w:t xml:space="preserve">make the framework function in practice and make the access to funding in resolution</w:t>
      </w:r>
      <w:r>
        <w:t xml:space="preserve"> </w:t>
      </w:r>
      <w:r>
        <w:t xml:space="preserve">truly credible.</w:t>
      </w:r>
      <w:r>
        <w:br/>
      </w:r>
      <w:r>
        <w:t xml:space="preserve">First, the legal preference at EU level would be extended to include all deposits (general</w:t>
      </w:r>
      <w:r>
        <w:t xml:space="preserve"> </w:t>
      </w:r>
      <w:r>
        <w:t xml:space="preserve">depositor preference). This entails that all deposits, including eligible deposits of large</w:t>
      </w:r>
      <w:r>
        <w:t xml:space="preserve"> </w:t>
      </w:r>
      <w:r>
        <w:t xml:space="preserve">corporates and excluded deposits501, would rank above senior unsecured claims.</w:t>
      </w:r>
      <w:r>
        <w:br/>
      </w:r>
      <w:r>
        <w:t xml:space="preserve">Second, the different rankings of deposits (i.e. the three-tier approach) would be removed</w:t>
      </w:r>
      <w:r>
        <w:t xml:space="preserve"> </w:t>
      </w:r>
      <w:r>
        <w:t xml:space="preserve">and replaced either with a two-tier depositor preference (option 2), whereby covered and</w:t>
      </w:r>
      <w:r>
        <w:t xml:space="preserve"> </w:t>
      </w:r>
      <w:r>
        <w:t xml:space="preserve">preferred deposits rank pari passu and above non-preferred non-covered deposits or with</w:t>
      </w:r>
      <w:r>
        <w:t xml:space="preserve"> </w:t>
      </w:r>
      <w:r>
        <w:t xml:space="preserve">a single ranking (options 3 and 4), whereby all deposits rank at the same level amongst</w:t>
      </w:r>
      <w:r>
        <w:t xml:space="preserve"> </w:t>
      </w:r>
      <w:r>
        <w:t xml:space="preserve">themselves (single-tier depositor preference). The EBA’s reply to the call for advice and</w:t>
      </w:r>
      <w:r>
        <w:t xml:space="preserve"> </w:t>
      </w:r>
      <w:r>
        <w:t xml:space="preserve">Annex 7 further describe the different depositor preference scenarios assessed (five</w:t>
      </w:r>
      <w:r>
        <w:t xml:space="preserve"> </w:t>
      </w:r>
      <w:r>
        <w:t xml:space="preserve">scenarios)502, varying in scope and relative ranking among deposits and concluded that</w:t>
      </w:r>
      <w:r>
        <w:t xml:space="preserve"> </w:t>
      </w:r>
      <w:r>
        <w:t xml:space="preserve">only those without the super-preference of the DGS are worth considering for the CMDI</w:t>
      </w:r>
      <w:r>
        <w:t xml:space="preserve"> </w:t>
      </w:r>
      <w:r>
        <w:t xml:space="preserve">review (see also Box 3 in Chapter 6). They also describe the reasons why the general</w:t>
      </w:r>
      <w:r>
        <w:t xml:space="preserve"> </w:t>
      </w:r>
      <w:r>
        <w:t xml:space="preserve">depositor preference with a single-tier ranking best addresses the objective of the</w:t>
      </w:r>
      <w:r>
        <w:t xml:space="preserve"> </w:t>
      </w:r>
      <w:r>
        <w:t xml:space="preserve">framework, largely because it: (i) protects deposits by reducing the amount of deposits</w:t>
      </w:r>
      <w:r>
        <w:t xml:space="preserve"> </w:t>
      </w:r>
      <w:r>
        <w:t xml:space="preserve">that would be otherwise bailed-in to reach 8% TLOF and access the RF/SRF and (ii) it</w:t>
      </w:r>
      <w:r>
        <w:t xml:space="preserve"> </w:t>
      </w:r>
      <w:r>
        <w:t xml:space="preserve">unlocks the largest amounts of funds that the DGS could contribute to measures other</w:t>
      </w:r>
      <w:r>
        <w:t xml:space="preserve"> </w:t>
      </w:r>
      <w:r>
        <w:t xml:space="preserve">than payout under the least cost test, which is critical for facilitating the use of DGS</w:t>
      </w:r>
      <w:r>
        <w:t xml:space="preserve"> </w:t>
      </w:r>
      <w:r>
        <w:t xml:space="preserve">funds as proposed by the packages of options.</w:t>
      </w:r>
    </w:p>
    <w:p>
      <w:pPr>
        <w:pStyle w:val="BodyText"/>
      </w:pPr>
      <w:r>
        <w:t xml:space="preserve">501 As mentioned, under the policy option described in Annex 6, the deposits of public authorities would</w:t>
      </w:r>
      <w:r>
        <w:t xml:space="preserve"> </w:t>
      </w:r>
      <w:r>
        <w:t xml:space="preserve">no longer be deemed as excluded deposits.</w:t>
      </w:r>
      <w:r>
        <w:t xml:space="preserve"> </w:t>
      </w:r>
      <w:r>
        <w:t xml:space="preserve">502 The five possible scenarios of harmonising the depositor preference in the hierarchy of claims have</w:t>
      </w:r>
      <w:r>
        <w:t xml:space="preserve"> </w:t>
      </w:r>
      <w:r>
        <w:t xml:space="preserve">been tested by the EBA in its reply to the call for advice: (i) baseline or current framework (three-tier</w:t>
      </w:r>
      <w:r>
        <w:t xml:space="preserve"> </w:t>
      </w:r>
      <w:r>
        <w:t xml:space="preserve">depositor preference with super-preference for DGS and covered deposits); (ii) single-tier depositor</w:t>
      </w:r>
      <w:r>
        <w:t xml:space="preserve"> </w:t>
      </w:r>
      <w:r>
        <w:t xml:space="preserve">preference (all types of deposits rank pari passu among themselves and above ordinary unsecured claims);</w:t>
      </w:r>
      <w:r>
        <w:t xml:space="preserve"> </w:t>
      </w:r>
      <w:r>
        <w:t xml:space="preserve">(iii)a three-tier depositor preference (covered deposits rank above preferred deposits in all Member States,</w:t>
      </w:r>
      <w:r>
        <w:t xml:space="preserve"> </w:t>
      </w:r>
      <w:r>
        <w:t xml:space="preserve">which rank above non-preferred deposits, the latter also ranking above ordinary unsecured claims); (iv)</w:t>
      </w:r>
      <w:r>
        <w:t xml:space="preserve"> </w:t>
      </w:r>
      <w:r>
        <w:t xml:space="preserve">two-tier depositor preference (covered deposits and DGS are super-preferred to preferred deposits, which</w:t>
      </w:r>
      <w:r>
        <w:t xml:space="preserve"> </w:t>
      </w:r>
      <w:r>
        <w:t xml:space="preserve">rank pari passu with non-preferred deposits, the latter ranking above ordinary unsecured claims) and (v)</w:t>
      </w:r>
      <w:r>
        <w:t xml:space="preserve"> </w:t>
      </w:r>
      <w:r>
        <w:t xml:space="preserve">two-tier depositor preference (covered deposits rank pari passu with preferred deposits, all of which rank</w:t>
      </w:r>
      <w:r>
        <w:t xml:space="preserve"> </w:t>
      </w:r>
      <w:r>
        <w:t xml:space="preserve">above non-preferred deposits, the latter ranking above ordinary unsecured claims).</w:t>
      </w:r>
    </w:p>
    <w:p>
      <w:pPr>
        <w:pStyle w:val="BodyText"/>
      </w:pPr>
      <w:r>
        <w:t xml:space="preserve">325</w:t>
      </w:r>
      <w:r>
        <w:t xml:space="preserve"> </w:t>
      </w:r>
      <w:r>
        <w:t xml:space="preserve">Figure 29: Stylised view of creditor hierarchy in insolvency with a single-tier and two-</w:t>
      </w:r>
      <w:r>
        <w:t xml:space="preserve"> </w:t>
      </w:r>
      <w:r>
        <w:t xml:space="preserve">tier depositor preference without super-preference of DGS/covered deposits:</w:t>
      </w:r>
    </w:p>
    <w:p>
      <w:pPr>
        <w:pStyle w:val="BodyText"/>
      </w:pPr>
      <w:r>
        <w:t xml:space="preserve">Source: Commission services</w:t>
      </w:r>
      <w:r>
        <w:t xml:space="preserve"> </w:t>
      </w:r>
      <w:r>
        <w:t xml:space="preserve">Impacts of generalising depositor preference versus ordinary unsecured claims</w:t>
      </w:r>
      <w:r>
        <w:t xml:space="preserve"> </w:t>
      </w:r>
      <w:r>
        <w:t xml:space="preserve">Granting a stronger preference to all deposits503, compared to ordinary unsecured claims,</w:t>
      </w:r>
      <w:r>
        <w:t xml:space="preserve"> </w:t>
      </w:r>
      <w:r>
        <w:t xml:space="preserve">would be beneficial for their protection in resolution and be equally warranted from an</w:t>
      </w:r>
      <w:r>
        <w:t xml:space="preserve"> </w:t>
      </w:r>
      <w:r>
        <w:t xml:space="preserve">insolvency policy perspective. It would facilitate the bail-in of ordinary unsecured</w:t>
      </w:r>
      <w:r>
        <w:t xml:space="preserve"> </w:t>
      </w:r>
      <w:r>
        <w:t xml:space="preserve">claims, which could contribute to market discipline and potentially decrease the</w:t>
      </w:r>
      <w:r>
        <w:t xml:space="preserve"> </w:t>
      </w:r>
      <w:r>
        <w:t xml:space="preserve">likelihood of inflicting losses on deposits. By preferring all deposits versus the ordinary</w:t>
      </w:r>
      <w:r>
        <w:t xml:space="preserve"> </w:t>
      </w:r>
      <w:r>
        <w:t xml:space="preserve">unsecured category of claims, the repayment that the remaining senior creditors would be</w:t>
      </w:r>
      <w:r>
        <w:t xml:space="preserve"> </w:t>
      </w:r>
      <w:r>
        <w:t xml:space="preserve">expected to receive in insolvency decreases, which in turn would mitigate the NCWO</w:t>
      </w:r>
      <w:r>
        <w:t xml:space="preserve"> </w:t>
      </w:r>
      <w:r>
        <w:t xml:space="preserve">risks arising from their bail-in. This would significantly contribute to enhancing the</w:t>
      </w:r>
      <w:r>
        <w:t xml:space="preserve"> </w:t>
      </w:r>
      <w:r>
        <w:t xml:space="preserve">credibility and implementation of the bail-in tool in resolution, as the bail-in of senior</w:t>
      </w:r>
      <w:r>
        <w:t xml:space="preserve"> </w:t>
      </w:r>
      <w:r>
        <w:t xml:space="preserve">debt becomes more effective and credible. By mitigating the NCWO impediments to the</w:t>
      </w:r>
      <w:r>
        <w:t xml:space="preserve"> </w:t>
      </w:r>
      <w:r>
        <w:t xml:space="preserve">bail-in of senior debt, the general depositor preference leads to an increase in the total</w:t>
      </w:r>
      <w:r>
        <w:t xml:space="preserve"> </w:t>
      </w:r>
      <w:r>
        <w:t xml:space="preserve">amount of claims, other than deposits, that can contribute to loss absorption and</w:t>
      </w:r>
      <w:r>
        <w:t xml:space="preserve"> </w:t>
      </w:r>
      <w:r>
        <w:t xml:space="preserve">recapitalisation of the institution under resolution. The consequences of a cleaner</w:t>
      </w:r>
      <w:r>
        <w:t xml:space="preserve"> </w:t>
      </w:r>
      <w:r>
        <w:t xml:space="preserve">category of ordinary unsecured claims on the resolvability of institutions are twofold: the</w:t>
      </w:r>
      <w:r>
        <w:t xml:space="preserve"> </w:t>
      </w:r>
      <w:r>
        <w:t xml:space="preserve">ability to comply with minimum bail-in of 8% TLOF rule to access the RF/SRF</w:t>
      </w:r>
      <w:r>
        <w:t xml:space="preserve"> </w:t>
      </w:r>
      <w:r>
        <w:t xml:space="preserve">increases504, and the need for contributions from the RF/SRF (or the amount of funding</w:t>
      </w:r>
      <w:r>
        <w:t xml:space="preserve"> </w:t>
      </w:r>
      <w:r>
        <w:t xml:space="preserve">needed from the RF/SRF) decreases. At the same time, such a change would improve the</w:t>
      </w:r>
      <w:r>
        <w:t xml:space="preserve"> </w:t>
      </w:r>
      <w:r>
        <w:t xml:space="preserve">transparency and legal certainty of the resolution framework. It moreover results in an</w:t>
      </w:r>
      <w:r>
        <w:t xml:space="preserve"> </w:t>
      </w:r>
      <w:r>
        <w:t xml:space="preserve">alignment with past experiences of handling banks’ failures, where State aid was granted</w:t>
      </w:r>
    </w:p>
    <w:p>
      <w:pPr>
        <w:pStyle w:val="BodyText"/>
      </w:pPr>
      <w:r>
        <w:t xml:space="preserve">503 In the US, the hierarchy of claims also foresees a general depositor preference where all deposits,</w:t>
      </w:r>
      <w:r>
        <w:t xml:space="preserve"> </w:t>
      </w:r>
      <w:r>
        <w:t xml:space="preserve">whether insured or not, rank pari passu. This facilitates the contributions of the deposit insurance fund to</w:t>
      </w:r>
      <w:r>
        <w:t xml:space="preserve"> </w:t>
      </w:r>
      <w:r>
        <w:t xml:space="preserve">resolution action.</w:t>
      </w:r>
      <w:r>
        <w:br/>
      </w:r>
      <w:r>
        <w:t xml:space="preserve">504 As shown in Annex 7.</w:t>
      </w:r>
    </w:p>
    <w:p>
      <w:pPr>
        <w:pStyle w:val="BodyText"/>
      </w:pPr>
      <w:r>
        <w:t xml:space="preserve">326</w:t>
      </w:r>
      <w:r>
        <w:t xml:space="preserve"> </w:t>
      </w:r>
      <w:r>
        <w:t xml:space="preserve">inter alia with the aim of protecting depositors and where the use of those public funds</w:t>
      </w:r>
      <w:r>
        <w:t xml:space="preserve"> </w:t>
      </w:r>
      <w:r>
        <w:t xml:space="preserve">did not require the burden sharing of any depositor505.</w:t>
      </w:r>
      <w:r>
        <w:t xml:space="preserve"> </w:t>
      </w:r>
      <w:r>
        <w:t xml:space="preserve">A move towards general preference for all depositors would also be beneficial from a</w:t>
      </w:r>
      <w:r>
        <w:t xml:space="preserve"> </w:t>
      </w:r>
      <w:r>
        <w:t xml:space="preserve">cross-border and level playing field perspective. A more harmonised insolvency ranking</w:t>
      </w:r>
      <w:r>
        <w:t xml:space="preserve"> </w:t>
      </w:r>
      <w:r>
        <w:t xml:space="preserve">across the EU would facilitate the resolution of cross-border groups, in particular when</w:t>
      </w:r>
      <w:r>
        <w:t xml:space="preserve"> </w:t>
      </w:r>
      <w:r>
        <w:t xml:space="preserve">carrying out the NCWO assessment. Disparities in the treatment of depositors across the</w:t>
      </w:r>
      <w:r>
        <w:t xml:space="preserve"> </w:t>
      </w:r>
      <w:r>
        <w:t xml:space="preserve">EU can be problematic, particularly where they lead to the perception that depositors that</w:t>
      </w:r>
      <w:r>
        <w:t xml:space="preserve"> </w:t>
      </w:r>
      <w:r>
        <w:t xml:space="preserve">rank pari passu with unsecured creditors are more likely to be bailed-in.</w:t>
      </w:r>
      <w:r>
        <w:t xml:space="preserve"> </w:t>
      </w:r>
      <w:r>
        <w:t xml:space="preserve">At the same time, the granting of a stronger preference to all deposits would be equally</w:t>
      </w:r>
      <w:r>
        <w:t xml:space="preserve"> </w:t>
      </w:r>
      <w:r>
        <w:t xml:space="preserve">warranted from an insolvency policy perspective. An enhanced protection is aligned with</w:t>
      </w:r>
      <w:r>
        <w:t xml:space="preserve"> </w:t>
      </w:r>
      <w:r>
        <w:t xml:space="preserve">the central role deposits play in the real economy, being the primary tool for savings and</w:t>
      </w:r>
      <w:r>
        <w:t xml:space="preserve"> </w:t>
      </w:r>
      <w:r>
        <w:t xml:space="preserve">for payments, as well as in the banking activity, where they represent an important source</w:t>
      </w:r>
      <w:r>
        <w:t xml:space="preserve"> </w:t>
      </w:r>
      <w:r>
        <w:t xml:space="preserve">of funding and are the main pillar for the confidence that supports the banking system,</w:t>
      </w:r>
      <w:r>
        <w:t xml:space="preserve"> </w:t>
      </w:r>
      <w:r>
        <w:t xml:space="preserve">which becomes of particular relevance in times of market stress.</w:t>
      </w:r>
      <w:r>
        <w:br/>
      </w:r>
      <w:r>
        <w:t xml:space="preserve">Impacts of a single-tier depositor preference without super-preference of DGS</w:t>
      </w:r>
      <w:r>
        <w:t xml:space="preserve"> </w:t>
      </w:r>
      <w:r>
        <w:t xml:space="preserve">As shown in the EBA call for advice and Annex 7 section 4, placing all deposits in the</w:t>
      </w:r>
      <w:r>
        <w:t xml:space="preserve"> </w:t>
      </w:r>
      <w:r>
        <w:t xml:space="preserve">same ranking in insolvency increases significantly the likelihood of a DGS being able to</w:t>
      </w:r>
      <w:r>
        <w:t xml:space="preserve"> </w:t>
      </w:r>
      <w:r>
        <w:t xml:space="preserve">participate in resolution under the LCT, or to fund alternative measures in insolvency, as</w:t>
      </w:r>
      <w:r>
        <w:t xml:space="preserve"> </w:t>
      </w:r>
      <w:r>
        <w:t xml:space="preserve">well as the amount of funds it can provide.</w:t>
      </w:r>
      <w:r>
        <w:t xml:space="preserve"> </w:t>
      </w:r>
      <w:r>
        <w:t xml:space="preserve">It should be highlighted that such a change would not translate into a worse treatment for</w:t>
      </w:r>
      <w:r>
        <w:t xml:space="preserve"> </w:t>
      </w:r>
      <w:r>
        <w:t xml:space="preserve">covered deposits as, in reality, their protection comes from the payout by the DGS up to</w:t>
      </w:r>
      <w:r>
        <w:t xml:space="preserve"> </w:t>
      </w:r>
      <w:r>
        <w:t xml:space="preserve">the EUR 100 000 level and not from their preferred ranking in insolvency (covered</w:t>
      </w:r>
      <w:r>
        <w:t xml:space="preserve"> </w:t>
      </w:r>
      <w:r>
        <w:t xml:space="preserve">deposits are paid within seven days from the moment their accounts become unavailable</w:t>
      </w:r>
      <w:r>
        <w:t xml:space="preserve"> </w:t>
      </w:r>
      <w:r>
        <w:t xml:space="preserve">and they never rely on their ranking in the hierarchy of claims to receive proceeds from</w:t>
      </w:r>
      <w:r>
        <w:t xml:space="preserve"> </w:t>
      </w:r>
      <w:r>
        <w:t xml:space="preserve">the insolvency estate). Their mandatory exclusion from bail-in is likewise not affected in</w:t>
      </w:r>
      <w:r>
        <w:t xml:space="preserve"> </w:t>
      </w:r>
      <w:r>
        <w:t xml:space="preserve">the options envisaged in this impact assessment. The single-tier ranking would have the</w:t>
      </w:r>
      <w:r>
        <w:t xml:space="preserve"> </w:t>
      </w:r>
      <w:r>
        <w:t xml:space="preserve">merit of ensuring that the banking industry does not receive better protection in</w:t>
      </w:r>
      <w:r>
        <w:t xml:space="preserve"> </w:t>
      </w:r>
      <w:r>
        <w:t xml:space="preserve">insolvency than depositors, even non-covered ones. Replacing the super-priority of DGS</w:t>
      </w:r>
      <w:r>
        <w:t xml:space="preserve"> </w:t>
      </w:r>
      <w:r>
        <w:t xml:space="preserve">claims with a single-tier ranking for all deposits would enable the use of DGS funds</w:t>
      </w:r>
      <w:r>
        <w:t xml:space="preserve"> </w:t>
      </w:r>
      <w:r>
        <w:t xml:space="preserve">under the LCT in resolution to resolve smaller and mid-sized banks via transfer strategies</w:t>
      </w:r>
      <w:r>
        <w:t xml:space="preserve"> </w:t>
      </w:r>
      <w:r>
        <w:t xml:space="preserve">with market exit, without imposing losses on depositors. Such reform would contribute to</w:t>
      </w:r>
      <w:r>
        <w:t xml:space="preserve"> </w:t>
      </w:r>
      <w:r>
        <w:t xml:space="preserve">reinforcing depositor confidence and safeguarding financial stability by preventing the</w:t>
      </w:r>
      <w:r>
        <w:t xml:space="preserve"> </w:t>
      </w:r>
      <w:r>
        <w:t xml:space="preserve">risk of bank runs.</w:t>
      </w:r>
      <w:r>
        <w:br/>
      </w:r>
      <w:r>
        <w:t xml:space="preserve">The general depositor preference with a single-tier ranking would best address the</w:t>
      </w:r>
      <w:r>
        <w:t xml:space="preserve"> </w:t>
      </w:r>
      <w:r>
        <w:t xml:space="preserve">objective of the revised framework, because it would: (i) protect deposits in resolution by</w:t>
      </w:r>
      <w:r>
        <w:t xml:space="preserve"> </w:t>
      </w:r>
      <w:r>
        <w:t xml:space="preserve">reducing the amount that would be otherwise bailed-in506 to reach 8% TLOF and allow</w:t>
      </w:r>
      <w:r>
        <w:t xml:space="preserve"> </w:t>
      </w:r>
      <w:r>
        <w:t xml:space="preserve">access to the RF/SRF; (ii) maintain intact the protection enjoyed by covered deposits</w:t>
      </w:r>
      <w:r>
        <w:t xml:space="preserve"> </w:t>
      </w:r>
      <w:r>
        <w:t xml:space="preserve">which does not depend on their ranking and (iii) unlock the largest amounts of funds that</w:t>
      </w:r>
      <w:r>
        <w:t xml:space="preserve"> </w:t>
      </w:r>
      <w:r>
        <w:t xml:space="preserve">the DGS could contribute to measures other than the payout of covered deposits under</w:t>
      </w:r>
    </w:p>
    <w:p>
      <w:pPr>
        <w:pStyle w:val="BodyText"/>
      </w:pPr>
      <w:r>
        <w:t xml:space="preserve">505 Paragraph 42 of the 2013 Banking Communication explicitly sets out that contribution from deposits is</w:t>
      </w:r>
      <w:r>
        <w:t xml:space="preserve"> </w:t>
      </w:r>
      <w:r>
        <w:t xml:space="preserve">not required as a mandatory component of burden sharing under State aid rules.</w:t>
      </w:r>
      <w:r>
        <w:br/>
      </w:r>
      <w:r>
        <w:t xml:space="preserve">506 For non-covered deposits because covered deposits are already excluded from bail-in.</w:t>
      </w:r>
    </w:p>
    <w:p>
      <w:pPr>
        <w:pStyle w:val="BodyText"/>
      </w:pPr>
      <w:r>
        <w:t xml:space="preserve">327</w:t>
      </w:r>
      <w:r>
        <w:t xml:space="preserve"> </w:t>
      </w:r>
      <w:r>
        <w:t xml:space="preserve">the least cost test, which is critical for facilitating more cost-efficient interventions by the</w:t>
      </w:r>
      <w:r>
        <w:t xml:space="preserve"> </w:t>
      </w:r>
      <w:r>
        <w:t xml:space="preserve">DGS.</w:t>
      </w:r>
      <w:r>
        <w:br/>
      </w:r>
      <w:r>
        <w:t xml:space="preserve">While it may expose the DGS industry-funded safety nets to more frequent contributions</w:t>
      </w:r>
      <w:r>
        <w:t xml:space="preserve"> </w:t>
      </w:r>
      <w:r>
        <w:t xml:space="preserve">by the banks, it would reduce the likelihood and extent of recourse to taxpayer money,</w:t>
      </w:r>
      <w:r>
        <w:t xml:space="preserve"> </w:t>
      </w:r>
      <w:r>
        <w:t xml:space="preserve">improve financial stability and depositor protection and safeguard the financial means of</w:t>
      </w:r>
      <w:r>
        <w:t xml:space="preserve"> </w:t>
      </w:r>
      <w:r>
        <w:t xml:space="preserve">the DGS to a greater extent than a payout of covered deposits in insolvency. This is</w:t>
      </w:r>
      <w:r>
        <w:t xml:space="preserve"> </w:t>
      </w:r>
      <w:r>
        <w:t xml:space="preserve">especially important for cases of a more systemic nature, i.e. going beyond the failure of</w:t>
      </w:r>
      <w:r>
        <w:t xml:space="preserve"> </w:t>
      </w:r>
      <w:r>
        <w:t xml:space="preserve">a single institution. Under the current set-up there is a much higher risk that in a systemic</w:t>
      </w:r>
      <w:r>
        <w:t xml:space="preserve"> </w:t>
      </w:r>
      <w:r>
        <w:t xml:space="preserve">crisis a single failure could deplete the available means of a DGS through the payout of</w:t>
      </w:r>
      <w:r>
        <w:t xml:space="preserve"> </w:t>
      </w:r>
      <w:r>
        <w:t xml:space="preserve">covered deposits, and it would not be possible to replenish it in good time before it needs</w:t>
      </w:r>
      <w:r>
        <w:t xml:space="preserve"> </w:t>
      </w:r>
      <w:r>
        <w:t xml:space="preserve">to payout again in a subsequent bank failure. This, in turn, increases the risk of the</w:t>
      </w:r>
      <w:r>
        <w:t xml:space="preserve"> </w:t>
      </w:r>
      <w:r>
        <w:t xml:space="preserve">sovereign having to step in and provide necessary funds to the DGS to preserve its</w:t>
      </w:r>
      <w:r>
        <w:t xml:space="preserve"> </w:t>
      </w:r>
      <w:r>
        <w:t xml:space="preserve">payout function. Our proposed changes would allow the DGS to act in a cheaper, more</w:t>
      </w:r>
      <w:r>
        <w:t xml:space="preserve"> </w:t>
      </w:r>
      <w:r>
        <w:t xml:space="preserve">cost-efficient way in resolution, thereby better preserving its financial means and</w:t>
      </w:r>
      <w:r>
        <w:t xml:space="preserve"> </w:t>
      </w:r>
      <w:r>
        <w:t xml:space="preserve">liquidity position and possibly allowing it to be used in more than one case during a crisis</w:t>
      </w:r>
      <w:r>
        <w:t xml:space="preserve"> </w:t>
      </w:r>
      <w:r>
        <w:t xml:space="preserve">of more systemic nature.</w:t>
      </w:r>
      <w:r>
        <w:t xml:space="preserve"> </w:t>
      </w:r>
      <w:r>
        <w:t xml:space="preserve">Impact of a two-tier depositor preference without super-preference for DGS</w:t>
      </w:r>
      <w:r>
        <w:t xml:space="preserve"> </w:t>
      </w:r>
      <w:r>
        <w:t xml:space="preserve">The implementation of a two-tier depositor preference without the super-preference of</w:t>
      </w:r>
      <w:r>
        <w:t xml:space="preserve"> </w:t>
      </w:r>
      <w:r>
        <w:t xml:space="preserve">DGS and covered deposits would entail that covered and preferred deposits rank pari</w:t>
      </w:r>
      <w:r>
        <w:t xml:space="preserve"> </w:t>
      </w:r>
      <w:r>
        <w:t xml:space="preserve">passu and above non-preferred non-covered deposits.</w:t>
      </w:r>
      <w:r>
        <w:br/>
      </w:r>
      <w:r>
        <w:t xml:space="preserve">The removal of the DGS super-preference would increase to a relative extent, compared</w:t>
      </w:r>
      <w:r>
        <w:t xml:space="preserve"> </w:t>
      </w:r>
      <w:r>
        <w:t xml:space="preserve">to the baseline, the amount of funds the DGS could contribute for measures other than</w:t>
      </w:r>
      <w:r>
        <w:t xml:space="preserve"> </w:t>
      </w:r>
      <w:r>
        <w:t xml:space="preserve">payout under the LCT. However, because the DGS would still be a preferred creditor in</w:t>
      </w:r>
      <w:r>
        <w:t xml:space="preserve"> </w:t>
      </w:r>
      <w:r>
        <w:t xml:space="preserve">relation to non-covered non-preferred deposits, the increase in DGS funds unlocked</w:t>
      </w:r>
      <w:r>
        <w:t xml:space="preserve"> </w:t>
      </w:r>
      <w:r>
        <w:t xml:space="preserve">under the least cost test for these measures would be significantly lower than under a</w:t>
      </w:r>
      <w:r>
        <w:t xml:space="preserve"> </w:t>
      </w:r>
      <w:r>
        <w:t xml:space="preserve">single-tier depositor preference where all deposits would rank pari passu in the hierarchy</w:t>
      </w:r>
      <w:r>
        <w:t xml:space="preserve"> </w:t>
      </w:r>
      <w:r>
        <w:t xml:space="preserve">of claims (see Box 3 in Chapter 6). Based on the sample analysed in Annex 7, section</w:t>
      </w:r>
      <w:r>
        <w:t xml:space="preserve"> </w:t>
      </w:r>
      <w:r>
        <w:t xml:space="preserve">4.1.3, the funding unlocked through the least cost test under a single-tier depositor</w:t>
      </w:r>
      <w:r>
        <w:t xml:space="preserve"> </w:t>
      </w:r>
      <w:r>
        <w:t xml:space="preserve">preference would be 20 times higher than under the current framework, while it would be</w:t>
      </w:r>
      <w:r>
        <w:t xml:space="preserve"> </w:t>
      </w:r>
      <w:r>
        <w:t xml:space="preserve">five times higher than under a two-tier depositor preference. Such a change in the</w:t>
      </w:r>
      <w:r>
        <w:t xml:space="preserve"> </w:t>
      </w:r>
      <w:r>
        <w:t xml:space="preserve">hierarchy of claims would not deliver on all objectives of the CMDI reform, which</w:t>
      </w:r>
      <w:r>
        <w:t xml:space="preserve"> </w:t>
      </w:r>
      <w:r>
        <w:t xml:space="preserve">would remain very close to the status quo (alternative measures including bail-outs</w:t>
      </w:r>
      <w:r>
        <w:t xml:space="preserve"> </w:t>
      </w:r>
      <w:r>
        <w:t xml:space="preserve">would continue to be used for small and mid-sized banks).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In what concerns the general depositor preference, consultations with stakeholders</w:t>
      </w:r>
      <w:r>
        <w:t xml:space="preserve"> </w:t>
      </w:r>
      <w:r>
        <w:t xml:space="preserve">revealed that the bail-in of any deposits is deemed to carry a significant contagion risk to</w:t>
      </w:r>
      <w:r>
        <w:t xml:space="preserve"> </w:t>
      </w:r>
      <w:r>
        <w:t xml:space="preserve">the financial system and to entail political sensitivities (see also point 1 of Annex 8), so</w:t>
      </w:r>
      <w:r>
        <w:t xml:space="preserve"> </w:t>
      </w:r>
      <w:r>
        <w:t xml:space="preserve">much so that, despite only covered deposits being in the list of mandatory exclusions</w:t>
      </w:r>
      <w:r>
        <w:t xml:space="preserve"> </w:t>
      </w:r>
      <w:r>
        <w:t xml:space="preserve">from bail-in in Article 44(2) BRRD, resolution authorities generally expect to have to</w:t>
      </w:r>
      <w:r>
        <w:t xml:space="preserve"> </w:t>
      </w:r>
      <w:r>
        <w:t xml:space="preserve">exclude other deposits on a discretionary basis from bearing losses in resolution under</w:t>
      </w:r>
      <w:r>
        <w:t xml:space="preserve"> </w:t>
      </w:r>
      <w:r>
        <w:t xml:space="preserve">Article 44(3) BRRD. When some of those deposits rank pari passu with senior bail-</w:t>
      </w:r>
      <w:r>
        <w:t xml:space="preserve"> </w:t>
      </w:r>
      <w:r>
        <w:t xml:space="preserve">inable liabilities, their exclusion has the potential to create NCWO problems, particularly</w:t>
      </w:r>
      <w:r>
        <w:t xml:space="preserve"> </w:t>
      </w:r>
      <w:r>
        <w:t xml:space="preserve">considering that they tend to represent a significant percentage of the total senior class.</w:t>
      </w:r>
    </w:p>
    <w:p>
      <w:pPr>
        <w:pStyle w:val="BodyText"/>
      </w:pPr>
      <w:r>
        <w:t xml:space="preserve">328</w:t>
      </w:r>
      <w:r>
        <w:t xml:space="preserve"> </w:t>
      </w:r>
      <w:r>
        <w:t xml:space="preserve">The stakeholders against the general depositor preference mostly said that there was a</w:t>
      </w:r>
      <w:r>
        <w:t xml:space="preserve"> </w:t>
      </w:r>
      <w:r>
        <w:t xml:space="preserve">lack of rationale for differentiating the treatment of non-covered deposits from large</w:t>
      </w:r>
      <w:r>
        <w:t xml:space="preserve"> </w:t>
      </w:r>
      <w:r>
        <w:t xml:space="preserve">corporates and from financial institutions from the treatment given to other types of</w:t>
      </w:r>
      <w:r>
        <w:t xml:space="preserve"> </w:t>
      </w:r>
      <w:r>
        <w:t xml:space="preserve">senior claims, particularly for those instruments which are legally considered deposits but</w:t>
      </w:r>
      <w:r>
        <w:t xml:space="preserve"> </w:t>
      </w:r>
      <w:r>
        <w:t xml:space="preserve">are very similar to bonds or other securities. It should be noted, however, that this</w:t>
      </w:r>
      <w:r>
        <w:t xml:space="preserve"> </w:t>
      </w:r>
      <w:r>
        <w:t xml:space="preserve">differentiation already exists in the current framework, considering that deposits from</w:t>
      </w:r>
      <w:r>
        <w:t xml:space="preserve"> </w:t>
      </w:r>
      <w:r>
        <w:t xml:space="preserve">large enterprises are covered by the protection granted by a DGS. It was also argued that</w:t>
      </w:r>
      <w:r>
        <w:t xml:space="preserve"> </w:t>
      </w:r>
      <w:r>
        <w:t xml:space="preserve">such a change could have an impact on the funding costs of institutions, although it</w:t>
      </w:r>
      <w:r>
        <w:t xml:space="preserve"> </w:t>
      </w:r>
      <w:r>
        <w:t xml:space="preserve">should be kept in mind that a more favourable ranking of these deposit claims under</w:t>
      </w:r>
      <w:r>
        <w:t xml:space="preserve"> </w:t>
      </w:r>
      <w:r>
        <w:t xml:space="preserve">normal insolvency proceedings would become a more accurate indicator of their</w:t>
      </w:r>
      <w:r>
        <w:t xml:space="preserve"> </w:t>
      </w:r>
      <w:r>
        <w:t xml:space="preserve">associated risk of losses in resolution and, therefore, could lead to a more accurate</w:t>
      </w:r>
      <w:r>
        <w:t xml:space="preserve"> </w:t>
      </w:r>
      <w:r>
        <w:t xml:space="preserve">pricing, thus offsetting increases in the cost of funding of senior debt. Similarly, the</w:t>
      </w:r>
      <w:r>
        <w:t xml:space="preserve"> </w:t>
      </w:r>
      <w:r>
        <w:t xml:space="preserve">pricing of senior debt would also become more indicative of the associated risk of losses</w:t>
      </w:r>
      <w:r>
        <w:t xml:space="preserve"> </w:t>
      </w:r>
      <w:r>
        <w:t xml:space="preserve">in resolution, which would increase transparency and legal certainty for creditors. The</w:t>
      </w:r>
      <w:r>
        <w:t xml:space="preserve"> </w:t>
      </w:r>
      <w:r>
        <w:t xml:space="preserve">alleged marginally higher issuance costs for ordinary unsecured debt (and by extent to</w:t>
      </w:r>
      <w:r>
        <w:t xml:space="preserve"> </w:t>
      </w:r>
      <w:r>
        <w:t xml:space="preserve">marginally higher funding costs for banks) raised by some banks is not supported by</w:t>
      </w:r>
      <w:r>
        <w:t xml:space="preserve"> </w:t>
      </w:r>
      <w:r>
        <w:t xml:space="preserve">empirical evidence507. Moreover, any potential marginal cost impact must be weighed</w:t>
      </w:r>
      <w:r>
        <w:t xml:space="preserve"> </w:t>
      </w:r>
      <w:r>
        <w:t xml:space="preserve">against the added benefits that depositor preference brings in terms of enforcing market</w:t>
      </w:r>
      <w:r>
        <w:t xml:space="preserve"> </w:t>
      </w:r>
      <w:r>
        <w:t xml:space="preserve">discipline on financial investors to monitor banks’ risks more closely, once their</w:t>
      </w:r>
      <w:r>
        <w:t xml:space="preserve"> </w:t>
      </w:r>
      <w:r>
        <w:t xml:space="preserve">expectation that they will be bailed-in (instead of being bailed-out under a less effective</w:t>
      </w:r>
      <w:r>
        <w:t xml:space="preserve"> </w:t>
      </w:r>
      <w:r>
        <w:t xml:space="preserve">CMDI framework) becomes more credible.</w:t>
      </w:r>
      <w:r>
        <w:t xml:space="preserve"> </w:t>
      </w:r>
      <w:r>
        <w:t xml:space="preserve">Finally, some stakeholders claims that general depositor preference would leave</w:t>
      </w:r>
      <w:r>
        <w:t xml:space="preserve"> </w:t>
      </w:r>
      <w:r>
        <w:t xml:space="preserve">resolution authorities without flexibility in determining the scope of the bail-in tool. In</w:t>
      </w:r>
      <w:r>
        <w:t xml:space="preserve"> </w:t>
      </w:r>
      <w:r>
        <w:t xml:space="preserve">this respect, it is important to note that it is not being proposed to mandatorily exclude</w:t>
      </w:r>
      <w:r>
        <w:t xml:space="preserve"> </w:t>
      </w:r>
      <w:r>
        <w:t xml:space="preserve">non-covered deposits from bail-in, which means that resolution authorities still maintain</w:t>
      </w:r>
      <w:r>
        <w:t xml:space="preserve"> </w:t>
      </w:r>
      <w:r>
        <w:t xml:space="preserve">the possibility to impose losses on those deposits if and when deemed necessary and</w:t>
      </w:r>
      <w:r>
        <w:t xml:space="preserve"> </w:t>
      </w:r>
      <w:r>
        <w:t xml:space="preserve">appropriate.</w:t>
      </w:r>
      <w:r>
        <w:br/>
      </w:r>
      <w:r>
        <w:t xml:space="preserve">Regarding views on the single-tier depositor preference, some stakeholders (including</w:t>
      </w:r>
      <w:r>
        <w:t xml:space="preserve"> </w:t>
      </w:r>
      <w:r>
        <w:t xml:space="preserve">a few Member States and banks) argue that preserving a super-priority for DGS in the</w:t>
      </w:r>
      <w:r>
        <w:t xml:space="preserve"> </w:t>
      </w:r>
      <w:r>
        <w:t xml:space="preserve">hierarchy of claims is instrumental in ensuring the recovery of funds used to payout</w:t>
      </w:r>
      <w:r>
        <w:t xml:space="preserve"> </w:t>
      </w:r>
      <w:r>
        <w:t xml:space="preserve">covered deposits in insolvency, even if the creditor payout in insolvency can take many</w:t>
      </w:r>
      <w:r>
        <w:t xml:space="preserve"> </w:t>
      </w:r>
      <w:r>
        <w:t xml:space="preserve">years (depending on the judicial system in each Member State and the approach to</w:t>
      </w:r>
      <w:r>
        <w:t xml:space="preserve"> </w:t>
      </w:r>
      <w:r>
        <w:t xml:space="preserve">liquidate assets508). These stakeholders claim that a single-tier depositor preference in the</w:t>
      </w:r>
      <w:r>
        <w:t xml:space="preserve"> </w:t>
      </w:r>
      <w:r>
        <w:t xml:space="preserve">creditor hierarchy would increase the costs and liquidity needs of the DGS and would</w:t>
      </w:r>
      <w:r>
        <w:t xml:space="preserve"> </w:t>
      </w:r>
      <w:r>
        <w:t xml:space="preserve">deviate from the minimisation moral hazard and from the guiding resolution principle of</w:t>
      </w:r>
      <w:r>
        <w:t xml:space="preserve"> </w:t>
      </w:r>
      <w:r>
        <w:t xml:space="preserve">ensuring that losses are borne by shareholders and creditors. Other Member States are</w:t>
      </w:r>
      <w:r>
        <w:t xml:space="preserve"> </w:t>
      </w:r>
      <w:r>
        <w:t xml:space="preserve">fully supportive of removing the super-preference of the DGS from the hierarchy of</w:t>
      </w:r>
    </w:p>
    <w:p>
      <w:pPr>
        <w:pStyle w:val="BodyText"/>
      </w:pPr>
      <w:r>
        <w:t xml:space="preserve">507 See for example, the IMF Working Paper 13/172 (July 2013), Bank Resolution Costs, Depositor</w:t>
      </w:r>
      <w:r>
        <w:t xml:space="preserve"> </w:t>
      </w:r>
      <w:r>
        <w:t xml:space="preserve">Preference, and Asset Encumbrance, from a review of previous studies it concludes that introducing a</w:t>
      </w:r>
      <w:r>
        <w:t xml:space="preserve"> </w:t>
      </w:r>
      <w:r>
        <w:t xml:space="preserve">single-tier depositor preference in the US had “little “systemic effect” on overall bank funding costs.</w:t>
      </w:r>
      <w:r>
        <w:t xml:space="preserve"> </w:t>
      </w:r>
      <w:r>
        <w:t xml:space="preserve">508 In some Member States and in specific cases, the approach to liquidate assets in insolvency is to sell</w:t>
      </w:r>
      <w:r>
        <w:t xml:space="preserve"> </w:t>
      </w:r>
      <w:r>
        <w:t xml:space="preserve">those assets to buyers which may take several years to complete. In other cases, depending on the bank’s</w:t>
      </w:r>
      <w:r>
        <w:t xml:space="preserve"> </w:t>
      </w:r>
      <w:r>
        <w:t xml:space="preserve">business, a solvent wind-down of assets may be pursued, meaning that proceeds are recovered by</w:t>
      </w:r>
      <w:r>
        <w:t xml:space="preserve"> </w:t>
      </w:r>
      <w:r>
        <w:t xml:space="preserve">respecting the reimbursement schedule of assets, which for certain loan portfolios such as mortgages can</w:t>
      </w:r>
      <w:r>
        <w:t xml:space="preserve"> </w:t>
      </w:r>
      <w:r>
        <w:t xml:space="preserve">take tens of years.</w:t>
      </w:r>
    </w:p>
    <w:p>
      <w:pPr>
        <w:pStyle w:val="BodyText"/>
      </w:pPr>
      <w:r>
        <w:t xml:space="preserve">329</w:t>
      </w:r>
      <w:r>
        <w:t xml:space="preserve"> </w:t>
      </w:r>
      <w:r>
        <w:t xml:space="preserve">claims as they see this as the only credible alternative to make funding in resolution</w:t>
      </w:r>
      <w:r>
        <w:t xml:space="preserve"> </w:t>
      </w:r>
      <w:r>
        <w:t xml:space="preserve">available when needed.</w:t>
      </w:r>
      <w:r>
        <w:t xml:space="preserve"> </w:t>
      </w:r>
      <w:r>
        <w:t xml:space="preserve">Importantly, the amount of cash the DGS must disburse in a payout in insolvency</w:t>
      </w:r>
      <w:r>
        <w:t xml:space="preserve"> </w:t>
      </w:r>
      <w:r>
        <w:t xml:space="preserve">corresponds to the total amount of covered deposits in the bank (plus other direct costs)</w:t>
      </w:r>
      <w:r>
        <w:t xml:space="preserve"> </w:t>
      </w:r>
      <w:r>
        <w:t xml:space="preserve">and, as shown in the evaluation (sections 7.1.4.4. and 7.2.2.6 in Annex 5 of the IA), it is</w:t>
      </w:r>
      <w:r>
        <w:t xml:space="preserve"> </w:t>
      </w:r>
      <w:r>
        <w:t xml:space="preserve">likely to be significantly higher than the amount the DGS would need to contribute to</w:t>
      </w:r>
      <w:r>
        <w:t xml:space="preserve"> </w:t>
      </w:r>
      <w:r>
        <w:t xml:space="preserve">fund the gap between assets and liabilities for facilitating a transfer strategy in resolution</w:t>
      </w:r>
      <w:r>
        <w:t xml:space="preserve"> </w:t>
      </w:r>
      <w:r>
        <w:t xml:space="preserve">or in the context of an alternative measure. Additionally, by facilitating transfer strategies</w:t>
      </w:r>
      <w:r>
        <w:t xml:space="preserve"> </w:t>
      </w:r>
      <w:r>
        <w:t xml:space="preserve">in resolution, the franchise value of the failing bank’s assets is preserved as opposed to</w:t>
      </w:r>
      <w:r>
        <w:t xml:space="preserve"> </w:t>
      </w:r>
      <w:r>
        <w:t xml:space="preserve">insolvency509 and so is the client relationship, which is transferred to a new bank rather</w:t>
      </w:r>
      <w:r>
        <w:t xml:space="preserve"> </w:t>
      </w:r>
      <w:r>
        <w:t xml:space="preserve">than being interrupted, avoiding thus potential contagion effects, risks of bank runs and</w:t>
      </w:r>
      <w:r>
        <w:t xml:space="preserve"> </w:t>
      </w:r>
      <w:r>
        <w:t xml:space="preserve">impacts on financial stability. Therefore, the difference in costs for the DGS between</w:t>
      </w:r>
      <w:r>
        <w:t xml:space="preserve"> </w:t>
      </w:r>
      <w:r>
        <w:t xml:space="preserve">pursuing more resolution versus insolvency lies in the more efficient usage of funds,</w:t>
      </w:r>
      <w:r>
        <w:t xml:space="preserve"> </w:t>
      </w:r>
      <w:r>
        <w:t xml:space="preserve">facilitated by removing the super-preference of DGS in the hierarchy of claims.</w:t>
      </w:r>
      <w:r>
        <w:t xml:space="preserve"> </w:t>
      </w:r>
      <w:r>
        <w:t xml:space="preserve">Facilitating the use of DGS funds through changes to the depositor ranking positively</w:t>
      </w:r>
      <w:r>
        <w:t xml:space="preserve"> </w:t>
      </w:r>
      <w:r>
        <w:t xml:space="preserve">contributes to financial stability and depositor confidence, while also better preserving</w:t>
      </w:r>
      <w:r>
        <w:t xml:space="preserve"> </w:t>
      </w:r>
      <w:r>
        <w:t xml:space="preserve">the DGSs’ available financial means in case other crises occur. The rationale for allowing</w:t>
      </w:r>
      <w:r>
        <w:t xml:space="preserve"> </w:t>
      </w:r>
      <w:r>
        <w:t xml:space="preserve">a broader scope of DGS interventions is further explained in Annex 10.</w:t>
      </w:r>
      <w:r>
        <w:t xml:space="preserve"> </w:t>
      </w:r>
      <w:r>
        <w:t xml:space="preserve">It should be highlighted that such a change would not translate into a worse treatment for</w:t>
      </w:r>
      <w:r>
        <w:t xml:space="preserve"> </w:t>
      </w:r>
      <w:r>
        <w:t xml:space="preserve">covered deposits as, in reality, their protection comes from the payout by the DGS and</w:t>
      </w:r>
      <w:r>
        <w:t xml:space="preserve"> </w:t>
      </w:r>
      <w:r>
        <w:t xml:space="preserve">not from their preferred ranking in insolvency. Their mandatory exclusion from bail-in is</w:t>
      </w:r>
      <w:r>
        <w:t xml:space="preserve"> </w:t>
      </w:r>
      <w:r>
        <w:t xml:space="preserve">likewise not affected in the options envisaged in this impact assessment. The super-</w:t>
      </w:r>
      <w:r>
        <w:t xml:space="preserve"> </w:t>
      </w:r>
      <w:r>
        <w:t xml:space="preserve">priority ends up protecting the financial means of the DGS and the banking industry, who</w:t>
      </w:r>
      <w:r>
        <w:t xml:space="preserve"> </w:t>
      </w:r>
      <w:r>
        <w:t xml:space="preserve">are called to replenish those funds through contributions. The single-tier ranking would</w:t>
      </w:r>
      <w:r>
        <w:t xml:space="preserve"> </w:t>
      </w:r>
      <w:r>
        <w:t xml:space="preserve">have the merit of ensuring that the banking industry does not receive better protection in</w:t>
      </w:r>
      <w:r>
        <w:t xml:space="preserve"> </w:t>
      </w:r>
      <w:r>
        <w:t xml:space="preserve">insolvency than depositors, even non-covered ones. Replacing the super-priority of DGS</w:t>
      </w:r>
      <w:r>
        <w:t xml:space="preserve"> </w:t>
      </w:r>
      <w:r>
        <w:t xml:space="preserve">claims with a single-tier ranking for all deposits would contribute to reinforcing depositor</w:t>
      </w:r>
      <w:r>
        <w:t xml:space="preserve"> </w:t>
      </w:r>
      <w:r>
        <w:t xml:space="preserve">confidence and safeguarding financial stability by preventing the risk of bank runs.</w:t>
      </w:r>
      <w:r>
        <w:br/>
      </w:r>
      <w:r>
        <w:t xml:space="preserve">3.</w:t>
      </w:r>
      <w:r>
        <w:t xml:space="preserve"> </w:t>
      </w:r>
      <w:r>
        <w:t xml:space="preserve">MANDATORY EXCLUSIONS FROM BAIL-IN</w:t>
      </w:r>
      <w:r>
        <w:t xml:space="preserve"> </w:t>
      </w:r>
      <w:r>
        <w:t xml:space="preserve">Another aspect regarding the harmonisation of the hierarchy of claims relates to the</w:t>
      </w:r>
      <w:r>
        <w:t xml:space="preserve"> </w:t>
      </w:r>
      <w:r>
        <w:t xml:space="preserve">priority ranking under national insolvency laws of liabilities which are mandatorily</w:t>
      </w:r>
      <w:r>
        <w:t xml:space="preserve"> </w:t>
      </w:r>
      <w:r>
        <w:t xml:space="preserve">excluded from bail-in under Article 44(2) BRRD (see Table 33 for a listing of excluded</w:t>
      </w:r>
      <w:r>
        <w:t xml:space="preserve"> </w:t>
      </w:r>
      <w:r>
        <w:t xml:space="preserve">liabilities). The ranking of these liabilities diverges significantly across Member States,</w:t>
      </w:r>
      <w:r>
        <w:t xml:space="preserve"> </w:t>
      </w:r>
      <w:r>
        <w:t xml:space="preserve">in line with national specificities pertaining to areas such as taxation, employee</w:t>
      </w:r>
      <w:r>
        <w:t xml:space="preserve"> </w:t>
      </w:r>
      <w:r>
        <w:t xml:space="preserve">protection, social security or civil law. In some Member States, some of these excluded</w:t>
      </w:r>
      <w:r>
        <w:t xml:space="preserve"> </w:t>
      </w:r>
      <w:r>
        <w:t xml:space="preserve">liabilities rank above deposits, in others, some rank below or among deposits.</w:t>
      </w:r>
      <w:r>
        <w:br/>
      </w:r>
      <w:r>
        <w:t xml:space="preserve">The possibility to give a legal preference to these exclusions in the hierarchy of claims,</w:t>
      </w:r>
      <w:r>
        <w:t xml:space="preserve"> </w:t>
      </w:r>
      <w:r>
        <w:t xml:space="preserve">combined with requiring that those preferred claims excluded from bail-in rank above the</w:t>
      </w:r>
      <w:r>
        <w:t xml:space="preserve"> </w:t>
      </w:r>
      <w:r>
        <w:t xml:space="preserve">claims of the DGS subrogating to covered deposits, so as to reduce the risk of NCWO</w:t>
      </w:r>
    </w:p>
    <w:p>
      <w:pPr>
        <w:pStyle w:val="BodyText"/>
      </w:pPr>
      <w:r>
        <w:t xml:space="preserve">509 According to the valuation methodology, the haircut imposed on assets in a transfer transaction is lower</w:t>
      </w:r>
      <w:r>
        <w:t xml:space="preserve"> </w:t>
      </w:r>
      <w:r>
        <w:t xml:space="preserve">than the haircut that could be imposed in some situations in insolvency. This may not be the case in a wind-</w:t>
      </w:r>
      <w:r>
        <w:t xml:space="preserve"> </w:t>
      </w:r>
      <w:r>
        <w:t xml:space="preserve">down liquidation which may take a very long time to complete.</w:t>
      </w:r>
    </w:p>
    <w:p>
      <w:pPr>
        <w:pStyle w:val="BodyText"/>
      </w:pPr>
      <w:r>
        <w:t xml:space="preserve">330</w:t>
      </w:r>
      <w:r>
        <w:t xml:space="preserve"> </w:t>
      </w:r>
      <w:r>
        <w:t xml:space="preserve">when applying the bail-in tool was discussed with Member States. However, the large</w:t>
      </w:r>
      <w:r>
        <w:t xml:space="preserve"> </w:t>
      </w:r>
      <w:r>
        <w:t xml:space="preserve">majority of Member States did not favour the introduction of such changes in the national</w:t>
      </w:r>
      <w:r>
        <w:t xml:space="preserve"> </w:t>
      </w:r>
      <w:r>
        <w:t xml:space="preserve">creditor rankings, as this would unduly interfere with other areas of their national laws</w:t>
      </w:r>
      <w:r>
        <w:t xml:space="preserve"> </w:t>
      </w:r>
      <w:r>
        <w:t xml:space="preserve">and legal traditions that are not harmonised at EU level. Member States noted that</w:t>
      </w:r>
      <w:r>
        <w:t xml:space="preserve"> </w:t>
      </w:r>
      <w:r>
        <w:t xml:space="preserve">liabilities excluded from bail-in do not form a homogenous group and that the reasons</w:t>
      </w:r>
      <w:r>
        <w:t xml:space="preserve"> </w:t>
      </w:r>
      <w:r>
        <w:t xml:space="preserve">justifying their protection in a resolution scenario where the bank is to remain in going</w:t>
      </w:r>
      <w:r>
        <w:t xml:space="preserve"> </w:t>
      </w:r>
      <w:r>
        <w:t xml:space="preserve">concern, generally linked with the need to ensure the continuity of critical functions and</w:t>
      </w:r>
      <w:r>
        <w:t xml:space="preserve"> </w:t>
      </w:r>
      <w:r>
        <w:t xml:space="preserve">to reduce the risk of systemic contagion, may not be present in a liquidation scenario,</w:t>
      </w:r>
      <w:r>
        <w:t xml:space="preserve"> </w:t>
      </w:r>
      <w:r>
        <w:t xml:space="preserve">particularly in those Member States where the activity of the bank does not continue in</w:t>
      </w:r>
      <w:r>
        <w:t xml:space="preserve"> </w:t>
      </w:r>
      <w:r>
        <w:t xml:space="preserve">insolvency. Concerns were also raised regarding the compatibility with constitutional</w:t>
      </w:r>
      <w:r>
        <w:t xml:space="preserve"> </w:t>
      </w:r>
      <w:r>
        <w:t xml:space="preserve">principles of providing the same types of creditors with a different treatment in</w:t>
      </w:r>
      <w:r>
        <w:t xml:space="preserve"> </w:t>
      </w:r>
      <w:r>
        <w:t xml:space="preserve">insolvency depending on who the debtor is (i.e., a bank or a non-financial entity) and the</w:t>
      </w:r>
      <w:r>
        <w:t xml:space="preserve"> </w:t>
      </w:r>
      <w:r>
        <w:t xml:space="preserve">operational difficulties in implementing these legal preferences.</w:t>
      </w:r>
      <w:r>
        <w:br/>
      </w:r>
      <w:r>
        <w:t xml:space="preserve">In order to judge the relative importance of each type of excluded liability, Table 33</w:t>
      </w:r>
      <w:r>
        <w:t xml:space="preserve"> </w:t>
      </w:r>
      <w:r>
        <w:t xml:space="preserve">shows the share of each type of mandatorily excluded liabilities out of the total of</w:t>
      </w:r>
      <w:r>
        <w:t xml:space="preserve"> </w:t>
      </w:r>
      <w:r>
        <w:t xml:space="preserve">mandatory exclusions, depending on the size classification and strategy. For smaller</w:t>
      </w:r>
      <w:r>
        <w:t xml:space="preserve"> </w:t>
      </w:r>
      <w:r>
        <w:t xml:space="preserve">banks, covered deposits represent the bulk of excluded liabilities (80%), while for</w:t>
      </w:r>
      <w:r>
        <w:t xml:space="preserve"> </w:t>
      </w:r>
      <w:r>
        <w:t xml:space="preserve">medium sized banks this share decreases (57.8%) and for large banks it is almost on a par</w:t>
      </w:r>
      <w:r>
        <w:t xml:space="preserve"> </w:t>
      </w:r>
      <w:r>
        <w:t xml:space="preserve">(47.4%) with secured liabilities (43.5%) which are more material.</w:t>
      </w:r>
      <w:r>
        <w:br/>
      </w:r>
      <w:r>
        <w:t xml:space="preserve">Table 33: Share of each type of mandatory exclusions out of total excluded liabilities</w:t>
      </w:r>
      <w:r>
        <w:t xml:space="preserve"> </w:t>
      </w:r>
      <w:r>
        <w:t xml:space="preserve">(resolution entities, %)</w:t>
      </w:r>
      <w:r>
        <w:t xml:space="preserve"> </w:t>
      </w:r>
      <w:r>
        <w:t xml:space="preserve">(% of mandatory exclusions)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Resolution</w:t>
      </w:r>
      <w:r>
        <w:t xml:space="preserve"> </w:t>
      </w:r>
      <w:r>
        <w:t xml:space="preserve">Liquidation</w:t>
      </w:r>
      <w:r>
        <w:t xml:space="preserve"> </w:t>
      </w:r>
      <w:r>
        <w:t xml:space="preserve">Covered deposits</w:t>
      </w:r>
      <w:r>
        <w:t xml:space="preserve"> </w:t>
      </w:r>
      <w:r>
        <w:t xml:space="preserve">81.5%</w:t>
      </w:r>
      <w:r>
        <w:t xml:space="preserve"> </w:t>
      </w:r>
      <w:r>
        <w:t xml:space="preserve">54.8%</w:t>
      </w:r>
      <w:r>
        <w:t xml:space="preserve"> </w:t>
      </w:r>
      <w:r>
        <w:t xml:space="preserve">47.3%</w:t>
      </w:r>
      <w:r>
        <w:t xml:space="preserve"> </w:t>
      </w:r>
      <w:r>
        <w:t xml:space="preserve">50.1%</w:t>
      </w:r>
      <w:r>
        <w:t xml:space="preserve"> </w:t>
      </w:r>
      <w:r>
        <w:t xml:space="preserve">50.6%</w:t>
      </w:r>
      <w:r>
        <w:t xml:space="preserve"> </w:t>
      </w:r>
      <w:r>
        <w:t xml:space="preserve">Secured liabilities</w:t>
      </w:r>
      <w:r>
        <w:t xml:space="preserve"> </w:t>
      </w:r>
      <w:r>
        <w:t xml:space="preserve">13.4%</w:t>
      </w:r>
      <w:r>
        <w:t xml:space="preserve"> </w:t>
      </w:r>
      <w:r>
        <w:t xml:space="preserve">38.4%</w:t>
      </w:r>
      <w:r>
        <w:t xml:space="preserve"> </w:t>
      </w:r>
      <w:r>
        <w:t xml:space="preserve">43.2%</w:t>
      </w:r>
      <w:r>
        <w:t xml:space="preserve"> </w:t>
      </w:r>
      <w:r>
        <w:t xml:space="preserve">41.0%</w:t>
      </w:r>
      <w:r>
        <w:t xml:space="preserve"> </w:t>
      </w:r>
      <w:r>
        <w:t xml:space="preserve">43.6%</w:t>
      </w:r>
      <w:r>
        <w:t xml:space="preserve"> </w:t>
      </w:r>
      <w:r>
        <w:t xml:space="preserve">Liability to institutions &lt;7 days</w:t>
      </w:r>
      <w:r>
        <w:t xml:space="preserve"> </w:t>
      </w:r>
      <w:r>
        <w:t xml:space="preserve">2.0%</w:t>
      </w:r>
      <w:r>
        <w:t xml:space="preserve"> </w:t>
      </w:r>
      <w:r>
        <w:t xml:space="preserve">2.1%</w:t>
      </w:r>
      <w:r>
        <w:t xml:space="preserve"> </w:t>
      </w:r>
      <w:r>
        <w:t xml:space="preserve">5.3%</w:t>
      </w:r>
      <w:r>
        <w:t xml:space="preserve"> </w:t>
      </w:r>
      <w:r>
        <w:t xml:space="preserve">4.5%</w:t>
      </w:r>
      <w:r>
        <w:t xml:space="preserve"> </w:t>
      </w:r>
      <w:r>
        <w:t xml:space="preserve">2.5%</w:t>
      </w:r>
      <w:r>
        <w:t xml:space="preserve"> </w:t>
      </w:r>
      <w:r>
        <w:t xml:space="preserve">Client liabilities</w:t>
      </w:r>
      <w:r>
        <w:t xml:space="preserve"> </w:t>
      </w:r>
      <w:r>
        <w:t xml:space="preserve">0.7%</w:t>
      </w:r>
      <w:r>
        <w:t xml:space="preserve"> </w:t>
      </w:r>
      <w:r>
        <w:t xml:space="preserve">3.1%</w:t>
      </w:r>
      <w:r>
        <w:t xml:space="preserve"> </w:t>
      </w:r>
      <w:r>
        <w:t xml:space="preserve">0.4%</w:t>
      </w:r>
      <w:r>
        <w:t xml:space="preserve"> </w:t>
      </w:r>
      <w:r>
        <w:t xml:space="preserve">1.1%</w:t>
      </w:r>
      <w:r>
        <w:t xml:space="preserve"> </w:t>
      </w:r>
      <w:r>
        <w:t xml:space="preserve">1.9%</w:t>
      </w:r>
      <w:r>
        <w:t xml:space="preserve"> </w:t>
      </w:r>
      <w:r>
        <w:t xml:space="preserve">Fiduciary liabilities</w:t>
      </w:r>
      <w:r>
        <w:t xml:space="preserve"> </w:t>
      </w:r>
      <w:r>
        <w:t xml:space="preserve">0.7%</w:t>
      </w:r>
      <w:r>
        <w:t xml:space="preserve"> </w:t>
      </w:r>
      <w:r>
        <w:t xml:space="preserve">0.4%</w:t>
      </w:r>
      <w:r>
        <w:t xml:space="preserve"> </w:t>
      </w:r>
      <w:r>
        <w:t xml:space="preserve">1.7%</w:t>
      </w:r>
      <w:r>
        <w:t xml:space="preserve"> </w:t>
      </w:r>
      <w:r>
        <w:t xml:space="preserve">1.4%</w:t>
      </w:r>
      <w:r>
        <w:t xml:space="preserve"> </w:t>
      </w:r>
      <w:r>
        <w:t xml:space="preserve">0.1%</w:t>
      </w:r>
      <w:r>
        <w:t xml:space="preserve"> </w:t>
      </w:r>
      <w:r>
        <w:t xml:space="preserve">System liabilities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Employee liabilities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0.9%</w:t>
      </w:r>
      <w:r>
        <w:t xml:space="preserve"> </w:t>
      </w:r>
      <w:r>
        <w:t xml:space="preserve">0.8%</w:t>
      </w:r>
      <w:r>
        <w:t xml:space="preserve"> </w:t>
      </w:r>
      <w:r>
        <w:t xml:space="preserve">0.6%</w:t>
      </w:r>
      <w:r>
        <w:t xml:space="preserve"> </w:t>
      </w:r>
      <w:r>
        <w:t xml:space="preserve">Critical services liabilities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Tax liabilities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0.5%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DGS liabilities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Source: Commission services, based on EBA CfA report, data as of Q4 2019</w:t>
      </w:r>
    </w:p>
    <w:p>
      <w:pPr>
        <w:pStyle w:val="BodyText"/>
      </w:pPr>
      <w:r>
        <w:t xml:space="preserve">331</w:t>
      </w:r>
      <w:r>
        <w:t xml:space="preserve"> </w:t>
      </w:r>
      <w:r>
        <w:t xml:space="preserve">Figure 30: Share of each type of mandatory exclusions out of total excluded</w:t>
      </w:r>
      <w:r>
        <w:br/>
      </w:r>
      <w:r>
        <w:t xml:space="preserve">liabilities (resolution entities, %)</w:t>
      </w:r>
    </w:p>
    <w:p>
      <w:pPr>
        <w:pStyle w:val="BodyText"/>
      </w:pPr>
      <w:r>
        <w:t xml:space="preserve">Source: Commission services, based on EBA CfA report, data as of Q4 2019</w:t>
      </w:r>
      <w:r>
        <w:t xml:space="preserve"> </w:t>
      </w:r>
      <w:r>
        <w:t xml:space="preserve">Table 34 shows the amount of liabilities mandatorily excluded from bail-in, expressed in</w:t>
      </w:r>
      <w:r>
        <w:t xml:space="preserve"> </w:t>
      </w:r>
      <w:r>
        <w:t xml:space="preserve">% TLOF per size category and strategy, at the level of the entire sample. Institutions’</w:t>
      </w:r>
      <w:r>
        <w:t xml:space="preserve"> </w:t>
      </w:r>
      <w:r>
        <w:t xml:space="preserve">liability structure is composed of significant amounts of liabilities statutorily excluded</w:t>
      </w:r>
      <w:r>
        <w:t xml:space="preserve"> </w:t>
      </w:r>
      <w:r>
        <w:t xml:space="preserve">from bail-in. On average, these represent 47.2% of TLOF for small and non-complex</w:t>
      </w:r>
      <w:r>
        <w:t xml:space="preserve"> </w:t>
      </w:r>
      <w:r>
        <w:t xml:space="preserve">banks, 51.2% for medium and 40.5% for large institutions. Covered deposits represent</w:t>
      </w:r>
      <w:r>
        <w:t xml:space="preserve"> </w:t>
      </w:r>
      <w:r>
        <w:t xml:space="preserve">the highest share of excluded liabilities, followed by secured liabilities, significantly less</w:t>
      </w:r>
      <w:r>
        <w:t xml:space="preserve"> </w:t>
      </w:r>
      <w:r>
        <w:t xml:space="preserve">prominent for the smallest institutions, and to a lesser extent liabilities to institutions</w:t>
      </w:r>
      <w:r>
        <w:t xml:space="preserve"> </w:t>
      </w:r>
      <w:r>
        <w:t xml:space="preserve">below 7 days. Other forms of excluded liabilities represent much lower amounts, across</w:t>
      </w:r>
      <w:r>
        <w:t xml:space="preserve"> </w:t>
      </w:r>
      <w:r>
        <w:t xml:space="preserve">all types of institutions. The differences are not material when breaking down the</w:t>
      </w:r>
      <w:r>
        <w:t xml:space="preserve"> </w:t>
      </w:r>
      <w:r>
        <w:t xml:space="preserve">population by strategy.</w:t>
      </w:r>
      <w:r>
        <w:t xml:space="preserve"> </w:t>
      </w:r>
      <w:r>
        <w:t xml:space="preserve">Table 34: Largest types of mandatory exclusions from bail-in (%TLOF)</w:t>
      </w:r>
      <w:r>
        <w:t xml:space="preserve"> </w:t>
      </w:r>
      <w:r>
        <w:t xml:space="preserve">(%TLOF)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Resolution</w:t>
      </w:r>
      <w:r>
        <w:t xml:space="preserve"> </w:t>
      </w:r>
      <w:r>
        <w:t xml:space="preserve">Liquidation</w:t>
      </w:r>
      <w:r>
        <w:t xml:space="preserve"> </w:t>
      </w:r>
      <w:r>
        <w:t xml:space="preserve">Mandatory exclusions</w:t>
      </w:r>
      <w:r>
        <w:t xml:space="preserve"> </w:t>
      </w:r>
      <w:r>
        <w:t xml:space="preserve">47.2%</w:t>
      </w:r>
      <w:r>
        <w:t xml:space="preserve"> </w:t>
      </w:r>
      <w:r>
        <w:t xml:space="preserve">51.2%</w:t>
      </w:r>
      <w:r>
        <w:t xml:space="preserve"> </w:t>
      </w:r>
      <w:r>
        <w:t xml:space="preserve">40.5%</w:t>
      </w:r>
      <w:r>
        <w:t xml:space="preserve"> </w:t>
      </w:r>
      <w:r>
        <w:t xml:space="preserve">43.5%</w:t>
      </w:r>
      <w:r>
        <w:t xml:space="preserve"> </w:t>
      </w:r>
      <w:r>
        <w:t xml:space="preserve">38.2%</w:t>
      </w:r>
      <w:r>
        <w:t xml:space="preserve"> </w:t>
      </w:r>
      <w:r>
        <w:t xml:space="preserve">Of which: covered deposits</w:t>
      </w:r>
      <w:r>
        <w:t xml:space="preserve"> </w:t>
      </w:r>
      <w:r>
        <w:t xml:space="preserve">38.5%</w:t>
      </w:r>
      <w:r>
        <w:t xml:space="preserve"> </w:t>
      </w:r>
      <w:r>
        <w:t xml:space="preserve">28.1%</w:t>
      </w:r>
      <w:r>
        <w:t xml:space="preserve"> </w:t>
      </w:r>
      <w:r>
        <w:t xml:space="preserve">19.2%</w:t>
      </w:r>
      <w:r>
        <w:t xml:space="preserve"> </w:t>
      </w:r>
      <w:r>
        <w:t xml:space="preserve">21.8%</w:t>
      </w:r>
      <w:r>
        <w:t xml:space="preserve"> </w:t>
      </w:r>
      <w:r>
        <w:t xml:space="preserve">19.3%</w:t>
      </w:r>
      <w:r>
        <w:t xml:space="preserve"> </w:t>
      </w:r>
      <w:r>
        <w:t xml:space="preserve">Of which: secured liabilities</w:t>
      </w:r>
      <w:r>
        <w:t xml:space="preserve"> </w:t>
      </w:r>
      <w:r>
        <w:t xml:space="preserve">6.3%</w:t>
      </w:r>
      <w:r>
        <w:t xml:space="preserve"> </w:t>
      </w:r>
      <w:r>
        <w:t xml:space="preserve">19.7%</w:t>
      </w:r>
      <w:r>
        <w:t xml:space="preserve"> </w:t>
      </w:r>
      <w:r>
        <w:t xml:space="preserve">17.5%</w:t>
      </w:r>
      <w:r>
        <w:t xml:space="preserve"> </w:t>
      </w:r>
      <w:r>
        <w:t xml:space="preserve">17.8%</w:t>
      </w:r>
      <w:r>
        <w:t xml:space="preserve"> </w:t>
      </w:r>
      <w:r>
        <w:t xml:space="preserve">16.7%</w:t>
      </w:r>
      <w:r>
        <w:t xml:space="preserve"> </w:t>
      </w:r>
      <w:r>
        <w:t xml:space="preserve">Of which: liability to institutions &lt;7 days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2.1%</w:t>
      </w:r>
      <w:r>
        <w:t xml:space="preserve"> </w:t>
      </w:r>
      <w:r>
        <w:t xml:space="preserve">2.0%</w:t>
      </w:r>
      <w:r>
        <w:t xml:space="preserve"> </w:t>
      </w:r>
      <w:r>
        <w:t xml:space="preserve">1.0%</w:t>
      </w:r>
    </w:p>
    <w:p>
      <w:pPr>
        <w:pStyle w:val="BodyText"/>
      </w:pPr>
      <w:r>
        <w:t xml:space="preserve">Source: Commission services, based on EBA CfA report, data as of Q4 2019</w:t>
      </w:r>
    </w:p>
    <w:p>
      <w:pPr>
        <w:pStyle w:val="BodyText"/>
      </w:pPr>
      <w:r>
        <w:t xml:space="preserve">332</w:t>
      </w:r>
      <w:r>
        <w:t xml:space="preserve"> </w:t>
      </w:r>
      <w:r>
        <w:t xml:space="preserve">Figure 31: Largest types of mandatory exclusions from bail-in (% TLOF)</w:t>
      </w:r>
    </w:p>
    <w:p>
      <w:pPr>
        <w:pStyle w:val="BodyText"/>
      </w:pPr>
      <w:r>
        <w:t xml:space="preserve">Source: Commission services, based on EBA CfA report, data as of Q4 2019</w:t>
      </w:r>
      <w:r>
        <w:t xml:space="preserve"> </w:t>
      </w:r>
      <w:r>
        <w:t xml:space="preserve">On average for all entities in the sample, mandatory exclusions account for up to 50% of</w:t>
      </w:r>
      <w:r>
        <w:t xml:space="preserve"> </w:t>
      </w:r>
      <w:r>
        <w:t xml:space="preserve">the TLOF at national level in eight Member States, and up to 70% in 14 additional</w:t>
      </w:r>
      <w:r>
        <w:t xml:space="preserve"> </w:t>
      </w:r>
      <w:r>
        <w:t xml:space="preserve">Member States.</w:t>
      </w:r>
      <w:r>
        <w:br/>
      </w:r>
      <w:r>
        <w:t xml:space="preserve">Table 35: Mandatory exclusions from bail-in (%TLOF), Member State level</w:t>
      </w:r>
      <w:r>
        <w:t xml:space="preserve"> </w:t>
      </w:r>
      <w:r>
        <w:t xml:space="preserve">(%TLOF)</w:t>
      </w:r>
      <w:r>
        <w:t xml:space="preserve"> </w:t>
      </w:r>
      <w:r>
        <w:t xml:space="preserve">Count Member States*</w:t>
      </w:r>
      <w:r>
        <w:t xml:space="preserve"> </w:t>
      </w:r>
      <w:r>
        <w:t xml:space="preserve">Below 30%</w:t>
      </w:r>
      <w:r>
        <w:t xml:space="preserve"> </w:t>
      </w:r>
      <w:r>
        <w:t xml:space="preserve">2</w:t>
      </w:r>
      <w:r>
        <w:t xml:space="preserve"> </w:t>
      </w:r>
      <w:r>
        <w:t xml:space="preserve">IE, LU</w:t>
      </w:r>
      <w:r>
        <w:t xml:space="preserve"> </w:t>
      </w:r>
      <w:r>
        <w:t xml:space="preserve">Between 30 and 50%</w:t>
      </w:r>
      <w:r>
        <w:t xml:space="preserve"> </w:t>
      </w:r>
      <w:r>
        <w:t xml:space="preserve">8</w:t>
      </w:r>
      <w:r>
        <w:t xml:space="preserve"> </w:t>
      </w:r>
      <w:r>
        <w:t xml:space="preserve">AT, BE, DE, EE, FI, FR, NL, SE</w:t>
      </w:r>
      <w:r>
        <w:t xml:space="preserve"> </w:t>
      </w:r>
      <w:r>
        <w:t xml:space="preserve">Between 50 and 70%</w:t>
      </w:r>
      <w:r>
        <w:t xml:space="preserve"> </w:t>
      </w:r>
      <w:r>
        <w:t xml:space="preserve">13</w:t>
      </w:r>
      <w:r>
        <w:t xml:space="preserve"> </w:t>
      </w:r>
      <w:r>
        <w:t xml:space="preserve">BG, CY, ES, EL, HR, IT, LT, LV, MT, PL, PT, RO, SI</w:t>
      </w:r>
      <w:r>
        <w:t xml:space="preserve"> </w:t>
      </w:r>
      <w:r>
        <w:t xml:space="preserve">Above 70%</w:t>
      </w:r>
      <w:r>
        <w:t xml:space="preserve"> </w:t>
      </w:r>
      <w:r>
        <w:t xml:space="preserve">3</w:t>
      </w:r>
      <w:r>
        <w:t xml:space="preserve"> </w:t>
      </w:r>
      <w:r>
        <w:t xml:space="preserve">CZ, DK, SK</w:t>
      </w:r>
    </w:p>
    <w:p>
      <w:pPr>
        <w:pStyle w:val="Compact"/>
        <w:numPr>
          <w:ilvl w:val="0"/>
          <w:numId w:val="1051"/>
        </w:numPr>
      </w:pPr>
      <w:r>
        <w:t xml:space="preserve">Figures for HU not available.</w:t>
      </w:r>
      <w:r>
        <w:t xml:space="preserve"> </w:t>
      </w:r>
      <w:r>
        <w:t xml:space="preserve">Source: Commission services, based on EBA CfA report, data as of Q4 2019</w:t>
      </w:r>
      <w:r>
        <w:t xml:space="preserve"> </w:t>
      </w:r>
      <w:r>
        <w:t xml:space="preserve">Despite the large amounts of mandatory exclusions, the analysis shows that the</w:t>
      </w:r>
      <w:r>
        <w:t xml:space="preserve"> </w:t>
      </w:r>
      <w:r>
        <w:t xml:space="preserve">proportion of exclusions over their respective ranking in the applicable creditor hierarchy</w:t>
      </w:r>
      <w:r>
        <w:t xml:space="preserve"> </w:t>
      </w:r>
      <w:r>
        <w:t xml:space="preserve">is moderate. For the purpose of this analysis, the simplified creditor hierarchy used in</w:t>
      </w:r>
      <w:r>
        <w:t xml:space="preserve"> </w:t>
      </w:r>
      <w:r>
        <w:t xml:space="preserve">Annex 7 has been used to ensure comparability. Table 36 shows the amount of</w:t>
      </w:r>
      <w:r>
        <w:t xml:space="preserve"> </w:t>
      </w:r>
      <w:r>
        <w:t xml:space="preserve">mandatory exclusions ranking senior to senior non-preferred and junior to non-preferred</w:t>
      </w:r>
      <w:r>
        <w:t xml:space="preserve"> </w:t>
      </w:r>
      <w:r>
        <w:t xml:space="preserve">deposits (or preferred deposits in jurisdictions with a general depositor preference) in</w:t>
      </w:r>
      <w:r>
        <w:t xml:space="preserve"> </w:t>
      </w:r>
      <w:r>
        <w:t xml:space="preserve">percentage of the concerned ranks in insolvency pursuant to the applicable hierarchy in</w:t>
      </w:r>
      <w:r>
        <w:t xml:space="preserve"> </w:t>
      </w:r>
      <w:r>
        <w:t xml:space="preserve">each Member State510. This perspective does not consider excluded liabilities ranking at</w:t>
      </w:r>
      <w:r>
        <w:t xml:space="preserve"> </w:t>
      </w:r>
      <w:r>
        <w:t xml:space="preserve">the high end of the hierarchy of claims and focuses on those ranks that are likely to be</w:t>
      </w:r>
      <w:r>
        <w:t xml:space="preserve"> </w:t>
      </w:r>
      <w:r>
        <w:t xml:space="preserve">impacted by the bail-in.</w:t>
      </w:r>
    </w:p>
    <w:p>
      <w:pPr>
        <w:pStyle w:val="FirstParagraph"/>
      </w:pPr>
      <w:r>
        <w:t xml:space="preserve">510 With one exception covering liabilities pari passu with senior non-preferred due to the presence of</w:t>
      </w:r>
      <w:r>
        <w:t xml:space="preserve"> </w:t>
      </w:r>
      <w:r>
        <w:t xml:space="preserve">excluded liabilities at this level of the hierarchy of claims.</w:t>
      </w:r>
    </w:p>
    <w:p>
      <w:pPr>
        <w:pStyle w:val="BodyText"/>
      </w:pPr>
      <w:r>
        <w:t xml:space="preserve">333</w:t>
      </w:r>
      <w:r>
        <w:t xml:space="preserve"> </w:t>
      </w:r>
      <w:r>
        <w:t xml:space="preserve">Table 36: Mandatory exclusions from bail-in (exclusions ranking between senior non-</w:t>
      </w:r>
      <w:r>
        <w:t xml:space="preserve"> </w:t>
      </w:r>
      <w:r>
        <w:t xml:space="preserve">preferred and non-preferred or preferred deposits depending on the applicable</w:t>
      </w:r>
      <w:r>
        <w:t xml:space="preserve"> </w:t>
      </w:r>
      <w:r>
        <w:t xml:space="preserve">depositor preference, % of liabilities with similar ranking)</w:t>
      </w:r>
      <w:r>
        <w:t xml:space="preserve"> </w:t>
      </w:r>
      <w:r>
        <w:t xml:space="preserve">(% ordinary unsecured - hypothetical)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Resolution Liquidation</w:t>
      </w:r>
      <w:r>
        <w:t xml:space="preserve"> </w:t>
      </w:r>
      <w:r>
        <w:t xml:space="preserve">Mandatory exclusions (average)</w:t>
      </w:r>
      <w:r>
        <w:t xml:space="preserve"> </w:t>
      </w:r>
      <w:r>
        <w:t xml:space="preserve">5.2%</w:t>
      </w:r>
      <w:r>
        <w:t xml:space="preserve"> </w:t>
      </w:r>
      <w:r>
        <w:t xml:space="preserve">4.4%</w:t>
      </w:r>
      <w:r>
        <w:t xml:space="preserve"> </w:t>
      </w:r>
      <w:r>
        <w:t xml:space="preserve">5.8%</w:t>
      </w:r>
      <w:r>
        <w:t xml:space="preserve"> </w:t>
      </w:r>
      <w:r>
        <w:t xml:space="preserve">5.7%</w:t>
      </w:r>
      <w:r>
        <w:t xml:space="preserve"> </w:t>
      </w:r>
      <w:r>
        <w:t xml:space="preserve">4.1%</w:t>
      </w:r>
      <w:r>
        <w:t xml:space="preserve"> </w:t>
      </w:r>
      <w:r>
        <w:t xml:space="preserve">Mandatory exclusions (first quartile)</w:t>
      </w:r>
      <w:r>
        <w:t xml:space="preserve"> </w:t>
      </w:r>
      <w:r>
        <w:t xml:space="preserve">0.1%</w:t>
      </w:r>
      <w:r>
        <w:t xml:space="preserve"> </w:t>
      </w:r>
      <w:r>
        <w:t xml:space="preserve">0.5%</w:t>
      </w:r>
      <w:r>
        <w:t xml:space="preserve"> </w:t>
      </w:r>
      <w:r>
        <w:t xml:space="preserve">1.6%</w:t>
      </w:r>
      <w:r>
        <w:t xml:space="preserve"> </w:t>
      </w:r>
      <w:r>
        <w:t xml:space="preserve">0.7%</w:t>
      </w:r>
      <w:r>
        <w:t xml:space="preserve"> </w:t>
      </w:r>
      <w:r>
        <w:t xml:space="preserve">0.0%</w:t>
      </w:r>
      <w:r>
        <w:t xml:space="preserve"> </w:t>
      </w:r>
      <w:r>
        <w:t xml:space="preserve">Mandatory exclusions (third quartile)</w:t>
      </w:r>
      <w:r>
        <w:t xml:space="preserve"> </w:t>
      </w:r>
      <w:r>
        <w:t xml:space="preserve">4.0%</w:t>
      </w:r>
      <w:r>
        <w:t xml:space="preserve"> </w:t>
      </w:r>
      <w:r>
        <w:t xml:space="preserve">6.2%</w:t>
      </w:r>
      <w:r>
        <w:t xml:space="preserve"> </w:t>
      </w:r>
      <w:r>
        <w:t xml:space="preserve">8.2%</w:t>
      </w:r>
      <w:r>
        <w:t xml:space="preserve"> </w:t>
      </w:r>
      <w:r>
        <w:t xml:space="preserve">6.5%</w:t>
      </w:r>
      <w:r>
        <w:t xml:space="preserve"> </w:t>
      </w:r>
      <w:r>
        <w:t xml:space="preserve">4.0%</w:t>
      </w:r>
    </w:p>
    <w:p>
      <w:pPr>
        <w:pStyle w:val="BodyText"/>
      </w:pPr>
      <w:r>
        <w:t xml:space="preserve">Source: Commission services, based on EBA CfA report, data as of Q4 2019</w:t>
      </w:r>
      <w:r>
        <w:t xml:space="preserve"> </w:t>
      </w:r>
      <w:r>
        <w:t xml:space="preserve">On average, those mandatory exclusions represent less than 6% of the respective liability</w:t>
      </w:r>
      <w:r>
        <w:t xml:space="preserve"> </w:t>
      </w:r>
      <w:r>
        <w:t xml:space="preserve">classes, with a widely spread distribution around the average, as 25% of the resolution</w:t>
      </w:r>
      <w:r>
        <w:t xml:space="preserve"> </w:t>
      </w:r>
      <w:r>
        <w:t xml:space="preserve">entities (first quartile) have a portion of excluded liabilities at most equal to 0.1% or</w:t>
      </w:r>
      <w:r>
        <w:t xml:space="preserve"> </w:t>
      </w:r>
      <w:r>
        <w:t xml:space="preserve">1.6% for small and large institutions, respectively.</w:t>
      </w:r>
      <w:r>
        <w:br/>
      </w:r>
      <w:r>
        <w:t xml:space="preserve">These results are not indicative of actual NCWO risks, which remain a case-by-case</w:t>
      </w:r>
      <w:r>
        <w:t xml:space="preserve"> </w:t>
      </w:r>
      <w:r>
        <w:t xml:space="preserve">assessment based on each bank’s liability structure. They provide, however, an overview</w:t>
      </w:r>
      <w:r>
        <w:t xml:space="preserve"> </w:t>
      </w:r>
      <w:r>
        <w:t xml:space="preserve">of the magnitude of the exclusions in those layers more prone to generate NCWO risks.</w:t>
      </w:r>
      <w:r>
        <w:br/>
      </w:r>
      <w:r>
        <w:t xml:space="preserve">Having in mind the legal and operational difficulties presented above and the arguments</w:t>
      </w:r>
      <w:r>
        <w:t xml:space="preserve"> </w:t>
      </w:r>
      <w:r>
        <w:t xml:space="preserve">put forward by Member States during the consultation stage, together with the limited</w:t>
      </w:r>
      <w:r>
        <w:t xml:space="preserve"> </w:t>
      </w:r>
      <w:r>
        <w:t xml:space="preserve">impact on the reduction of NCWO risks, the possibility of introducing a legal preference</w:t>
      </w:r>
      <w:r>
        <w:t xml:space="preserve"> </w:t>
      </w:r>
      <w:r>
        <w:t xml:space="preserve">for all liabilities mandatorily excluded from bail-in and ranking them above the claims of</w:t>
      </w:r>
      <w:r>
        <w:t xml:space="preserve"> </w:t>
      </w:r>
      <w:r>
        <w:t xml:space="preserve">DGSs subrogating to covered deposits was discarded and was therefore not considered in</w:t>
      </w:r>
      <w:r>
        <w:t xml:space="preserve"> </w:t>
      </w:r>
      <w:r>
        <w:t xml:space="preserve">any of the options described in this impact assessment.</w:t>
      </w:r>
      <w:r>
        <w:t xml:space="preserve"> </w:t>
      </w:r>
      <w:r>
        <w:t xml:space="preserve">4.</w:t>
      </w:r>
      <w:r>
        <w:t xml:space="preserve"> </w:t>
      </w:r>
      <w:r>
        <w:t xml:space="preserve">EARLY INTERVENTIONS MEASURES</w:t>
      </w:r>
      <w:r>
        <w:t xml:space="preserve"> </w:t>
      </w:r>
      <w:r>
        <w:t xml:space="preserve">The purpose of early intervention measures is to allow interventions by competent</w:t>
      </w:r>
      <w:r>
        <w:t xml:space="preserve"> </w:t>
      </w:r>
      <w:r>
        <w:t xml:space="preserve">authorities at an earlier stage of financial deterioration of a bank with a view to limit or</w:t>
      </w:r>
      <w:r>
        <w:t xml:space="preserve"> </w:t>
      </w:r>
      <w:r>
        <w:t xml:space="preserve">avoid its impact. However, these measures have been rarely applied so far. The EBA</w:t>
      </w:r>
      <w:r>
        <w:t xml:space="preserve"> </w:t>
      </w:r>
      <w:r>
        <w:t xml:space="preserve">indicated that, in most situations where the EIM triggers were met, competent authorities</w:t>
      </w:r>
      <w:r>
        <w:t xml:space="preserve"> </w:t>
      </w:r>
      <w:r>
        <w:t xml:space="preserve">preferred to address the situation through other supervisory powers511.</w:t>
      </w:r>
      <w:r>
        <w:t xml:space="preserve"> </w:t>
      </w:r>
      <w:r>
        <w:t xml:space="preserve">The early intervention powers conferred on competent authorities on the basis of national</w:t>
      </w:r>
      <w:r>
        <w:t xml:space="preserve"> </w:t>
      </w:r>
      <w:r>
        <w:t xml:space="preserve">laws implementing the BRRD overlap to an extent with the supervisory powers, provided</w:t>
      </w:r>
      <w:r>
        <w:t xml:space="preserve"> </w:t>
      </w:r>
      <w:r>
        <w:t xml:space="preserve">in the CRD (and also mirrored in the SSMR)512. This overlap creates legal uncertainty</w:t>
      </w:r>
      <w:r>
        <w:t xml:space="preserve"> </w:t>
      </w:r>
      <w:r>
        <w:t xml:space="preserve">and procedural challenges for competent authorities and could explain to some extent</w:t>
      </w:r>
      <w:r>
        <w:t xml:space="preserve"> </w:t>
      </w:r>
      <w:r>
        <w:t xml:space="preserve">their scarce application. Also, in the Banking Union, the provisions on early intervention</w:t>
      </w:r>
      <w:r>
        <w:t xml:space="preserve"> </w:t>
      </w:r>
      <w:r>
        <w:t xml:space="preserve">powers contained in the BRRD are not replicated in a uniform and directly applicable</w:t>
      </w:r>
      <w:r>
        <w:t xml:space="preserve"> </w:t>
      </w:r>
      <w:r>
        <w:t xml:space="preserve">legal basis, meaning that their application by competent authorities, including the ECB,</w:t>
      </w:r>
      <w:r>
        <w:t xml:space="preserve"> </w:t>
      </w:r>
      <w:r>
        <w:t xml:space="preserve">may hinge on potentially diverging national transposition measures.</w:t>
      </w:r>
    </w:p>
    <w:p>
      <w:pPr>
        <w:pStyle w:val="BodyText"/>
      </w:pPr>
      <w:r>
        <w:t xml:space="preserve">511 See EBA (27 May 2021), Report on the application of EIMs in the EU in accordance with Articles 27-</w:t>
      </w:r>
      <w:r>
        <w:t xml:space="preserve"> </w:t>
      </w:r>
      <w:r>
        <w:t xml:space="preserve">29 BRRD, EBA/REP/2021/12, p 17-19.</w:t>
      </w:r>
      <w:r>
        <w:t xml:space="preserve"> </w:t>
      </w:r>
      <w:r>
        <w:t xml:space="preserve">512 More specifically, some of the early intervention measures listed in Article 27(1) BRRD partially or</w:t>
      </w:r>
      <w:r>
        <w:t xml:space="preserve"> </w:t>
      </w:r>
      <w:r>
        <w:t xml:space="preserve">fully overlap with other supervisory powers in Article 104(1) CRD and Article 16(2) SSMR.</w:t>
      </w:r>
    </w:p>
    <w:p>
      <w:pPr>
        <w:pStyle w:val="BodyText"/>
      </w:pPr>
      <w:r>
        <w:t xml:space="preserve">334</w:t>
      </w:r>
      <w:r>
        <w:t xml:space="preserve"> </w:t>
      </w:r>
      <w:r>
        <w:t xml:space="preserve">The EIMs available to competent authorities should be revised to improve legal clarity</w:t>
      </w:r>
      <w:r>
        <w:t xml:space="preserve"> </w:t>
      </w:r>
      <w:r>
        <w:t xml:space="preserve">and eliminate the overlaps with supervisory measures provided in CRD and SSMR513. A</w:t>
      </w:r>
      <w:r>
        <w:t xml:space="preserve"> </w:t>
      </w:r>
      <w:r>
        <w:t xml:space="preserve">single legal basis for their direct application in the Banking Union (i.e. a regulation)</w:t>
      </w:r>
      <w:r>
        <w:t xml:space="preserve"> </w:t>
      </w:r>
      <w:r>
        <w:t xml:space="preserve">would also reduce the difficulties caused by diverging transpositions of the current</w:t>
      </w:r>
      <w:r>
        <w:t xml:space="preserve"> </w:t>
      </w:r>
      <w:r>
        <w:t xml:space="preserve">BRRD provisions in national laws. Moreover, the need for sufficiently early coordination</w:t>
      </w:r>
      <w:r>
        <w:t xml:space="preserve"> </w:t>
      </w:r>
      <w:r>
        <w:t xml:space="preserve">between resolution and competent authorities should also be ensured in the EIM process.</w:t>
      </w:r>
      <w:r>
        <w:br/>
      </w:r>
      <w:r>
        <w:t xml:space="preserve">Based on the observation that, so far, EIMs have been used rarely514, the Commission</w:t>
      </w:r>
      <w:r>
        <w:t xml:space="preserve"> </w:t>
      </w:r>
      <w:r>
        <w:t xml:space="preserve">would not consider the possibility of simply preserving the status quo as appropriate.</w:t>
      </w:r>
      <w:r>
        <w:t xml:space="preserve"> </w:t>
      </w:r>
      <w:r>
        <w:t xml:space="preserve">Instead, two options were considered:</w:t>
      </w:r>
      <w:r>
        <w:br/>
      </w:r>
      <w:r>
        <w:t xml:space="preserve"> removing these measures entirely from the BRRD and allowing their use as</w:t>
      </w:r>
      <w:r>
        <w:t xml:space="preserve"> </w:t>
      </w:r>
      <w:r>
        <w:t xml:space="preserve">supervisory powers according to SSMR and CRD;</w:t>
      </w:r>
      <w:r>
        <w:br/>
      </w:r>
      <w:r>
        <w:t xml:space="preserve"> amending the provisions in BRRD only to the extent necessary to address the</w:t>
      </w:r>
      <w:r>
        <w:t xml:space="preserve"> </w:t>
      </w:r>
      <w:r>
        <w:t xml:space="preserve">overlap between the EIMs and supervisory measures, and providing a single</w:t>
      </w:r>
      <w:r>
        <w:t xml:space="preserve"> </w:t>
      </w:r>
      <w:r>
        <w:t xml:space="preserve">legal basis for their application by the ECB in SRMR.</w:t>
      </w:r>
      <w:r>
        <w:br/>
      </w:r>
      <w:r>
        <w:t xml:space="preserve">The first option would substantially increase the margin of manoeuvre and discretion of</w:t>
      </w:r>
      <w:r>
        <w:t xml:space="preserve"> </w:t>
      </w:r>
      <w:r>
        <w:t xml:space="preserve">supervisors in applying EIMs. In particular, subsuming these measures under supervisory</w:t>
      </w:r>
      <w:r>
        <w:t xml:space="preserve"> </w:t>
      </w:r>
      <w:r>
        <w:t xml:space="preserve">powers would entail that, rather than having to meet specific triggers (as is the case now)</w:t>
      </w:r>
      <w:r>
        <w:t xml:space="preserve"> </w:t>
      </w:r>
      <w:r>
        <w:t xml:space="preserve">to be able to use EIMs, supervisors would be able to use them based on their general</w:t>
      </w:r>
      <w:r>
        <w:t xml:space="preserve"> </w:t>
      </w:r>
      <w:r>
        <w:t xml:space="preserve">discretion and proportionality considerations, as it happens for all supervisory measures.</w:t>
      </w:r>
      <w:r>
        <w:t xml:space="preserve"> </w:t>
      </w:r>
      <w:r>
        <w:t xml:space="preserve">This option, however, has several substantial drawbacks. First, it appears</w:t>
      </w:r>
      <w:r>
        <w:t xml:space="preserve"> </w:t>
      </w:r>
      <w:r>
        <w:t xml:space="preserve">disproportionate to the objectives pursued. The complete elimination of all EIMs from</w:t>
      </w:r>
      <w:r>
        <w:t xml:space="preserve"> </w:t>
      </w:r>
      <w:r>
        <w:t xml:space="preserve">BRRD is not necessary to address the issue of overlaps, particularly considering that the</w:t>
      </w:r>
      <w:r>
        <w:t xml:space="preserve"> </w:t>
      </w:r>
      <w:r>
        <w:t xml:space="preserve">overlap is only partial515. Also, the transfer of all the EIMs into supervisory legislation</w:t>
      </w:r>
      <w:r>
        <w:t xml:space="preserve"> </w:t>
      </w:r>
      <w:r>
        <w:t xml:space="preserve">entails the amendment of the relevant provisions in CRD and SSMR so as to include</w:t>
      </w:r>
      <w:r>
        <w:t xml:space="preserve"> </w:t>
      </w:r>
      <w:r>
        <w:t xml:space="preserve">powers currently not provided therein. This would be an additional complication,</w:t>
      </w:r>
      <w:r>
        <w:t xml:space="preserve"> </w:t>
      </w:r>
      <w:r>
        <w:t xml:space="preserve">particularly considering that the legal basis for changes to SSMR requires unanimity of</w:t>
      </w:r>
      <w:r>
        <w:t xml:space="preserve"> </w:t>
      </w:r>
      <w:r>
        <w:t xml:space="preserve">Member States to implement legislative changes. Also, the first option would move EIMs</w:t>
      </w:r>
      <w:r>
        <w:t xml:space="preserve"> </w:t>
      </w:r>
      <w:r>
        <w:t xml:space="preserve">entirely under the remit of the supervisory framework, which is regulated by the general</w:t>
      </w:r>
      <w:r>
        <w:t xml:space="preserve"> </w:t>
      </w:r>
      <w:r>
        <w:t xml:space="preserve">principle of proportionality516, leaving supervisors with substantial discretion when</w:t>
      </w:r>
      <w:r>
        <w:t xml:space="preserve"> </w:t>
      </w:r>
      <w:r>
        <w:t xml:space="preserve">choosing whether to apply supervisory powers and which one. In particular, the</w:t>
      </w:r>
      <w:r>
        <w:t xml:space="preserve"> </w:t>
      </w:r>
      <w:r>
        <w:t xml:space="preserve">supervisory framework does not provide specific triggers to assess whether the</w:t>
      </w:r>
      <w:r>
        <w:t xml:space="preserve"> </w:t>
      </w:r>
      <w:r>
        <w:t xml:space="preserve">conditions to apply the powers overlapping with EIM are met. Also, it does not provide</w:t>
      </w:r>
      <w:r>
        <w:t xml:space="preserve"> </w:t>
      </w:r>
      <w:r>
        <w:t xml:space="preserve">any “escalation ladder” between less invasive and more invasive powers. As a result, this</w:t>
      </w:r>
      <w:r>
        <w:t xml:space="preserve"> </w:t>
      </w:r>
      <w:r>
        <w:t xml:space="preserve">approach appears disproportionate also with respect to the impact of the different</w:t>
      </w:r>
      <w:r>
        <w:t xml:space="preserve"> </w:t>
      </w:r>
      <w:r>
        <w:t xml:space="preserve">measures. While it may be not be appropriate to establish a strict escalation ladder with</w:t>
      </w:r>
      <w:r>
        <w:t xml:space="preserve"> </w:t>
      </w:r>
      <w:r>
        <w:t xml:space="preserve">specific hard triggers for each measure, at least some distinction between those which</w:t>
      </w:r>
    </w:p>
    <w:p>
      <w:pPr>
        <w:pStyle w:val="BodyText"/>
      </w:pPr>
      <w:r>
        <w:t xml:space="preserve">513 See Annex 5 (Evaluation).</w:t>
      </w:r>
      <w:r>
        <w:t xml:space="preserve"> </w:t>
      </w:r>
      <w:r>
        <w:t xml:space="preserve">514 See EBA (27 May 2021), Report on the application of early intervention measures in the European</w:t>
      </w:r>
      <w:r>
        <w:t xml:space="preserve"> </w:t>
      </w:r>
      <w:r>
        <w:t xml:space="preserve">Union in accordance with Articles 27-29 of the BRRD, EBA/REP/2021/12, p 17 to 19.</w:t>
      </w:r>
      <w:r>
        <w:t xml:space="preserve"> </w:t>
      </w:r>
      <w:r>
        <w:t xml:space="preserve">515 In particular, an overlap exists between the measures in Article 27(1)(b), (d), (f) and (g) BRRD and</w:t>
      </w:r>
      <w:r>
        <w:t xml:space="preserve"> </w:t>
      </w:r>
      <w:r>
        <w:t xml:space="preserve">articles 104 CRD and article 16 SSMR.</w:t>
      </w:r>
      <w:r>
        <w:br/>
      </w:r>
      <w:r>
        <w:t xml:space="preserve">516 Connected to an actual or likely breach of the requirements in CRD or CRR.</w:t>
      </w:r>
    </w:p>
    <w:p>
      <w:pPr>
        <w:pStyle w:val="BodyText"/>
      </w:pPr>
      <w:r>
        <w:t xml:space="preserve">335</w:t>
      </w:r>
      <w:r>
        <w:t xml:space="preserve"> </w:t>
      </w:r>
      <w:r>
        <w:t xml:space="preserve">may have a limited impact on the bank and those which may be more disruptive seems</w:t>
      </w:r>
      <w:r>
        <w:t xml:space="preserve"> </w:t>
      </w:r>
      <w:r>
        <w:t xml:space="preserve">desirable.</w:t>
      </w:r>
      <w:r>
        <w:br/>
      </w:r>
      <w:r>
        <w:t xml:space="preserve">This is in turn relevant to ensure coordination between supervisors and resolution</w:t>
      </w:r>
      <w:r>
        <w:t xml:space="preserve"> </w:t>
      </w:r>
      <w:r>
        <w:t xml:space="preserve">authorities. In the absence of a clear demarcation between the more and less invasive</w:t>
      </w:r>
      <w:r>
        <w:t xml:space="preserve"> </w:t>
      </w:r>
      <w:r>
        <w:t xml:space="preserve">measures available to the supervisor, the only options in this respect would be to either</w:t>
      </w:r>
      <w:r>
        <w:t xml:space="preserve"> </w:t>
      </w:r>
      <w:r>
        <w:t xml:space="preserve">require the supervisor to coordinate with the resolution authority anytime it applies any</w:t>
      </w:r>
      <w:r>
        <w:t xml:space="preserve"> </w:t>
      </w:r>
      <w:r>
        <w:t xml:space="preserve">supervisory measures (including less relevant supervisory powers which do not indicate a</w:t>
      </w:r>
      <w:r>
        <w:t xml:space="preserve"> </w:t>
      </w:r>
      <w:r>
        <w:t xml:space="preserve">risk of important deterioration of the bank’s financial situation and have no clear link</w:t>
      </w:r>
      <w:r>
        <w:t xml:space="preserve"> </w:t>
      </w:r>
      <w:r>
        <w:t xml:space="preserve">with the initiation of resolution), or eliminate the need for coordination. Notwithstanding</w:t>
      </w:r>
      <w:r>
        <w:t xml:space="preserve"> </w:t>
      </w:r>
      <w:r>
        <w:t xml:space="preserve">the practical arrangements that may already exist between the relevant competent and</w:t>
      </w:r>
      <w:r>
        <w:t xml:space="preserve"> </w:t>
      </w:r>
      <w:r>
        <w:t xml:space="preserve">resolution authorities, BRRD and SRMR should ensure that cooperation between those</w:t>
      </w:r>
      <w:r>
        <w:t xml:space="preserve"> </w:t>
      </w:r>
      <w:r>
        <w:t xml:space="preserve">authorities takes place in an appropriate and timely way, to ensure sufficient preparation</w:t>
      </w:r>
      <w:r>
        <w:t xml:space="preserve"> </w:t>
      </w:r>
      <w:r>
        <w:t xml:space="preserve">for resolution and even a timely trigger of FOLF.</w:t>
      </w:r>
      <w:r>
        <w:t xml:space="preserve"> </w:t>
      </w:r>
      <w:r>
        <w:t xml:space="preserve">Finally, for completeness, it should be clarified that, from the perspective of market</w:t>
      </w:r>
      <w:r>
        <w:t xml:space="preserve"> </w:t>
      </w:r>
      <w:r>
        <w:t xml:space="preserve">reputation, and specifically when it comes to the application of the Market Abuse</w:t>
      </w:r>
      <w:r>
        <w:t xml:space="preserve"> </w:t>
      </w:r>
      <w:r>
        <w:t xml:space="preserve">Regulation517, there is no difference between the use of supervisory powers or early</w:t>
      </w:r>
      <w:r>
        <w:t xml:space="preserve"> </w:t>
      </w:r>
      <w:r>
        <w:t xml:space="preserve">intervention measures. In particular, this regulation qualifies as ‘insider information’ any</w:t>
      </w:r>
      <w:r>
        <w:t xml:space="preserve"> </w:t>
      </w:r>
      <w:r>
        <w:t xml:space="preserve">information which, if disclosed, “would be likely to have a significant effect on the prices</w:t>
      </w:r>
      <w:r>
        <w:t xml:space="preserve"> </w:t>
      </w:r>
      <w:r>
        <w:t xml:space="preserve">of those financial instruments”518. Such qualification would lead to the application of a</w:t>
      </w:r>
      <w:r>
        <w:t xml:space="preserve"> </w:t>
      </w:r>
      <w:r>
        <w:t xml:space="preserve">set of obligations and safeguards contained in the Market Abuse Regulation. However,</w:t>
      </w:r>
      <w:r>
        <w:t xml:space="preserve"> </w:t>
      </w:r>
      <w:r>
        <w:t xml:space="preserve">for the purposes of its application, there is no difference between the application of a</w:t>
      </w:r>
      <w:r>
        <w:t xml:space="preserve"> </w:t>
      </w:r>
      <w:r>
        <w:t xml:space="preserve">supervisory measure or an EIM. In both cases, the information that such a measure has</w:t>
      </w:r>
      <w:r>
        <w:t xml:space="preserve"> </w:t>
      </w:r>
      <w:r>
        <w:t xml:space="preserve">been applied may be qualified as insider information depending on the specific</w:t>
      </w:r>
      <w:r>
        <w:t xml:space="preserve"> </w:t>
      </w:r>
      <w:r>
        <w:t xml:space="preserve">circumstances of the case. From this perspective, therefore, there is no reason to prefer</w:t>
      </w:r>
      <w:r>
        <w:t xml:space="preserve"> </w:t>
      </w:r>
      <w:r>
        <w:t xml:space="preserve">one of the mentioned approaches to the other.</w:t>
      </w:r>
      <w:r>
        <w:t xml:space="preserve"> </w:t>
      </w:r>
      <w:r>
        <w:t xml:space="preserve">On this basis, the second and more targeted approach has been retained. In particular, it is</w:t>
      </w:r>
      <w:r>
        <w:t xml:space="preserve"> </w:t>
      </w:r>
      <w:r>
        <w:t xml:space="preserve">sufficient to amend BRRD provisions only to the extent necessary to address issues with</w:t>
      </w:r>
      <w:r>
        <w:t xml:space="preserve"> </w:t>
      </w:r>
      <w:r>
        <w:t xml:space="preserve">the EIMs, which directly overlap with supervisory measures. In this respect, there can be</w:t>
      </w:r>
      <w:r>
        <w:t xml:space="preserve"> </w:t>
      </w:r>
      <w:r>
        <w:t xml:space="preserve">scope for further amendments on the requirements to activate these measures in BRRD</w:t>
      </w:r>
      <w:r>
        <w:t xml:space="preserve"> </w:t>
      </w:r>
      <w:r>
        <w:t xml:space="preserve">with a view to ease their application and the internal sequencing between EIMs. The</w:t>
      </w:r>
      <w:r>
        <w:t xml:space="preserve"> </w:t>
      </w:r>
      <w:r>
        <w:t xml:space="preserve">reform could anyway maintain some form of a distinction between measures considered</w:t>
      </w:r>
      <w:r>
        <w:t xml:space="preserve"> </w:t>
      </w:r>
      <w:r>
        <w:t xml:space="preserve">less invasive and those considered more invasive519.</w:t>
      </w:r>
      <w:r>
        <w:br/>
      </w:r>
      <w:r>
        <w:t xml:space="preserve">Moreover, a single and directly applicable legal basis for the use of EIMs should be</w:t>
      </w:r>
      <w:r>
        <w:t xml:space="preserve"> </w:t>
      </w:r>
      <w:r>
        <w:t xml:space="preserve">introduced in SRMR to ensure an effective and consistent application by the ECB</w:t>
      </w:r>
      <w:r>
        <w:t xml:space="preserve"> </w:t>
      </w:r>
      <w:r>
        <w:t xml:space="preserve">(without having to rely on potentially diverging transpositions of the BRRD provisions).</w:t>
      </w:r>
      <w:r>
        <w:t xml:space="preserve"> </w:t>
      </w:r>
      <w:r>
        <w:t xml:space="preserve">Finally, the reform should ensure efficient and swift coordination between supervisors</w:t>
      </w:r>
      <w:r>
        <w:t xml:space="preserve"> </w:t>
      </w:r>
      <w:r>
        <w:t xml:space="preserve">and resolution authorities in the context of EIMs. The proposed approach would also be</w:t>
      </w:r>
    </w:p>
    <w:p>
      <w:pPr>
        <w:pStyle w:val="BodyText"/>
      </w:pPr>
      <w:r>
        <w:t xml:space="preserve">517 Regulation (EU) No 596/2014 of the European Parliament and of the Council of 16 April 2014 on</w:t>
      </w:r>
      <w:r>
        <w:t xml:space="preserve"> </w:t>
      </w:r>
      <w:r>
        <w:t xml:space="preserve">market abuse (market abuse regulation) and repealing Directive 2003/6/EC of the European Parliament and</w:t>
      </w:r>
      <w:r>
        <w:t xml:space="preserve"> </w:t>
      </w:r>
      <w:r>
        <w:t xml:space="preserve">of the Council and Commission Directives 2003/124/EC, 2003/125/EC and 2004/72/EC (OJ L 173,</w:t>
      </w:r>
      <w:r>
        <w:t xml:space="preserve"> </w:t>
      </w:r>
      <w:r>
        <w:t xml:space="preserve">12.6.2014, p. 1–61).</w:t>
      </w:r>
      <w:r>
        <w:t xml:space="preserve"> </w:t>
      </w:r>
      <w:r>
        <w:t xml:space="preserve">518 Article 7 of the Market Abuse Regulation.</w:t>
      </w:r>
      <w:r>
        <w:t xml:space="preserve"> </w:t>
      </w:r>
      <w:r>
        <w:t xml:space="preserve">519 Several of the elements which form part of this option were discussed and supported by most Members</w:t>
      </w:r>
      <w:r>
        <w:t xml:space="preserve"> </w:t>
      </w:r>
      <w:r>
        <w:t xml:space="preserve">in the context of the Commission expert group (EGBPI).</w:t>
      </w:r>
    </w:p>
    <w:p>
      <w:pPr>
        <w:pStyle w:val="BodyText"/>
      </w:pPr>
      <w:r>
        <w:t xml:space="preserve">336</w:t>
      </w:r>
      <w:r>
        <w:t xml:space="preserve"> </w:t>
      </w:r>
      <w:r>
        <w:t xml:space="preserve">consistent with the F4F Platform recommendations for eliminating the overlap between</w:t>
      </w:r>
      <w:r>
        <w:t xml:space="preserve"> </w:t>
      </w:r>
      <w:r>
        <w:t xml:space="preserve">EIMs and supervisory powers520.</w:t>
      </w:r>
      <w:r>
        <w:t xml:space="preserve"> </w:t>
      </w:r>
      <w:r>
        <w:t xml:space="preserve">5.</w:t>
      </w:r>
      <w:r>
        <w:t xml:space="preserve"> </w:t>
      </w:r>
      <w:r>
        <w:t xml:space="preserve">TRIGGERING OF FOLF</w:t>
      </w:r>
      <w:r>
        <w:t xml:space="preserve"> </w:t>
      </w:r>
      <w:r>
        <w:t xml:space="preserve">The timing of the FOLF determination is crucial with respect to the amount of private</w:t>
      </w:r>
      <w:r>
        <w:t xml:space="preserve"> </w:t>
      </w:r>
      <w:r>
        <w:t xml:space="preserve">resources left in the bank to execute the resolution strategy. The earlier FOLF is</w:t>
      </w:r>
      <w:r>
        <w:t xml:space="preserve"> </w:t>
      </w:r>
      <w:r>
        <w:t xml:space="preserve">triggered, the more liquidity, capital and other bail-inable resources are available in the</w:t>
      </w:r>
      <w:r>
        <w:t xml:space="preserve"> </w:t>
      </w:r>
      <w:r>
        <w:t xml:space="preserve">bank. Conversely, a tardive FOLF determination, which is likely to be related to the</w:t>
      </w:r>
      <w:r>
        <w:t xml:space="preserve"> </w:t>
      </w:r>
      <w:r>
        <w:t xml:space="preserve">important implications of the decision (including in terms of legal risk), combined with</w:t>
      </w:r>
      <w:r>
        <w:t xml:space="preserve"> </w:t>
      </w:r>
      <w:r>
        <w:t xml:space="preserve">the discretion granted to the supervisors in this respect, often leads to a more severe</w:t>
      </w:r>
      <w:r>
        <w:t xml:space="preserve"> </w:t>
      </w:r>
      <w:r>
        <w:t xml:space="preserve">depletion of equity, liquidity and potentially other instruments than under a timelier</w:t>
      </w:r>
      <w:r>
        <w:t xml:space="preserve"> </w:t>
      </w:r>
      <w:r>
        <w:t xml:space="preserve">FOLF determination521, which as a result may endanger the effective application of the</w:t>
      </w:r>
      <w:r>
        <w:t xml:space="preserve"> </w:t>
      </w:r>
      <w:r>
        <w:t xml:space="preserve">most appropriate resolution strategy. Since the FOLF assessment is under the discretion</w:t>
      </w:r>
      <w:r>
        <w:t xml:space="preserve"> </w:t>
      </w:r>
      <w:r>
        <w:t xml:space="preserve">of the competent authority522, it is crucial to ensure a timely assessment of FOLF through</w:t>
      </w:r>
      <w:r>
        <w:t xml:space="preserve"> </w:t>
      </w:r>
      <w:r>
        <w:t xml:space="preserve">adequate governance, cooperation and timely exchange of information between</w:t>
      </w:r>
      <w:r>
        <w:t xml:space="preserve"> </w:t>
      </w:r>
      <w:r>
        <w:t xml:space="preserve">competent and resolution authorities, so as to support a smooth continuum between going</w:t>
      </w:r>
      <w:r>
        <w:t xml:space="preserve"> </w:t>
      </w:r>
      <w:r>
        <w:t xml:space="preserve">and gone concern.</w:t>
      </w:r>
      <w:r>
        <w:t xml:space="preserve"> </w:t>
      </w:r>
      <w:r>
        <w:t xml:space="preserve">Supervisory discretion is important to ensure that all the elements of a specific case are</w:t>
      </w:r>
      <w:r>
        <w:t xml:space="preserve"> </w:t>
      </w:r>
      <w:r>
        <w:t xml:space="preserve">properly taken into account, in particular by considering the likely evolution of the</w:t>
      </w:r>
      <w:r>
        <w:t xml:space="preserve"> </w:t>
      </w:r>
      <w:r>
        <w:t xml:space="preserve">financial distress as well as potential alternatives (i.e. such as the presence of available</w:t>
      </w:r>
      <w:r>
        <w:t xml:space="preserve"> </w:t>
      </w:r>
      <w:r>
        <w:t xml:space="preserve">private buyers). Moreover, the discretion is needed to account for the potential</w:t>
      </w:r>
      <w:r>
        <w:t xml:space="preserve"> </w:t>
      </w:r>
      <w:r>
        <w:t xml:space="preserve">implications in terms of market and reputational impact, which are naturally associated</w:t>
      </w:r>
      <w:r>
        <w:t xml:space="preserve"> </w:t>
      </w:r>
      <w:r>
        <w:t xml:space="preserve">with the determination of a bank’s failure.</w:t>
      </w:r>
      <w:r>
        <w:t xml:space="preserve"> </w:t>
      </w:r>
      <w:r>
        <w:t xml:space="preserve">The Commission examined three options in view of addressing the identified problem:</w:t>
      </w:r>
      <w:r>
        <w:br/>
      </w:r>
      <w:r>
        <w:t xml:space="preserve"> first, preserving full supervisory discretion, to ensure that the specific</w:t>
      </w:r>
      <w:r>
        <w:t xml:space="preserve"> </w:t>
      </w:r>
      <w:r>
        <w:t xml:space="preserve">circumstances of each case are always considered with the maximum</w:t>
      </w:r>
      <w:r>
        <w:t xml:space="preserve"> </w:t>
      </w:r>
      <w:r>
        <w:t xml:space="preserve">flexibility (status quo);</w:t>
      </w:r>
      <w:r>
        <w:br/>
      </w:r>
      <w:r>
        <w:t xml:space="preserve"> second, imposing stricter quantitative triggers for FOLF; and</w:t>
      </w:r>
      <w:r>
        <w:br/>
      </w:r>
      <w:r>
        <w:t xml:space="preserve"> third, providing for framed supervisory discretion with focus on the degree of</w:t>
      </w:r>
      <w:r>
        <w:t xml:space="preserve"> </w:t>
      </w:r>
      <w:r>
        <w:t xml:space="preserve">the bank’s financial deterioration.</w:t>
      </w:r>
      <w:r>
        <w:t xml:space="preserve"> </w:t>
      </w:r>
      <w:r>
        <w:t xml:space="preserve">The first approach was discarded because it would not address the problems of</w:t>
      </w:r>
      <w:r>
        <w:t xml:space="preserve"> </w:t>
      </w:r>
      <w:r>
        <w:t xml:space="preserve">insufficient legal certainty and would not contribute to the objective of activating crisis</w:t>
      </w:r>
      <w:r>
        <w:t xml:space="preserve"> </w:t>
      </w:r>
      <w:r>
        <w:t xml:space="preserve">measures earlier. This in turn affects the available financial resources in resolution (or</w:t>
      </w:r>
      <w:r>
        <w:t xml:space="preserve"> </w:t>
      </w:r>
      <w:r>
        <w:t xml:space="preserve">insolvency) and subsequently the capacity to access additional funding sources. In</w:t>
      </w:r>
      <w:r>
        <w:t xml:space="preserve"> </w:t>
      </w:r>
      <w:r>
        <w:t xml:space="preserve">particular, while there is merit in considering full flexibility in the run up to a bank’s</w:t>
      </w:r>
      <w:r>
        <w:t xml:space="preserve"> </w:t>
      </w:r>
      <w:r>
        <w:t xml:space="preserve">failure, the risk of considerable losses and/or liquidity runs, which would need to be</w:t>
      </w:r>
    </w:p>
    <w:p>
      <w:pPr>
        <w:pStyle w:val="BodyText"/>
      </w:pPr>
      <w:r>
        <w:t xml:space="preserve">520 See Annex 2.</w:t>
      </w:r>
      <w:r>
        <w:t xml:space="preserve"> </w:t>
      </w:r>
      <w:r>
        <w:t xml:space="preserve">521 As the situation of the bank deteriorates further, short-term funding providers may refrain from rolling</w:t>
      </w:r>
      <w:r>
        <w:t xml:space="preserve"> </w:t>
      </w:r>
      <w:r>
        <w:t xml:space="preserve">over their commitments and depositors may potentially run on the bank.</w:t>
      </w:r>
      <w:r>
        <w:t xml:space="preserve"> </w:t>
      </w:r>
      <w:r>
        <w:t xml:space="preserve">522 Although the resolution framework also allows the resolution authority to initiate FOLF. In the Banking</w:t>
      </w:r>
      <w:r>
        <w:t xml:space="preserve"> </w:t>
      </w:r>
      <w:r>
        <w:t xml:space="preserve">Union, all FOLF determinations of banks under the SRB’s direct remit were launched by the ECB and the</w:t>
      </w:r>
      <w:r>
        <w:t xml:space="preserve"> </w:t>
      </w:r>
      <w:r>
        <w:t xml:space="preserve">timing of the relevant assessments varied depending on individual circumstances in each case.</w:t>
      </w:r>
    </w:p>
    <w:p>
      <w:pPr>
        <w:pStyle w:val="BodyText"/>
      </w:pPr>
      <w:r>
        <w:t xml:space="preserve">337</w:t>
      </w:r>
      <w:r>
        <w:t xml:space="preserve"> </w:t>
      </w:r>
      <w:r>
        <w:t xml:space="preserve">covered in resolution/insolvency proceedings in the event that a prospective buyer or any</w:t>
      </w:r>
      <w:r>
        <w:t xml:space="preserve"> </w:t>
      </w:r>
      <w:r>
        <w:t xml:space="preserve">other private solution does not materialise, cannot be disregarded.</w:t>
      </w:r>
      <w:r>
        <w:br/>
      </w:r>
      <w:r>
        <w:t xml:space="preserve">A second possibility would be to provide for stricter triggers for the authorities to</w:t>
      </w:r>
      <w:r>
        <w:t xml:space="preserve"> </w:t>
      </w:r>
      <w:r>
        <w:t xml:space="preserve">determine a bank as being FOLF. In particular, the current provisions in Article 32</w:t>
      </w:r>
      <w:r>
        <w:t xml:space="preserve"> </w:t>
      </w:r>
      <w:r>
        <w:t xml:space="preserve">BRRD do not contain any hard triggers to be used by supervisors (and, eventually, by</w:t>
      </w:r>
      <w:r>
        <w:t xml:space="preserve"> </w:t>
      </w:r>
      <w:r>
        <w:t xml:space="preserve">resolution authorities) for this purpose. The requirement is rather to consider whether the</w:t>
      </w:r>
      <w:r>
        <w:t xml:space="preserve"> </w:t>
      </w:r>
      <w:r>
        <w:t xml:space="preserve">conditions which would justify a withdrawal of the bank’s license (as per the applicable</w:t>
      </w:r>
      <w:r>
        <w:t xml:space="preserve"> </w:t>
      </w:r>
      <w:r>
        <w:t xml:space="preserve">supervisory framework) are met or are likely to be met in the near future. Similarly, the</w:t>
      </w:r>
      <w:r>
        <w:t xml:space="preserve"> </w:t>
      </w:r>
      <w:r>
        <w:t xml:space="preserve">supervisor is required to consider if a situation of illiquidity of the bank (i.e. the bank</w:t>
      </w:r>
      <w:r>
        <w:t xml:space="preserve"> </w:t>
      </w:r>
      <w:r>
        <w:t xml:space="preserve">cannot repay its obligations when due) or balance sheet insolvency (i.e., the assets of the</w:t>
      </w:r>
      <w:r>
        <w:t xml:space="preserve"> </w:t>
      </w:r>
      <w:r>
        <w:t xml:space="preserve">bank are less than its liabilities) has occurred or is likely to occur in the near future.</w:t>
      </w:r>
      <w:r>
        <w:t xml:space="preserve"> </w:t>
      </w:r>
      <w:r>
        <w:t xml:space="preserve">These rather general conditions could be articulated in a more specific and quantifiable</w:t>
      </w:r>
      <w:r>
        <w:t xml:space="preserve"> </w:t>
      </w:r>
      <w:r>
        <w:t xml:space="preserve">manner within the legislative text.</w:t>
      </w:r>
      <w:r>
        <w:br/>
      </w:r>
      <w:r>
        <w:t xml:space="preserve">This second approach would improve the clarity and certainty of the supervisor’s</w:t>
      </w:r>
      <w:r>
        <w:t xml:space="preserve"> </w:t>
      </w:r>
      <w:r>
        <w:t xml:space="preserve">decisions and would in turn improve legal certainty and predictability for banks and for</w:t>
      </w:r>
      <w:r>
        <w:t xml:space="preserve"> </w:t>
      </w:r>
      <w:r>
        <w:t xml:space="preserve">the markets. Also, if correctly set up, it would ensure that the bank’s failure is declared at</w:t>
      </w:r>
      <w:r>
        <w:t xml:space="preserve"> </w:t>
      </w:r>
      <w:r>
        <w:t xml:space="preserve">a time when sufficient liquidity and loss absorption resources are retained, to be used for</w:t>
      </w:r>
      <w:r>
        <w:t xml:space="preserve"> </w:t>
      </w:r>
      <w:r>
        <w:t xml:space="preserve">an effective restructuring of the bank in the event of resolution, and ensuring that more</w:t>
      </w:r>
      <w:r>
        <w:t xml:space="preserve"> </w:t>
      </w:r>
      <w:r>
        <w:t xml:space="preserve">resources are available to repay creditors if the bank is instead put into national</w:t>
      </w:r>
      <w:r>
        <w:t xml:space="preserve"> </w:t>
      </w:r>
      <w:r>
        <w:t xml:space="preserve">insolvency. At the same time, however, this approach creates a substantial risk of</w:t>
      </w:r>
      <w:r>
        <w:t xml:space="preserve"> </w:t>
      </w:r>
      <w:r>
        <w:t xml:space="preserve">arbitrary decisions, which may end up damaging banks and the markets. Considering the</w:t>
      </w:r>
      <w:r>
        <w:t xml:space="preserve"> </w:t>
      </w:r>
      <w:r>
        <w:t xml:space="preserve">complexity of a bank’s business and the many circumstances, which may contribute to</w:t>
      </w:r>
      <w:r>
        <w:t xml:space="preserve"> </w:t>
      </w:r>
      <w:r>
        <w:t xml:space="preserve">create a situation of failure or likely failure, it seems difficult for the legislator to set up</w:t>
      </w:r>
      <w:r>
        <w:t xml:space="preserve"> </w:t>
      </w:r>
      <w:r>
        <w:t xml:space="preserve">strict hard triggers which can sufficiently encompass the various circumstances occurring</w:t>
      </w:r>
      <w:r>
        <w:t xml:space="preserve"> </w:t>
      </w:r>
      <w:r>
        <w:t xml:space="preserve">at the time of the bank’s financial deterioration. This creates, for example, a risk of</w:t>
      </w:r>
      <w:r>
        <w:t xml:space="preserve"> </w:t>
      </w:r>
      <w:r>
        <w:t xml:space="preserve">forcing supervisors to take decisions on banks which may actually still be sold to a buyer</w:t>
      </w:r>
      <w:r>
        <w:t xml:space="preserve"> </w:t>
      </w:r>
      <w:r>
        <w:t xml:space="preserve">or managed through other tools than insolvency or resolution, or inversely the risk of not</w:t>
      </w:r>
      <w:r>
        <w:t xml:space="preserve"> </w:t>
      </w:r>
      <w:r>
        <w:t xml:space="preserve">being able to declare FOLF sufficiently early because the strict legal conditions are not</w:t>
      </w:r>
      <w:r>
        <w:t xml:space="preserve"> </w:t>
      </w:r>
      <w:r>
        <w:t xml:space="preserve">yet met. This option is therefore deemed too rigid and it would not allow sufficient</w:t>
      </w:r>
      <w:r>
        <w:t xml:space="preserve"> </w:t>
      </w:r>
      <w:r>
        <w:t xml:space="preserve">margin for supervisors to assess important elements at the time of a bank’s financial</w:t>
      </w:r>
      <w:r>
        <w:t xml:space="preserve"> </w:t>
      </w:r>
      <w:r>
        <w:t xml:space="preserve">deterioration, creating a substantial risk of incorrect (too early or too late) decisions,</w:t>
      </w:r>
      <w:r>
        <w:t xml:space="preserve"> </w:t>
      </w:r>
      <w:r>
        <w:t xml:space="preserve">which may end up damaging banks, their customers and the markets.</w:t>
      </w:r>
      <w:r>
        <w:t xml:space="preserve"> </w:t>
      </w:r>
      <w:r>
        <w:t xml:space="preserve">Against these considerations, the retained approach (third option) would be to instead</w:t>
      </w:r>
      <w:r>
        <w:t xml:space="preserve"> </w:t>
      </w:r>
      <w:r>
        <w:t xml:space="preserve">frame the discretion of the supervisor, so as to ensure a better balance between clarity</w:t>
      </w:r>
      <w:r>
        <w:t xml:space="preserve"> </w:t>
      </w:r>
      <w:r>
        <w:t xml:space="preserve">and predictability of their decisions and the need to account for flexible action.</w:t>
      </w:r>
      <w:r>
        <w:t xml:space="preserve"> </w:t>
      </w:r>
      <w:r>
        <w:t xml:space="preserve">In particular, the reform should ensure that the current rules on the FOLF determination,</w:t>
      </w:r>
      <w:r>
        <w:t xml:space="preserve"> </w:t>
      </w:r>
      <w:r>
        <w:t xml:space="preserve">while leaving room to still take into account the existence of private solutions to address</w:t>
      </w:r>
      <w:r>
        <w:t xml:space="preserve"> </w:t>
      </w:r>
      <w:r>
        <w:t xml:space="preserve">the failure of the bank, do not risk excessively delaying the process for the preparation of</w:t>
      </w:r>
      <w:r>
        <w:t xml:space="preserve"> </w:t>
      </w:r>
      <w:r>
        <w:t xml:space="preserve">a potential resolution or insolvency. To achieve this, the supervisor should be required to</w:t>
      </w:r>
      <w:r>
        <w:t xml:space="preserve"> </w:t>
      </w:r>
      <w:r>
        <w:t xml:space="preserve">notify sufficiently early the resolution authority as soon as it considers that there is a</w:t>
      </w:r>
      <w:r>
        <w:t xml:space="preserve"> </w:t>
      </w:r>
      <w:r>
        <w:t xml:space="preserve">material risk that an institution or entity meets the conditions for being assessed as failing</w:t>
      </w:r>
      <w:r>
        <w:t xml:space="preserve"> </w:t>
      </w:r>
      <w:r>
        <w:t xml:space="preserve">or likely to fail. On this basis, the resolution authority should be empowered to assess, in</w:t>
      </w:r>
      <w:r>
        <w:t xml:space="preserve"> </w:t>
      </w:r>
      <w:r>
        <w:t xml:space="preserve">close cooperation with the competent authority, what it considers to be a reasonable</w:t>
      </w:r>
      <w:r>
        <w:t xml:space="preserve"> </w:t>
      </w:r>
      <w:r>
        <w:t xml:space="preserve">timeframe for the purposes of looking for solutions, of private or administrative nature,</w:t>
      </w:r>
    </w:p>
    <w:p>
      <w:pPr>
        <w:pStyle w:val="BodyText"/>
      </w:pPr>
      <w:r>
        <w:t xml:space="preserve">338</w:t>
      </w:r>
      <w:r>
        <w:t xml:space="preserve"> </w:t>
      </w:r>
      <w:r>
        <w:t xml:space="preserve">able to prevent the failure. The supervisor should maintain its discretion to explore the</w:t>
      </w:r>
      <w:r>
        <w:t xml:space="preserve"> </w:t>
      </w:r>
      <w:r>
        <w:t xml:space="preserve">possibility of private solutions, as they may prevent the bank’s failure.. Should it be</w:t>
      </w:r>
      <w:r>
        <w:t xml:space="preserve"> </w:t>
      </w:r>
      <w:r>
        <w:t xml:space="preserve">concluded that the deterioration of the bank’s financial conditions has reached such a</w:t>
      </w:r>
      <w:r>
        <w:t xml:space="preserve"> </w:t>
      </w:r>
      <w:r>
        <w:t xml:space="preserve">stage that its resolvability would be endangered, authorities should take this element into</w:t>
      </w:r>
      <w:r>
        <w:t xml:space="preserve"> </w:t>
      </w:r>
      <w:r>
        <w:t xml:space="preserve">due account in their decision to declare the FOLF and in setting a timeline to take action.</w:t>
      </w:r>
      <w:r>
        <w:t xml:space="preserve"> </w:t>
      </w:r>
      <w:r>
        <w:t xml:space="preserve">Where the competent authority concludes that the institution or entity is failing or likely</w:t>
      </w:r>
      <w:r>
        <w:t xml:space="preserve"> </w:t>
      </w:r>
      <w:r>
        <w:t xml:space="preserve">to fail, it should formally communicate this to the resolution authority. The resolution</w:t>
      </w:r>
      <w:r>
        <w:t xml:space="preserve"> </w:t>
      </w:r>
      <w:r>
        <w:t xml:space="preserve">authority should then determine whether the conditions for resolution are met.</w:t>
      </w:r>
      <w:r>
        <w:t xml:space="preserve"> </w:t>
      </w:r>
      <w:r>
        <w:t xml:space="preserve">This option, which is common across all packages of policy options presented in Chapter</w:t>
      </w:r>
      <w:r>
        <w:t xml:space="preserve"> </w:t>
      </w:r>
      <w:r>
        <w:t xml:space="preserve">6, would improve legal certainty and in turn, foster the use of crisis measures at a</w:t>
      </w:r>
      <w:r>
        <w:t xml:space="preserve"> </w:t>
      </w:r>
      <w:r>
        <w:t xml:space="preserve">sufficiently early time to ensure adequate financing resources and therefore the likelihood</w:t>
      </w:r>
      <w:r>
        <w:t xml:space="preserve"> </w:t>
      </w:r>
      <w:r>
        <w:t xml:space="preserve">of meeting the requirements to access the resolution fund.</w:t>
      </w:r>
      <w:r>
        <w:t xml:space="preserve"> </w:t>
      </w:r>
      <w:r>
        <w:t xml:space="preserve">6.</w:t>
      </w:r>
      <w:r>
        <w:t xml:space="preserve"> </w:t>
      </w:r>
      <w:r>
        <w:t xml:space="preserve">INTERACTION BETWEEN FOLF TRIGGERS AND INSOLVENCY</w:t>
      </w:r>
      <w:r>
        <w:t xml:space="preserve"> </w:t>
      </w:r>
      <w:r>
        <w:t xml:space="preserve">National insolvency proceedings are very heterogeneous across EU Member States. One</w:t>
      </w:r>
      <w:r>
        <w:t xml:space="preserve"> </w:t>
      </w:r>
      <w:r>
        <w:t xml:space="preserve">difference concerns the trigger to initiate such proceedings. Only few Member States</w:t>
      </w:r>
      <w:r>
        <w:t xml:space="preserve"> </w:t>
      </w:r>
      <w:r>
        <w:t xml:space="preserve">aligned the triggers for commencing national insolvency proceedings with the FOLF</w:t>
      </w:r>
      <w:r>
        <w:t xml:space="preserve"> </w:t>
      </w:r>
      <w:r>
        <w:t xml:space="preserve">triggers in the BRRD. In general, the trigger to initiate insolvency is only met later than</w:t>
      </w:r>
      <w:r>
        <w:t xml:space="preserve"> </w:t>
      </w:r>
      <w:r>
        <w:t xml:space="preserve">FOLF triggers, when the bank reaches a state of financial insolvency (which generally</w:t>
      </w:r>
      <w:r>
        <w:t xml:space="preserve"> </w:t>
      </w:r>
      <w:r>
        <w:t xml:space="preserve">entails the bank’s inability to repay its debts). This may give rise to a situation where a</w:t>
      </w:r>
      <w:r>
        <w:t xml:space="preserve"> </w:t>
      </w:r>
      <w:r>
        <w:t xml:space="preserve">failing bank for which there is no public interest in using resolution, can also not be</w:t>
      </w:r>
      <w:r>
        <w:t xml:space="preserve"> </w:t>
      </w:r>
      <w:r>
        <w:t xml:space="preserve">placed in insolvency because the trigger to initiate the proceedings is not met. This can</w:t>
      </w:r>
      <w:r>
        <w:t xml:space="preserve"> </w:t>
      </w:r>
      <w:r>
        <w:t xml:space="preserve">happen, for example, when a bank is declared FOLF based on a likelihood of breach of</w:t>
      </w:r>
      <w:r>
        <w:t xml:space="preserve"> </w:t>
      </w:r>
      <w:r>
        <w:t xml:space="preserve">capital requirements, without the bank being in actual breach or insolvent yet.</w:t>
      </w:r>
      <w:r>
        <w:br/>
      </w:r>
      <w:r>
        <w:t xml:space="preserve">To address this potential “limbo” situation, the 2019 Banking Package introduced</w:t>
      </w:r>
      <w:r>
        <w:t xml:space="preserve"> </w:t>
      </w:r>
      <w:r>
        <w:t xml:space="preserve">Article 32b BRRD, requiring Member States to ensure the orderly winding up in</w:t>
      </w:r>
      <w:r>
        <w:t xml:space="preserve"> </w:t>
      </w:r>
      <w:r>
        <w:t xml:space="preserve">accordance with the applicable national law of failing banks, which cannot be resolved</w:t>
      </w:r>
      <w:r>
        <w:t xml:space="preserve"> </w:t>
      </w:r>
      <w:r>
        <w:t xml:space="preserve">due to negative PIA. However, the implementation of this article in the national legal</w:t>
      </w:r>
      <w:r>
        <w:t xml:space="preserve"> </w:t>
      </w:r>
      <w:r>
        <w:t xml:space="preserve">framework in the current form seems insufficient to address all residual risks of standstill</w:t>
      </w:r>
      <w:r>
        <w:t xml:space="preserve"> </w:t>
      </w:r>
      <w:r>
        <w:t xml:space="preserve">situations. In particular, there is still uncertainty as to what the concept of “winding up in</w:t>
      </w:r>
      <w:r>
        <w:t xml:space="preserve"> </w:t>
      </w:r>
      <w:r>
        <w:t xml:space="preserve">accordance with national law” entails, and whether it requires the exit of the bank from</w:t>
      </w:r>
      <w:r>
        <w:t xml:space="preserve"> </w:t>
      </w:r>
      <w:r>
        <w:t xml:space="preserve">the market and within which timeframe. Due to the variety of actions that can be taken</w:t>
      </w:r>
      <w:r>
        <w:t xml:space="preserve"> </w:t>
      </w:r>
      <w:r>
        <w:t xml:space="preserve">under national rules, the winding up of banks across the EU may lead to a long period of</w:t>
      </w:r>
      <w:r>
        <w:t xml:space="preserve"> </w:t>
      </w:r>
      <w:r>
        <w:t xml:space="preserve">restructuring during which the bank continues operating. There is, therefore,</w:t>
      </w:r>
      <w:r>
        <w:t xml:space="preserve"> </w:t>
      </w:r>
      <w:r>
        <w:t xml:space="preserve">inconsistency and uncertainty across Member States regarding managing banks that are</w:t>
      </w:r>
      <w:r>
        <w:t xml:space="preserve"> </w:t>
      </w:r>
      <w:r>
        <w:t xml:space="preserve">not resolved.</w:t>
      </w:r>
      <w:r>
        <w:t xml:space="preserve"> </w:t>
      </w:r>
      <w:r>
        <w:t xml:space="preserve">BRRD II partly addressed this issue by introducing a provision (Article 32b) which</w:t>
      </w:r>
      <w:r>
        <w:t xml:space="preserve"> </w:t>
      </w:r>
      <w:r>
        <w:t xml:space="preserve">requires that, in the event of FOLF with no public interest, a bank must be wound down</w:t>
      </w:r>
      <w:r>
        <w:t xml:space="preserve"> </w:t>
      </w:r>
      <w:r>
        <w:t xml:space="preserve">according to the procedure available under national laws. This provision still leaves a</w:t>
      </w:r>
      <w:r>
        <w:t xml:space="preserve"> </w:t>
      </w:r>
      <w:r>
        <w:t xml:space="preserve">margin of uncertainty as to which procedure should apply in these cases, and particularly</w:t>
      </w:r>
      <w:r>
        <w:t xml:space="preserve"> </w:t>
      </w:r>
      <w:r>
        <w:t xml:space="preserve">whether only insolvency laws (or at least and namely procedures labelled as “national</w:t>
      </w:r>
      <w:r>
        <w:t xml:space="preserve"> </w:t>
      </w:r>
      <w:r>
        <w:t xml:space="preserve">insolvency proceedings” under BRRD) should apply – or all the national procedures</w:t>
      </w:r>
      <w:r>
        <w:t xml:space="preserve"> </w:t>
      </w:r>
      <w:r>
        <w:t xml:space="preserve">available are acceptable – and what the wording “winding up” exactly entails. At the</w:t>
      </w:r>
      <w:r>
        <w:t xml:space="preserve"> </w:t>
      </w:r>
      <w:r>
        <w:t xml:space="preserve">same time, it should be observed that the choice to use the open language contained in</w:t>
      </w:r>
    </w:p>
    <w:p>
      <w:pPr>
        <w:pStyle w:val="BodyText"/>
      </w:pPr>
      <w:r>
        <w:t xml:space="preserve">339</w:t>
      </w:r>
      <w:r>
        <w:t xml:space="preserve"> </w:t>
      </w:r>
      <w:r>
        <w:t xml:space="preserve">the provision was the result of a specific decision in the course of the negotiation</w:t>
      </w:r>
      <w:r>
        <w:t xml:space="preserve"> </w:t>
      </w:r>
      <w:r>
        <w:t xml:space="preserve">between co-legislators, to avoid excessively limiting the avenues available at national</w:t>
      </w:r>
      <w:r>
        <w:t xml:space="preserve"> </w:t>
      </w:r>
      <w:r>
        <w:t xml:space="preserve">level and avoid a harmonisation of the existing procedures.</w:t>
      </w:r>
      <w:r>
        <w:t xml:space="preserve"> </w:t>
      </w:r>
      <w:r>
        <w:t xml:space="preserve">Three options were considered:</w:t>
      </w:r>
      <w:r>
        <w:br/>
      </w:r>
      <w:r>
        <w:t xml:space="preserve"> the baseline option i.e. keeping the current legislative provision allowing for</w:t>
      </w:r>
      <w:r>
        <w:t xml:space="preserve"> </w:t>
      </w:r>
      <w:r>
        <w:t xml:space="preserve">substantial margin for available solutions at national level;</w:t>
      </w:r>
      <w:r>
        <w:t xml:space="preserve"> </w:t>
      </w:r>
      <w:r>
        <w:t xml:space="preserve"> Establishing an automatic correspondence in the law between the conditions</w:t>
      </w:r>
      <w:r>
        <w:t xml:space="preserve"> </w:t>
      </w:r>
      <w:r>
        <w:t xml:space="preserve">which can justify a FOLF determination and the triggers for insolvency in</w:t>
      </w:r>
      <w:r>
        <w:t xml:space="preserve"> </w:t>
      </w:r>
      <w:r>
        <w:t xml:space="preserve">national law;</w:t>
      </w:r>
      <w:r>
        <w:t xml:space="preserve"> </w:t>
      </w:r>
      <w:r>
        <w:t xml:space="preserve"> Providing further framing to the existing provisions, and particularly to</w:t>
      </w:r>
      <w:r>
        <w:t xml:space="preserve"> </w:t>
      </w:r>
      <w:r>
        <w:t xml:space="preserve">Article 32b, while maintaining a degree of diversification in the procedures</w:t>
      </w:r>
      <w:r>
        <w:t xml:space="preserve"> </w:t>
      </w:r>
      <w:r>
        <w:t xml:space="preserve">available at national level.</w:t>
      </w:r>
      <w:r>
        <w:t xml:space="preserve"> </w:t>
      </w:r>
      <w:r>
        <w:t xml:space="preserve">A first available solution would be to retain the legislative text in its current form,</w:t>
      </w:r>
      <w:r>
        <w:t xml:space="preserve"> </w:t>
      </w:r>
      <w:r>
        <w:t xml:space="preserve">leaving substantial margin for available solutions at national level. This would avoid a</w:t>
      </w:r>
      <w:r>
        <w:t xml:space="preserve"> </w:t>
      </w:r>
      <w:r>
        <w:t xml:space="preserve">risk of unwanted limitations, and would in particular allow solutions at national level,</w:t>
      </w:r>
      <w:r>
        <w:t xml:space="preserve"> </w:t>
      </w:r>
      <w:r>
        <w:t xml:space="preserve">which can be beneficial in preserving the bank’s value (e.g. through restructuring or sale</w:t>
      </w:r>
      <w:r>
        <w:t xml:space="preserve"> </w:t>
      </w:r>
      <w:r>
        <w:t xml:space="preserve">measures), as well as avoid a disorderly liquidation procedure, which may cause</w:t>
      </w:r>
      <w:r>
        <w:t xml:space="preserve"> </w:t>
      </w:r>
      <w:r>
        <w:t xml:space="preserve">disruptions in the market or loss of value. At the same time, this avenue would do little in</w:t>
      </w:r>
      <w:r>
        <w:t xml:space="preserve"> </w:t>
      </w:r>
      <w:r>
        <w:t xml:space="preserve">improving clarity and would still maintain uncertainty as to the outcome of such</w:t>
      </w:r>
      <w:r>
        <w:t xml:space="preserve"> </w:t>
      </w:r>
      <w:r>
        <w:t xml:space="preserve">procedures. For example, it cannot be excluded that, in some cases, it would lead to very</w:t>
      </w:r>
      <w:r>
        <w:t xml:space="preserve"> </w:t>
      </w:r>
      <w:r>
        <w:t xml:space="preserve">long periods of restructuring, which do not necessarily improve the viability of the bank,</w:t>
      </w:r>
      <w:r>
        <w:t xml:space="preserve"> </w:t>
      </w:r>
      <w:r>
        <w:t xml:space="preserve">before a decision is taken on forcing a bank’s exit from the market. This option was</w:t>
      </w:r>
      <w:r>
        <w:t xml:space="preserve"> </w:t>
      </w:r>
      <w:r>
        <w:t xml:space="preserve">therefore discarded.</w:t>
      </w:r>
      <w:r>
        <w:t xml:space="preserve"> </w:t>
      </w:r>
      <w:r>
        <w:t xml:space="preserve">A second possibility would be to establish in the law an automatic correspondence</w:t>
      </w:r>
      <w:r>
        <w:t xml:space="preserve"> </w:t>
      </w:r>
      <w:r>
        <w:t xml:space="preserve">between FOLF triggers and insolvency triggers. This would ensure complete clarity and</w:t>
      </w:r>
      <w:r>
        <w:t xml:space="preserve"> </w:t>
      </w:r>
      <w:r>
        <w:t xml:space="preserve">predictability and would guarantee that if, resolution does not follow a FOLF declaration,</w:t>
      </w:r>
      <w:r>
        <w:t xml:space="preserve"> </w:t>
      </w:r>
      <w:r>
        <w:t xml:space="preserve">an insolvency proceeding according to national laws would instead take place and the</w:t>
      </w:r>
      <w:r>
        <w:t xml:space="preserve"> </w:t>
      </w:r>
      <w:r>
        <w:t xml:space="preserve">bank would exit the market. However, this option has the disadvantage of limiting</w:t>
      </w:r>
      <w:r>
        <w:t xml:space="preserve"> </w:t>
      </w:r>
      <w:r>
        <w:t xml:space="preserve">substantially the available measures under national law. A number of viable procedures</w:t>
      </w:r>
      <w:r>
        <w:t xml:space="preserve"> </w:t>
      </w:r>
      <w:r>
        <w:t xml:space="preserve">are not qualified as insolvency in the narrow sense, as they do not entail the immediate</w:t>
      </w:r>
      <w:r>
        <w:t xml:space="preserve"> </w:t>
      </w:r>
      <w:r>
        <w:t xml:space="preserve">closure of the bank’s business and its liquidation or sale, but allow other intermediate</w:t>
      </w:r>
      <w:r>
        <w:t xml:space="preserve"> </w:t>
      </w:r>
      <w:r>
        <w:t xml:space="preserve">steps to be taken, for example a period of restructuring to avoid insolvency or to look for</w:t>
      </w:r>
      <w:r>
        <w:t xml:space="preserve"> </w:t>
      </w:r>
      <w:r>
        <w:t xml:space="preserve">potential buyers. Also, this option would require some relevant changes to national</w:t>
      </w:r>
      <w:r>
        <w:t xml:space="preserve"> </w:t>
      </w:r>
      <w:r>
        <w:t xml:space="preserve">insolvency laws, particularly with respect to the triggers to initiate the insolvency</w:t>
      </w:r>
      <w:r>
        <w:t xml:space="preserve"> </w:t>
      </w:r>
      <w:r>
        <w:t xml:space="preserve">procedures. This is challenging in practice and in some cases not possible under national</w:t>
      </w:r>
      <w:r>
        <w:t xml:space="preserve"> </w:t>
      </w:r>
      <w:r>
        <w:t xml:space="preserve">laws, as it would require the competent insolvency authority (in many cases a court) to</w:t>
      </w:r>
      <w:r>
        <w:t xml:space="preserve"> </w:t>
      </w:r>
      <w:r>
        <w:t xml:space="preserve">act on the basis of prospective assessments of the bank’s situation carried out by a</w:t>
      </w:r>
      <w:r>
        <w:t xml:space="preserve"> </w:t>
      </w:r>
      <w:r>
        <w:t xml:space="preserve">supervisor. This is not legally or constitutionally feasible in many Member States. The</w:t>
      </w:r>
      <w:r>
        <w:t xml:space="preserve"> </w:t>
      </w:r>
      <w:r>
        <w:t xml:space="preserve">non-desirability of this solution was also confirmed in the context of the discussion in the</w:t>
      </w:r>
      <w:r>
        <w:t xml:space="preserve"> </w:t>
      </w:r>
      <w:r>
        <w:t xml:space="preserve">CWP under the German Presidency523. As such, this option was discarded.</w:t>
      </w:r>
    </w:p>
    <w:p>
      <w:pPr>
        <w:pStyle w:val="BodyText"/>
      </w:pPr>
      <w:r>
        <w:t xml:space="preserve">523 European Council (November 2020), German Presidency progress report on strengthening the</w:t>
      </w:r>
      <w:r>
        <w:t xml:space="preserve"> </w:t>
      </w:r>
      <w:r>
        <w:t xml:space="preserve">Banking Union.</w:t>
      </w:r>
    </w:p>
    <w:p>
      <w:pPr>
        <w:pStyle w:val="BodyText"/>
      </w:pPr>
      <w:r>
        <w:t xml:space="preserve">340</w:t>
      </w:r>
      <w:r>
        <w:t xml:space="preserve"> </w:t>
      </w:r>
      <w:r>
        <w:t xml:space="preserve">The third and retained option524 in this respect is to provide further framing and</w:t>
      </w:r>
      <w:r>
        <w:t xml:space="preserve"> </w:t>
      </w:r>
      <w:r>
        <w:t xml:space="preserve">clarifications as to the functioning and consequences of Article 32b BRRD. This would</w:t>
      </w:r>
      <w:r>
        <w:t xml:space="preserve"> </w:t>
      </w:r>
      <w:r>
        <w:t xml:space="preserve">entail, in particular, a set of clarifications and additional elements on the concept of</w:t>
      </w:r>
      <w:r>
        <w:t xml:space="preserve"> </w:t>
      </w:r>
      <w:r>
        <w:t xml:space="preserve">“winding up under the applicable national law” contained in this provision. The objective</w:t>
      </w:r>
      <w:r>
        <w:t xml:space="preserve"> </w:t>
      </w:r>
      <w:r>
        <w:t xml:space="preserve">of these clarifications is to ensure that such procedures lead to the market exit of the</w:t>
      </w:r>
      <w:r>
        <w:t xml:space="preserve"> </w:t>
      </w:r>
      <w:r>
        <w:t xml:space="preserve">bank. It is acceptable to leave a margin at national level as to how this market exit should</w:t>
      </w:r>
      <w:r>
        <w:t xml:space="preserve"> </w:t>
      </w:r>
      <w:r>
        <w:t xml:space="preserve">occur (i.e., whether through a sale or otherwise). However, clarity on the need to produce</w:t>
      </w:r>
      <w:r>
        <w:t xml:space="preserve"> </w:t>
      </w:r>
      <w:r>
        <w:t xml:space="preserve">this outcome, and possibly a clearer reference to a time frame for the exit, would improve</w:t>
      </w:r>
      <w:r>
        <w:t xml:space="preserve"> </w:t>
      </w:r>
      <w:r>
        <w:t xml:space="preserve">clarity and certainty and reduce the possibility of standstill situations. In this context, it is</w:t>
      </w:r>
      <w:r>
        <w:t xml:space="preserve"> </w:t>
      </w:r>
      <w:r>
        <w:t xml:space="preserve">also appropriate to further enhance the role of the withdrawal of the bank’s license when</w:t>
      </w:r>
      <w:r>
        <w:t xml:space="preserve"> </w:t>
      </w:r>
      <w:r>
        <w:t xml:space="preserve">FOLF is declared and no resolution ensues. Further clarity on the interactions between</w:t>
      </w:r>
      <w:r>
        <w:t xml:space="preserve"> </w:t>
      </w:r>
      <w:r>
        <w:t xml:space="preserve">the FOLF determination and the withdrawal of the license by the supervisor, and, to the</w:t>
      </w:r>
      <w:r>
        <w:t xml:space="preserve"> </w:t>
      </w:r>
      <w:r>
        <w:t xml:space="preserve">extent possible, a better framing of how this power should be exercised, would improve</w:t>
      </w:r>
      <w:r>
        <w:t xml:space="preserve"> </w:t>
      </w:r>
      <w:r>
        <w:t xml:space="preserve">the functioning of the framework in this respect. It is important, in particular, to ensure</w:t>
      </w:r>
      <w:r>
        <w:t xml:space="preserve"> </w:t>
      </w:r>
      <w:r>
        <w:t xml:space="preserve">that the supervisor can withdraw the license in all cases in which a bank has been</w:t>
      </w:r>
      <w:r>
        <w:t xml:space="preserve"> </w:t>
      </w:r>
      <w:r>
        <w:t xml:space="preserve">declared FOLF.</w:t>
      </w:r>
      <w:r>
        <w:t xml:space="preserve"> </w:t>
      </w:r>
      <w:r>
        <w:t xml:space="preserve">7.</w:t>
      </w:r>
      <w:r>
        <w:t xml:space="preserve"> </w:t>
      </w:r>
      <w:r>
        <w:t xml:space="preserve">DGS BRIDGE TO 8% TOLF FOR TRANSFER STRATEGIES</w:t>
      </w:r>
      <w:r>
        <w:t xml:space="preserve"> </w:t>
      </w:r>
      <w:r>
        <w:t xml:space="preserve">The policy options described in Chapter 6 of the impact assessment allow the DGS to</w:t>
      </w:r>
      <w:r>
        <w:t xml:space="preserve"> </w:t>
      </w:r>
      <w:r>
        <w:t xml:space="preserve">facilitate the transfer of deposits, including by providing a bridge to meet the access</w:t>
      </w:r>
      <w:r>
        <w:t xml:space="preserve"> </w:t>
      </w:r>
      <w:r>
        <w:t xml:space="preserve">conditions for the RF/SRF. Figure 32 illustrates different stylised scenarios525 to</w:t>
      </w:r>
      <w:r>
        <w:t xml:space="preserve"> </w:t>
      </w:r>
      <w:r>
        <w:t xml:space="preserve">visualise who would pay and who would be protected. The limit to the amount of the</w:t>
      </w:r>
      <w:r>
        <w:t xml:space="preserve"> </w:t>
      </w:r>
      <w:r>
        <w:t xml:space="preserve">intervention of the DGS and the conditions for the SRF to cover depositors vary</w:t>
      </w:r>
      <w:r>
        <w:t xml:space="preserve"> </w:t>
      </w:r>
      <w:r>
        <w:t xml:space="preserve">depending on the option in the IA.</w:t>
      </w:r>
      <w:r>
        <w:t xml:space="preserve"> </w:t>
      </w:r>
      <w:r>
        <w:t xml:space="preserve">Under scenario 1, the bank’s internal loss absorption capacity would suffice to reach the</w:t>
      </w:r>
      <w:r>
        <w:t xml:space="preserve"> </w:t>
      </w:r>
      <w:r>
        <w:t xml:space="preserve">8% TLOF threshold and access the RF/SRF. In this case, the SRF is available and the</w:t>
      </w:r>
      <w:r>
        <w:t xml:space="preserve"> </w:t>
      </w:r>
      <w:r>
        <w:t xml:space="preserve">DGS may also be potentially available.</w:t>
      </w:r>
      <w:r>
        <w:br/>
      </w:r>
      <w:r>
        <w:t xml:space="preserve">Scenarios 2-5 show different cases, where the internal loss absorption capacity of the</w:t>
      </w:r>
      <w:r>
        <w:t xml:space="preserve"> </w:t>
      </w:r>
      <w:r>
        <w:t xml:space="preserve">bank is not sufficient to reach the 8% TLOF threshold. In those scenarios, depositors may</w:t>
      </w:r>
      <w:r>
        <w:t xml:space="preserve"> </w:t>
      </w:r>
      <w:r>
        <w:t xml:space="preserve">need to suffer losses in order to access financing by the RF/SRF under the current rules.</w:t>
      </w:r>
      <w:r>
        <w:t xml:space="preserve"> </w:t>
      </w:r>
      <w:r>
        <w:t xml:space="preserve">This could be avoided by allowing the DGS to shield depositors (not only covered) from</w:t>
      </w:r>
      <w:r>
        <w:t xml:space="preserve"> </w:t>
      </w:r>
      <w:r>
        <w:t xml:space="preserve">such losses.</w:t>
      </w:r>
      <w:r>
        <w:br/>
      </w:r>
      <w:r>
        <w:t xml:space="preserve">Under scenario 2, the LCT would allow the DGS to contribute exactly the amount</w:t>
      </w:r>
      <w:r>
        <w:t xml:space="preserve"> </w:t>
      </w:r>
      <w:r>
        <w:t xml:space="preserve">sufficient to reach the access conditions for the SRF. Once the DGS has contributed such</w:t>
      </w:r>
      <w:r>
        <w:t xml:space="preserve"> </w:t>
      </w:r>
      <w:r>
        <w:t xml:space="preserve">an amount, the SRF intervenes in addition to the DGS, given that the DGS contribution</w:t>
      </w:r>
      <w:r>
        <w:t xml:space="preserve"> </w:t>
      </w:r>
      <w:r>
        <w:t xml:space="preserve">alone is still not sufficient to cover all the losses accumulated.</w:t>
      </w:r>
      <w:r>
        <w:br/>
      </w:r>
      <w:r>
        <w:t xml:space="preserve">Under scenario 3, DGS would only cover part of the gap between the assets and the</w:t>
      </w:r>
      <w:r>
        <w:t xml:space="preserve"> </w:t>
      </w:r>
      <w:r>
        <w:t xml:space="preserve">deposits transferred, as the LCT would not allow for more. The other part of the gap</w:t>
      </w:r>
      <w:r>
        <w:t xml:space="preserve"> </w:t>
      </w:r>
      <w:r>
        <w:t xml:space="preserve">would have to be covered by the resolution fund.</w:t>
      </w:r>
    </w:p>
    <w:p>
      <w:pPr>
        <w:pStyle w:val="BodyText"/>
      </w:pPr>
      <w:r>
        <w:t xml:space="preserve">524 This option was supported by the majority of member in the Commission expert group (EGBPI).</w:t>
      </w:r>
      <w:r>
        <w:t xml:space="preserve"> </w:t>
      </w:r>
      <w:r>
        <w:t xml:space="preserve">525 A variety of other scenarios are possible.</w:t>
      </w:r>
    </w:p>
    <w:p>
      <w:pPr>
        <w:pStyle w:val="BodyText"/>
      </w:pPr>
      <w:r>
        <w:t xml:space="preserve">341</w:t>
      </w:r>
      <w:r>
        <w:t xml:space="preserve"> </w:t>
      </w:r>
      <w:r>
        <w:t xml:space="preserve">Under scenario 4, the amount provided by the DGS would be lower than what the LCT</w:t>
      </w:r>
      <w:r>
        <w:t xml:space="preserve"> </w:t>
      </w:r>
      <w:r>
        <w:t xml:space="preserve">would allow for, however this would be sufficient to reach 8% TLOF.</w:t>
      </w:r>
      <w:r>
        <w:br/>
      </w:r>
      <w:r>
        <w:t xml:space="preserve">Under scenario 5, to protect deposits from bearing losses, the DGS would intervene but</w:t>
      </w:r>
      <w:r>
        <w:t xml:space="preserve"> </w:t>
      </w:r>
      <w:r>
        <w:t xml:space="preserve">with an amount lower than the one allowed under a positive LCT (no need to get as high</w:t>
      </w:r>
      <w:r>
        <w:t xml:space="preserve"> </w:t>
      </w:r>
      <w:r>
        <w:t xml:space="preserve">as 8% TLOF and access the fund).</w:t>
      </w:r>
      <w:r>
        <w:br/>
      </w:r>
      <w:r>
        <w:t xml:space="preserve">Figure 32: Visual on who pays and who is protected</w:t>
      </w:r>
      <w:r>
        <w:t xml:space="preserve"> </w:t>
      </w:r>
      <w:r>
        <w:t xml:space="preserve">Scenario 1: SRF funding only accessible when</w:t>
      </w:r>
      <w:r>
        <w:t xml:space="preserve"> </w:t>
      </w:r>
      <w:r>
        <w:t xml:space="preserve">loss absorbing capacity reaches 8% TLOF</w:t>
      </w:r>
    </w:p>
    <w:p>
      <w:pPr>
        <w:pStyle w:val="BodyText"/>
      </w:pPr>
      <w:r>
        <w:t xml:space="preserve">Scenario 2: If losses exceed 8% TLOF and loss</w:t>
      </w:r>
      <w:r>
        <w:t xml:space="preserve"> </w:t>
      </w:r>
      <w:r>
        <w:t xml:space="preserve">absorbing capacity is below 8% TLOF, DGS</w:t>
      </w:r>
      <w:r>
        <w:t xml:space="preserve"> </w:t>
      </w:r>
      <w:r>
        <w:t xml:space="preserve">could fill the gap if LCT allows</w:t>
      </w:r>
    </w:p>
    <w:p>
      <w:pPr>
        <w:pStyle w:val="BodyText"/>
      </w:pPr>
      <w:r>
        <w:t xml:space="preserve">342</w:t>
      </w:r>
      <w:r>
        <w:t xml:space="preserve"> </w:t>
      </w:r>
      <w:r>
        <w:t xml:space="preserve">Scenario 3: If losses exceed 8% TLOF and loss</w:t>
      </w:r>
      <w:r>
        <w:t xml:space="preserve"> </w:t>
      </w:r>
      <w:r>
        <w:t xml:space="preserve">absorbing capacity is below 8% TLOF, DGS</w:t>
      </w:r>
      <w:r>
        <w:t xml:space="preserve"> </w:t>
      </w:r>
      <w:r>
        <w:t xml:space="preserve">could fill the gap if LCT allows (LCT &lt;8%)</w:t>
      </w:r>
    </w:p>
    <w:p>
      <w:pPr>
        <w:pStyle w:val="BodyText"/>
      </w:pPr>
      <w:r>
        <w:t xml:space="preserve">Scenario 4: If losses exceed 8% TLOF and loss</w:t>
      </w:r>
      <w:r>
        <w:t xml:space="preserve"> </w:t>
      </w:r>
      <w:r>
        <w:t xml:space="preserve">absorbing capacity is below 8% TLOF, DGS</w:t>
      </w:r>
      <w:r>
        <w:t xml:space="preserve"> </w:t>
      </w:r>
      <w:r>
        <w:t xml:space="preserve">could fill the gap if LCT allows (LCT &gt;8%)</w:t>
      </w:r>
    </w:p>
    <w:p>
      <w:pPr>
        <w:pStyle w:val="BodyText"/>
      </w:pPr>
      <w:r>
        <w:t xml:space="preserve">Scenario 5: If losses are below 8% TLOF and</w:t>
      </w:r>
      <w:r>
        <w:t xml:space="preserve"> </w:t>
      </w:r>
      <w:r>
        <w:t xml:space="preserve">loss absorbing capacity is below 8% TLOF,</w:t>
      </w:r>
      <w:r>
        <w:t xml:space="preserve"> </w:t>
      </w:r>
      <w:r>
        <w:t xml:space="preserve">DGS could fill the gap to loss coverage if LCT</w:t>
      </w:r>
      <w:r>
        <w:t xml:space="preserve"> </w:t>
      </w:r>
      <w:r>
        <w:t xml:space="preserve">allows. No SRF intervention needed.</w:t>
      </w:r>
    </w:p>
    <w:p>
      <w:pPr>
        <w:pStyle w:val="BodyText"/>
      </w:pPr>
      <w:r>
        <w:t xml:space="preserve">Notes: * The amount of deposits which may be exposed to losses to reach 8% TLOF depends on the specific</w:t>
      </w:r>
      <w:r>
        <w:t xml:space="preserve"> </w:t>
      </w:r>
      <w:r>
        <w:t xml:space="preserve">situation at hand, and particularly on the amount of assets that are transferred to a buyer;</w:t>
      </w:r>
      <w:r>
        <w:t xml:space="preserve"> </w:t>
      </w:r>
      <w:r>
        <w:rPr>
          <w:b/>
          <w:bCs/>
        </w:rPr>
        <w:t xml:space="preserve">In scenario 4, SRF</w:t>
      </w:r>
      <w:r>
        <w:rPr>
          <w:b/>
          <w:bCs/>
        </w:rPr>
        <w:t xml:space="preserve"> </w:t>
      </w:r>
      <w:r>
        <w:rPr>
          <w:b/>
          <w:bCs/>
        </w:rPr>
        <w:t xml:space="preserve">is used to shield deposits from losses only if they meet specific requirements;</w:t>
      </w:r>
      <w:r>
        <w:rPr>
          <w:b/>
          <w:bCs/>
        </w:rPr>
        <w:t xml:space="preserve"> </w:t>
      </w:r>
      <w:r>
        <w:t xml:space="preserve">* The amount of DGS funding</w:t>
      </w:r>
      <w:r>
        <w:t xml:space="preserve"> </w:t>
      </w:r>
      <w:r>
        <w:t xml:space="preserve">depends on the scenario. In scenario 2 the whole amount given by the LCT is used (even beyond 8%), in scenario</w:t>
      </w:r>
      <w:r>
        <w:t xml:space="preserve"> </w:t>
      </w:r>
      <w:r>
        <w:t xml:space="preserve">4 the lower between the LCT and 8%.</w:t>
      </w:r>
      <w:r>
        <w:t xml:space="preserve"> </w:t>
      </w:r>
      <w:r>
        <w:t xml:space="preserve">Source: Commission Services</w:t>
      </w:r>
      <w:r>
        <w:t xml:space="preserve"> </w:t>
      </w:r>
      <w:r>
        <w:t xml:space="preserve">8.</w:t>
      </w:r>
      <w:r>
        <w:t xml:space="preserve"> </w:t>
      </w:r>
      <w:r>
        <w:t xml:space="preserve">TREATMENT OF LIQUIDATION ENTITIES IN THE MREL FRAMEWORK</w:t>
      </w:r>
      <w:r>
        <w:t xml:space="preserve"> </w:t>
      </w:r>
      <w:r>
        <w:t xml:space="preserve">Under the MREL framework, resolution authorities are required to adopt a MREL</w:t>
      </w:r>
      <w:r>
        <w:t xml:space="preserve"> </w:t>
      </w:r>
      <w:r>
        <w:t xml:space="preserve">decision for all banks under their remit, regardless of the strategy chosen during</w:t>
      </w:r>
      <w:r>
        <w:t xml:space="preserve"> </w:t>
      </w:r>
      <w:r>
        <w:t xml:space="preserve">resolution planning in case of their failure526. This includes the banks likely to be wound</w:t>
      </w:r>
      <w:r>
        <w:t xml:space="preserve"> </w:t>
      </w:r>
      <w:r>
        <w:t xml:space="preserve">up under normal insolvency proceedings or other equivalent national procedures</w:t>
      </w:r>
      <w:r>
        <w:t xml:space="preserve"> </w:t>
      </w:r>
      <w:r>
        <w:t xml:space="preserve">according to the resolution plan (the so-called “liquidation entities”). As a rule, the</w:t>
      </w:r>
    </w:p>
    <w:p>
      <w:pPr>
        <w:pStyle w:val="BodyText"/>
      </w:pPr>
      <w:r>
        <w:t xml:space="preserve">526 See the reply to question 38 in Commission Notice relating to the interpretation of certain legal</w:t>
      </w:r>
      <w:r>
        <w:t xml:space="preserve"> </w:t>
      </w:r>
      <w:r>
        <w:t xml:space="preserve">provisions of the revised bank resolution framework in reply to questions raised by Member States’</w:t>
      </w:r>
      <w:r>
        <w:t xml:space="preserve"> </w:t>
      </w:r>
      <w:r>
        <w:t xml:space="preserve">authorities (2020/C 321/01).</w:t>
      </w:r>
    </w:p>
    <w:p>
      <w:pPr>
        <w:pStyle w:val="BodyText"/>
      </w:pPr>
      <w:r>
        <w:t xml:space="preserve">343</w:t>
      </w:r>
      <w:r>
        <w:t xml:space="preserve"> </w:t>
      </w:r>
      <w:r>
        <w:t xml:space="preserve">MREL set for liquidation entities does not exceed the loss absorption amount as</w:t>
      </w:r>
      <w:r>
        <w:t xml:space="preserve"> </w:t>
      </w:r>
      <w:r>
        <w:t xml:space="preserve">determined by the applicable minimum capital requirements. There is no additional</w:t>
      </w:r>
      <w:r>
        <w:t xml:space="preserve"> </w:t>
      </w:r>
      <w:r>
        <w:t xml:space="preserve">requirement in terms of the liquidation entities’ liability structure nor any increased loss</w:t>
      </w:r>
      <w:r>
        <w:t xml:space="preserve"> </w:t>
      </w:r>
      <w:r>
        <w:t xml:space="preserve">absorption capacity in comparison to the prudential requirements.</w:t>
      </w:r>
      <w:r>
        <w:t xml:space="preserve"> </w:t>
      </w:r>
      <w:r>
        <w:t xml:space="preserve">While there is no publicly available data on the number of liquidation entities in each</w:t>
      </w:r>
      <w:r>
        <w:t xml:space="preserve"> </w:t>
      </w:r>
      <w:r>
        <w:t xml:space="preserve">Member State in the Banking Union, it can be reasonably expected that a majority of</w:t>
      </w:r>
      <w:r>
        <w:t xml:space="preserve"> </w:t>
      </w:r>
      <w:r>
        <w:t xml:space="preserve">institutions that are not in the direct remit of the SRB would be liquidation entities – even</w:t>
      </w:r>
      <w:r>
        <w:t xml:space="preserve"> </w:t>
      </w:r>
      <w:r>
        <w:t xml:space="preserve">more so in domestic markets characterised by a large number of institutions (often</w:t>
      </w:r>
      <w:r>
        <w:t xml:space="preserve"> </w:t>
      </w:r>
      <w:r>
        <w:t xml:space="preserve">relatively smaller)527.</w:t>
      </w:r>
      <w:r>
        <w:br/>
      </w:r>
      <w:r>
        <w:t xml:space="preserve">This represents a non-negligible administrative burden not just for resolution authorities,</w:t>
      </w:r>
      <w:r>
        <w:t xml:space="preserve"> </w:t>
      </w:r>
      <w:r>
        <w:t xml:space="preserve">who have to issue MREL decisions at least on an annual basis, but also for the affected</w:t>
      </w:r>
      <w:r>
        <w:t xml:space="preserve"> </w:t>
      </w:r>
      <w:r>
        <w:t xml:space="preserve">liquidation entities. While the latter are already excluded from the MREL reporting</w:t>
      </w:r>
      <w:r>
        <w:t xml:space="preserve"> </w:t>
      </w:r>
      <w:r>
        <w:t xml:space="preserve">provided under Article 45i BRRD, they are still expected to monitor compliance with the</w:t>
      </w:r>
      <w:r>
        <w:t xml:space="preserve"> </w:t>
      </w:r>
      <w:r>
        <w:t xml:space="preserve">MREL decision. In terms of distribution of impact, the requirement to adopt MREL</w:t>
      </w:r>
      <w:r>
        <w:t xml:space="preserve"> </w:t>
      </w:r>
      <w:r>
        <w:t xml:space="preserve">decisions and communicate them to banks under liquidation strategies impacts the</w:t>
      </w:r>
      <w:r>
        <w:t xml:space="preserve"> </w:t>
      </w:r>
      <w:r>
        <w:t xml:space="preserve">administrative burden on banks and resolution authorities asymmetrically across Member</w:t>
      </w:r>
      <w:r>
        <w:t xml:space="preserve"> </w:t>
      </w:r>
      <w:r>
        <w:t xml:space="preserve">States, i.e. to a greater extent in Member States with less concentrated banking markets</w:t>
      </w:r>
      <w:r>
        <w:t xml:space="preserve"> </w:t>
      </w:r>
      <w:r>
        <w:t xml:space="preserve">than in Member States with few banks under liquidation strategies. The existence of such</w:t>
      </w:r>
      <w:r>
        <w:t xml:space="preserve"> </w:t>
      </w:r>
      <w:r>
        <w:t xml:space="preserve">a decision also means that liquidation entities are required to obtain prior permission</w:t>
      </w:r>
      <w:r>
        <w:t xml:space="preserve"> </w:t>
      </w:r>
      <w:r>
        <w:t xml:space="preserve">from resolution authorities before calling, redeeming, repaying or repurchasing their</w:t>
      </w:r>
      <w:r>
        <w:t xml:space="preserve"> </w:t>
      </w:r>
      <w:r>
        <w:t xml:space="preserve">eligible liabilities528 and, if they are part of a daisy chain, their own funds and eligible</w:t>
      </w:r>
      <w:r>
        <w:t xml:space="preserve"> </w:t>
      </w:r>
      <w:r>
        <w:t xml:space="preserve">liabilities held by other entities in that daisy chain need to be deducted529.</w:t>
      </w:r>
      <w:r>
        <w:br/>
      </w:r>
      <w:r>
        <w:t xml:space="preserve">Based on the above considerations, the Commission considered the following options:</w:t>
      </w:r>
      <w:r>
        <w:t xml:space="preserve"> </w:t>
      </w:r>
      <w:r>
        <w:t xml:space="preserve"> Maintaining the status quo;</w:t>
      </w:r>
      <w:r>
        <w:t xml:space="preserve"> </w:t>
      </w:r>
      <w:r>
        <w:t xml:space="preserve"> Waiving the obligation to adopt a MREL decision in relation to liquidation</w:t>
      </w:r>
      <w:r>
        <w:t xml:space="preserve"> </w:t>
      </w:r>
      <w:r>
        <w:t xml:space="preserve">entities whose MREL would not exceed the loss absorption amount;</w:t>
      </w:r>
      <w:r>
        <w:t xml:space="preserve"> </w:t>
      </w:r>
      <w:r>
        <w:t xml:space="preserve"> Continue to require the adoption of a MREL decision for these liquidation</w:t>
      </w:r>
      <w:r>
        <w:t xml:space="preserve"> </w:t>
      </w:r>
      <w:r>
        <w:t xml:space="preserve">entities but waiving the need to update them on an annual basis.</w:t>
      </w:r>
      <w:r>
        <w:t xml:space="preserve"> </w:t>
      </w:r>
      <w:r>
        <w:t xml:space="preserve">The first option was discarded as the current MREL framework for liquidation entities</w:t>
      </w:r>
      <w:r>
        <w:t xml:space="preserve"> </w:t>
      </w:r>
      <w:r>
        <w:t xml:space="preserve">does not add value from a resolvability perspective. The third option would alleviate the</w:t>
      </w:r>
      <w:r>
        <w:t xml:space="preserve"> </w:t>
      </w:r>
      <w:r>
        <w:t xml:space="preserve">administrative burden for resolution authorities but only marginally, but not for the</w:t>
      </w:r>
      <w:r>
        <w:t xml:space="preserve"> </w:t>
      </w:r>
      <w:r>
        <w:t xml:space="preserve">institutions themselves, which would still be captured by the rules concerning prior</w:t>
      </w:r>
      <w:r>
        <w:t xml:space="preserve"> </w:t>
      </w:r>
      <w:r>
        <w:t xml:space="preserve">permission and daisy chain deductions and was therefore also discarded.</w:t>
      </w:r>
      <w:r>
        <w:br/>
      </w:r>
      <w:r>
        <w:t xml:space="preserve">Ultimately, the second option was retained, as it was the one most conducive to reducing</w:t>
      </w:r>
      <w:r>
        <w:t xml:space="preserve"> </w:t>
      </w:r>
      <w:r>
        <w:t xml:space="preserve">the regulatory burden for both the concerned entities and the resolution authorities,</w:t>
      </w:r>
      <w:r>
        <w:t xml:space="preserve"> </w:t>
      </w:r>
      <w:r>
        <w:t xml:space="preserve">without affecting the prudential soundness of the framework or the resolvability of the</w:t>
      </w:r>
      <w:r>
        <w:t xml:space="preserve"> </w:t>
      </w:r>
      <w:r>
        <w:t xml:space="preserve">entities or groups. It is also in line with existing provisions of the MREL framework,</w:t>
      </w:r>
    </w:p>
    <w:p>
      <w:pPr>
        <w:pStyle w:val="BodyText"/>
      </w:pPr>
      <w:r>
        <w:t xml:space="preserve">527 According to the SRB’s 2020 Annual Report, the five Member States in the Banking Union with the</w:t>
      </w:r>
      <w:r>
        <w:t xml:space="preserve"> </w:t>
      </w:r>
      <w:r>
        <w:t xml:space="preserve">highest number of LSIs expected to be covered by resolution planning as of 1 January 2020 were: Germany</w:t>
      </w:r>
      <w:r>
        <w:t xml:space="preserve"> </w:t>
      </w:r>
      <w:r>
        <w:t xml:space="preserve">(1 336), Austria (413), Italy (128), France (71) and Spain (55).</w:t>
      </w:r>
      <w:r>
        <w:t xml:space="preserve"> </w:t>
      </w:r>
      <w:r>
        <w:t xml:space="preserve">528 As per Article 78a CRR.</w:t>
      </w:r>
      <w:r>
        <w:t xml:space="preserve"> </w:t>
      </w:r>
      <w:r>
        <w:t xml:space="preserve">529 See the Commission’s ‘quick-fix’ legislative proposal addressing the operationalisation of the indirect</w:t>
      </w:r>
      <w:r>
        <w:t xml:space="preserve"> </w:t>
      </w:r>
      <w:r>
        <w:t xml:space="preserve">issuance of internal MREL instruments within a resolution group (the so-called ‘daisy chain’ deductions).</w:t>
      </w:r>
    </w:p>
    <w:p>
      <w:pPr>
        <w:pStyle w:val="BodyText"/>
      </w:pPr>
      <w:r>
        <w:t xml:space="preserve">344</w:t>
      </w:r>
      <w:r>
        <w:t xml:space="preserve"> </w:t>
      </w:r>
      <w:r>
        <w:t xml:space="preserve">namely the exclusion of liquidation entities from the MREL reporting and from the</w:t>
      </w:r>
      <w:r>
        <w:t xml:space="preserve"> </w:t>
      </w:r>
      <w:r>
        <w:t xml:space="preserve">obligation to include contractual clauses recognising the effects of the bail-in powers in</w:t>
      </w:r>
      <w:r>
        <w:t xml:space="preserve"> </w:t>
      </w:r>
      <w:r>
        <w:t xml:space="preserve">contracts governed by third country laws.</w:t>
      </w:r>
      <w:r>
        <w:br/>
      </w:r>
      <w:r>
        <w:t xml:space="preserve">The obligation on resolution authorities to adopt a decision for those liquidation entities</w:t>
      </w:r>
      <w:r>
        <w:t xml:space="preserve"> </w:t>
      </w:r>
      <w:r>
        <w:t xml:space="preserve">whose MREL exceeds the loss absorption amount is not affected, nor is the requirement</w:t>
      </w:r>
      <w:r>
        <w:t xml:space="preserve"> </w:t>
      </w:r>
      <w:r>
        <w:t xml:space="preserve">to draw up and review resolution plans for all liquidation entities.</w:t>
      </w:r>
      <w:r>
        <w:br/>
      </w:r>
      <w:r>
        <w:t xml:space="preserve">Finally, targeted adjustments are implemented in MREL reporting, introducing a</w:t>
      </w:r>
      <w:r>
        <w:t xml:space="preserve"> </w:t>
      </w:r>
      <w:r>
        <w:t xml:space="preserve">statutory simplified reporting regime for those liquidation entities for whom MREL</w:t>
      </w:r>
      <w:r>
        <w:t xml:space="preserve"> </w:t>
      </w:r>
      <w:r>
        <w:t xml:space="preserve">exceeds the loss absorption amount. This obligation on the concerned liquidation entities</w:t>
      </w:r>
      <w:r>
        <w:t xml:space="preserve"> </w:t>
      </w:r>
      <w:r>
        <w:t xml:space="preserve">is necessary to ensure that resolution authorities are able to monitor compliance with</w:t>
      </w:r>
      <w:r>
        <w:t xml:space="preserve"> </w:t>
      </w:r>
      <w:r>
        <w:t xml:space="preserve">MREL. It is also understood that resolution authorities already envisage ad hoc reporting</w:t>
      </w:r>
      <w:r>
        <w:t xml:space="preserve"> </w:t>
      </w:r>
      <w:r>
        <w:t xml:space="preserve">requests in these situations. Therefore, this change will not represent much additional</w:t>
      </w:r>
      <w:r>
        <w:t xml:space="preserve"> </w:t>
      </w:r>
      <w:r>
        <w:t xml:space="preserve">burden on the sector, also considering that only a few liquidation entities actually have</w:t>
      </w:r>
      <w:r>
        <w:t xml:space="preserve"> </w:t>
      </w:r>
      <w:r>
        <w:t xml:space="preserve">MREL set at a level above the loss absorption amount, while at the same time ensuring a</w:t>
      </w:r>
      <w:r>
        <w:t xml:space="preserve"> </w:t>
      </w:r>
      <w:r>
        <w:t xml:space="preserve">harmonised and coherent treatment of liquidation entities across the EU.</w:t>
      </w:r>
      <w:r>
        <w:t xml:space="preserve"> </w:t>
      </w:r>
      <w:r>
        <w:t xml:space="preserve">9.</w:t>
      </w:r>
      <w:r>
        <w:t xml:space="preserve"> </w:t>
      </w:r>
      <w:r>
        <w:t xml:space="preserve">OTHER POTENTIAL TOPICS TO BE ADDRESSED IN THE REVIEW</w:t>
      </w:r>
      <w:r>
        <w:t xml:space="preserve"> </w:t>
      </w:r>
      <w:r>
        <w:t xml:space="preserve">In the following, some additional amendments of technical nature which are expected to</w:t>
      </w:r>
      <w:r>
        <w:t xml:space="preserve"> </w:t>
      </w:r>
      <w:r>
        <w:t xml:space="preserve">require a reflection as part of the potential changes in the CMDI reform are briefly</w:t>
      </w:r>
      <w:r>
        <w:t xml:space="preserve"> </w:t>
      </w:r>
      <w:r>
        <w:t xml:space="preserve">presented.</w:t>
      </w:r>
      <w:r>
        <w:t xml:space="preserve"> </w:t>
      </w:r>
      <w:r>
        <w:t xml:space="preserve">Precautionary measures under BRRD</w:t>
      </w:r>
      <w:r>
        <w:t xml:space="preserve"> </w:t>
      </w:r>
      <w:r>
        <w:t xml:space="preserve">BRRD provides for a set of precautionary measures (in the form of recapitalisation or</w:t>
      </w:r>
      <w:r>
        <w:t xml:space="preserve"> </w:t>
      </w:r>
      <w:r>
        <w:t xml:space="preserve">guarantees/liquidity) which can be granted to solvent banks to address issues identified in</w:t>
      </w:r>
      <w:r>
        <w:t xml:space="preserve"> </w:t>
      </w:r>
      <w:r>
        <w:t xml:space="preserve">a stress test or equivalent exercise. BRRD provides for strict conditions and safeguards to</w:t>
      </w:r>
      <w:r>
        <w:t xml:space="preserve"> </w:t>
      </w:r>
      <w:r>
        <w:t xml:space="preserve">grant support in this form, to ensure that the support does not benefit a bank that is too</w:t>
      </w:r>
      <w:r>
        <w:t xml:space="preserve"> </w:t>
      </w:r>
      <w:r>
        <w:t xml:space="preserve">close to failure and to avoid (for precautionary recapitalisation) that the support is used to</w:t>
      </w:r>
      <w:r>
        <w:t xml:space="preserve"> </w:t>
      </w:r>
      <w:r>
        <w:t xml:space="preserve">cover losses that were already incurred by the bank or are likely to be incurred.</w:t>
      </w:r>
      <w:r>
        <w:t xml:space="preserve"> </w:t>
      </w:r>
      <w:r>
        <w:t xml:space="preserve">Past practice in the application of these measures has provided the opportunity for the</w:t>
      </w:r>
      <w:r>
        <w:t xml:space="preserve"> </w:t>
      </w:r>
      <w:r>
        <w:t xml:space="preserve">Commission to identify issues which may require an interpretive effort and to clarify</w:t>
      </w:r>
      <w:r>
        <w:t xml:space="preserve"> </w:t>
      </w:r>
      <w:r>
        <w:t xml:space="preserve">them as part of its practice530. In order to ensure further clarity of the legislative text and</w:t>
      </w:r>
      <w:r>
        <w:t xml:space="preserve"> </w:t>
      </w:r>
      <w:r>
        <w:t xml:space="preserve">improve the legislation, there is scope to integrate some of the lessons learnt in the</w:t>
      </w:r>
      <w:r>
        <w:t xml:space="preserve"> </w:t>
      </w:r>
      <w:r>
        <w:t xml:space="preserve">relevant provisions.</w:t>
      </w:r>
      <w:r>
        <w:t xml:space="preserve"> </w:t>
      </w:r>
      <w:r>
        <w:t xml:space="preserve">Potential clarifications in this respect can include considerations on the concept of</w:t>
      </w:r>
      <w:r>
        <w:t xml:space="preserve"> </w:t>
      </w:r>
      <w:r>
        <w:t xml:space="preserve">solvency, as well as the determination of the amount of support allowed, particularly</w:t>
      </w:r>
      <w:r>
        <w:t xml:space="preserve"> </w:t>
      </w:r>
      <w:r>
        <w:t xml:space="preserve">with respect to the distinction between incurred, likely and unlikely losses. Furthermore,</w:t>
      </w:r>
      <w:r>
        <w:t xml:space="preserve"> </w:t>
      </w:r>
      <w:r>
        <w:t xml:space="preserve">the legislative text could benefit from additional clarity as to the use of precautionary</w:t>
      </w:r>
      <w:r>
        <w:t xml:space="preserve"> </w:t>
      </w:r>
      <w:r>
        <w:t xml:space="preserve">recapitalisation to support impaired asset measures (such as the transfer of impaired</w:t>
      </w:r>
      <w:r>
        <w:t xml:space="preserve"> </w:t>
      </w:r>
      <w:r>
        <w:t xml:space="preserve">assets to an Asset Management Company). This possibility was already confirmed by the</w:t>
      </w:r>
    </w:p>
    <w:p>
      <w:pPr>
        <w:pStyle w:val="BodyText"/>
      </w:pPr>
      <w:r>
        <w:t xml:space="preserve">530 See also Chapter 2, section 2.1.1 for a problem analysis.</w:t>
      </w:r>
    </w:p>
    <w:p>
      <w:pPr>
        <w:pStyle w:val="BodyText"/>
      </w:pPr>
      <w:r>
        <w:t xml:space="preserve">345</w:t>
      </w:r>
      <w:r>
        <w:t xml:space="preserve"> </w:t>
      </w:r>
      <w:r>
        <w:t xml:space="preserve">Commission, subject to strict conditions, in the AMC blueprint531 but a specific reference</w:t>
      </w:r>
      <w:r>
        <w:t xml:space="preserve"> </w:t>
      </w:r>
      <w:r>
        <w:t xml:space="preserve">in the legislative text could provide further certainty in this respect.</w:t>
      </w:r>
      <w:r>
        <w:t xml:space="preserve"> </w:t>
      </w:r>
      <w:r>
        <w:t xml:space="preserve">Access condition to RF/SRF for liquidity provision</w:t>
      </w:r>
      <w:r>
        <w:t xml:space="preserve"> </w:t>
      </w:r>
      <w:r>
        <w:t xml:space="preserve">The framework is currently ambiguous regarding the condition to access the RF/SRF for</w:t>
      </w:r>
      <w:r>
        <w:t xml:space="preserve"> </w:t>
      </w:r>
      <w:r>
        <w:t xml:space="preserve">providing liquidity to a bank in resolution, creating legal uncertainty. The current legal</w:t>
      </w:r>
      <w:r>
        <w:t xml:space="preserve"> </w:t>
      </w:r>
      <w:r>
        <w:t xml:space="preserve">interpretation stemming from past cases is that the RF/SRF could be tapped for liquidity</w:t>
      </w:r>
      <w:r>
        <w:t xml:space="preserve"> </w:t>
      </w:r>
      <w:r>
        <w:t xml:space="preserve">provision without the 8% TLOF minimum bail-in condition. The current initiative aims</w:t>
      </w:r>
      <w:r>
        <w:t xml:space="preserve"> </w:t>
      </w:r>
      <w:r>
        <w:t xml:space="preserve">to clarify that in the legal text, which would improve the legal certainty of the</w:t>
      </w:r>
      <w:r>
        <w:t xml:space="preserve"> </w:t>
      </w:r>
      <w:r>
        <w:t xml:space="preserve">framework.</w:t>
      </w:r>
      <w:r>
        <w:br/>
      </w:r>
      <w:r>
        <w:t xml:space="preserve">Treatment of contingent liabilities in bail-in</w:t>
      </w:r>
      <w:r>
        <w:t xml:space="preserve"> </w:t>
      </w:r>
      <w:r>
        <w:t xml:space="preserve">In general terms, liabilities are considered as contingent when they are recorded against</w:t>
      </w:r>
      <w:r>
        <w:t xml:space="preserve"> </w:t>
      </w:r>
      <w:r>
        <w:t xml:space="preserve">an event which is not certain and may occur at some point in the future. There can be</w:t>
      </w:r>
      <w:r>
        <w:t xml:space="preserve"> </w:t>
      </w:r>
      <w:r>
        <w:t xml:space="preserve">several instances which generate a contingent liability, ranging from guarantees (only</w:t>
      </w:r>
      <w:r>
        <w:t xml:space="preserve"> </w:t>
      </w:r>
      <w:r>
        <w:t xml:space="preserve">activated if the underlying event occurs) to liabilities connected to potential legal claims</w:t>
      </w:r>
      <w:r>
        <w:t xml:space="preserve"> </w:t>
      </w:r>
      <w:r>
        <w:t xml:space="preserve">(which come into existence and are quantified only once a judgement confirms an</w:t>
      </w:r>
      <w:r>
        <w:t xml:space="preserve"> </w:t>
      </w:r>
      <w:r>
        <w:t xml:space="preserve">underlying obligation).</w:t>
      </w:r>
      <w:r>
        <w:t xml:space="preserve"> </w:t>
      </w:r>
      <w:r>
        <w:t xml:space="preserve">From a resolution perspective, contingent liabilities become relevant when it comes to</w:t>
      </w:r>
      <w:r>
        <w:t xml:space="preserve"> </w:t>
      </w:r>
      <w:r>
        <w:t xml:space="preserve">their bail-inability. The BRRD currently does not provide specific rules to address</w:t>
      </w:r>
      <w:r>
        <w:t xml:space="preserve"> </w:t>
      </w:r>
      <w:r>
        <w:t xml:space="preserve">contingent liabilities in this context. This circumstance had the potential of creating</w:t>
      </w:r>
      <w:r>
        <w:t xml:space="preserve"> </w:t>
      </w:r>
      <w:r>
        <w:t xml:space="preserve">uncertainty as the treatment of such liabilities, which in turn may affect consideration on</w:t>
      </w:r>
      <w:r>
        <w:t xml:space="preserve"> </w:t>
      </w:r>
      <w:r>
        <w:t xml:space="preserve">other related issues, such as resolvability and the implementation of a resolution strategy.</w:t>
      </w:r>
      <w:r>
        <w:t xml:space="preserve"> </w:t>
      </w:r>
      <w:r>
        <w:t xml:space="preserve">In light of this, it is appropriate to consider this issue as part of the review and reflect on</w:t>
      </w:r>
      <w:r>
        <w:t xml:space="preserve"> </w:t>
      </w:r>
      <w:r>
        <w:t xml:space="preserve">whether there is scope to further clarify the legislative provisions in BRRD to address</w:t>
      </w:r>
      <w:r>
        <w:t xml:space="preserve"> </w:t>
      </w:r>
      <w:r>
        <w:t xml:space="preserve">some of the identified uncertainties.</w:t>
      </w:r>
      <w:r>
        <w:t xml:space="preserve"> </w:t>
      </w:r>
      <w:r>
        <w:t xml:space="preserve">Operationalisation of transfer strategies</w:t>
      </w:r>
      <w:r>
        <w:t xml:space="preserve"> </w:t>
      </w:r>
      <w:r>
        <w:t xml:space="preserve">Transfer strategies, such as the sale of (all or part of the) business to an acquirer, the use</w:t>
      </w:r>
      <w:r>
        <w:t xml:space="preserve"> </w:t>
      </w:r>
      <w:r>
        <w:t xml:space="preserve">of bridge bank and transferring bad assets to an asset management vehicle, are provided</w:t>
      </w:r>
      <w:r>
        <w:t xml:space="preserve"> </w:t>
      </w:r>
      <w:r>
        <w:t xml:space="preserve">in the current framework, alongside the open-bank bail-in strategy (absorption of losses</w:t>
      </w:r>
      <w:r>
        <w:t xml:space="preserve"> </w:t>
      </w:r>
      <w:r>
        <w:t xml:space="preserve">and recapitalisation of the bank through conversion of creditors into new shareholders).</w:t>
      </w:r>
      <w:r>
        <w:t xml:space="preserve"> </w:t>
      </w:r>
      <w:r>
        <w:t xml:space="preserve">However, so far open bank bail-in strategies have been predominant in resolution plans</w:t>
      </w:r>
      <w:r>
        <w:t xml:space="preserve"> </w:t>
      </w:r>
      <w:r>
        <w:t xml:space="preserve">as standalone tool.</w:t>
      </w:r>
      <w:r>
        <w:br/>
      </w:r>
      <w:r>
        <w:t xml:space="preserve">On this basis, there is scope to consider, as part of the reform, potential avenues to</w:t>
      </w:r>
      <w:r>
        <w:t xml:space="preserve"> </w:t>
      </w:r>
      <w:r>
        <w:t xml:space="preserve">further clarify the legislative text to provide additional incentives for resolution</w:t>
      </w:r>
      <w:r>
        <w:t xml:space="preserve"> </w:t>
      </w:r>
      <w:r>
        <w:t xml:space="preserve">authorities to consider transfer strategies in their resolution planning, for instance by</w:t>
      </w:r>
      <w:r>
        <w:t xml:space="preserve"> </w:t>
      </w:r>
      <w:r>
        <w:t xml:space="preserve">ensuring a more proportionate calibration of MREL requirements.</w:t>
      </w:r>
    </w:p>
    <w:p>
      <w:pPr>
        <w:pStyle w:val="BodyText"/>
      </w:pPr>
      <w:r>
        <w:t xml:space="preserve">531 See Commission Staff Working Document (March 2018), AMC Blueprint, SWD(2018)72 final, p.35.</w:t>
      </w:r>
    </w:p>
    <w:p>
      <w:pPr>
        <w:pStyle w:val="BodyText"/>
      </w:pPr>
      <w:r>
        <w:t xml:space="preserve">346</w:t>
      </w:r>
      <w:r>
        <w:t xml:space="preserve"> </w:t>
      </w:r>
      <w:r>
        <w:t xml:space="preserve">10.</w:t>
      </w:r>
      <w:r>
        <w:t xml:space="preserve"> </w:t>
      </w:r>
      <w:r>
        <w:t xml:space="preserve">BUSINESS MODEL SPECIFICITIES OF SMALL AND MEDIUM-SIZED BANKS</w:t>
      </w:r>
      <w:r>
        <w:t xml:space="preserve"> </w:t>
      </w:r>
      <w:r>
        <w:t xml:space="preserve">This section aims to provide additional information on the business model of smaller and</w:t>
      </w:r>
      <w:r>
        <w:t xml:space="preserve"> </w:t>
      </w:r>
      <w:r>
        <w:t xml:space="preserve">medium-sized banks, also called less significant institutions (LSIs) which are at the</w:t>
      </w:r>
      <w:r>
        <w:t xml:space="preserve"> </w:t>
      </w:r>
      <w:r>
        <w:t xml:space="preserve">centre of the CMDI reform. More specifically, it looks at the types of depositors served</w:t>
      </w:r>
      <w:r>
        <w:t xml:space="preserve"> </w:t>
      </w:r>
      <w:r>
        <w:t xml:space="preserve">by small and medium-sized banks across the EU, considering the policy options</w:t>
      </w:r>
      <w:r>
        <w:t xml:space="preserve"> </w:t>
      </w:r>
      <w:r>
        <w:t xml:space="preserve">described in Chapter 6 aiming to shield more depositors from bearing losses by making</w:t>
      </w:r>
      <w:r>
        <w:t xml:space="preserve"> </w:t>
      </w:r>
      <w:r>
        <w:t xml:space="preserve">more use of industry-funded safety nets, such as the DGS funds and/or and RF/SRF.</w:t>
      </w:r>
      <w:r>
        <w:br/>
      </w:r>
      <w:r>
        <w:t xml:space="preserve">According to the ECB’s 2019 report on LSIs532, the LSI sector represents a relevant share</w:t>
      </w:r>
      <w:r>
        <w:t xml:space="preserve"> </w:t>
      </w:r>
      <w:r>
        <w:t xml:space="preserve">of the wider European banking industry, representing roughly 19% of total banking</w:t>
      </w:r>
      <w:r>
        <w:t xml:space="preserve"> </w:t>
      </w:r>
      <w:r>
        <w:t xml:space="preserve">assets in the euro area. The geographical distribution of LSIs varies. In certain Member</w:t>
      </w:r>
      <w:r>
        <w:t xml:space="preserve"> </w:t>
      </w:r>
      <w:r>
        <w:t xml:space="preserve">States (Luxembourg, Germany, Austria, Ireland), the importance of LSIs is particularly</w:t>
      </w:r>
      <w:r>
        <w:t xml:space="preserve"> </w:t>
      </w:r>
      <w:r>
        <w:t xml:space="preserve">high, as they account for one third of the domestic banking sector. In contrast, the LSI</w:t>
      </w:r>
      <w:r>
        <w:t xml:space="preserve"> </w:t>
      </w:r>
      <w:r>
        <w:t xml:space="preserve">sector is relatively small in Member States where the banking sector is more</w:t>
      </w:r>
      <w:r>
        <w:t xml:space="preserve"> </w:t>
      </w:r>
      <w:r>
        <w:t xml:space="preserve">concentrated (France, Spain, Greece). In absolute value, the LSI sector in Germany is by</w:t>
      </w:r>
      <w:r>
        <w:t xml:space="preserve"> </w:t>
      </w:r>
      <w:r>
        <w:t xml:space="preserve">far the largest, hosting over 1,400 institutions which together represented 55% of the LSI</w:t>
      </w:r>
      <w:r>
        <w:t xml:space="preserve"> </w:t>
      </w:r>
      <w:r>
        <w:t xml:space="preserve">assets at EU level as of 2019533.</w:t>
      </w:r>
      <w:r>
        <w:br/>
      </w:r>
      <w:r>
        <w:t xml:space="preserve">Most smaller and medium-sized banks still follow the traditional business model (i.e. </w:t>
      </w:r>
      <w:r>
        <w:t xml:space="preserve"> </w:t>
      </w:r>
      <w:r>
        <w:t xml:space="preserve">collection of deposits and granting of loans) and are predominantly financed by equity</w:t>
      </w:r>
      <w:r>
        <w:t xml:space="preserve"> </w:t>
      </w:r>
      <w:r>
        <w:t xml:space="preserve">and deposits. The LSI sector is dominated by retail banks and diversified banks (the latter</w:t>
      </w:r>
      <w:r>
        <w:t xml:space="preserve"> </w:t>
      </w:r>
      <w:r>
        <w:t xml:space="preserve">have a higher percentage of exposures to corporate clients, including SMEs). These LSIs</w:t>
      </w:r>
      <w:r>
        <w:t xml:space="preserve"> </w:t>
      </w:r>
      <w:r>
        <w:t xml:space="preserve">belong mainly to the cooperative and savings bank sectors. They are typically active</w:t>
      </w:r>
      <w:r>
        <w:t xml:space="preserve"> </w:t>
      </w:r>
      <w:r>
        <w:t xml:space="preserve">locally, being fully anchored in the “local economic fabric” of their home regions and</w:t>
      </w:r>
      <w:r>
        <w:t xml:space="preserve"> </w:t>
      </w:r>
      <w:r>
        <w:t xml:space="preserve">service local customers. In terms of balance sheet structure, on the liability side,</w:t>
      </w:r>
      <w:r>
        <w:t xml:space="preserve"> </w:t>
      </w:r>
      <w:r>
        <w:t xml:space="preserve">customer deposits represent by far the largest source of funding, while the issuance of</w:t>
      </w:r>
      <w:r>
        <w:t xml:space="preserve"> </w:t>
      </w:r>
      <w:r>
        <w:t xml:space="preserve">debt securities as well as the trading of derivatives remains only of minor importance for</w:t>
      </w:r>
      <w:r>
        <w:t xml:space="preserve"> </w:t>
      </w:r>
      <w:r>
        <w:t xml:space="preserve">these banks. Overall, retail deposits remain a main source of funding of LSIs, making up</w:t>
      </w:r>
      <w:r>
        <w:t xml:space="preserve"> </w:t>
      </w:r>
      <w:r>
        <w:t xml:space="preserve">for 67.7% of total funding on average, against 36.9% for significant institutions.</w:t>
      </w:r>
      <w:r>
        <w:t xml:space="preserve"> </w:t>
      </w:r>
      <w:r>
        <w:t xml:space="preserve">This information is very relevant in view of certain stakeholder views that only covered</w:t>
      </w:r>
      <w:r>
        <w:t xml:space="preserve"> </w:t>
      </w:r>
      <w:r>
        <w:t xml:space="preserve">deposits as well as retail and SME deposits (above the coverage level) should be</w:t>
      </w:r>
      <w:r>
        <w:t xml:space="preserve"> </w:t>
      </w:r>
      <w:r>
        <w:t xml:space="preserve">protected from losses, while “wholesale” deposits held by corporates or more</w:t>
      </w:r>
      <w:r>
        <w:t xml:space="preserve"> </w:t>
      </w:r>
      <w:r>
        <w:t xml:space="preserve">sophisticated counterparties should not benefit from additional protection from losses,</w:t>
      </w:r>
      <w:r>
        <w:t xml:space="preserve"> </w:t>
      </w:r>
      <w:r>
        <w:t xml:space="preserve">especially by using DGS funds. These stakeholders argue that shielding all deposits from</w:t>
      </w:r>
      <w:r>
        <w:t xml:space="preserve"> </w:t>
      </w:r>
      <w:r>
        <w:t xml:space="preserve">losses by making more use of safety nets in resolution or alternative measures in</w:t>
      </w:r>
      <w:r>
        <w:t xml:space="preserve"> </w:t>
      </w:r>
      <w:r>
        <w:t xml:space="preserve">insolvency could lead to moral hazard. However, data as quoted above shows that the</w:t>
      </w:r>
      <w:r>
        <w:t xml:space="preserve"> </w:t>
      </w:r>
      <w:r>
        <w:t xml:space="preserve">overwhelming majority of deposits held by smaller and medium-sized banks are retail or</w:t>
      </w:r>
      <w:r>
        <w:t xml:space="preserve"> </w:t>
      </w:r>
      <w:r>
        <w:t xml:space="preserve">corporate/SME deposits held by local clients. Typically, these deposits tend to be sticky</w:t>
      </w:r>
      <w:r>
        <w:t xml:space="preserve"> </w:t>
      </w:r>
      <w:r>
        <w:t xml:space="preserve">in a crisis, meaning they tend to be left with the bank until its failure, while deposits</w:t>
      </w:r>
      <w:r>
        <w:t xml:space="preserve"> </w:t>
      </w:r>
      <w:r>
        <w:t xml:space="preserve">made by large firms or more sophisticated investors tend to run at first signs of distress.</w:t>
      </w:r>
      <w:r>
        <w:t xml:space="preserve"> </w:t>
      </w:r>
      <w:r>
        <w:t xml:space="preserve">Given the preponderance of such sticky deposits in smaller and medium-sized banks, it is</w:t>
      </w:r>
      <w:r>
        <w:t xml:space="preserve"> </w:t>
      </w:r>
      <w:r>
        <w:t xml:space="preserve">important to have the tools and the funding to enable a deposit book transfer as part of a</w:t>
      </w:r>
    </w:p>
    <w:p>
      <w:pPr>
        <w:pStyle w:val="BodyText"/>
      </w:pPr>
      <w:r>
        <w:t xml:space="preserve">532 ECB (2019), Risk report on less significant institutions.</w:t>
      </w:r>
      <w:r>
        <w:br/>
      </w:r>
      <w:r>
        <w:t xml:space="preserve">533 See part 1.1 of the ECB’s 2019 Risk report on LSIs.</w:t>
      </w:r>
    </w:p>
    <w:p>
      <w:pPr>
        <w:pStyle w:val="BodyText"/>
      </w:pPr>
      <w:r>
        <w:t xml:space="preserve">347</w:t>
      </w:r>
      <w:r>
        <w:t xml:space="preserve"> </w:t>
      </w:r>
      <w:r>
        <w:t xml:space="preserve">sale of business transaction in case of failure (in or outside resolution). The alternative is</w:t>
      </w:r>
      <w:r>
        <w:t xml:space="preserve"> </w:t>
      </w:r>
      <w:r>
        <w:t xml:space="preserve">to handle the failure of such banks by making recourse to public support or inflicting</w:t>
      </w:r>
      <w:r>
        <w:t xml:space="preserve"> </w:t>
      </w:r>
      <w:r>
        <w:t xml:space="preserve">losses on retail and SME deposits in resolution in order to reach the 8% access condition</w:t>
      </w:r>
      <w:r>
        <w:t xml:space="preserve"> </w:t>
      </w:r>
      <w:r>
        <w:t xml:space="preserve">to the resolution fund.</w:t>
      </w:r>
      <w:r>
        <w:t xml:space="preserve"> </w:t>
      </w:r>
      <w:r>
        <w:t xml:space="preserve">11.</w:t>
      </w:r>
      <w:r>
        <w:t xml:space="preserve"> </w:t>
      </w:r>
      <w:r>
        <w:t xml:space="preserve">HIGHLIGHTS OF THE US FRAMEWORK (FDIC APPROACH)</w:t>
      </w:r>
      <w:r>
        <w:t xml:space="preserve"> </w:t>
      </w:r>
      <w:r>
        <w:t xml:space="preserve">Since its creation in 1933 in the aftermath of the Great Depression, the Federal Deposit</w:t>
      </w:r>
      <w:r>
        <w:t xml:space="preserve"> </w:t>
      </w:r>
      <w:r>
        <w:t xml:space="preserve">Insurance Corporation (FDIC) has developed a crisis management framework for most</w:t>
      </w:r>
      <w:r>
        <w:t xml:space="preserve"> </w:t>
      </w:r>
      <w:r>
        <w:t xml:space="preserve">deposit-taking institutions combining resolution, liquidation and deposit insurance (as</w:t>
      </w:r>
      <w:r>
        <w:t xml:space="preserve"> </w:t>
      </w:r>
      <w:r>
        <w:t xml:space="preserve">well as supervisory) functions in a single federal authority based on a single legal</w:t>
      </w:r>
      <w:r>
        <w:t xml:space="preserve"> </w:t>
      </w:r>
      <w:r>
        <w:t xml:space="preserve">framework. This enables the FDIC to act decisively and apply the most fitting (and least</w:t>
      </w:r>
      <w:r>
        <w:t xml:space="preserve"> </w:t>
      </w:r>
      <w:r>
        <w:t xml:space="preserve">costly) solution in each particular crisis case. In contrast, in the EU, those competencies</w:t>
      </w:r>
      <w:r>
        <w:t xml:space="preserve"> </w:t>
      </w:r>
      <w:r>
        <w:t xml:space="preserve">are split across different authorities and legal frameworks at European and national level.</w:t>
      </w:r>
      <w:r>
        <w:t xml:space="preserve"> </w:t>
      </w:r>
      <w:r>
        <w:t xml:space="preserve">In the US, the distinction between “resolution” and “insolvency” does not exist, unlike in</w:t>
      </w:r>
      <w:r>
        <w:t xml:space="preserve"> </w:t>
      </w:r>
      <w:r>
        <w:t xml:space="preserve">the EU: the failure of banks is handled by the FDIC using the tools and powers at its</w:t>
      </w:r>
      <w:r>
        <w:t xml:space="preserve"> </w:t>
      </w:r>
      <w:r>
        <w:t xml:space="preserve">disposal. In case of failure, the FDIC is appointed as a receiver (i.e. liquidator) of the</w:t>
      </w:r>
      <w:r>
        <w:t xml:space="preserve"> </w:t>
      </w:r>
      <w:r>
        <w:t xml:space="preserve">failed institution. The preferred tool of the FDIC is the purchase and assumption (P&amp;A)</w:t>
      </w:r>
      <w:r>
        <w:t xml:space="preserve"> </w:t>
      </w:r>
      <w:r>
        <w:t xml:space="preserve">transaction, whereby the FDIC transfers assets and deposits (and possibly other</w:t>
      </w:r>
      <w:r>
        <w:t xml:space="preserve"> </w:t>
      </w:r>
      <w:r>
        <w:t xml:space="preserve">liabilities) of the failed bank to a purchaser, or even sells the whole bank. It may also</w:t>
      </w:r>
      <w:r>
        <w:t xml:space="preserve"> </w:t>
      </w:r>
      <w:r>
        <w:t xml:space="preserve">organise a bridge bank to continue the operations of the failed bank until it is sold or</w:t>
      </w:r>
      <w:r>
        <w:t xml:space="preserve"> </w:t>
      </w:r>
      <w:r>
        <w:t xml:space="preserve">liquidated. Although the FDIC does not have a statutory bail-in tool (one of the four tools</w:t>
      </w:r>
      <w:r>
        <w:t xml:space="preserve"> </w:t>
      </w:r>
      <w:r>
        <w:t xml:space="preserve">in the EU framework), the FDIC powers can achieve a comparable outcome as part of a</w:t>
      </w:r>
      <w:r>
        <w:t xml:space="preserve"> </w:t>
      </w:r>
      <w:r>
        <w:t xml:space="preserve">liquidation process of the residual failed bank.</w:t>
      </w:r>
      <w:r>
        <w:br/>
      </w:r>
      <w:r>
        <w:t xml:space="preserve">The FDIC has to select the least costly way forward for dealing with any bank,</w:t>
      </w:r>
      <w:r>
        <w:t xml:space="preserve"> </w:t>
      </w:r>
      <w:r>
        <w:t xml:space="preserve">encouraging interested purchasers to bid for the failing bank. Based on its experience,</w:t>
      </w:r>
      <w:r>
        <w:t xml:space="preserve"> </w:t>
      </w:r>
      <w:r>
        <w:t xml:space="preserve">transfer strategies proved to be less costly than pay-out in most cases. The FDIC may</w:t>
      </w:r>
      <w:r>
        <w:t xml:space="preserve"> </w:t>
      </w:r>
      <w:r>
        <w:t xml:space="preserve">also payout insured depositors (up to USD 250 000) when this is less costly than a P&amp;A</w:t>
      </w:r>
      <w:r>
        <w:t xml:space="preserve"> </w:t>
      </w:r>
      <w:r>
        <w:t xml:space="preserve">transaction. There are no hard limits for support from the Deposit Insurance Fund,</w:t>
      </w:r>
      <w:r>
        <w:t xml:space="preserve"> </w:t>
      </w:r>
      <w:r>
        <w:t xml:space="preserve">financed by the industry, as long as the ‘least cost principle’ is respected – in particular,</w:t>
      </w:r>
      <w:r>
        <w:t xml:space="preserve"> </w:t>
      </w:r>
      <w:r>
        <w:t xml:space="preserve">there are no minimum bail-in conditions to access that Fund, unlike in the EU.</w:t>
      </w:r>
      <w:r>
        <w:br/>
      </w:r>
      <w:r>
        <w:t xml:space="preserve">In terms of creditor hierarchy, the US system includes a single-tier depositor preference</w:t>
      </w:r>
      <w:r>
        <w:t xml:space="preserve"> </w:t>
      </w:r>
      <w:r>
        <w:t xml:space="preserve">where all deposits (including insured ones) rank pari passu and which greatly facilitates</w:t>
      </w:r>
      <w:r>
        <w:t xml:space="preserve"> </w:t>
      </w:r>
      <w:r>
        <w:t xml:space="preserve">the use of the Deposit Insurance Fund to support such transfer transactions under the</w:t>
      </w:r>
      <w:r>
        <w:t xml:space="preserve"> </w:t>
      </w:r>
      <w:r>
        <w:t xml:space="preserve">least cost test.</w:t>
      </w:r>
      <w:r>
        <w:br/>
      </w:r>
      <w:r>
        <w:t xml:space="preserve">The FDIC may use their fund for many purposes other than payout: support a merger</w:t>
      </w:r>
      <w:r>
        <w:t xml:space="preserve"> </w:t>
      </w:r>
      <w:r>
        <w:t xml:space="preserve">with another bank, support transfers of assets and liabilities, fund a bridge bank and</w:t>
      </w:r>
      <w:r>
        <w:t xml:space="preserve"> </w:t>
      </w:r>
      <w:r>
        <w:t xml:space="preserve">provide liquidity in resolution. The US framework also provides for an exception to the</w:t>
      </w:r>
      <w:r>
        <w:t xml:space="preserve"> </w:t>
      </w:r>
      <w:r>
        <w:t xml:space="preserve">least cost requirement when a “systemic risk determination” is made to the effect that</w:t>
      </w:r>
      <w:r>
        <w:t xml:space="preserve"> </w:t>
      </w:r>
      <w:r>
        <w:t xml:space="preserve">compliance with that requirement would have serious adverse effects on economic</w:t>
      </w:r>
    </w:p>
    <w:p>
      <w:pPr>
        <w:pStyle w:val="BodyText"/>
      </w:pPr>
      <w:r>
        <w:t xml:space="preserve">348</w:t>
      </w:r>
      <w:r>
        <w:t xml:space="preserve"> </w:t>
      </w:r>
      <w:r>
        <w:t xml:space="preserve">conditions or financial stability, and the provision of assistance would avoid or mitigate</w:t>
      </w:r>
      <w:r>
        <w:t xml:space="preserve"> </w:t>
      </w:r>
      <w:r>
        <w:t xml:space="preserve">such adverse effects534.</w:t>
      </w:r>
      <w:r>
        <w:t xml:space="preserve"> </w:t>
      </w:r>
      <w:r>
        <w:t xml:space="preserve">Between 2000 and 2020, 95% of the FDIC’s interventions to preserve access to deposits</w:t>
      </w:r>
      <w:r>
        <w:t xml:space="preserve"> </w:t>
      </w:r>
      <w:r>
        <w:t xml:space="preserve">in a failed bank were P&amp;As (US equivalent of a transfer tool) with deposit insurance</w:t>
      </w:r>
      <w:r>
        <w:t xml:space="preserve"> </w:t>
      </w:r>
      <w:r>
        <w:t xml:space="preserve">fund support, and only 5% were payouts of covered deposits. The FDIC estimates that</w:t>
      </w:r>
      <w:r>
        <w:t xml:space="preserve"> </w:t>
      </w:r>
      <w:r>
        <w:t xml:space="preserve">between 2008 and 2013, the use of transfer tools saved USD 42 billion, or 43%,</w:t>
      </w:r>
      <w:r>
        <w:t xml:space="preserve"> </w:t>
      </w:r>
      <w:r>
        <w:t xml:space="preserve">compared with the estimated cost of using payouts.</w:t>
      </w:r>
      <w:r>
        <w:br/>
      </w:r>
      <w:r>
        <w:t xml:space="preserve">Similarly, the Deposit Insurance Corporation of Japan (DICJ) notes that “The pay-out</w:t>
      </w:r>
      <w:r>
        <w:t xml:space="preserve"> </w:t>
      </w:r>
      <w:r>
        <w:t xml:space="preserve">method should [therefore] be avoided as far as possible.” (DICJ, 2005)” 535.</w:t>
      </w:r>
      <w:r>
        <w:t xml:space="preserve"> </w:t>
      </w:r>
      <w:r>
        <w:t xml:space="preserve">For these reasons (no distinction between resolution and insolvency, one centralised</w:t>
      </w:r>
      <w:r>
        <w:t xml:space="preserve"> </w:t>
      </w:r>
      <w:r>
        <w:t xml:space="preserve">authority for dealing with failing banks, one centralised fund, one approach to assessing</w:t>
      </w:r>
      <w:r>
        <w:t xml:space="preserve"> </w:t>
      </w:r>
      <w:r>
        <w:t xml:space="preserve">the least cost principle and extensive experience with marketing/sale of failing banks),</w:t>
      </w:r>
      <w:r>
        <w:t xml:space="preserve"> </w:t>
      </w:r>
      <w:r>
        <w:t xml:space="preserve">the US regime is often, also in the EU discussions, raised as an example to follow.</w:t>
      </w:r>
      <w:r>
        <w:t xml:space="preserve"> </w:t>
      </w:r>
      <w:r>
        <w:t xml:space="preserve">The extensive experience and excellent track record of the US FDIC, spanning over</w:t>
      </w:r>
      <w:r>
        <w:t xml:space="preserve"> </w:t>
      </w:r>
      <w:r>
        <w:t xml:space="preserve">many</w:t>
      </w:r>
      <w:r>
        <w:t xml:space="preserve"> </w:t>
      </w:r>
      <w:r>
        <w:t xml:space="preserve">decades,</w:t>
      </w:r>
      <w:r>
        <w:t xml:space="preserve"> </w:t>
      </w:r>
      <w:r>
        <w:t xml:space="preserve">where</w:t>
      </w:r>
      <w:r>
        <w:t xml:space="preserve"> </w:t>
      </w:r>
      <w:r>
        <w:t xml:space="preserve">failing</w:t>
      </w:r>
      <w:r>
        <w:t xml:space="preserve"> </w:t>
      </w:r>
      <w:r>
        <w:t xml:space="preserve">smaller</w:t>
      </w:r>
      <w:r>
        <w:t xml:space="preserve"> </w:t>
      </w:r>
      <w:r>
        <w:t xml:space="preserve">and</w:t>
      </w:r>
      <w:r>
        <w:t xml:space="preserve"> </w:t>
      </w:r>
      <w:r>
        <w:t xml:space="preserve">mid-sized</w:t>
      </w:r>
      <w:r>
        <w:t xml:space="preserve"> </w:t>
      </w:r>
      <w:r>
        <w:t xml:space="preserve">banks</w:t>
      </w:r>
      <w:r>
        <w:t xml:space="preserve"> </w:t>
      </w:r>
      <w:r>
        <w:t xml:space="preserve">are</w:t>
      </w:r>
      <w:r>
        <w:t xml:space="preserve"> </w:t>
      </w:r>
      <w:r>
        <w:t xml:space="preserve">routinely</w:t>
      </w:r>
      <w:r>
        <w:t xml:space="preserve"> </w:t>
      </w:r>
      <w:r>
        <w:t xml:space="preserve">restructured/transferred to a buyer with the support of a common fund financed by the</w:t>
      </w:r>
      <w:r>
        <w:t xml:space="preserve"> </w:t>
      </w:r>
      <w:r>
        <w:t xml:space="preserve">contributions of the industry, can reveal how some features of the CMDI framework</w:t>
      </w:r>
      <w:r>
        <w:t xml:space="preserve"> </w:t>
      </w:r>
      <w:r>
        <w:t xml:space="preserve">could be improved.</w:t>
      </w:r>
    </w:p>
    <w:p>
      <w:pPr>
        <w:pStyle w:val="BodyText"/>
      </w:pPr>
      <w:r>
        <w:t xml:space="preserve">534 Financial Stability Institute, (July 2022), Counting the cost of payout: constraints for deposit insurers</w:t>
      </w:r>
      <w:r>
        <w:t xml:space="preserve"> </w:t>
      </w:r>
      <w:r>
        <w:t xml:space="preserve">in funding bank failure management. See Table 3 on p. 15 and p.19.</w:t>
      </w:r>
      <w:r>
        <w:br/>
      </w:r>
      <w:r>
        <w:t xml:space="preserve">535 ECB (October 2022) Protecting depositors and saving money - why DGS in the EU should be able to</w:t>
      </w:r>
      <w:r>
        <w:t xml:space="preserve"> </w:t>
      </w:r>
      <w:r>
        <w:t xml:space="preserve">support transfers of assets and liabilities when a bank fails</w:t>
      </w:r>
    </w:p>
    <w:p>
      <w:pPr>
        <w:pStyle w:val="BodyText"/>
      </w:pPr>
      <w:r>
        <w:t xml:space="preserve">349</w:t>
      </w:r>
      <w:r>
        <w:t xml:space="preserve"> </w:t>
      </w:r>
      <w:r>
        <w:t xml:space="preserve">ANNEX 9: SELECTED CASES OF APPLICATION OF THE CMDI FRAMEWORK SINCE 2015</w:t>
      </w:r>
    </w:p>
    <w:p>
      <w:pPr>
        <w:pStyle w:val="BodyText"/>
      </w:pPr>
      <w:r>
        <w:t xml:space="preserve">This annex provides an overview of selected cases when the CMDI framework was applied since 2015. The cut-off date is 18 November 2022.</w:t>
      </w:r>
      <w:r>
        <w:br/>
      </w:r>
      <w:r>
        <w:t xml:space="preserve">1. PREVENTIVE PRIVATE OR MARKET-CONFORM PUBLIC MEASURES536</w:t>
      </w:r>
      <w:r>
        <w:t xml:space="preserve"> </w:t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 time 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 measure</w:t>
      </w:r>
      <w:r>
        <w:t xml:space="preserve"> </w:t>
      </w:r>
      <w:r>
        <w:t xml:space="preserve">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 (if</w:t>
      </w:r>
      <w:r>
        <w:t xml:space="preserve"> </w:t>
      </w:r>
      <w:r>
        <w:t xml:space="preserve">applicable)</w:t>
      </w:r>
      <w:r>
        <w:t xml:space="preserve"> </w:t>
      </w:r>
      <w:r>
        <w:t xml:space="preserve">Current</w:t>
      </w:r>
      <w:r>
        <w:t xml:space="preserve"> </w:t>
      </w:r>
      <w:r>
        <w:t xml:space="preserve">status of bank</w:t>
      </w:r>
      <w:r>
        <w:t xml:space="preserve"> </w:t>
      </w:r>
      <w:r>
        <w:t xml:space="preserve">NORD/LB537</w:t>
      </w:r>
      <w:r>
        <w:t xml:space="preserve"> </w:t>
      </w:r>
      <w:r>
        <w:t xml:space="preserve">EUR 146.9 bn</w:t>
      </w:r>
      <w:r>
        <w:t xml:space="preserve"> </w:t>
      </w:r>
      <w:r>
        <w:t xml:space="preserve">(2019)</w:t>
      </w:r>
      <w:r>
        <w:t xml:space="preserve"> </w:t>
      </w:r>
      <w:r>
        <w:t xml:space="preserve">DE</w:t>
      </w:r>
      <w:r>
        <w:t xml:space="preserve"> </w:t>
      </w:r>
      <w:r>
        <w:t xml:space="preserve">December 2019</w:t>
      </w:r>
      <w:r>
        <w:t xml:space="preserve"> </w:t>
      </w:r>
      <w:r>
        <w:t xml:space="preserve">Received</w:t>
      </w:r>
      <w:r>
        <w:t xml:space="preserve"> </w:t>
      </w:r>
      <w:r>
        <w:t xml:space="preserve">public</w:t>
      </w:r>
      <w:r>
        <w:t xml:space="preserve"> </w:t>
      </w:r>
      <w:r>
        <w:t xml:space="preserve">support,</w:t>
      </w:r>
      <w:r>
        <w:t xml:space="preserve"> </w:t>
      </w:r>
      <w:r>
        <w:t xml:space="preserve">for</w:t>
      </w:r>
      <w:r>
        <w:t xml:space="preserve"> </w:t>
      </w:r>
      <w:r>
        <w:t xml:space="preserve">strengthening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restructuring, which the Commission has assessed as market-</w:t>
      </w:r>
      <w:r>
        <w:t xml:space="preserve"> </w:t>
      </w:r>
      <w:r>
        <w:t xml:space="preserve">conform.</w:t>
      </w:r>
      <w:r>
        <w:br/>
      </w:r>
      <w:r>
        <w:t xml:space="preserve">EUR 2.8 bn</w:t>
      </w:r>
      <w:r>
        <w:t xml:space="preserve"> </w:t>
      </w:r>
      <w:r>
        <w:t xml:space="preserve">investment,</w:t>
      </w:r>
      <w:r>
        <w:t xml:space="preserve"> </w:t>
      </w:r>
      <w:r>
        <w:t xml:space="preserve">EUR 0.8 bn capital</w:t>
      </w:r>
      <w:r>
        <w:t xml:space="preserve"> </w:t>
      </w:r>
      <w:r>
        <w:t xml:space="preserve">relief</w:t>
      </w:r>
      <w:r>
        <w:t xml:space="preserve"> </w:t>
      </w:r>
      <w:r>
        <w:t xml:space="preserve">(of which</w:t>
      </w:r>
      <w:r>
        <w:t xml:space="preserve"> </w:t>
      </w:r>
      <w:r>
        <w:t xml:space="preserve">EUR 0.8 bn</w:t>
      </w:r>
      <w:r>
        <w:t xml:space="preserve"> </w:t>
      </w:r>
      <w:r>
        <w:t xml:space="preserve">provided by the IPS</w:t>
      </w:r>
      <w:r>
        <w:t xml:space="preserve"> </w:t>
      </w:r>
      <w:r>
        <w:t xml:space="preserve">and EUR 2.8 bn was</w:t>
      </w:r>
      <w:r>
        <w:t xml:space="preserve"> </w:t>
      </w:r>
      <w:r>
        <w:t xml:space="preserve">a public market</w:t>
      </w:r>
      <w:r>
        <w:t xml:space="preserve"> </w:t>
      </w:r>
      <w:r>
        <w:t xml:space="preserve">conform measure)</w:t>
      </w:r>
      <w:r>
        <w:br/>
      </w:r>
      <w:r>
        <w:t xml:space="preserve">In operation</w:t>
      </w:r>
      <w:r>
        <w:t xml:space="preserve"> </w:t>
      </w:r>
      <w:r>
        <w:t xml:space="preserve">Banca</w:t>
      </w:r>
      <w:r>
        <w:t xml:space="preserve"> </w:t>
      </w:r>
      <w:r>
        <w:t xml:space="preserve">Carige(*)538</w:t>
      </w:r>
      <w:r>
        <w:t xml:space="preserve"> </w:t>
      </w:r>
      <w:r>
        <w:t xml:space="preserve">EUR 23 bn</w:t>
      </w:r>
      <w:r>
        <w:br/>
      </w:r>
      <w:r>
        <w:t xml:space="preserve">(Jan 2020)</w:t>
      </w:r>
      <w:r>
        <w:t xml:space="preserve"> </w:t>
      </w:r>
      <w:r>
        <w:t xml:space="preserve">IT</w:t>
      </w:r>
      <w:r>
        <w:t xml:space="preserve"> </w:t>
      </w:r>
      <w:r>
        <w:t xml:space="preserve">December 2019</w:t>
      </w:r>
      <w:r>
        <w:t xml:space="preserve"> </w:t>
      </w:r>
      <w:r>
        <w:t xml:space="preserve">The voluntary arm of the IT DGS (private measure) and, in</w:t>
      </w:r>
      <w:r>
        <w:t xml:space="preserve"> </w:t>
      </w:r>
      <w:r>
        <w:t xml:space="preserve">accordance with Article 11(3) DGSD, the IT DGS (private measure</w:t>
      </w:r>
      <w:r>
        <w:t xml:space="preserve"> </w:t>
      </w:r>
      <w:r>
        <w:t xml:space="preserve">in accordance with Tercas case law) provided contributed to the</w:t>
      </w:r>
      <w:r>
        <w:t xml:space="preserve"> </w:t>
      </w:r>
      <w:r>
        <w:t xml:space="preserve">capital increase of the bank.</w:t>
      </w:r>
      <w:r>
        <w:br/>
      </w:r>
      <w:r>
        <w:t xml:space="preserve">EUR 318.2 m and</w:t>
      </w:r>
      <w:r>
        <w:t xml:space="preserve"> </w:t>
      </w:r>
      <w:r>
        <w:t xml:space="preserve">EUR 301 m</w:t>
      </w:r>
      <w:r>
        <w:br/>
      </w:r>
      <w:r>
        <w:t xml:space="preserve">Acquired</w:t>
      </w:r>
      <w:r>
        <w:t xml:space="preserve"> </w:t>
      </w:r>
      <w:r>
        <w:t xml:space="preserve">Banca</w:t>
      </w:r>
      <w:r>
        <w:br/>
      </w:r>
      <w:r>
        <w:t xml:space="preserve">Carige</w:t>
      </w:r>
      <w:r>
        <w:t xml:space="preserve"> </w:t>
      </w:r>
      <w:r>
        <w:t xml:space="preserve">EUR 23 bn</w:t>
      </w:r>
      <w:r>
        <w:br/>
      </w:r>
      <w:r>
        <w:t xml:space="preserve">(Jan 2020)</w:t>
      </w:r>
      <w:r>
        <w:t xml:space="preserve"> </w:t>
      </w:r>
      <w:r>
        <w:t xml:space="preserve">IT</w:t>
      </w:r>
      <w:r>
        <w:t xml:space="preserve"> </w:t>
      </w:r>
      <w:r>
        <w:t xml:space="preserve">April 2022</w:t>
      </w:r>
      <w:r>
        <w:t xml:space="preserve"> </w:t>
      </w:r>
      <w:r>
        <w:t xml:space="preserve">The IT DGS (private measure in accordance with Tercas case law)</w:t>
      </w:r>
      <w:r>
        <w:t xml:space="preserve"> </w:t>
      </w:r>
      <w:r>
        <w:t xml:space="preserve">provided a further capital contribution of EUR 530 m to facilitate</w:t>
      </w:r>
      <w:r>
        <w:t xml:space="preserve"> </w:t>
      </w:r>
      <w:r>
        <w:t xml:space="preserve">the sale of the bank to BPER.</w:t>
      </w:r>
      <w:r>
        <w:t xml:space="preserve"> </w:t>
      </w:r>
      <w:r>
        <w:t xml:space="preserve">EUR 530 m</w:t>
      </w:r>
      <w:r>
        <w:t xml:space="preserve"> </w:t>
      </w:r>
      <w:r>
        <w:t xml:space="preserve">Acquired</w:t>
      </w:r>
    </w:p>
    <w:p>
      <w:pPr>
        <w:pStyle w:val="BodyText"/>
      </w:pPr>
      <w:r>
        <w:t xml:space="preserve">536 In the market-conform public measures the State invested in a market-conform manner together with the DGS.</w:t>
      </w:r>
      <w:r>
        <w:t xml:space="preserve"> </w:t>
      </w:r>
      <w:r>
        <w:t xml:space="preserve">537 Case SA.49094 (2019/N)</w:t>
      </w:r>
      <w:r>
        <w:br/>
      </w:r>
      <w:r>
        <w:t xml:space="preserve">538 Cases marked with (*): no (individual) SA decision exists.</w:t>
      </w:r>
    </w:p>
    <w:p>
      <w:pPr>
        <w:pStyle w:val="BodyText"/>
      </w:pPr>
      <w:r>
        <w:t xml:space="preserve">350</w:t>
      </w:r>
      <w:r>
        <w:t xml:space="preserve"> </w:t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 time 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 measure</w:t>
      </w:r>
      <w:r>
        <w:t xml:space="preserve"> </w:t>
      </w:r>
      <w:r>
        <w:t xml:space="preserve">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 (if</w:t>
      </w:r>
      <w:r>
        <w:t xml:space="preserve"> </w:t>
      </w:r>
      <w:r>
        <w:t xml:space="preserve">applicable)</w:t>
      </w:r>
      <w:r>
        <w:t xml:space="preserve"> </w:t>
      </w:r>
      <w:r>
        <w:t xml:space="preserve">Current</w:t>
      </w:r>
      <w:r>
        <w:t xml:space="preserve"> </w:t>
      </w:r>
      <w:r>
        <w:t xml:space="preserve">status of bank</w:t>
      </w:r>
      <w:r>
        <w:t xml:space="preserve"> </w:t>
      </w:r>
      <w:r>
        <w:t xml:space="preserve">Banca</w:t>
      </w:r>
      <w:r>
        <w:t xml:space="preserve"> </w:t>
      </w:r>
      <w:r>
        <w:t xml:space="preserve">Popolare di</w:t>
      </w:r>
      <w:r>
        <w:t xml:space="preserve"> </w:t>
      </w:r>
      <w:r>
        <w:t xml:space="preserve">Bari (*)</w:t>
      </w:r>
      <w:r>
        <w:t xml:space="preserve"> </w:t>
      </w:r>
      <w:r>
        <w:t xml:space="preserve">EUR 13.6 bn</w:t>
      </w:r>
      <w:r>
        <w:t xml:space="preserve"> </w:t>
      </w:r>
      <w:r>
        <w:t xml:space="preserve">(Jun 2019)</w:t>
      </w:r>
    </w:p>
    <w:p>
      <w:pPr>
        <w:pStyle w:val="BodyText"/>
      </w:pPr>
      <w:r>
        <w:t xml:space="preserve">IT</w:t>
      </w:r>
      <w:r>
        <w:t xml:space="preserve"> </w:t>
      </w:r>
      <w:r>
        <w:t xml:space="preserve">May 2020</w:t>
      </w:r>
      <w:r>
        <w:t xml:space="preserve"> </w:t>
      </w:r>
      <w:r>
        <w:t xml:space="preserve">The voluntary arm of the IT DGS provided capital (private</w:t>
      </w:r>
      <w:r>
        <w:t xml:space="preserve"> </w:t>
      </w:r>
      <w:r>
        <w:t xml:space="preserve">measure).</w:t>
      </w:r>
      <w:r>
        <w:t xml:space="preserve"> </w:t>
      </w:r>
      <w:r>
        <w:t xml:space="preserve">EUR 1.2 bn</w:t>
      </w:r>
      <w:r>
        <w:t xml:space="preserve"> </w:t>
      </w:r>
      <w:r>
        <w:t xml:space="preserve">In operation</w:t>
      </w:r>
    </w:p>
    <w:p>
      <w:pPr>
        <w:pStyle w:val="Compact"/>
        <w:numPr>
          <w:ilvl w:val="0"/>
          <w:numId w:val="1052"/>
        </w:numPr>
      </w:pPr>
      <w:r>
        <w:t xml:space="preserve">PRECAUTIONARY PUBLIC MEASURES</w:t>
      </w:r>
      <w:r>
        <w:t xml:space="preserve"> </w:t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</w:t>
      </w:r>
      <w:r>
        <w:t xml:space="preserve"> </w:t>
      </w:r>
      <w:r>
        <w:t xml:space="preserve">measure</w:t>
      </w:r>
      <w:r>
        <w:t xml:space="preserve"> </w:t>
      </w:r>
      <w:r>
        <w:t xml:space="preserve">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</w:t>
      </w:r>
      <w:r>
        <w:t xml:space="preserve"> </w:t>
      </w:r>
      <w:r>
        <w:t xml:space="preserve">(if</w:t>
      </w:r>
      <w:r>
        <w:t xml:space="preserve"> </w:t>
      </w:r>
      <w:r>
        <w:t xml:space="preserve">applicable)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of bank</w:t>
      </w:r>
      <w:r>
        <w:t xml:space="preserve"> </w:t>
      </w:r>
      <w:r>
        <w:t xml:space="preserve">Banca Monte</w:t>
      </w:r>
      <w:r>
        <w:t xml:space="preserve"> </w:t>
      </w:r>
      <w:r>
        <w:t xml:space="preserve">dei Paschi di</w:t>
      </w:r>
      <w:r>
        <w:t xml:space="preserve"> </w:t>
      </w:r>
      <w:r>
        <w:t xml:space="preserve">Siena539</w:t>
      </w:r>
      <w:r>
        <w:t xml:space="preserve"> </w:t>
      </w:r>
      <w:r>
        <w:t xml:space="preserve">EUR 143.5 bn</w:t>
      </w:r>
    </w:p>
    <w:p>
      <w:pPr>
        <w:pStyle w:val="Compact"/>
        <w:numPr>
          <w:ilvl w:val="0"/>
          <w:numId w:val="1053"/>
        </w:numPr>
      </w:pPr>
      <w:r>
        <w:t xml:space="preserve">IT</w:t>
      </w:r>
      <w:r>
        <w:t xml:space="preserve"> </w:t>
      </w:r>
      <w:r>
        <w:t xml:space="preserve">December 2016;</w:t>
      </w:r>
      <w:r>
        <w:t xml:space="preserve"> </w:t>
      </w:r>
      <w:r>
        <w:t xml:space="preserve">July 2017</w:t>
      </w:r>
      <w:r>
        <w:t xml:space="preserve"> </w:t>
      </w:r>
      <w:r>
        <w:t xml:space="preserve">Received precautionary liquidity support (state guarantee) and</w:t>
      </w:r>
      <w:r>
        <w:t xml:space="preserve"> </w:t>
      </w:r>
      <w:r>
        <w:t xml:space="preserve">recapitalisation.</w:t>
      </w:r>
      <w:r>
        <w:t xml:space="preserve"> </w:t>
      </w:r>
      <w:r>
        <w:t xml:space="preserve">EUR 15 bn</w:t>
      </w:r>
      <w:r>
        <w:t xml:space="preserve"> </w:t>
      </w:r>
      <w:r>
        <w:t xml:space="preserve">(liquidity</w:t>
      </w:r>
      <w:r>
        <w:t xml:space="preserve"> </w:t>
      </w:r>
      <w:r>
        <w:t xml:space="preserve">guarantee),</w:t>
      </w:r>
      <w:r>
        <w:t xml:space="preserve"> </w:t>
      </w:r>
      <w:r>
        <w:t xml:space="preserve">EUR 5.4 bn</w:t>
      </w:r>
      <w:r>
        <w:t xml:space="preserve"> </w:t>
      </w:r>
      <w:r>
        <w:t xml:space="preserve">(recapitalisation)</w:t>
      </w:r>
      <w:r>
        <w:t xml:space="preserve"> </w:t>
      </w:r>
      <w:r>
        <w:t xml:space="preserve">In</w:t>
      </w:r>
      <w:r>
        <w:t xml:space="preserve"> </w:t>
      </w:r>
      <w:r>
        <w:t xml:space="preserve">operation,</w:t>
      </w:r>
      <w:r>
        <w:t xml:space="preserve"> </w:t>
      </w:r>
      <w:r>
        <w:t xml:space="preserve">restructuring</w:t>
      </w:r>
      <w:r>
        <w:t xml:space="preserve"> </w:t>
      </w:r>
      <w:r>
        <w:t xml:space="preserve">Banca</w:t>
      </w:r>
      <w:r>
        <w:t xml:space="preserve"> </w:t>
      </w:r>
      <w:r>
        <w:t xml:space="preserve">Carige540</w:t>
      </w:r>
      <w:r>
        <w:t xml:space="preserve"> </w:t>
      </w:r>
      <w:r>
        <w:t xml:space="preserve">EUR 22 bn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IT</w:t>
      </w:r>
      <w:r>
        <w:t xml:space="preserve"> </w:t>
      </w:r>
      <w:r>
        <w:t xml:space="preserve">January 2019</w:t>
      </w:r>
      <w:r>
        <w:t xml:space="preserve"> </w:t>
      </w:r>
      <w:r>
        <w:t xml:space="preserve">Received precautionary liquidity support in the form of</w:t>
      </w:r>
      <w:r>
        <w:t xml:space="preserve"> </w:t>
      </w:r>
      <w:r>
        <w:t xml:space="preserve">remunerated guarantees that are restricted to solvent banks.</w:t>
      </w:r>
      <w:r>
        <w:t xml:space="preserve"> </w:t>
      </w:r>
      <w:r>
        <w:t xml:space="preserve">Up to EUR 3 bn</w:t>
      </w:r>
      <w:r>
        <w:br/>
      </w:r>
      <w:r>
        <w:t xml:space="preserve">In</w:t>
      </w:r>
      <w:r>
        <w:t xml:space="preserve"> </w:t>
      </w:r>
      <w:r>
        <w:t xml:space="preserve">operation,</w:t>
      </w:r>
      <w:r>
        <w:t xml:space="preserve"> </w:t>
      </w:r>
      <w:r>
        <w:t xml:space="preserve">restructuring</w:t>
      </w:r>
      <w:r>
        <w:t xml:space="preserve"> </w:t>
      </w:r>
      <w:r>
        <w:t xml:space="preserve">Banca</w:t>
      </w:r>
      <w:r>
        <w:t xml:space="preserve"> </w:t>
      </w:r>
      <w:r>
        <w:t xml:space="preserve">Popolare di</w:t>
      </w:r>
      <w:r>
        <w:t xml:space="preserve"> </w:t>
      </w:r>
      <w:r>
        <w:t xml:space="preserve">Vicenza541</w:t>
      </w:r>
      <w:r>
        <w:t xml:space="preserve"> </w:t>
      </w:r>
      <w:r>
        <w:t xml:space="preserve">EUR 34.4 bn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IT</w:t>
      </w:r>
      <w:r>
        <w:t xml:space="preserve"> </w:t>
      </w:r>
      <w:r>
        <w:t xml:space="preserve">January,</w:t>
      </w:r>
      <w:r>
        <w:t xml:space="preserve"> </w:t>
      </w:r>
      <w:r>
        <w:t xml:space="preserve">April</w:t>
      </w:r>
      <w:r>
        <w:t xml:space="preserve"> </w:t>
      </w:r>
      <w:r>
        <w:t xml:space="preserve">2017</w:t>
      </w:r>
      <w:r>
        <w:t xml:space="preserve"> </w:t>
      </w:r>
      <w:r>
        <w:t xml:space="preserve">Received precautionary liquidity support in the form of guarantees.</w:t>
      </w:r>
      <w:r>
        <w:t xml:space="preserve"> </w:t>
      </w:r>
      <w:r>
        <w:t xml:space="preserve">EUR 3 bn,</w:t>
      </w:r>
      <w:r>
        <w:t xml:space="preserve"> </w:t>
      </w:r>
      <w:r>
        <w:t xml:space="preserve">EUR 2.2 bn</w:t>
      </w:r>
      <w:r>
        <w:t xml:space="preserve"> </w:t>
      </w:r>
      <w:r>
        <w:t xml:space="preserve">Acquired</w:t>
      </w:r>
      <w:r>
        <w:t xml:space="preserve"> </w:t>
      </w:r>
      <w:r>
        <w:t xml:space="preserve">Veneto</w:t>
      </w:r>
      <w:r>
        <w:t xml:space="preserve"> </w:t>
      </w:r>
      <w:r>
        <w:t xml:space="preserve">Banca542</w:t>
      </w:r>
      <w:r>
        <w:t xml:space="preserve"> </w:t>
      </w:r>
      <w:r>
        <w:t xml:space="preserve">EUR 28 bn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IT</w:t>
      </w:r>
      <w:r>
        <w:t xml:space="preserve"> </w:t>
      </w:r>
      <w:r>
        <w:t xml:space="preserve">January,</w:t>
      </w:r>
      <w:r>
        <w:t xml:space="preserve"> </w:t>
      </w:r>
      <w:r>
        <w:t xml:space="preserve">April</w:t>
      </w:r>
      <w:r>
        <w:t xml:space="preserve"> </w:t>
      </w:r>
      <w:r>
        <w:t xml:space="preserve">2017</w:t>
      </w:r>
      <w:r>
        <w:t xml:space="preserve"> </w:t>
      </w:r>
      <w:r>
        <w:t xml:space="preserve">Received precautionary liquidity support in the form of guarantees.</w:t>
      </w:r>
      <w:r>
        <w:t xml:space="preserve"> </w:t>
      </w:r>
      <w:r>
        <w:t xml:space="preserve">EUR 3.5 bn,</w:t>
      </w:r>
      <w:r>
        <w:t xml:space="preserve"> </w:t>
      </w:r>
      <w:r>
        <w:t xml:space="preserve">EUR 1.4 bn</w:t>
      </w:r>
      <w:r>
        <w:t xml:space="preserve"> </w:t>
      </w:r>
      <w:r>
        <w:t xml:space="preserve">Acquired</w:t>
      </w:r>
      <w:r>
        <w:t xml:space="preserve"> </w:t>
      </w:r>
      <w:r>
        <w:t xml:space="preserve">National</w:t>
      </w:r>
      <w:r>
        <w:t xml:space="preserve"> </w:t>
      </w:r>
      <w:r>
        <w:t xml:space="preserve">Bank543 of</w:t>
      </w:r>
      <w:r>
        <w:t xml:space="preserve"> </w:t>
      </w:r>
      <w:r>
        <w:t xml:space="preserve">Greece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December 2015</w:t>
      </w:r>
      <w:r>
        <w:t xml:space="preserve"> </w:t>
      </w:r>
      <w:r>
        <w:t xml:space="preserve">Received precautionary recapitalisation</w:t>
      </w:r>
      <w:r>
        <w:t xml:space="preserve"> </w:t>
      </w:r>
      <w:r>
        <w:t xml:space="preserve">EUR 2.7 bn</w:t>
      </w:r>
      <w:r>
        <w:br/>
      </w:r>
      <w:r>
        <w:t xml:space="preserve">In operation</w:t>
      </w:r>
    </w:p>
    <w:p>
      <w:pPr>
        <w:pStyle w:val="BodyText"/>
      </w:pPr>
      <w:r>
        <w:t xml:space="preserve">539 Case SA.47081 (2016/N) &amp; Case SA.47677 (2017/N)</w:t>
      </w:r>
      <w:r>
        <w:br/>
      </w:r>
      <w:r>
        <w:t xml:space="preserve">540 Case SA.52917 (2019/N)</w:t>
      </w:r>
      <w:r>
        <w:t xml:space="preserve"> </w:t>
      </w:r>
      <w:r>
        <w:t xml:space="preserve">541 Case SA.47149 (2016/N) &amp; Case SA.47940 (2017/N)</w:t>
      </w:r>
      <w:r>
        <w:t xml:space="preserve"> </w:t>
      </w:r>
      <w:r>
        <w:t xml:space="preserve">542 Case SA.47150 (2016/N) &amp; Case SA.47941 (2017/N)</w:t>
      </w:r>
    </w:p>
    <w:p>
      <w:pPr>
        <w:pStyle w:val="BodyText"/>
      </w:pPr>
      <w:r>
        <w:t xml:space="preserve">351</w:t>
      </w:r>
      <w:r>
        <w:t xml:space="preserve"> </w:t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</w:t>
      </w:r>
      <w:r>
        <w:t xml:space="preserve"> </w:t>
      </w:r>
      <w:r>
        <w:t xml:space="preserve">measure</w:t>
      </w:r>
      <w:r>
        <w:t xml:space="preserve"> </w:t>
      </w:r>
      <w:r>
        <w:t xml:space="preserve">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</w:t>
      </w:r>
      <w:r>
        <w:t xml:space="preserve"> </w:t>
      </w:r>
      <w:r>
        <w:t xml:space="preserve">(if</w:t>
      </w:r>
      <w:r>
        <w:t xml:space="preserve"> </w:t>
      </w:r>
      <w:r>
        <w:t xml:space="preserve">applicable)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of bank</w:t>
      </w:r>
      <w:r>
        <w:t xml:space="preserve"> </w:t>
      </w:r>
      <w:r>
        <w:t xml:space="preserve">Piraeus</w:t>
      </w:r>
      <w:r>
        <w:t xml:space="preserve"> </w:t>
      </w:r>
      <w:r>
        <w:t xml:space="preserve">Bank544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November 2015</w:t>
      </w:r>
      <w:r>
        <w:t xml:space="preserve"> </w:t>
      </w:r>
      <w:r>
        <w:t xml:space="preserve">Received precautionary recapitalisation</w:t>
      </w:r>
      <w:r>
        <w:t xml:space="preserve"> </w:t>
      </w:r>
      <w:r>
        <w:t xml:space="preserve">EUR 2.7 bn</w:t>
      </w:r>
      <w:r>
        <w:t xml:space="preserve"> </w:t>
      </w:r>
      <w:r>
        <w:t xml:space="preserve">In operation</w:t>
      </w:r>
      <w:r>
        <w:t xml:space="preserve"> </w:t>
      </w:r>
      <w:r>
        <w:t xml:space="preserve">3. FAILING OR LIKELY TO FAIL BANKS: NATIONAL INSOLVENCY PROCEEDINGS (NEGATIVE PIA)</w:t>
      </w:r>
      <w:r>
        <w:br/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 time 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</w:t>
      </w:r>
      <w:r>
        <w:br/>
      </w:r>
      <w:r>
        <w:t xml:space="preserve">measure 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 (if applicable)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of bank</w:t>
      </w:r>
      <w:r>
        <w:t xml:space="preserve"> </w:t>
      </w:r>
      <w:r>
        <w:t xml:space="preserve">Banca</w:t>
      </w:r>
      <w:r>
        <w:t xml:space="preserve"> </w:t>
      </w:r>
      <w:r>
        <w:t xml:space="preserve">Popolare</w:t>
      </w:r>
      <w:r>
        <w:t xml:space="preserve"> </w:t>
      </w:r>
      <w:r>
        <w:t xml:space="preserve">di</w:t>
      </w:r>
      <w:r>
        <w:t xml:space="preserve"> </w:t>
      </w:r>
      <w:r>
        <w:t xml:space="preserve">Vicenza545</w:t>
      </w:r>
      <w:r>
        <w:t xml:space="preserve"> </w:t>
      </w:r>
      <w:r>
        <w:t xml:space="preserve">EUR 34.4 bn</w:t>
      </w:r>
      <w:r>
        <w:br/>
      </w:r>
      <w:r>
        <w:t xml:space="preserve">(2016)</w:t>
      </w:r>
      <w:r>
        <w:t xml:space="preserve"> </w:t>
      </w:r>
      <w:r>
        <w:t xml:space="preserve">IT</w:t>
      </w:r>
      <w:r>
        <w:t xml:space="preserve"> </w:t>
      </w:r>
      <w:r>
        <w:t xml:space="preserve">June 2017</w:t>
      </w:r>
      <w:r>
        <w:t xml:space="preserve"> </w:t>
      </w:r>
      <w:r>
        <w:t xml:space="preserve">Declared FOLF by ECB; negative PIA by SRB; entered</w:t>
      </w:r>
      <w:r>
        <w:t xml:space="preserve"> </w:t>
      </w:r>
      <w:r>
        <w:t xml:space="preserve">compulsory administrative liquidation under management of Bank</w:t>
      </w:r>
      <w:r>
        <w:t xml:space="preserve"> </w:t>
      </w:r>
      <w:r>
        <w:t xml:space="preserve">of Italy and granted cash injection and guarantees by the State in</w:t>
      </w:r>
      <w:r>
        <w:t xml:space="preserve"> </w:t>
      </w:r>
      <w:r>
        <w:t xml:space="preserve">order to facilitate the transfer to Intesa Bank.</w:t>
      </w:r>
      <w:r>
        <w:t xml:space="preserve"> </w:t>
      </w:r>
      <w:r>
        <w:t xml:space="preserve">EUR 4.8 bn cash</w:t>
      </w:r>
      <w:r>
        <w:t xml:space="preserve"> </w:t>
      </w:r>
      <w:r>
        <w:t xml:space="preserve">injection and up to</w:t>
      </w:r>
      <w:r>
        <w:t xml:space="preserve"> </w:t>
      </w:r>
      <w:r>
        <w:t xml:space="preserve">EUR 12.7 bn guarantees</w:t>
      </w:r>
      <w:r>
        <w:t xml:space="preserve"> </w:t>
      </w:r>
      <w:r>
        <w:t xml:space="preserve">for the combined sale of</w:t>
      </w:r>
      <w:r>
        <w:t xml:space="preserve"> </w:t>
      </w:r>
      <w:r>
        <w:t xml:space="preserve">Banca Popolare di</w:t>
      </w:r>
      <w:r>
        <w:t xml:space="preserve"> </w:t>
      </w:r>
      <w:r>
        <w:t xml:space="preserve">Vicenza and Veneto</w:t>
      </w:r>
      <w:r>
        <w:t xml:space="preserve"> </w:t>
      </w:r>
      <w:r>
        <w:t xml:space="preserve">Banca.</w:t>
      </w:r>
      <w:r>
        <w:t xml:space="preserve"> </w:t>
      </w:r>
      <w:r>
        <w:t xml:space="preserve">Acquired</w:t>
      </w:r>
      <w:r>
        <w:t xml:space="preserve"> </w:t>
      </w:r>
      <w:r>
        <w:t xml:space="preserve">Veneto Banca</w:t>
      </w:r>
      <w:r>
        <w:t xml:space="preserve"> </w:t>
      </w:r>
      <w:r>
        <w:t xml:space="preserve">EUR 28 bn</w:t>
      </w:r>
      <w:r>
        <w:br/>
      </w:r>
      <w:r>
        <w:t xml:space="preserve">(2016)</w:t>
      </w:r>
      <w:r>
        <w:t xml:space="preserve"> </w:t>
      </w:r>
      <w:r>
        <w:t xml:space="preserve">IT</w:t>
      </w:r>
      <w:r>
        <w:t xml:space="preserve"> </w:t>
      </w:r>
      <w:r>
        <w:t xml:space="preserve">June 2017</w:t>
      </w:r>
      <w:r>
        <w:t xml:space="preserve"> </w:t>
      </w:r>
      <w:r>
        <w:t xml:space="preserve">Acquired</w:t>
      </w:r>
      <w:r>
        <w:t xml:space="preserve"> </w:t>
      </w:r>
      <w:r>
        <w:t xml:space="preserve">Banca</w:t>
      </w:r>
      <w:r>
        <w:t xml:space="preserve"> </w:t>
      </w:r>
      <w:r>
        <w:t xml:space="preserve">Sviluppo</w:t>
      </w:r>
      <w:r>
        <w:t xml:space="preserve"> </w:t>
      </w:r>
      <w:r>
        <w:t xml:space="preserve">N.A.</w:t>
      </w:r>
      <w:r>
        <w:t xml:space="preserve"> </w:t>
      </w:r>
      <w:r>
        <w:t xml:space="preserve">IT</w:t>
      </w:r>
      <w:r>
        <w:t xml:space="preserve"> </w:t>
      </w:r>
      <w:r>
        <w:t xml:space="preserve">July 2018</w:t>
      </w:r>
      <w:r>
        <w:t xml:space="preserve"> </w:t>
      </w:r>
      <w:r>
        <w:t xml:space="preserve">Declared FOLF with subsequent negative PIA by the Bank of Italy;</w:t>
      </w:r>
      <w:r>
        <w:t xml:space="preserve"> </w:t>
      </w:r>
      <w:r>
        <w:t xml:space="preserve">entered into compulsory administrative liquidation under the</w:t>
      </w:r>
      <w:r>
        <w:t xml:space="preserve"> </w:t>
      </w:r>
      <w:r>
        <w:t xml:space="preserve">management of Bank of Italy, while assets and liabilities were</w:t>
      </w:r>
      <w:r>
        <w:t xml:space="preserve"> </w:t>
      </w:r>
      <w:r>
        <w:t xml:space="preserve">transferred to Banca Agricola Popolare di Ragusa.</w:t>
      </w:r>
      <w:r>
        <w:br/>
      </w:r>
      <w:r>
        <w:t xml:space="preserve">The Italian DGS (FITD)</w:t>
      </w:r>
      <w:r>
        <w:t xml:space="preserve"> </w:t>
      </w:r>
      <w:r>
        <w:t xml:space="preserve">provided contribution for</w:t>
      </w:r>
      <w:r>
        <w:t xml:space="preserve"> </w:t>
      </w:r>
      <w:r>
        <w:t xml:space="preserve">the transfer of assets and</w:t>
      </w:r>
      <w:r>
        <w:t xml:space="preserve"> </w:t>
      </w:r>
      <w:r>
        <w:t xml:space="preserve">liabilities to the acquirer.</w:t>
      </w:r>
      <w:r>
        <w:t xml:space="preserve"> </w:t>
      </w:r>
      <w:r>
        <w:t xml:space="preserve">Acquired</w:t>
      </w:r>
      <w:r>
        <w:t xml:space="preserve"> </w:t>
      </w:r>
      <w:r>
        <w:t xml:space="preserve">ABLV Bank</w:t>
      </w:r>
      <w:r>
        <w:t xml:space="preserve"> </w:t>
      </w:r>
      <w:r>
        <w:t xml:space="preserve">EUR 3.6 bn (Q3</w:t>
      </w:r>
      <w:r>
        <w:t xml:space="preserve"> </w:t>
      </w:r>
      <w:r>
        <w:t xml:space="preserve">2017)</w:t>
      </w:r>
    </w:p>
    <w:p>
      <w:pPr>
        <w:pStyle w:val="BodyText"/>
      </w:pPr>
      <w:r>
        <w:t xml:space="preserve">LV (and</w:t>
      </w:r>
      <w:r>
        <w:t xml:space="preserve"> </w:t>
      </w:r>
      <w:r>
        <w:t xml:space="preserve">subsidiary in</w:t>
      </w:r>
      <w:r>
        <w:t xml:space="preserve"> </w:t>
      </w:r>
      <w:r>
        <w:t xml:space="preserve">LU)</w:t>
      </w:r>
      <w:r>
        <w:t xml:space="preserve"> </w:t>
      </w:r>
      <w:r>
        <w:t xml:space="preserve">February 2018</w:t>
      </w:r>
      <w:r>
        <w:t xml:space="preserve"> </w:t>
      </w:r>
      <w:r>
        <w:t xml:space="preserve">Declared FOLF by ECB; negative PIA by SRB; ABLV entered</w:t>
      </w:r>
      <w:r>
        <w:t xml:space="preserve"> </w:t>
      </w:r>
      <w:r>
        <w:t xml:space="preserve">into self-liquidation. ABVL LU entered into normal insolvency</w:t>
      </w:r>
      <w:r>
        <w:t xml:space="preserve"> </w:t>
      </w:r>
      <w:r>
        <w:t xml:space="preserve">proceedings under LU law, following an extended period under a</w:t>
      </w:r>
      <w:r>
        <w:t xml:space="preserve"> </w:t>
      </w:r>
      <w:r>
        <w:t xml:space="preserve">moratorium regime.</w:t>
      </w:r>
      <w:r>
        <w:t xml:space="preserve"> </w:t>
      </w:r>
      <w:r>
        <w:t xml:space="preserve">No funds from the State</w:t>
      </w:r>
      <w:r>
        <w:t xml:space="preserve"> </w:t>
      </w:r>
      <w:r>
        <w:t xml:space="preserve">budget.</w:t>
      </w:r>
      <w:r>
        <w:t xml:space="preserve"> </w:t>
      </w:r>
      <w:r>
        <w:t xml:space="preserve">In liquidation</w:t>
      </w:r>
    </w:p>
    <w:p>
      <w:pPr>
        <w:pStyle w:val="BodyText"/>
      </w:pPr>
      <w:r>
        <w:t xml:space="preserve">543 Case State Aid SA.43365 (2015/N)</w:t>
      </w:r>
      <w:r>
        <w:t xml:space="preserve"> </w:t>
      </w:r>
      <w:r>
        <w:t xml:space="preserve">544 Case SA.43464 (2015/N)</w:t>
      </w:r>
      <w:r>
        <w:t xml:space="preserve"> </w:t>
      </w:r>
      <w:r>
        <w:t xml:space="preserve">545 Case SA.45664 (2017/N)</w:t>
      </w:r>
    </w:p>
    <w:p>
      <w:pPr>
        <w:pStyle w:val="BodyText"/>
      </w:pPr>
      <w:r>
        <w:t xml:space="preserve">352</w:t>
      </w:r>
      <w:r>
        <w:t xml:space="preserve"> </w:t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 time 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</w:t>
      </w:r>
      <w:r>
        <w:br/>
      </w:r>
      <w:r>
        <w:t xml:space="preserve">measure 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 (if applicable)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of bank</w:t>
      </w:r>
      <w:r>
        <w:t xml:space="preserve"> </w:t>
      </w:r>
      <w:r>
        <w:t xml:space="preserve">PNB Banka</w:t>
      </w:r>
      <w:r>
        <w:t xml:space="preserve"> </w:t>
      </w:r>
      <w:r>
        <w:t xml:space="preserve">EUR 0.6 bn (Q1</w:t>
      </w:r>
      <w:r>
        <w:t xml:space="preserve"> </w:t>
      </w:r>
      <w:r>
        <w:t xml:space="preserve">2019)</w:t>
      </w:r>
      <w:r>
        <w:t xml:space="preserve"> </w:t>
      </w:r>
      <w:r>
        <w:t xml:space="preserve">LV</w:t>
      </w:r>
      <w:r>
        <w:t xml:space="preserve"> </w:t>
      </w:r>
      <w:r>
        <w:t xml:space="preserve">August 2019</w:t>
      </w:r>
      <w:r>
        <w:t xml:space="preserve"> </w:t>
      </w:r>
      <w:r>
        <w:t xml:space="preserve">Declared FOLF by ECB; negative PIA by SRB; entered normal</w:t>
      </w:r>
      <w:r>
        <w:t xml:space="preserve"> </w:t>
      </w:r>
      <w:r>
        <w:t xml:space="preserve">insolvency proceedings under LV law.</w:t>
      </w:r>
      <w:r>
        <w:t xml:space="preserve"> </w:t>
      </w:r>
      <w:r>
        <w:t xml:space="preserve">No funds from the State</w:t>
      </w:r>
      <w:r>
        <w:t xml:space="preserve"> </w:t>
      </w:r>
      <w:r>
        <w:t xml:space="preserve">budget.</w:t>
      </w:r>
      <w:r>
        <w:t xml:space="preserve"> </w:t>
      </w:r>
      <w:r>
        <w:t xml:space="preserve">In liquidation</w:t>
      </w:r>
      <w:r>
        <w:t xml:space="preserve"> </w:t>
      </w:r>
      <w:r>
        <w:t xml:space="preserve">Aigis</w:t>
      </w:r>
      <w:r>
        <w:br/>
      </w:r>
      <w:r>
        <w:t xml:space="preserve">Banca 546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IT</w:t>
      </w:r>
      <w:r>
        <w:t xml:space="preserve"> </w:t>
      </w:r>
      <w:r>
        <w:t xml:space="preserve">May 2021</w:t>
      </w:r>
      <w:r>
        <w:t xml:space="preserve"> </w:t>
      </w:r>
      <w:r>
        <w:t xml:space="preserve">Declared FOLF with subsequent negative PIA by the Bank of</w:t>
      </w:r>
      <w:r>
        <w:t xml:space="preserve"> </w:t>
      </w:r>
      <w:r>
        <w:t xml:space="preserve">Italy; entered into compulsory administrative liquidation under the</w:t>
      </w:r>
      <w:r>
        <w:t xml:space="preserve"> </w:t>
      </w:r>
      <w:r>
        <w:t xml:space="preserve">management of Bank of Italy, while assets and liabilities were</w:t>
      </w:r>
      <w:r>
        <w:t xml:space="preserve"> </w:t>
      </w:r>
      <w:r>
        <w:t xml:space="preserve">transferred to Banca Ifis.</w:t>
      </w:r>
      <w:r>
        <w:t xml:space="preserve"> </w:t>
      </w:r>
      <w:r>
        <w:t xml:space="preserve">The Italian DGS (FITD)</w:t>
      </w:r>
      <w:r>
        <w:t xml:space="preserve"> </w:t>
      </w:r>
      <w:r>
        <w:t xml:space="preserve">provided contribution for</w:t>
      </w:r>
      <w:r>
        <w:t xml:space="preserve"> </w:t>
      </w:r>
      <w:r>
        <w:t xml:space="preserve">the transfer of assets and</w:t>
      </w:r>
      <w:r>
        <w:t xml:space="preserve"> </w:t>
      </w:r>
      <w:r>
        <w:t xml:space="preserve">liabilities to the acquirer.</w:t>
      </w:r>
      <w:r>
        <w:t xml:space="preserve"> </w:t>
      </w:r>
      <w:r>
        <w:t xml:space="preserve">Acquired</w:t>
      </w:r>
    </w:p>
    <w:p>
      <w:pPr>
        <w:pStyle w:val="BodyText"/>
      </w:pPr>
      <w:r>
        <w:t xml:space="preserve">546 Source : EBA Notification on the use of available financial means of Italian DGS FITD - Article 11(6) of Directive 2014/49/EU</w:t>
      </w:r>
    </w:p>
    <w:p>
      <w:pPr>
        <w:pStyle w:val="BodyText"/>
      </w:pPr>
      <w:r>
        <w:t xml:space="preserve">353</w:t>
      </w:r>
      <w:r>
        <w:t xml:space="preserve"> </w:t>
      </w:r>
      <w:r>
        <w:t xml:space="preserve">4. FAILING OR LIKELY TO FAIL BANKS: RESOLUTION (POSITIVE PIA)</w:t>
      </w:r>
      <w:r>
        <w:br/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</w:t>
      </w:r>
      <w:r>
        <w:t xml:space="preserve"> </w:t>
      </w:r>
      <w:r>
        <w:t xml:space="preserve">measure</w:t>
      </w:r>
      <w:r>
        <w:t xml:space="preserve"> </w:t>
      </w:r>
      <w:r>
        <w:t xml:space="preserve">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 (if applicable)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of bank</w:t>
      </w:r>
      <w:r>
        <w:t xml:space="preserve"> </w:t>
      </w:r>
      <w:r>
        <w:t xml:space="preserve">Banca</w:t>
      </w:r>
      <w:r>
        <w:t xml:space="preserve"> </w:t>
      </w:r>
      <w:r>
        <w:t xml:space="preserve">delle</w:t>
      </w:r>
      <w:r>
        <w:t xml:space="preserve"> </w:t>
      </w:r>
      <w:r>
        <w:t xml:space="preserve">Marche,</w:t>
      </w:r>
      <w:r>
        <w:t xml:space="preserve"> </w:t>
      </w:r>
      <w:r>
        <w:t xml:space="preserve">Banca Etruria,</w:t>
      </w:r>
      <w:r>
        <w:t xml:space="preserve"> </w:t>
      </w:r>
      <w:r>
        <w:t xml:space="preserve">Cassa</w:t>
      </w:r>
      <w:r>
        <w:t xml:space="preserve"> </w:t>
      </w:r>
      <w:r>
        <w:t xml:space="preserve">di</w:t>
      </w:r>
      <w:r>
        <w:t xml:space="preserve"> </w:t>
      </w:r>
      <w:r>
        <w:t xml:space="preserve">risparmio</w:t>
      </w:r>
      <w:r>
        <w:t xml:space="preserve"> </w:t>
      </w:r>
      <w:r>
        <w:t xml:space="preserve">di</w:t>
      </w:r>
      <w:r>
        <w:t xml:space="preserve"> </w:t>
      </w:r>
      <w:r>
        <w:t xml:space="preserve">Ferrra, Cassa</w:t>
      </w:r>
      <w:r>
        <w:t xml:space="preserve"> </w:t>
      </w:r>
      <w:r>
        <w:t xml:space="preserve">di</w:t>
      </w:r>
      <w:r>
        <w:t xml:space="preserve"> </w:t>
      </w:r>
      <w:r>
        <w:t xml:space="preserve">risparmio</w:t>
      </w:r>
      <w:r>
        <w:t xml:space="preserve"> </w:t>
      </w:r>
      <w:r>
        <w:t xml:space="preserve">di Chieti547</w:t>
      </w:r>
      <w:r>
        <w:t xml:space="preserve"> </w:t>
      </w:r>
      <w:r>
        <w:t xml:space="preserve">EUR 22.7 bn,</w:t>
      </w:r>
      <w:r>
        <w:t xml:space="preserve"> </w:t>
      </w:r>
      <w:r>
        <w:t xml:space="preserve">EUR 12.3 bn,</w:t>
      </w:r>
      <w:r>
        <w:t xml:space="preserve"> </w:t>
      </w:r>
      <w:r>
        <w:t xml:space="preserve">EUR 6.9 bn,</w:t>
      </w:r>
      <w:r>
        <w:t xml:space="preserve"> </w:t>
      </w:r>
      <w:r>
        <w:t xml:space="preserve">EUR 4.7 bn</w:t>
      </w:r>
      <w:r>
        <w:t xml:space="preserve"> </w:t>
      </w:r>
      <w:r>
        <w:t xml:space="preserve">(latest published</w:t>
      </w:r>
      <w:r>
        <w:t xml:space="preserve"> </w:t>
      </w:r>
      <w:r>
        <w:t xml:space="preserve">figures at 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measures)</w:t>
      </w:r>
      <w:r>
        <w:t xml:space="preserve"> </w:t>
      </w:r>
      <w:r>
        <w:t xml:space="preserve">IT</w:t>
      </w:r>
      <w:r>
        <w:t xml:space="preserve"> </w:t>
      </w:r>
      <w:r>
        <w:t xml:space="preserve">November 2015; The four banks were put in resolution with the use of four bridge</w:t>
      </w:r>
      <w:r>
        <w:t xml:space="preserve"> </w:t>
      </w:r>
      <w:r>
        <w:t xml:space="preserve">banks and an asset management vehicle (AMV). The Italian</w:t>
      </w:r>
      <w:r>
        <w:t xml:space="preserve"> </w:t>
      </w:r>
      <w:r>
        <w:t xml:space="preserve">resolution fund provided support to the bridge banks to cover the</w:t>
      </w:r>
      <w:r>
        <w:t xml:space="preserve"> </w:t>
      </w:r>
      <w:r>
        <w:t xml:space="preserve">difference between assets and liabilities and to capitalise them. It</w:t>
      </w:r>
      <w:r>
        <w:t xml:space="preserve"> </w:t>
      </w:r>
      <w:r>
        <w:t xml:space="preserve">also provided guarantees for the transfer of assets to the AMV.</w:t>
      </w:r>
      <w:r>
        <w:t xml:space="preserve"> </w:t>
      </w:r>
      <w:r>
        <w:t xml:space="preserve">The decision pre-dates the entry into force of the BRRD</w:t>
      </w:r>
      <w:r>
        <w:t xml:space="preserve"> </w:t>
      </w:r>
      <w:r>
        <w:t xml:space="preserve">provisions on bail-in. Therefore only the burden sharing</w:t>
      </w:r>
      <w:r>
        <w:t xml:space="preserve"> </w:t>
      </w:r>
      <w:r>
        <w:t xml:space="preserve">requirements under State aid rules (requiring shareholders and</w:t>
      </w:r>
      <w:r>
        <w:t xml:space="preserve"> </w:t>
      </w:r>
      <w:r>
        <w:t xml:space="preserve">subordinated debt holders to be written down) were applied.</w:t>
      </w:r>
      <w:r>
        <w:br/>
      </w:r>
      <w:r>
        <w:t xml:space="preserve">No funds from the State</w:t>
      </w:r>
      <w:r>
        <w:t xml:space="preserve"> </w:t>
      </w:r>
      <w:r>
        <w:t xml:space="preserve">budget.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resolution</w:t>
      </w:r>
      <w:r>
        <w:t xml:space="preserve"> </w:t>
      </w:r>
      <w:r>
        <w:t xml:space="preserve">fund</w:t>
      </w:r>
      <w:r>
        <w:t xml:space="preserve"> </w:t>
      </w:r>
      <w:r>
        <w:t xml:space="preserve">contributed EUR 3.6 bn</w:t>
      </w:r>
      <w:r>
        <w:t xml:space="preserve"> </w:t>
      </w:r>
      <w:r>
        <w:t xml:space="preserve">(EUR 1.7 bn to absorb</w:t>
      </w:r>
      <w:r>
        <w:t xml:space="preserve"> </w:t>
      </w:r>
      <w:r>
        <w:t xml:space="preserve">losses, EUR 1.8 bn to</w:t>
      </w:r>
      <w:r>
        <w:t xml:space="preserve"> </w:t>
      </w:r>
      <w:r>
        <w:t xml:space="preserve">capitalise</w:t>
      </w:r>
      <w:r>
        <w:t xml:space="preserve"> </w:t>
      </w:r>
      <w:r>
        <w:t xml:space="preserve">the</w:t>
      </w:r>
      <w:r>
        <w:t xml:space="preserve"> </w:t>
      </w:r>
      <w:r>
        <w:t xml:space="preserve">bridge</w:t>
      </w:r>
      <w:r>
        <w:t xml:space="preserve"> </w:t>
      </w:r>
      <w:r>
        <w:t xml:space="preserve">banks and EUR 0.1 bn to</w:t>
      </w:r>
      <w:r>
        <w:t xml:space="preserve"> </w:t>
      </w:r>
      <w:r>
        <w:t xml:space="preserve">capitalise</w:t>
      </w:r>
      <w:r>
        <w:t xml:space="preserve"> </w:t>
      </w:r>
      <w:r>
        <w:t xml:space="preserve">the</w:t>
      </w:r>
      <w:r>
        <w:t xml:space="preserve"> </w:t>
      </w:r>
      <w:r>
        <w:t xml:space="preserve">AMV),</w:t>
      </w:r>
      <w:r>
        <w:t xml:space="preserve"> </w:t>
      </w:r>
      <w:r>
        <w:t xml:space="preserve">EUR 0.4 bn (guarantees</w:t>
      </w:r>
      <w:r>
        <w:t xml:space="preserve"> </w:t>
      </w:r>
      <w:r>
        <w:t xml:space="preserve">on the AMV’s liabilities)</w:t>
      </w:r>
      <w:r>
        <w:t xml:space="preserve"> </w:t>
      </w:r>
      <w:r>
        <w:t xml:space="preserve">Acquired</w:t>
      </w:r>
      <w:r>
        <w:t xml:space="preserve"> </w:t>
      </w:r>
      <w:r>
        <w:t xml:space="preserve">Banco</w:t>
      </w:r>
      <w:r>
        <w:t xml:space="preserve"> </w:t>
      </w:r>
      <w:r>
        <w:t xml:space="preserve">Popular</w:t>
      </w:r>
      <w:r>
        <w:t xml:space="preserve"> </w:t>
      </w:r>
      <w:r>
        <w:t xml:space="preserve">Español548</w:t>
      </w:r>
      <w:r>
        <w:br/>
      </w:r>
      <w:r>
        <w:t xml:space="preserve">EUR 147 bn</w:t>
      </w:r>
      <w:r>
        <w:br/>
      </w:r>
      <w:r>
        <w:t xml:space="preserve">(2017)</w:t>
      </w:r>
      <w:r>
        <w:t xml:space="preserve"> </w:t>
      </w:r>
      <w:r>
        <w:t xml:space="preserve">ES</w:t>
      </w:r>
      <w:r>
        <w:br/>
      </w:r>
      <w:r>
        <w:t xml:space="preserve">June 2017</w:t>
      </w:r>
      <w:r>
        <w:t xml:space="preserve"> </w:t>
      </w:r>
      <w:r>
        <w:t xml:space="preserve">Determined as failing or likely to fail (FOLF) by ECB; placed</w:t>
      </w:r>
      <w:r>
        <w:t xml:space="preserve"> </w:t>
      </w:r>
      <w:r>
        <w:t xml:space="preserve">into resolution by the SRB; losses absorbed by equity and</w:t>
      </w:r>
      <w:r>
        <w:t xml:space="preserve"> </w:t>
      </w:r>
      <w:r>
        <w:t xml:space="preserve">subordinated debt; sale to Banco Santander S.A. for EUR 1</w:t>
      </w:r>
      <w:r>
        <w:t xml:space="preserve"> </w:t>
      </w:r>
      <w:r>
        <w:t xml:space="preserve">No public funds used</w:t>
      </w:r>
      <w:r>
        <w:t xml:space="preserve"> </w:t>
      </w:r>
      <w:r>
        <w:t xml:space="preserve">and no funds used from</w:t>
      </w:r>
      <w:r>
        <w:t xml:space="preserve"> </w:t>
      </w:r>
      <w:r>
        <w:t xml:space="preserve">the resolution fund.</w:t>
      </w:r>
      <w:r>
        <w:t xml:space="preserve"> </w:t>
      </w:r>
      <w:r>
        <w:t xml:space="preserve">Acquired</w:t>
      </w:r>
      <w:r>
        <w:t xml:space="preserve"> </w:t>
      </w:r>
      <w:r>
        <w:t xml:space="preserve">KØBENHAV</w:t>
      </w:r>
      <w:r>
        <w:t xml:space="preserve"> </w:t>
      </w:r>
      <w:r>
        <w:t xml:space="preserve">NS</w:t>
      </w:r>
      <w:r>
        <w:t xml:space="preserve"> </w:t>
      </w:r>
      <w:r>
        <w:t xml:space="preserve">ANDELSKA</w:t>
      </w:r>
      <w:r>
        <w:t xml:space="preserve"> </w:t>
      </w:r>
      <w:r>
        <w:t xml:space="preserve">SSE(*)549</w:t>
      </w:r>
      <w:r>
        <w:t xml:space="preserve"> </w:t>
      </w:r>
      <w:r>
        <w:t xml:space="preserve">DKK 370 m</w:t>
      </w:r>
      <w:r>
        <w:t xml:space="preserve"> </w:t>
      </w:r>
      <w:r>
        <w:t xml:space="preserve">DK</w:t>
      </w:r>
      <w:r>
        <w:t xml:space="preserve"> </w:t>
      </w:r>
      <w:r>
        <w:t xml:space="preserve">September 2018</w:t>
      </w:r>
      <w:r>
        <w:t xml:space="preserve"> </w:t>
      </w:r>
      <w:r>
        <w:t xml:space="preserve">Was declared FOLF and put in resolution by the Danish</w:t>
      </w:r>
      <w:r>
        <w:t xml:space="preserve"> </w:t>
      </w:r>
      <w:r>
        <w:t xml:space="preserve">authorities. All creditors, with the exclusion only of covered</w:t>
      </w:r>
      <w:r>
        <w:t xml:space="preserve"> </w:t>
      </w:r>
      <w:r>
        <w:t xml:space="preserve">deposits and non-bailinable liabilities, were bailed-in in full. The</w:t>
      </w:r>
      <w:r>
        <w:t xml:space="preserve"> </w:t>
      </w:r>
      <w:r>
        <w:t xml:space="preserve">DGS contributed to support cover depositors. New capital</w:t>
      </w:r>
      <w:r>
        <w:t xml:space="preserve"> </w:t>
      </w:r>
      <w:r>
        <w:t xml:space="preserve">provided by a bridge bank (which became the owner of the</w:t>
      </w:r>
      <w:r>
        <w:t xml:space="preserve"> </w:t>
      </w:r>
      <w:r>
        <w:t xml:space="preserve">bank).</w:t>
      </w:r>
      <w:r>
        <w:t xml:space="preserve"> </w:t>
      </w:r>
      <w:r>
        <w:t xml:space="preserve">No funds from the State</w:t>
      </w:r>
      <w:r>
        <w:t xml:space="preserve"> </w:t>
      </w:r>
      <w:r>
        <w:t xml:space="preserve">budget.</w:t>
      </w:r>
      <w:r>
        <w:t xml:space="preserve"> </w:t>
      </w:r>
      <w:r>
        <w:t xml:space="preserve">The</w:t>
      </w:r>
      <w:r>
        <w:t xml:space="preserve"> </w:t>
      </w:r>
      <w:r>
        <w:t xml:space="preserve">DGS</w:t>
      </w:r>
      <w:r>
        <w:t xml:space="preserve"> </w:t>
      </w:r>
      <w:r>
        <w:t xml:space="preserve">absorbed losses in lieu of</w:t>
      </w:r>
      <w:r>
        <w:t xml:space="preserve"> </w:t>
      </w:r>
      <w:r>
        <w:t xml:space="preserve">covered deposits. The</w:t>
      </w:r>
      <w:r>
        <w:t xml:space="preserve"> </w:t>
      </w:r>
      <w:r>
        <w:t xml:space="preserve">national resolution fund</w:t>
      </w:r>
      <w:r>
        <w:t xml:space="preserve"> </w:t>
      </w:r>
      <w:r>
        <w:t xml:space="preserve">capitalised</w:t>
      </w:r>
      <w:r>
        <w:t xml:space="preserve"> </w:t>
      </w:r>
      <w:r>
        <w:t xml:space="preserve">the</w:t>
      </w:r>
      <w:r>
        <w:t xml:space="preserve"> </w:t>
      </w:r>
      <w:r>
        <w:t xml:space="preserve">bridge</w:t>
      </w:r>
      <w:r>
        <w:t xml:space="preserve"> </w:t>
      </w:r>
      <w:r>
        <w:t xml:space="preserve">institution.</w:t>
      </w:r>
      <w:r>
        <w:t xml:space="preserve"> </w:t>
      </w:r>
      <w:r>
        <w:t xml:space="preserve">In</w:t>
      </w:r>
      <w:r>
        <w:t xml:space="preserve"> </w:t>
      </w:r>
      <w:r>
        <w:t xml:space="preserve">operation,</w:t>
      </w:r>
      <w:r>
        <w:t xml:space="preserve"> </w:t>
      </w:r>
      <w:r>
        <w:t xml:space="preserve">restructuring.</w:t>
      </w:r>
    </w:p>
    <w:p>
      <w:pPr>
        <w:pStyle w:val="BodyText"/>
      </w:pPr>
      <w:r>
        <w:t xml:space="preserve">547 Case SA.39543 (2015/N) &amp; Case SA.43547 (2015/N)</w:t>
      </w:r>
      <w:r>
        <w:t xml:space="preserve"> </w:t>
      </w:r>
      <w:r>
        <w:t xml:space="preserve">548 Commission Decision of 7 June 2017 endorsing the resolution scheme for Banco Popular.</w:t>
      </w:r>
      <w:r>
        <w:t xml:space="preserve"> </w:t>
      </w:r>
      <w:r>
        <w:t xml:space="preserve">549 Source: EBA (2018), EBA acknowledges notifications from Finansiel Stabilitet</w:t>
      </w:r>
    </w:p>
    <w:p>
      <w:pPr>
        <w:pStyle w:val="BodyText"/>
      </w:pPr>
      <w:r>
        <w:t xml:space="preserve">354</w:t>
      </w:r>
      <w:r>
        <w:t xml:space="preserve"> </w:t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</w:t>
      </w:r>
      <w:r>
        <w:t xml:space="preserve"> </w:t>
      </w:r>
      <w:r>
        <w:t xml:space="preserve">measure</w:t>
      </w:r>
      <w:r>
        <w:t xml:space="preserve"> </w:t>
      </w:r>
      <w:r>
        <w:t xml:space="preserve">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 (if applicable)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of bank</w:t>
      </w:r>
      <w:r>
        <w:t xml:space="preserve"> </w:t>
      </w:r>
      <w:r>
        <w:t xml:space="preserve">Andelskassen</w:t>
      </w:r>
      <w:r>
        <w:t xml:space="preserve"> </w:t>
      </w:r>
      <w:r>
        <w:t xml:space="preserve">J.A.K.</w:t>
      </w:r>
      <w:r>
        <w:t xml:space="preserve"> </w:t>
      </w:r>
      <w:r>
        <w:t xml:space="preserve">Slagelse(</w:t>
      </w:r>
      <w:r>
        <w:rPr>
          <w:i/>
          <w:iCs/>
        </w:rPr>
        <w:t xml:space="preserve">)550</w:t>
      </w:r>
      <w:r>
        <w:rPr>
          <w:i/>
          <w:iCs/>
        </w:rPr>
        <w:t xml:space="preserve"> </w:t>
      </w:r>
      <w:r>
        <w:rPr>
          <w:i/>
          <w:iCs/>
        </w:rPr>
        <w:t xml:space="preserve">N.A.</w:t>
      </w:r>
      <w:r>
        <w:rPr>
          <w:i/>
          <w:iCs/>
        </w:rPr>
        <w:t xml:space="preserve"> </w:t>
      </w:r>
      <w:r>
        <w:rPr>
          <w:i/>
          <w:iCs/>
        </w:rPr>
        <w:t xml:space="preserve">DK</w:t>
      </w:r>
      <w:r>
        <w:rPr>
          <w:i/>
          <w:iCs/>
        </w:rPr>
        <w:t xml:space="preserve"> </w:t>
      </w:r>
      <w:r>
        <w:rPr>
          <w:i/>
          <w:iCs/>
        </w:rPr>
        <w:t xml:space="preserve">October 2015</w:t>
      </w:r>
      <w:r>
        <w:rPr>
          <w:i/>
          <w:iCs/>
        </w:rPr>
        <w:t xml:space="preserve"> </w:t>
      </w:r>
      <w:r>
        <w:rPr>
          <w:i/>
          <w:iCs/>
        </w:rPr>
        <w:t xml:space="preserve">Write-down and conversion of capital instruments, bail-in tool</w:t>
      </w:r>
      <w:r>
        <w:rPr>
          <w:i/>
          <w:iCs/>
        </w:rPr>
        <w:t xml:space="preserve"> </w:t>
      </w:r>
      <w:r>
        <w:rPr>
          <w:i/>
          <w:iCs/>
        </w:rPr>
        <w:t xml:space="preserve">and bridge institution tool.</w:t>
      </w:r>
      <w:r>
        <w:rPr>
          <w:i/>
          <w:iCs/>
        </w:rPr>
        <w:t xml:space="preserve"> </w:t>
      </w:r>
      <w:r>
        <w:rPr>
          <w:i/>
          <w:iCs/>
        </w:rPr>
        <w:t xml:space="preserve">No funds from the State</w:t>
      </w:r>
      <w:r>
        <w:rPr>
          <w:i/>
          <w:iCs/>
        </w:rPr>
        <w:t xml:space="preserve"> </w:t>
      </w:r>
      <w:r>
        <w:rPr>
          <w:i/>
          <w:iCs/>
        </w:rPr>
        <w:t xml:space="preserve">budget.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national</w:t>
      </w:r>
      <w:r>
        <w:rPr>
          <w:i/>
          <w:iCs/>
        </w:rPr>
        <w:t xml:space="preserve"> </w:t>
      </w:r>
      <w:r>
        <w:rPr>
          <w:i/>
          <w:iCs/>
        </w:rPr>
        <w:t xml:space="preserve">resolution</w:t>
      </w:r>
      <w:r>
        <w:rPr>
          <w:i/>
          <w:iCs/>
        </w:rPr>
        <w:t xml:space="preserve"> </w:t>
      </w:r>
      <w:r>
        <w:rPr>
          <w:i/>
          <w:iCs/>
        </w:rPr>
        <w:t xml:space="preserve">fund</w:t>
      </w:r>
      <w:r>
        <w:rPr>
          <w:i/>
          <w:iCs/>
        </w:rPr>
        <w:t xml:space="preserve"> </w:t>
      </w:r>
      <w:r>
        <w:rPr>
          <w:i/>
          <w:iCs/>
        </w:rPr>
        <w:t xml:space="preserve">capitalised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bridge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institution.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DGS</w:t>
      </w:r>
      <w:r>
        <w:rPr>
          <w:i/>
          <w:iCs/>
        </w:rPr>
        <w:t xml:space="preserve"> </w:t>
      </w:r>
      <w:r>
        <w:rPr>
          <w:i/>
          <w:iCs/>
        </w:rPr>
        <w:t xml:space="preserve">absorbed losses in lieu of</w:t>
      </w:r>
      <w:r>
        <w:rPr>
          <w:i/>
          <w:iCs/>
        </w:rPr>
        <w:t xml:space="preserve"> </w:t>
      </w:r>
      <w:r>
        <w:rPr>
          <w:i/>
          <w:iCs/>
        </w:rPr>
        <w:t xml:space="preserve">covered deposits.</w:t>
      </w:r>
      <w:r>
        <w:rPr>
          <w:i/>
          <w:iCs/>
        </w:rPr>
        <w:t xml:space="preserve"> </w:t>
      </w:r>
      <w:r>
        <w:rPr>
          <w:i/>
          <w:iCs/>
        </w:rPr>
        <w:t xml:space="preserve">Acquired</w:t>
      </w:r>
      <w:r>
        <w:rPr>
          <w:i/>
          <w:iCs/>
        </w:rPr>
        <w:t xml:space="preserve"> </w:t>
      </w:r>
      <w:r>
        <w:rPr>
          <w:i/>
          <w:iCs/>
        </w:rPr>
        <w:t xml:space="preserve">Idea Bank(</w:t>
      </w:r>
      <w:r>
        <w:t xml:space="preserve">)</w:t>
      </w:r>
      <w:r>
        <w:t xml:space="preserve"> </w:t>
      </w:r>
      <w:r>
        <w:t xml:space="preserve">PLN 15 000 bn</w:t>
      </w:r>
      <w:r>
        <w:t xml:space="preserve"> </w:t>
      </w:r>
      <w:r>
        <w:t xml:space="preserve">(approx.-Aug. </w:t>
      </w:r>
      <w:r>
        <w:t xml:space="preserve"> </w:t>
      </w:r>
      <w:r>
        <w:t xml:space="preserve">2020)</w:t>
      </w:r>
      <w:r>
        <w:t xml:space="preserve"> </w:t>
      </w:r>
      <w:r>
        <w:t xml:space="preserve">PL</w:t>
      </w:r>
      <w:r>
        <w:t xml:space="preserve"> </w:t>
      </w:r>
      <w:r>
        <w:t xml:space="preserve">December 2020</w:t>
      </w:r>
      <w:r>
        <w:t xml:space="preserve"> </w:t>
      </w:r>
      <w:r>
        <w:t xml:space="preserve">Sale of business tool</w:t>
      </w:r>
      <w:r>
        <w:t xml:space="preserve"> </w:t>
      </w:r>
      <w:r>
        <w:t xml:space="preserve">No funds from the State</w:t>
      </w:r>
      <w:r>
        <w:t xml:space="preserve"> </w:t>
      </w:r>
      <w:r>
        <w:t xml:space="preserve">budget.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resolution fund covered</w:t>
      </w:r>
      <w:r>
        <w:t xml:space="preserve"> </w:t>
      </w:r>
      <w:r>
        <w:t xml:space="preserve">the funding gap and</w:t>
      </w:r>
      <w:r>
        <w:t xml:space="preserve"> </w:t>
      </w:r>
      <w:r>
        <w:t xml:space="preserve">provided guarantees.</w:t>
      </w:r>
      <w:r>
        <w:t xml:space="preserve"> </w:t>
      </w:r>
      <w:r>
        <w:t xml:space="preserve">Acquired</w:t>
      </w:r>
      <w:r>
        <w:t xml:space="preserve"> </w:t>
      </w:r>
      <w:r>
        <w:t xml:space="preserve">Cooperative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Peloponnese</w:t>
      </w:r>
      <w:r>
        <w:t xml:space="preserve"> </w:t>
      </w:r>
      <w:r>
        <w:t xml:space="preserve">551</w:t>
      </w:r>
      <w:r>
        <w:t xml:space="preserve"> </w:t>
      </w:r>
      <w:r>
        <w:t xml:space="preserve">EUR 97 m</w:t>
      </w:r>
      <w:r>
        <w:t xml:space="preserve"> </w:t>
      </w:r>
      <w:r>
        <w:t xml:space="preserve">EL</w:t>
      </w:r>
      <w:r>
        <w:t xml:space="preserve"> </w:t>
      </w:r>
      <w:r>
        <w:t xml:space="preserve">December 2015</w:t>
      </w:r>
      <w:r>
        <w:t xml:space="preserve"> </w:t>
      </w:r>
      <w:r>
        <w:t xml:space="preserve">Sale of business tool</w:t>
      </w:r>
      <w:r>
        <w:t xml:space="preserve"> </w:t>
      </w:r>
      <w:r>
        <w:t xml:space="preserve">No funds from the State</w:t>
      </w:r>
      <w:r>
        <w:t xml:space="preserve"> </w:t>
      </w:r>
      <w:r>
        <w:t xml:space="preserve">budget.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resolution fund covered</w:t>
      </w:r>
      <w:r>
        <w:t xml:space="preserve"> </w:t>
      </w:r>
      <w:r>
        <w:t xml:space="preserve">the funding gap (up to</w:t>
      </w:r>
      <w:r>
        <w:t xml:space="preserve"> </w:t>
      </w:r>
      <w:r>
        <w:t xml:space="preserve">EUR 99.6 m).</w:t>
      </w:r>
      <w:r>
        <w:t xml:space="preserve"> </w:t>
      </w:r>
      <w:r>
        <w:t xml:space="preserve">Acquired</w:t>
      </w:r>
      <w:r>
        <w:t xml:space="preserve"> </w:t>
      </w:r>
      <w:r>
        <w:t xml:space="preserve">MKB552</w:t>
      </w:r>
      <w:r>
        <w:t xml:space="preserve"> </w:t>
      </w:r>
      <w:r>
        <w:t xml:space="preserve">HUF 1 944 bn</w:t>
      </w:r>
      <w:r>
        <w:t xml:space="preserve"> </w:t>
      </w:r>
      <w:r>
        <w:t xml:space="preserve">(end-2014,</w:t>
      </w:r>
      <w:r>
        <w:t xml:space="preserve"> </w:t>
      </w:r>
      <w:r>
        <w:t xml:space="preserve">consolidated)</w:t>
      </w:r>
      <w:r>
        <w:t xml:space="preserve"> </w:t>
      </w:r>
      <w:r>
        <w:t xml:space="preserve">HU</w:t>
      </w:r>
      <w:r>
        <w:t xml:space="preserve"> </w:t>
      </w:r>
      <w:r>
        <w:t xml:space="preserve">December 2015</w:t>
      </w:r>
      <w:r>
        <w:t xml:space="preserve"> </w:t>
      </w:r>
      <w:r>
        <w:t xml:space="preserve">Asset separation tool and sale of business tool.</w:t>
      </w:r>
      <w:r>
        <w:t xml:space="preserve"> </w:t>
      </w:r>
      <w:r>
        <w:t xml:space="preserve">MKB was a fully state</w:t>
      </w:r>
      <w:r>
        <w:t xml:space="preserve"> </w:t>
      </w:r>
      <w:r>
        <w:t xml:space="preserve">owned Bank at the time</w:t>
      </w:r>
      <w:r>
        <w:t xml:space="preserve"> </w:t>
      </w:r>
      <w:r>
        <w:t xml:space="preserve">of</w:t>
      </w:r>
      <w:r>
        <w:t xml:space="preserve"> </w:t>
      </w:r>
      <w:r>
        <w:t xml:space="preserve">resolution.</w:t>
      </w:r>
      <w:r>
        <w:t xml:space="preserve"> </w:t>
      </w:r>
      <w:r>
        <w:t xml:space="preserve">State</w:t>
      </w:r>
      <w:r>
        <w:t xml:space="preserve"> </w:t>
      </w:r>
      <w:r>
        <w:t xml:space="preserve">shares were fully bailed-</w:t>
      </w:r>
      <w:r>
        <w:t xml:space="preserve"> </w:t>
      </w:r>
      <w:r>
        <w:t xml:space="preserve">in.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resolution fund financed</w:t>
      </w:r>
      <w:r>
        <w:t xml:space="preserve"> </w:t>
      </w:r>
      <w:r>
        <w:t xml:space="preserve">the transfer of bad loans.</w:t>
      </w:r>
      <w:r>
        <w:t xml:space="preserve"> </w:t>
      </w:r>
      <w:r>
        <w:t xml:space="preserve">Acquired</w:t>
      </w:r>
    </w:p>
    <w:p>
      <w:pPr>
        <w:pStyle w:val="BodyText"/>
      </w:pPr>
      <w:r>
        <w:t xml:space="preserve">550 Source: EBA</w:t>
      </w:r>
      <w:r>
        <w:br/>
      </w:r>
      <w:r>
        <w:t xml:space="preserve">551 Case SA.43886 (2015/N)</w:t>
      </w:r>
      <w:r>
        <w:t xml:space="preserve"> </w:t>
      </w:r>
      <w:r>
        <w:t xml:space="preserve">552 Case SA.40441 (2015/N)</w:t>
      </w:r>
    </w:p>
    <w:p>
      <w:pPr>
        <w:pStyle w:val="BodyText"/>
      </w:pPr>
      <w:r>
        <w:t xml:space="preserve">355</w:t>
      </w:r>
      <w:r>
        <w:t xml:space="preserve"> </w:t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</w:t>
      </w:r>
      <w:r>
        <w:t xml:space="preserve"> </w:t>
      </w:r>
      <w:r>
        <w:t xml:space="preserve">measure</w:t>
      </w:r>
      <w:r>
        <w:t xml:space="preserve"> </w:t>
      </w:r>
      <w:r>
        <w:t xml:space="preserve">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 (if applicable)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of bank</w:t>
      </w:r>
      <w:r>
        <w:t xml:space="preserve"> </w:t>
      </w:r>
      <w:r>
        <w:t xml:space="preserve">Jadranska</w:t>
      </w:r>
      <w:r>
        <w:t xml:space="preserve"> </w:t>
      </w:r>
      <w:r>
        <w:t xml:space="preserve">banka</w:t>
      </w:r>
      <w:r>
        <w:t xml:space="preserve"> </w:t>
      </w:r>
      <w:r>
        <w:t xml:space="preserve">d.d.</w:t>
      </w:r>
      <w:r>
        <w:t xml:space="preserve"> </w:t>
      </w:r>
      <w:r>
        <w:t xml:space="preserve">Šibenik.(*)</w:t>
      </w:r>
      <w:r>
        <w:t xml:space="preserve"> </w:t>
      </w:r>
      <w:r>
        <w:t xml:space="preserve">Around</w:t>
      </w:r>
      <w:r>
        <w:t xml:space="preserve"> </w:t>
      </w:r>
      <w:r>
        <w:t xml:space="preserve">EUR 300 m</w:t>
      </w:r>
      <w:r>
        <w:t xml:space="preserve"> </w:t>
      </w:r>
      <w:r>
        <w:t xml:space="preserve">HR</w:t>
      </w:r>
      <w:r>
        <w:t xml:space="preserve"> </w:t>
      </w:r>
      <w:r>
        <w:t xml:space="preserve">October 2015</w:t>
      </w:r>
      <w:r>
        <w:t xml:space="preserve"> </w:t>
      </w:r>
      <w:r>
        <w:t xml:space="preserve">Bail-in tool, asset separation tool and sale of business tool.</w:t>
      </w:r>
      <w:r>
        <w:t xml:space="preserve"> </w:t>
      </w:r>
      <w:r>
        <w:t xml:space="preserve">No funds from the State</w:t>
      </w:r>
      <w:r>
        <w:t xml:space="preserve"> </w:t>
      </w:r>
      <w:r>
        <w:t xml:space="preserve">budget.</w:t>
      </w:r>
      <w:r>
        <w:t xml:space="preserve"> </w:t>
      </w:r>
      <w:r>
        <w:t xml:space="preserve">The</w:t>
      </w:r>
      <w:r>
        <w:t xml:space="preserve"> </w:t>
      </w:r>
      <w:r>
        <w:t xml:space="preserve">DGS</w:t>
      </w:r>
      <w:r>
        <w:t xml:space="preserve"> </w:t>
      </w:r>
      <w:r>
        <w:t xml:space="preserve">absorbed losses in lieu of</w:t>
      </w:r>
      <w:r>
        <w:t xml:space="preserve"> </w:t>
      </w:r>
      <w:r>
        <w:t xml:space="preserve">covered deposits.</w:t>
      </w:r>
      <w:r>
        <w:t xml:space="preserve"> </w:t>
      </w:r>
      <w:r>
        <w:t xml:space="preserve">The national resolution</w:t>
      </w:r>
      <w:r>
        <w:t xml:space="preserve"> </w:t>
      </w:r>
      <w:r>
        <w:t xml:space="preserve">fund</w:t>
      </w:r>
      <w:r>
        <w:t xml:space="preserve"> </w:t>
      </w:r>
      <w:r>
        <w:t xml:space="preserve">covered</w:t>
      </w:r>
      <w:r>
        <w:t xml:space="preserve"> </w:t>
      </w:r>
      <w:r>
        <w:t xml:space="preserve">the</w:t>
      </w:r>
      <w:r>
        <w:t xml:space="preserve"> </w:t>
      </w:r>
      <w:r>
        <w:t xml:space="preserve">remaining funding gap</w:t>
      </w:r>
      <w:r>
        <w:t xml:space="preserve"> </w:t>
      </w:r>
      <w:r>
        <w:t xml:space="preserve">and</w:t>
      </w:r>
      <w:r>
        <w:t xml:space="preserve"> </w:t>
      </w:r>
      <w:r>
        <w:t xml:space="preserve">recapitalised</w:t>
      </w:r>
      <w:r>
        <w:t xml:space="preserve"> </w:t>
      </w:r>
      <w:r>
        <w:t xml:space="preserve">the</w:t>
      </w:r>
      <w:r>
        <w:t xml:space="preserve"> </w:t>
      </w:r>
      <w:r>
        <w:t xml:space="preserve">transferred activities and</w:t>
      </w:r>
      <w:r>
        <w:t xml:space="preserve"> </w:t>
      </w:r>
      <w:r>
        <w:t xml:space="preserve">supported a transfer of</w:t>
      </w:r>
      <w:r>
        <w:t xml:space="preserve"> </w:t>
      </w:r>
      <w:r>
        <w:t xml:space="preserve">part of NPL to an</w:t>
      </w:r>
      <w:r>
        <w:t xml:space="preserve"> </w:t>
      </w:r>
      <w:r>
        <w:t xml:space="preserve">AMV553</w:t>
      </w:r>
      <w:r>
        <w:t xml:space="preserve"> </w:t>
      </w:r>
      <w:r>
        <w:t xml:space="preserve">Acquired</w:t>
      </w:r>
      <w:r>
        <w:t xml:space="preserve"> </w:t>
      </w:r>
      <w:r>
        <w:t xml:space="preserve">Panellinia</w:t>
      </w:r>
      <w:r>
        <w:t xml:space="preserve"> </w:t>
      </w:r>
      <w:r>
        <w:t xml:space="preserve">Bank554</w:t>
      </w:r>
      <w:r>
        <w:t xml:space="preserve"> </w:t>
      </w:r>
      <w:r>
        <w:t xml:space="preserve">N.A.</w:t>
      </w:r>
      <w:r>
        <w:t xml:space="preserve"> </w:t>
      </w:r>
      <w:r>
        <w:t xml:space="preserve">EL</w:t>
      </w:r>
      <w:r>
        <w:t xml:space="preserve"> </w:t>
      </w:r>
      <w:r>
        <w:t xml:space="preserve">April 2015</w:t>
      </w:r>
      <w:r>
        <w:t xml:space="preserve"> </w:t>
      </w:r>
      <w:r>
        <w:t xml:space="preserve">Sale of business tool.</w:t>
      </w:r>
      <w:r>
        <w:t xml:space="preserve"> </w:t>
      </w:r>
      <w:r>
        <w:t xml:space="preserve">No funds from the State</w:t>
      </w:r>
      <w:r>
        <w:t xml:space="preserve"> </w:t>
      </w:r>
      <w:r>
        <w:t xml:space="preserve">budget.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resolution fund covered</w:t>
      </w:r>
      <w:r>
        <w:t xml:space="preserve"> </w:t>
      </w:r>
      <w:r>
        <w:t xml:space="preserve">the funding gap.</w:t>
      </w:r>
      <w:r>
        <w:t xml:space="preserve"> </w:t>
      </w:r>
      <w:r>
        <w:t xml:space="preserve">Acquired</w:t>
      </w:r>
      <w:r>
        <w:t xml:space="preserve"> </w:t>
      </w:r>
      <w:r>
        <w:t xml:space="preserve">Getin</w:t>
      </w:r>
      <w:r>
        <w:br/>
      </w:r>
      <w:r>
        <w:t xml:space="preserve">Noble Bank</w:t>
      </w:r>
      <w:r>
        <w:t xml:space="preserve"> </w:t>
      </w:r>
      <w:r>
        <w:t xml:space="preserve">SA555</w:t>
      </w:r>
      <w:r>
        <w:t xml:space="preserve"> </w:t>
      </w:r>
      <w:r>
        <w:t xml:space="preserve">PLN 44 bn</w:t>
      </w:r>
      <w:r>
        <w:t xml:space="preserve"> </w:t>
      </w:r>
      <w:r>
        <w:t xml:space="preserve">(around EUR</w:t>
      </w:r>
      <w:r>
        <w:t xml:space="preserve"> </w:t>
      </w:r>
      <w:r>
        <w:t xml:space="preserve">9.2 bn)</w:t>
      </w:r>
      <w:r>
        <w:t xml:space="preserve"> </w:t>
      </w:r>
      <w:r>
        <w:t xml:space="preserve">PL</w:t>
      </w:r>
      <w:r>
        <w:t xml:space="preserve"> </w:t>
      </w:r>
      <w:r>
        <w:t xml:space="preserve">October 2022</w:t>
      </w:r>
      <w:r>
        <w:t xml:space="preserve"> </w:t>
      </w:r>
      <w:r>
        <w:t xml:space="preserve">Bail-in tool, bridge bank tool.</w:t>
      </w:r>
    </w:p>
    <w:p>
      <w:pPr>
        <w:pStyle w:val="BodyText"/>
      </w:pPr>
      <w:r>
        <w:t xml:space="preserve">The bridge bank was</w:t>
      </w:r>
      <w:r>
        <w:t xml:space="preserve"> </w:t>
      </w:r>
      <w:r>
        <w:t xml:space="preserve">supported with cash</w:t>
      </w:r>
      <w:r>
        <w:t xml:space="preserve"> </w:t>
      </w:r>
      <w:r>
        <w:t xml:space="preserve">injections of around</w:t>
      </w:r>
      <w:r>
        <w:t xml:space="preserve"> </w:t>
      </w:r>
      <w:r>
        <w:t xml:space="preserve">EUR 1.4 bn (PLN 6.9</w:t>
      </w:r>
      <w:r>
        <w:t xml:space="preserve"> </w:t>
      </w:r>
      <w:r>
        <w:t xml:space="preserve">bn), which were</w:t>
      </w:r>
      <w:r>
        <w:t xml:space="preserve"> </w:t>
      </w:r>
      <w:r>
        <w:t xml:space="preserve">provided by the</w:t>
      </w:r>
      <w:r>
        <w:t xml:space="preserve"> </w:t>
      </w:r>
      <w:r>
        <w:t xml:space="preserve">resolution fund and the</w:t>
      </w:r>
      <w:r>
        <w:t xml:space="preserve"> </w:t>
      </w:r>
      <w:r>
        <w:t xml:space="preserve">deposit guarantee</w:t>
      </w:r>
      <w:r>
        <w:t xml:space="preserve"> </w:t>
      </w:r>
      <w:r>
        <w:t xml:space="preserve">scheme. In addition, the</w:t>
      </w:r>
      <w:r>
        <w:t xml:space="preserve"> </w:t>
      </w:r>
      <w:r>
        <w:t xml:space="preserve">Polish Commercial</w:t>
      </w:r>
      <w:r>
        <w:t xml:space="preserve"> </w:t>
      </w:r>
      <w:r>
        <w:t xml:space="preserve">In operation as</w:t>
      </w:r>
      <w:r>
        <w:t xml:space="preserve"> </w:t>
      </w:r>
      <w:r>
        <w:t xml:space="preserve">a bridge bank,</w:t>
      </w:r>
      <w:r>
        <w:t xml:space="preserve"> </w:t>
      </w:r>
      <w:r>
        <w:t xml:space="preserve">until its</w:t>
      </w:r>
      <w:r>
        <w:t xml:space="preserve"> </w:t>
      </w:r>
      <w:r>
        <w:t xml:space="preserve">eventual sale to</w:t>
      </w:r>
      <w:r>
        <w:t xml:space="preserve"> </w:t>
      </w:r>
      <w:r>
        <w:t xml:space="preserve">a suitable</w:t>
      </w:r>
      <w:r>
        <w:t xml:space="preserve"> </w:t>
      </w:r>
      <w:r>
        <w:t xml:space="preserve">buyer.</w:t>
      </w:r>
    </w:p>
    <w:p>
      <w:pPr>
        <w:pStyle w:val="BodyText"/>
      </w:pPr>
      <w:r>
        <w:t xml:space="preserve">553 Source: Croatian Deposit Insurance Agency (2017).</w:t>
      </w:r>
      <w:r>
        <w:br/>
      </w:r>
      <w:r>
        <w:t xml:space="preserve">554 Case SA.41503 (2015/N)</w:t>
      </w:r>
      <w:r>
        <w:t xml:space="preserve"> </w:t>
      </w:r>
      <w:r>
        <w:t xml:space="preserve">555 Case SA. 100687 (2022/N)</w:t>
      </w:r>
    </w:p>
    <w:p>
      <w:pPr>
        <w:pStyle w:val="BodyText"/>
      </w:pPr>
      <w:r>
        <w:t xml:space="preserve">356</w:t>
      </w:r>
      <w:r>
        <w:t xml:space="preserve"> </w:t>
      </w:r>
      <w:r>
        <w:t xml:space="preserve">Bank</w:t>
      </w:r>
      <w:r>
        <w:t xml:space="preserve"> </w:t>
      </w:r>
      <w:r>
        <w:t xml:space="preserve">Balance sheet size</w:t>
      </w:r>
      <w:r>
        <w:t xml:space="preserve"> </w:t>
      </w:r>
      <w:r>
        <w:t xml:space="preserve">at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Home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Date</w:t>
      </w:r>
      <w:r>
        <w:t xml:space="preserve"> </w:t>
      </w:r>
      <w:r>
        <w:t xml:space="preserve">measure</w:t>
      </w:r>
      <w:r>
        <w:t xml:space="preserve"> </w:t>
      </w:r>
      <w:r>
        <w:t xml:space="preserve">taken</w:t>
      </w:r>
      <w:r>
        <w:t xml:space="preserve"> </w:t>
      </w:r>
      <w:r>
        <w:t xml:space="preserve">Description of measure taken</w:t>
      </w:r>
      <w:r>
        <w:t xml:space="preserve"> </w:t>
      </w:r>
      <w:r>
        <w:t xml:space="preserve">Amount / Source of</w:t>
      </w:r>
      <w:r>
        <w:t xml:space="preserve"> </w:t>
      </w:r>
      <w:r>
        <w:t xml:space="preserve">assistance (if applicable)</w:t>
      </w:r>
      <w:r>
        <w:t xml:space="preserve"> </w:t>
      </w:r>
      <w:r>
        <w:t xml:space="preserve">Current status</w:t>
      </w:r>
      <w:r>
        <w:t xml:space="preserve"> </w:t>
      </w:r>
      <w:r>
        <w:t xml:space="preserve">of bank</w:t>
      </w:r>
      <w:r>
        <w:t xml:space="preserve"> </w:t>
      </w:r>
      <w:r>
        <w:t xml:space="preserve">Banks’ Protection</w:t>
      </w:r>
      <w:r>
        <w:t xml:space="preserve"> </w:t>
      </w:r>
      <w:r>
        <w:t xml:space="preserve">System (SOBK)</w:t>
      </w:r>
      <w:r>
        <w:t xml:space="preserve"> </w:t>
      </w:r>
      <w:r>
        <w:t xml:space="preserve">comprising the 8 largest</w:t>
      </w:r>
      <w:r>
        <w:t xml:space="preserve"> </w:t>
      </w:r>
      <w:r>
        <w:t xml:space="preserve">commercial banks in the</w:t>
      </w:r>
      <w:r>
        <w:t xml:space="preserve"> </w:t>
      </w:r>
      <w:r>
        <w:t xml:space="preserve">PL market, voluntarily</w:t>
      </w:r>
      <w:r>
        <w:t xml:space="preserve"> </w:t>
      </w:r>
      <w:r>
        <w:t xml:space="preserve">decided to support the</w:t>
      </w:r>
      <w:r>
        <w:t xml:space="preserve"> </w:t>
      </w:r>
      <w:r>
        <w:t xml:space="preserve">operation (i) with around</w:t>
      </w:r>
      <w:r>
        <w:t xml:space="preserve"> </w:t>
      </w:r>
      <w:r>
        <w:t xml:space="preserve">EUR 735 m (PLN 3.5</w:t>
      </w:r>
      <w:r>
        <w:t xml:space="preserve"> </w:t>
      </w:r>
      <w:r>
        <w:t xml:space="preserve">bn) to absorb further</w:t>
      </w:r>
      <w:r>
        <w:t xml:space="preserve"> </w:t>
      </w:r>
      <w:r>
        <w:t xml:space="preserve">losses and (ii)</w:t>
      </w:r>
      <w:r>
        <w:t xml:space="preserve"> </w:t>
      </w:r>
      <w:r>
        <w:t xml:space="preserve">temporarily purchase a</w:t>
      </w:r>
      <w:r>
        <w:t xml:space="preserve"> </w:t>
      </w:r>
      <w:r>
        <w:t xml:space="preserve">49% share in the bridge</w:t>
      </w:r>
      <w:r>
        <w:t xml:space="preserve"> </w:t>
      </w:r>
      <w:r>
        <w:t xml:space="preserve">bank, which did not</w:t>
      </w:r>
      <w:r>
        <w:t xml:space="preserve"> </w:t>
      </w:r>
      <w:r>
        <w:t xml:space="preserve">constitute State aid.</w:t>
      </w:r>
      <w:r>
        <w:t xml:space="preserve"> </w:t>
      </w:r>
      <w:r>
        <w:t xml:space="preserve">Banco</w:t>
      </w:r>
      <w:r>
        <w:t xml:space="preserve"> </w:t>
      </w:r>
      <w:r>
        <w:t xml:space="preserve">Internacional</w:t>
      </w:r>
      <w:r>
        <w:t xml:space="preserve"> </w:t>
      </w:r>
      <w:r>
        <w:t xml:space="preserve">do</w:t>
      </w:r>
      <w:r>
        <w:t xml:space="preserve"> </w:t>
      </w:r>
      <w:r>
        <w:t xml:space="preserve">Funchal,</w:t>
      </w:r>
      <w:r>
        <w:t xml:space="preserve"> </w:t>
      </w:r>
      <w:r>
        <w:t xml:space="preserve">S.A.</w:t>
      </w:r>
      <w:r>
        <w:t xml:space="preserve"> </w:t>
      </w:r>
      <w:r>
        <w:t xml:space="preserve">(BANIF)556</w:t>
      </w:r>
      <w:r>
        <w:t xml:space="preserve"> </w:t>
      </w:r>
      <w:r>
        <w:t xml:space="preserve">EUR 12.8 bn</w:t>
      </w:r>
      <w:r>
        <w:t xml:space="preserve"> </w:t>
      </w:r>
      <w:r>
        <w:t xml:space="preserve">PT</w:t>
      </w:r>
      <w:r>
        <w:t xml:space="preserve"> </w:t>
      </w:r>
      <w:r>
        <w:t xml:space="preserve">December 2015</w:t>
      </w:r>
      <w:r>
        <w:t xml:space="preserve"> </w:t>
      </w:r>
      <w:r>
        <w:t xml:space="preserve">The business of BANIF and most of its assets and liabilities were</w:t>
      </w:r>
      <w:r>
        <w:t xml:space="preserve"> </w:t>
      </w:r>
      <w:r>
        <w:t xml:space="preserve">transferred to Banco Santander Totta for EUR 150 m, under the</w:t>
      </w:r>
      <w:r>
        <w:t xml:space="preserve"> </w:t>
      </w:r>
      <w:r>
        <w:t xml:space="preserve">sale of business tool. The Portuguese resolution fund and the</w:t>
      </w:r>
      <w:r>
        <w:t xml:space="preserve"> </w:t>
      </w:r>
      <w:r>
        <w:t xml:space="preserve">Portuguese State provided support intended to cover future</w:t>
      </w:r>
      <w:r>
        <w:t xml:space="preserve"> </w:t>
      </w:r>
      <w:r>
        <w:t xml:space="preserve">contingencies. Additionally, some of BANIF’s assets were</w:t>
      </w:r>
      <w:r>
        <w:t xml:space="preserve"> </w:t>
      </w:r>
      <w:r>
        <w:t xml:space="preserve">transferred to an AMV. The transfer of those assets was paid by</w:t>
      </w:r>
      <w:r>
        <w:t xml:space="preserve"> </w:t>
      </w:r>
      <w:r>
        <w:t xml:space="preserve">the AMV through the issuance of bonds (included in the assets</w:t>
      </w:r>
      <w:r>
        <w:t xml:space="preserve"> </w:t>
      </w:r>
      <w:r>
        <w:t xml:space="preserve">transferred to Banco Santander Totta), which were guaranteed by</w:t>
      </w:r>
      <w:r>
        <w:t xml:space="preserve"> </w:t>
      </w:r>
      <w:r>
        <w:t xml:space="preserve">the resolution fund and counter-guaranteed by the State. BANIF</w:t>
      </w:r>
      <w:r>
        <w:t xml:space="preserve"> </w:t>
      </w:r>
      <w:r>
        <w:t xml:space="preserve">kept a very limited set of assets that were included in its</w:t>
      </w:r>
      <w:r>
        <w:t xml:space="preserve"> </w:t>
      </w:r>
      <w:r>
        <w:t xml:space="preserve">insolvency estate once it entered into liquidation procedures, as</w:t>
      </w:r>
      <w:r>
        <w:t xml:space="preserve"> </w:t>
      </w:r>
      <w:r>
        <w:t xml:space="preserve">well as the liabilities from shareholders, subordinated creditors</w:t>
      </w:r>
      <w:r>
        <w:t xml:space="preserve"> </w:t>
      </w:r>
      <w:r>
        <w:t xml:space="preserve">and related entities.</w:t>
      </w:r>
      <w:r>
        <w:br/>
      </w:r>
      <w:r>
        <w:t xml:space="preserve">The sale of business</w:t>
      </w:r>
      <w:r>
        <w:t xml:space="preserve"> </w:t>
      </w:r>
      <w:r>
        <w:t xml:space="preserve">operation</w:t>
      </w:r>
      <w:r>
        <w:t xml:space="preserve"> </w:t>
      </w:r>
      <w:r>
        <w:t xml:space="preserve">received</w:t>
      </w:r>
      <w:r>
        <w:t xml:space="preserve"> </w:t>
      </w:r>
      <w:r>
        <w:t xml:space="preserve">support to the amount of</w:t>
      </w:r>
      <w:r>
        <w:t xml:space="preserve"> </w:t>
      </w:r>
      <w:r>
        <w:t xml:space="preserve">EUR 2.255 bn, of which</w:t>
      </w:r>
      <w:r>
        <w:t xml:space="preserve"> </w:t>
      </w:r>
      <w:r>
        <w:t xml:space="preserve">EUR 489 m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Portuguese</w:t>
      </w:r>
      <w:r>
        <w:t xml:space="preserve"> </w:t>
      </w:r>
      <w:r>
        <w:t xml:space="preserve">resolution</w:t>
      </w:r>
      <w:r>
        <w:t xml:space="preserve"> </w:t>
      </w:r>
      <w:r>
        <w:t xml:space="preserve">fund and EUR 1.766 bn</w:t>
      </w:r>
      <w:r>
        <w:t xml:space="preserve"> </w:t>
      </w:r>
      <w:r>
        <w:t xml:space="preserve">by the Portuguese State.</w:t>
      </w:r>
      <w:r>
        <w:t xml:space="preserve"> </w:t>
      </w:r>
      <w:r>
        <w:t xml:space="preserve">The bonds issued by the</w:t>
      </w:r>
      <w:r>
        <w:t xml:space="preserve"> </w:t>
      </w:r>
      <w:r>
        <w:t xml:space="preserve">AMV, in an amount of</w:t>
      </w:r>
      <w:r>
        <w:t xml:space="preserve"> </w:t>
      </w:r>
      <w:r>
        <w:t xml:space="preserve">EUR 746 m,</w:t>
      </w:r>
      <w:r>
        <w:t xml:space="preserve"> </w:t>
      </w:r>
      <w:r>
        <w:t xml:space="preserve">were</w:t>
      </w:r>
      <w:r>
        <w:t xml:space="preserve"> </w:t>
      </w:r>
      <w:r>
        <w:t xml:space="preserve">guaranteed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Resolution</w:t>
      </w:r>
      <w:r>
        <w:t xml:space="preserve"> </w:t>
      </w:r>
      <w:r>
        <w:t xml:space="preserve">Fund</w:t>
      </w:r>
      <w:r>
        <w:t xml:space="preserve"> </w:t>
      </w:r>
      <w:r>
        <w:t xml:space="preserve">and</w:t>
      </w:r>
      <w:r>
        <w:t xml:space="preserve"> </w:t>
      </w:r>
      <w:r>
        <w:t xml:space="preserve">counter-guaranteed</w:t>
      </w:r>
      <w:r>
        <w:t xml:space="preserve"> </w:t>
      </w:r>
      <w:r>
        <w:t xml:space="preserve">by</w:t>
      </w:r>
      <w:r>
        <w:t xml:space="preserve"> </w:t>
      </w:r>
      <w:r>
        <w:t xml:space="preserve">the Portuguese State.</w:t>
      </w:r>
      <w:r>
        <w:t xml:space="preserve"> </w:t>
      </w:r>
      <w:r>
        <w:t xml:space="preserve">Acquired</w:t>
      </w:r>
    </w:p>
    <w:p>
      <w:pPr>
        <w:pStyle w:val="BodyText"/>
      </w:pPr>
      <w:r>
        <w:t xml:space="preserve">556 Case SA.43977 (2015/N)</w:t>
      </w:r>
    </w:p>
    <w:p>
      <w:pPr>
        <w:pStyle w:val="BodyText"/>
      </w:pPr>
      <w:r>
        <w:t xml:space="preserve">357</w:t>
      </w:r>
      <w:r>
        <w:t xml:space="preserve"> </w:t>
      </w:r>
      <w:r>
        <w:t xml:space="preserve">5. THE SBERBANK RESOLUTION CASE</w:t>
      </w:r>
      <w:r>
        <w:br/>
      </w:r>
      <w:r>
        <w:t xml:space="preserve">Sberbank Europe AG was a universal bank, owned by a Russian parent entity, operating in Austria, with a branch in Germany, subsidiaries in Croatia,</w:t>
      </w:r>
      <w:r>
        <w:t xml:space="preserve"> </w:t>
      </w:r>
      <w:r>
        <w:t xml:space="preserve">Slovenia, Czech Republic and Hungary and outside the EU, in Bosnia and Herzegovina and the Republic of Serbia. It operated 185 branches and had</w:t>
      </w:r>
      <w:r>
        <w:t xml:space="preserve"> </w:t>
      </w:r>
      <w:r>
        <w:t xml:space="preserve">more than 3,933 employees. Sberbank Europe AG reported EUR 13.64bn total assets at consolidated level and EUR 6.82bn in the Banking Union entities</w:t>
      </w:r>
      <w:r>
        <w:t xml:space="preserve"> </w:t>
      </w:r>
      <w:r>
        <w:t xml:space="preserve">in Austria, Croatia, and Slovenia (aggregated)557. On 28 February 2022, the ECB declared Sberbank Europe AG and its two subsidiaries in the Banking</w:t>
      </w:r>
      <w:r>
        <w:t xml:space="preserve"> </w:t>
      </w:r>
      <w:r>
        <w:t xml:space="preserve">Union, Sberbank d.d. in Croatia and Sberbank banka d.d. in Slovenia, failing or likely to fail, owing to a deterioration of their liquidity situation from</w:t>
      </w:r>
      <w:r>
        <w:t xml:space="preserve"> </w:t>
      </w:r>
      <w:r>
        <w:t xml:space="preserve">significant deposit outflows558, which resulted from the reputational impact of geopolitical tensions. The SRB adopted resolution schemes for the two</w:t>
      </w:r>
      <w:r>
        <w:t xml:space="preserve"> </w:t>
      </w:r>
      <w:r>
        <w:t xml:space="preserve">Banking Union subsidiaries in Croatia and Slovenia, however, for the parent entity in Austria, the SRB assessed that there was no public interest for</w:t>
      </w:r>
      <w:r>
        <w:t xml:space="preserve"> </w:t>
      </w:r>
      <w:r>
        <w:t xml:space="preserve">resolution559. Consequently, the Croatian and Slovenian subsidiaries were placed in resolution and sold to the Croatian PostBank and NLB, respectively,</w:t>
      </w:r>
      <w:r>
        <w:t xml:space="preserve"> </w:t>
      </w:r>
      <w:r>
        <w:t xml:space="preserve">without any support from the resolution fund or public fund support. The Austrian parent Sberbank Europe AG was prohibited from continuing business</w:t>
      </w:r>
      <w:r>
        <w:t xml:space="preserve"> </w:t>
      </w:r>
      <w:r>
        <w:t xml:space="preserve">operations and the bank has voluntarily initiated self-liquidation, while the Austrian DGS has paid out the covered depositors560. The Czech and</w:t>
      </w:r>
      <w:r>
        <w:t xml:space="preserve"> </w:t>
      </w:r>
      <w:r>
        <w:t xml:space="preserve">Hungarian authorities also decided to close and wind down the Czech and Hungarian subsidiaries and pay out the covered depositors through the</w:t>
      </w:r>
      <w:r>
        <w:t xml:space="preserve"> </w:t>
      </w:r>
      <w:r>
        <w:t xml:space="preserve">Czech561 and Hungarian562 DGS respectively563.</w:t>
      </w:r>
    </w:p>
    <w:p>
      <w:pPr>
        <w:pStyle w:val="BodyText"/>
      </w:pPr>
      <w:r>
        <w:t xml:space="preserve">557 Source: SRB.</w:t>
      </w:r>
      <w:r>
        <w:t xml:space="preserve"> </w:t>
      </w:r>
      <w:r>
        <w:t xml:space="preserve">558 Source: ECB</w:t>
      </w:r>
      <w:r>
        <w:t xml:space="preserve"> </w:t>
      </w:r>
      <w:r>
        <w:t xml:space="preserve">559 Source: SRB</w:t>
      </w:r>
      <w:r>
        <w:t xml:space="preserve"> </w:t>
      </w:r>
      <w:r>
        <w:t xml:space="preserve">560 Source: FMA</w:t>
      </w:r>
      <w:r>
        <w:br/>
      </w:r>
      <w:r>
        <w:t xml:space="preserve">561 Source: EBA</w:t>
      </w:r>
      <w:r>
        <w:t xml:space="preserve"> </w:t>
      </w:r>
      <w:r>
        <w:t xml:space="preserve">562 Source: EBA</w:t>
      </w:r>
      <w:r>
        <w:t xml:space="preserve"> </w:t>
      </w:r>
      <w:r>
        <w:t xml:space="preserve">563 See section 7.1.4.4 of the Annex 5 (evaluation) for more information on the impact of the payouts on the national DGSs in the case of the Austrian parent.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ANNEX 10: RATIONALE AND DESIGN FEATURES FOR A COMMON</w:t>
      </w:r>
      <w:r>
        <w:t xml:space="preserve"> </w:t>
      </w:r>
      <w:r>
        <w:t xml:space="preserve">DEPOSITOR PROTECTION IN THE BANKING UNION</w:t>
      </w:r>
    </w:p>
    <w:p>
      <w:pPr>
        <w:pStyle w:val="BodyText"/>
      </w:pPr>
      <w:r>
        <w:t xml:space="preserve">The Commission’s legislative proposal on EDIS of 24 November 2015 has been</w:t>
      </w:r>
      <w:r>
        <w:t xml:space="preserve"> </w:t>
      </w:r>
      <w:r>
        <w:t xml:space="preserve">contentious since its adoption. While political negotiations in the European Parliament</w:t>
      </w:r>
      <w:r>
        <w:t xml:space="preserve"> </w:t>
      </w:r>
      <w:r>
        <w:t xml:space="preserve">and the Council stalled, technical discussions in Council Working Party (CWP) and High</w:t>
      </w:r>
      <w:r>
        <w:t xml:space="preserve"> </w:t>
      </w:r>
      <w:r>
        <w:t xml:space="preserve">Level Working Group (HLWG) elaborated other models such as liquidity support in</w:t>
      </w:r>
      <w:r>
        <w:t xml:space="preserve"> </w:t>
      </w:r>
      <w:r>
        <w:t xml:space="preserve">reinsurance, mandatory lending and a hybrid option combining the two. The so-called</w:t>
      </w:r>
      <w:r>
        <w:t xml:space="preserve"> </w:t>
      </w:r>
      <w:r>
        <w:t xml:space="preserve">hybrid model emerged as a possible compromise between the Member States supporting</w:t>
      </w:r>
      <w:r>
        <w:t xml:space="preserve"> </w:t>
      </w:r>
      <w:r>
        <w:t xml:space="preserve">the 2015 proposal, and those underlining the pre-condition of risk reduction before</w:t>
      </w:r>
      <w:r>
        <w:t xml:space="preserve"> </w:t>
      </w:r>
      <w:r>
        <w:t xml:space="preserve">agreeing to share the banking sector risks564.</w:t>
      </w:r>
      <w:r>
        <w:t xml:space="preserve"> </w:t>
      </w:r>
      <w:r>
        <w:t xml:space="preserve">However, the rationale for a common depositor protection in the Banking Union is still</w:t>
      </w:r>
      <w:r>
        <w:t xml:space="preserve"> </w:t>
      </w:r>
      <w:r>
        <w:t xml:space="preserve">valid and arguably reinforced by the Covid-19 outbreak and the challenging geopolitical</w:t>
      </w:r>
      <w:r>
        <w:t xml:space="preserve"> </w:t>
      </w:r>
      <w:r>
        <w:t xml:space="preserve">situation. Depositor protection in the EU is a national responsibility and liability.</w:t>
      </w:r>
      <w:r>
        <w:t xml:space="preserve"> </w:t>
      </w:r>
      <w:r>
        <w:t xml:space="preserve">However, this results in a misalignment of liability and control within the Banking</w:t>
      </w:r>
      <w:r>
        <w:t xml:space="preserve"> </w:t>
      </w:r>
      <w:r>
        <w:t xml:space="preserve">Union. Because supervision and resolution have been centralised with respectively the</w:t>
      </w:r>
      <w:r>
        <w:t xml:space="preserve"> </w:t>
      </w:r>
      <w:r>
        <w:t xml:space="preserve">European Central Bank (Single Supervisory Mechanism) and the Single Resolution</w:t>
      </w:r>
      <w:r>
        <w:t xml:space="preserve"> </w:t>
      </w:r>
      <w:r>
        <w:t xml:space="preserve">Board (Single Resolution Mechanism) being the responsible central bodies, their</w:t>
      </w:r>
      <w:r>
        <w:t xml:space="preserve"> </w:t>
      </w:r>
      <w:r>
        <w:t xml:space="preserve">decisions have the potential to create liabilities for the DGSs at national level with</w:t>
      </w:r>
      <w:r>
        <w:t xml:space="preserve"> </w:t>
      </w:r>
      <w:r>
        <w:t xml:space="preserve">respect to depositor protection. Moreover, a common scheme for depositor protection</w:t>
      </w:r>
      <w:r>
        <w:t xml:space="preserve"> </w:t>
      </w:r>
      <w:r>
        <w:t xml:space="preserve">would benefit from an increased firepower and would reduce the vulnerability of national</w:t>
      </w:r>
      <w:r>
        <w:t xml:space="preserve"> </w:t>
      </w:r>
      <w:r>
        <w:t xml:space="preserve">DGSs to large asymmetric local shocks. It is key for financial stability and depositor</w:t>
      </w:r>
      <w:r>
        <w:t xml:space="preserve"> </w:t>
      </w:r>
      <w:r>
        <w:t xml:space="preserve">confidence in the Banking Union. It could also unlock further market integration and</w:t>
      </w:r>
      <w:r>
        <w:t xml:space="preserve"> </w:t>
      </w:r>
      <w:r>
        <w:t xml:space="preserve">cross-border consolidation. Last but not the least, it would reduce the bank-sovereign</w:t>
      </w:r>
      <w:r>
        <w:t xml:space="preserve"> </w:t>
      </w:r>
      <w:r>
        <w:t xml:space="preserve">nexus.</w:t>
      </w:r>
      <w:r>
        <w:t xml:space="preserve"> </w:t>
      </w:r>
      <w:r>
        <w:t xml:space="preserve">EDIS would be a natural complement of the CMDI framework because of the role of</w:t>
      </w:r>
      <w:r>
        <w:t xml:space="preserve"> </w:t>
      </w:r>
      <w:r>
        <w:t xml:space="preserve">national DGSs in the crisis management to protect depositors, prevent bank runs and so</w:t>
      </w:r>
      <w:r>
        <w:t xml:space="preserve"> </w:t>
      </w:r>
      <w:r>
        <w:t xml:space="preserve">preserve financial stability. The CMDI review seeks to reinforce the prominence of</w:t>
      </w:r>
      <w:r>
        <w:t xml:space="preserve"> </w:t>
      </w:r>
      <w:r>
        <w:t xml:space="preserve">national DGSs in the continuum of crisis management. It would address the hurdles that</w:t>
      </w:r>
      <w:r>
        <w:t xml:space="preserve"> </w:t>
      </w:r>
      <w:r>
        <w:t xml:space="preserve">so far hindered the DGSs and authorities when using the existing tools at their disposal.</w:t>
      </w:r>
      <w:r>
        <w:t xml:space="preserve"> </w:t>
      </w:r>
      <w:r>
        <w:t xml:space="preserve">The proposed policy options would facilitate the interventions by DGSs to finance the</w:t>
      </w:r>
      <w:r>
        <w:t xml:space="preserve"> </w:t>
      </w:r>
      <w:r>
        <w:t xml:space="preserve">sale of medium-size and smaller deposit-based banks, in particular bridging the access to</w:t>
      </w:r>
      <w:r>
        <w:t xml:space="preserve"> </w:t>
      </w:r>
      <w:r>
        <w:t xml:space="preserve">the resolution fund for banks unable to reach the 8% TLOF requirement without</w:t>
      </w:r>
      <w:r>
        <w:t xml:space="preserve"> </w:t>
      </w:r>
      <w:r>
        <w:t xml:space="preserve">necessarily bailing in deposits. The benefits of this policy avenue would be undermined</w:t>
      </w:r>
      <w:r>
        <w:t xml:space="preserve"> </w:t>
      </w:r>
      <w:r>
        <w:t xml:space="preserve">if EDIS were not in place to address the risks of liquidity shortfalls in the available</w:t>
      </w:r>
      <w:r>
        <w:t xml:space="preserve"> </w:t>
      </w:r>
      <w:r>
        <w:t xml:space="preserve">financial means of national DGSs, which in the past was conducive to the recourse to</w:t>
      </w:r>
      <w:r>
        <w:t xml:space="preserve"> </w:t>
      </w:r>
      <w:r>
        <w:t xml:space="preserve">additional public financing.</w:t>
      </w:r>
    </w:p>
    <w:p>
      <w:pPr>
        <w:pStyle w:val="BodyText"/>
      </w:pPr>
      <w:r>
        <w:t xml:space="preserve">564 See Annex 5, Evaluation – Chapter Error! Reference source not found. – Section “State of play of</w:t>
      </w:r>
      <w:r>
        <w:t xml:space="preserve"> </w:t>
      </w:r>
      <w:r>
        <w:t xml:space="preserve">the common deposit guarantee scheme in the Banking Union”.</w:t>
      </w:r>
    </w:p>
    <w:p>
      <w:pPr>
        <w:pStyle w:val="BodyText"/>
      </w:pPr>
      <w:r>
        <w:t xml:space="preserve">359</w:t>
      </w:r>
      <w:r>
        <w:t xml:space="preserve"> </w:t>
      </w:r>
      <w:r>
        <w:t xml:space="preserve">1. COMMISSION’S PROPOSAL ON EDIS OF 24 NOVEMBER 2015</w:t>
      </w:r>
      <w:r>
        <w:br/>
      </w:r>
      <w:r>
        <w:t xml:space="preserve">The 2015 proposal considered the establishment of EDIS in three successive stages: a</w:t>
      </w:r>
      <w:r>
        <w:t xml:space="preserve"> </w:t>
      </w:r>
      <w:r>
        <w:t xml:space="preserve">reinsurance scheme for participating national DGSs in a first period of three years, a co-</w:t>
      </w:r>
      <w:r>
        <w:t xml:space="preserve"> </w:t>
      </w:r>
      <w:r>
        <w:t xml:space="preserve">insurance scheme for participating national DGSs in a second period of four years, and</w:t>
      </w:r>
      <w:r>
        <w:t xml:space="preserve"> </w:t>
      </w:r>
      <w:r>
        <w:t xml:space="preserve">full insurance for participating national DGSs in the steady state. EDIS would provide</w:t>
      </w:r>
      <w:r>
        <w:t xml:space="preserve"> </w:t>
      </w:r>
      <w:r>
        <w:t xml:space="preserve">funds for payout or in resolution. In all three stages, EDIS would also cover ultimate</w:t>
      </w:r>
      <w:r>
        <w:t xml:space="preserve"> </w:t>
      </w:r>
      <w:r>
        <w:t xml:space="preserve">losses incurred by the participating DGS following depositors’ compensation or</w:t>
      </w:r>
      <w:r>
        <w:t xml:space="preserve"> </w:t>
      </w:r>
      <w:r>
        <w:t xml:space="preserve">contribution to resolution. It provided for a progressive transfer of funds of national</w:t>
      </w:r>
      <w:r>
        <w:t xml:space="preserve"> </w:t>
      </w:r>
      <w:r>
        <w:t xml:space="preserve">DGSs towards a deposit central fund (so-called DIF) until a target level of 0.8% of</w:t>
      </w:r>
      <w:r>
        <w:t xml:space="preserve"> </w:t>
      </w:r>
      <w:r>
        <w:t xml:space="preserve">covered deposits was attained. A national DGS would only benefit from EDIS if its funds</w:t>
      </w:r>
      <w:r>
        <w:t xml:space="preserve"> </w:t>
      </w:r>
      <w:r>
        <w:t xml:space="preserve">were built up in line with a funding path and upon compliance with essential</w:t>
      </w:r>
      <w:r>
        <w:t xml:space="preserve"> </w:t>
      </w:r>
      <w:r>
        <w:t xml:space="preserve">requirements under Union law. The SRB would be responsible for administering EDIS,</w:t>
      </w:r>
      <w:r>
        <w:t xml:space="preserve"> </w:t>
      </w:r>
      <w:r>
        <w:t xml:space="preserve">releasing funds where clearly defined conditions are met. It would also monitor national</w:t>
      </w:r>
      <w:r>
        <w:t xml:space="preserve"> </w:t>
      </w:r>
      <w:r>
        <w:t xml:space="preserve">DGSs that would remain responsible for handling depositor claims.</w:t>
      </w:r>
      <w:r>
        <w:br/>
      </w:r>
      <w:r>
        <w:t xml:space="preserve">During the initial discussions in the CWP, a significant number of Member States</w:t>
      </w:r>
      <w:r>
        <w:t xml:space="preserve"> </w:t>
      </w:r>
      <w:r>
        <w:t xml:space="preserve">considered the implementation of a third pillar of the Banking Union as a priority and</w:t>
      </w:r>
      <w:r>
        <w:t xml:space="preserve"> </w:t>
      </w:r>
      <w:r>
        <w:t xml:space="preserve">welcomed the proposal. Some of them supported a faster mutualisation process, taking</w:t>
      </w:r>
      <w:r>
        <w:t xml:space="preserve"> </w:t>
      </w:r>
      <w:r>
        <w:t xml:space="preserve">the view that the substance of the provisions and the timing of the entry into force should</w:t>
      </w:r>
      <w:r>
        <w:t xml:space="preserve"> </w:t>
      </w:r>
      <w:r>
        <w:t xml:space="preserve">be even more ambitious. Some Member States strongly objected to the proposal and its</w:t>
      </w:r>
      <w:r>
        <w:t xml:space="preserve"> </w:t>
      </w:r>
      <w:r>
        <w:t xml:space="preserve">timing, contesting the necessity and appropriateness of the proposal and the lack of</w:t>
      </w:r>
      <w:r>
        <w:t xml:space="preserve"> </w:t>
      </w:r>
      <w:r>
        <w:t xml:space="preserve">impact assessment. Among the latter, some were therefore not in a position to discuss</w:t>
      </w:r>
      <w:r>
        <w:t xml:space="preserve"> </w:t>
      </w:r>
      <w:r>
        <w:t xml:space="preserve">details of the proposal. A number of others, while generally supporting the proposal,</w:t>
      </w:r>
      <w:r>
        <w:t xml:space="preserve"> </w:t>
      </w:r>
      <w:r>
        <w:t xml:space="preserve">have raised concerns565. These positions have not materially changed over the years.</w:t>
      </w:r>
      <w:r>
        <w:br/>
      </w:r>
      <w:r>
        <w:t xml:space="preserve">The technical discussions in the CWP have been ongoing since 2016. These have built on</w:t>
      </w:r>
      <w:r>
        <w:t xml:space="preserve"> </w:t>
      </w:r>
      <w:r>
        <w:t xml:space="preserve">the Commission services’ effects analysis carried out in 2016 to remedy the lack of the</w:t>
      </w:r>
      <w:r>
        <w:t xml:space="preserve"> </w:t>
      </w:r>
      <w:r>
        <w:t xml:space="preserve">impact assessment566. These discussions focused on the general concepts of the roll out</w:t>
      </w:r>
      <w:r>
        <w:t xml:space="preserve"> </w:t>
      </w:r>
      <w:r>
        <w:t xml:space="preserve">of EDIS, including loss coverage, as well as on the specific elements of the 2015</w:t>
      </w:r>
      <w:r>
        <w:t xml:space="preserve"> </w:t>
      </w:r>
      <w:r>
        <w:t xml:space="preserve">proposal, sometimes proposing concrete adjustments. Overtime, the various progress</w:t>
      </w:r>
      <w:r>
        <w:t xml:space="preserve"> </w:t>
      </w:r>
      <w:r>
        <w:t xml:space="preserve">reports under successive Council Presidencies highlighted the emerging divergent views</w:t>
      </w:r>
      <w:r>
        <w:t xml:space="preserve"> </w:t>
      </w:r>
      <w:r>
        <w:t xml:space="preserve">and tendency to depart from the 2015 proposal. In addition to the fundamental concerns</w:t>
      </w:r>
      <w:r>
        <w:t xml:space="preserve"> </w:t>
      </w:r>
      <w:r>
        <w:t xml:space="preserve">regarding risk sharing and risk reduction, the main elements put forward as reasons for</w:t>
      </w:r>
      <w:r>
        <w:t xml:space="preserve"> </w:t>
      </w:r>
      <w:r>
        <w:t xml:space="preserve">requiring a substantial departure from the 2015 proposal are described below.</w:t>
      </w:r>
      <w:r>
        <w:t xml:space="preserve"> </w:t>
      </w:r>
      <w:r>
        <w:t xml:space="preserve">IPSs567</w:t>
      </w:r>
      <w:r>
        <w:t xml:space="preserve"> </w:t>
      </w:r>
      <w:r>
        <w:t xml:space="preserve">The 2015 proposal was silent about the treatment of IPSs, which led to criticism that the</w:t>
      </w:r>
      <w:r>
        <w:t xml:space="preserve"> </w:t>
      </w:r>
      <w:r>
        <w:t xml:space="preserve">specific business model of the IPS based on failure prevention measures (beyond the</w:t>
      </w:r>
      <w:r>
        <w:t xml:space="preserve"> </w:t>
      </w:r>
      <w:r>
        <w:t xml:space="preserve">“paybox” function) and its stabilising role were not recognised. IPSs can also be</w:t>
      </w:r>
      <w:r>
        <w:t xml:space="preserve"> </w:t>
      </w:r>
      <w:r>
        <w:t xml:space="preserve">recognised as a DGS within the scope of the DGSD and are subject to the same</w:t>
      </w:r>
      <w:r>
        <w:t xml:space="preserve"> </w:t>
      </w:r>
      <w:r>
        <w:t xml:space="preserve">requirements, including the target level of 0.8% of covered deposits.</w:t>
      </w:r>
    </w:p>
    <w:p>
      <w:pPr>
        <w:pStyle w:val="BodyText"/>
      </w:pPr>
      <w:r>
        <w:t xml:space="preserve">565 European Council (14 June 2016), Presidency Progress report - Strengthening of the Banking Union,</w:t>
      </w:r>
      <w:r>
        <w:t xml:space="preserve"> </w:t>
      </w:r>
      <w:r>
        <w:t xml:space="preserve">p.3.</w:t>
      </w:r>
      <w:r>
        <w:t xml:space="preserve"> </w:t>
      </w:r>
      <w:r>
        <w:t xml:space="preserve">566 European Commission (11 October 2016), Effect analysis on EDIS, p. 53-54.</w:t>
      </w:r>
      <w:r>
        <w:br/>
      </w:r>
      <w:r>
        <w:t xml:space="preserve">567 See glossary.</w:t>
      </w:r>
    </w:p>
    <w:p>
      <w:pPr>
        <w:pStyle w:val="BodyText"/>
      </w:pPr>
      <w:r>
        <w:t xml:space="preserve">360</w:t>
      </w:r>
      <w:r>
        <w:t xml:space="preserve"> </w:t>
      </w:r>
      <w:r>
        <w:t xml:space="preserve">The effects analysis on EDIS explored several policy options, including considering the</w:t>
      </w:r>
      <w:r>
        <w:t xml:space="preserve"> </w:t>
      </w:r>
      <w:r>
        <w:t xml:space="preserve">IPS membership as a risk-mitigating factor leading to lower contributions to EDIS from</w:t>
      </w:r>
      <w:r>
        <w:t xml:space="preserve"> </w:t>
      </w:r>
      <w:r>
        <w:t xml:space="preserve">IPS members that finance preventive and/or alternative measures. In recent CWP</w:t>
      </w:r>
      <w:r>
        <w:t xml:space="preserve"> </w:t>
      </w:r>
      <w:r>
        <w:t xml:space="preserve">debates, some argued that IPSs and their failure prevention measures should be covered</w:t>
      </w:r>
      <w:r>
        <w:t xml:space="preserve"> </w:t>
      </w:r>
      <w:r>
        <w:t xml:space="preserve">by EDIS and that their potential lower risk profile could be reflected via lower levels of</w:t>
      </w:r>
      <w:r>
        <w:t xml:space="preserve"> </w:t>
      </w:r>
      <w:r>
        <w:t xml:space="preserve">EDIS contributions. Others supported covering them only from national funds (within or</w:t>
      </w:r>
      <w:r>
        <w:t xml:space="preserve"> </w:t>
      </w:r>
      <w:r>
        <w:t xml:space="preserve">above the target level). Some Member States suggested excluding IPSs from EDIS</w:t>
      </w:r>
      <w:r>
        <w:t xml:space="preserve"> </w:t>
      </w:r>
      <w:r>
        <w:t xml:space="preserve">because of their core functions as framed under the CRR and the cost neutrality</w:t>
      </w:r>
      <w:r>
        <w:t xml:space="preserve"> </w:t>
      </w:r>
      <w:r>
        <w:t xml:space="preserve">principle568. However, others considered such an exclusion as suboptimal from the</w:t>
      </w:r>
      <w:r>
        <w:t xml:space="preserve"> </w:t>
      </w:r>
      <w:r>
        <w:t xml:space="preserve">perspective of the coherence of the legal framework because IPSs are integrated in the</w:t>
      </w:r>
      <w:r>
        <w:t xml:space="preserve"> </w:t>
      </w:r>
      <w:r>
        <w:t xml:space="preserve">SSM and SRM. Other arguments put forward in favour of the integration of IPSs in EDIS</w:t>
      </w:r>
      <w:r>
        <w:t xml:space="preserve"> </w:t>
      </w:r>
      <w:r>
        <w:t xml:space="preserve">were: the order of magnitude of covered deposits in the IPSs, the risks in terms of</w:t>
      </w:r>
      <w:r>
        <w:t xml:space="preserve"> </w:t>
      </w:r>
      <w:r>
        <w:t xml:space="preserve">financial stability if significant institutions were excluded from the common scheme, and</w:t>
      </w:r>
      <w:r>
        <w:t xml:space="preserve"> </w:t>
      </w:r>
      <w:r>
        <w:t xml:space="preserve">the level playing field569. Overall, a majority of Member States seemed to support the</w:t>
      </w:r>
      <w:r>
        <w:t xml:space="preserve"> </w:t>
      </w:r>
      <w:r>
        <w:t xml:space="preserve">inclusion of IPSs and their members in the scope of EDIS.</w:t>
      </w:r>
      <w:r>
        <w:br/>
      </w:r>
      <w:r>
        <w:t xml:space="preserve">Box 19: IPS in the EU</w:t>
      </w:r>
    </w:p>
    <w:p>
      <w:pPr>
        <w:pStyle w:val="BodyText"/>
      </w:pPr>
      <w:r>
        <w:t xml:space="preserve">IPSs operate in seven Member States (AT, DE, ES, IT, LT, PL). In two Member States,</w:t>
      </w:r>
      <w:r>
        <w:t xml:space="preserve"> </w:t>
      </w:r>
      <w:r>
        <w:t xml:space="preserve">the IPSs are recognised as DGSs.</w:t>
      </w:r>
    </w:p>
    <w:p>
      <w:pPr>
        <w:pStyle w:val="BodyText"/>
      </w:pPr>
      <w:r>
        <w:t xml:space="preserve">Divergences exist among the IPSs. While in some IPSs, members’ contributions are</w:t>
      </w:r>
      <w:r>
        <w:t xml:space="preserve"> </w:t>
      </w:r>
      <w:r>
        <w:t xml:space="preserve">capped if own viability is at risk, other IPSs have an obligation to support their members</w:t>
      </w:r>
      <w:r>
        <w:t xml:space="preserve"> </w:t>
      </w:r>
      <w:r>
        <w:t xml:space="preserve">(i.e. there is a legal claim to receive support). Approaches also vary with respect to</w:t>
      </w:r>
      <w:r>
        <w:t xml:space="preserve"> </w:t>
      </w:r>
      <w:r>
        <w:t xml:space="preserve">funding, with specific rules on sequencing. Some IPSs have additional funds that cannot</w:t>
      </w:r>
      <w:r>
        <w:t xml:space="preserve"> </w:t>
      </w:r>
      <w:r>
        <w:t xml:space="preserve">be commingled with the DGS funds and must first be exhausted before using the DGS.</w:t>
      </w:r>
      <w:r>
        <w:t xml:space="preserve"> </w:t>
      </w:r>
      <w:r>
        <w:t xml:space="preserve">Other IPSs have only one fund fulfilling both the IPS and DGS function.</w:t>
      </w:r>
    </w:p>
    <w:p>
      <w:pPr>
        <w:pStyle w:val="BodyText"/>
      </w:pPr>
      <w:r>
        <w:t xml:space="preserve">In terms of the order of magnitude, they protect covered deposits amounting to 20.8% of</w:t>
      </w:r>
      <w:r>
        <w:t xml:space="preserve"> </w:t>
      </w:r>
      <w:r>
        <w:t xml:space="preserve">total covered deposits in the Banking Union and 18.8% of total covered deposits in the</w:t>
      </w:r>
      <w:r>
        <w:t xml:space="preserve"> </w:t>
      </w:r>
      <w:r>
        <w:t xml:space="preserve">EU (EUR 7.029 bn).</w:t>
      </w:r>
    </w:p>
    <w:p>
      <w:pPr>
        <w:pStyle w:val="BodyText"/>
      </w:pPr>
      <w:r>
        <w:t xml:space="preserve">Hybrid IPSs (currently three also recognised as DGSs) encompass both less significant</w:t>
      </w:r>
      <w:r>
        <w:t xml:space="preserve"> </w:t>
      </w:r>
      <w:r>
        <w:t xml:space="preserve">and significant banks and, consequently, are subject to joint monitoring by the ECB and</w:t>
      </w:r>
      <w:r>
        <w:t xml:space="preserve"> </w:t>
      </w:r>
      <w:r>
        <w:t xml:space="preserve">the national authorities.</w:t>
      </w:r>
    </w:p>
    <w:p>
      <w:pPr>
        <w:pStyle w:val="BodyText"/>
      </w:pPr>
      <w:r>
        <w:t xml:space="preserve">Cases where DGS funds were used in the early monitoring process to prevent banking</w:t>
      </w:r>
      <w:r>
        <w:t xml:space="preserve"> </w:t>
      </w:r>
      <w:r>
        <w:t xml:space="preserve">failures are relatively rare (see for example the non-confidential decision 49094(2019/N).</w:t>
      </w:r>
    </w:p>
    <w:p>
      <w:pPr>
        <w:pStyle w:val="BodyText"/>
      </w:pPr>
      <w:r>
        <w:t xml:space="preserve">Non-CRR entities and third-country branches</w:t>
      </w:r>
      <w:r>
        <w:t xml:space="preserve"> </w:t>
      </w:r>
      <w:r>
        <w:t xml:space="preserve">The 2015 proposal covered all credit institutions affiliated to a DGS. In some Member</w:t>
      </w:r>
      <w:r>
        <w:t xml:space="preserve"> </w:t>
      </w:r>
      <w:r>
        <w:t xml:space="preserve">States, this includes entities exempted from the scope of the CRD/CRR – so called non-</w:t>
      </w:r>
      <w:r>
        <w:t xml:space="preserve"> </w:t>
      </w:r>
      <w:r>
        <w:t xml:space="preserve">CRR entities – and third country branches.</w:t>
      </w:r>
    </w:p>
    <w:p>
      <w:pPr>
        <w:pStyle w:val="BodyText"/>
      </w:pPr>
      <w:r>
        <w:t xml:space="preserve">568 European Council (November 2020), Presidency progress report on the strengthening of the Banking</w:t>
      </w:r>
      <w:r>
        <w:t xml:space="preserve"> </w:t>
      </w:r>
      <w:r>
        <w:t xml:space="preserve">Union.</w:t>
      </w:r>
      <w:r>
        <w:br/>
      </w:r>
      <w:r>
        <w:t xml:space="preserve">569 European Council (May 2020), Presidency progress report on the strengthening of the Banking Union,</w:t>
      </w:r>
      <w:r>
        <w:t xml:space="preserve"> </w:t>
      </w:r>
      <w:r>
        <w:t xml:space="preserve">p. 4, n. 9, P. 1 Portuguese Presidency progress report.</w:t>
      </w:r>
    </w:p>
    <w:p>
      <w:pPr>
        <w:pStyle w:val="BodyText"/>
      </w:pPr>
      <w:r>
        <w:t xml:space="preserve">361</w:t>
      </w:r>
      <w:r>
        <w:t xml:space="preserve"> </w:t>
      </w:r>
      <w:r>
        <w:t xml:space="preserve">In the context of the debates in the CWP, several policy options were discussed. Some</w:t>
      </w:r>
      <w:r>
        <w:t xml:space="preserve"> </w:t>
      </w:r>
      <w:r>
        <w:t xml:space="preserve">preferred including non-CRD/CRR entities both within the scope of EDIS and</w:t>
      </w:r>
      <w:r>
        <w:t xml:space="preserve"> </w:t>
      </w:r>
      <w:r>
        <w:t xml:space="preserve">CRD/CRR to ensure the alignment of the three pillars of the Banking Union. Others</w:t>
      </w:r>
      <w:r>
        <w:t xml:space="preserve"> </w:t>
      </w:r>
      <w:r>
        <w:t xml:space="preserve">supported either including these entities within the scope of EDIS, complemented by an</w:t>
      </w:r>
      <w:r>
        <w:t xml:space="preserve"> </w:t>
      </w:r>
      <w:r>
        <w:t xml:space="preserve">adjustment of risked-based contributions, or excluding such entities from the scope of</w:t>
      </w:r>
      <w:r>
        <w:t xml:space="preserve"> </w:t>
      </w:r>
      <w:r>
        <w:t xml:space="preserve">EDIS (and covering them from national funds). Another option entailed introducing a</w:t>
      </w:r>
      <w:r>
        <w:t xml:space="preserve"> </w:t>
      </w:r>
      <w:r>
        <w:t xml:space="preserve">conformity test at European level encompassing the regulation and supervision of these</w:t>
      </w:r>
      <w:r>
        <w:t xml:space="preserve"> </w:t>
      </w:r>
      <w:r>
        <w:t xml:space="preserve">entities as a condition for their inclusion into the scope of EDIS.</w:t>
      </w:r>
      <w:r>
        <w:br/>
      </w:r>
      <w:r>
        <w:t xml:space="preserve">In this respect, some Member States expressed concerns regarding the integration within</w:t>
      </w:r>
      <w:r>
        <w:t xml:space="preserve"> </w:t>
      </w:r>
      <w:r>
        <w:t xml:space="preserve">the scope of EDIS certain entities that are not subject to common supervision under the</w:t>
      </w:r>
      <w:r>
        <w:t xml:space="preserve"> </w:t>
      </w:r>
      <w:r>
        <w:t xml:space="preserve">CRR/CRD framework. It was argued that, while such entities are regulated at national</w:t>
      </w:r>
      <w:r>
        <w:t xml:space="preserve"> </w:t>
      </w:r>
      <w:r>
        <w:t xml:space="preserve">level, possibly comparatively lower regulatory and supervisory standards could increase</w:t>
      </w:r>
      <w:r>
        <w:t xml:space="preserve"> </w:t>
      </w:r>
      <w:r>
        <w:t xml:space="preserve">the risk exposure of EDIS. To reduce such a risk, some suggested including such entities</w:t>
      </w:r>
      <w:r>
        <w:t xml:space="preserve"> </w:t>
      </w:r>
      <w:r>
        <w:t xml:space="preserve">under the CRR/CDR framework with either a preferential or more proportionate</w:t>
      </w:r>
      <w:r>
        <w:t xml:space="preserve"> </w:t>
      </w:r>
      <w:r>
        <w:t xml:space="preserve">treatment in terms of prudential requirements570. Nevertheless, Member States, in which</w:t>
      </w:r>
      <w:r>
        <w:t xml:space="preserve"> </w:t>
      </w:r>
      <w:r>
        <w:t xml:space="preserve">non-CRR entities are a material part of the banking markets, reiterated their stance that</w:t>
      </w:r>
      <w:r>
        <w:t xml:space="preserve"> </w:t>
      </w:r>
      <w:r>
        <w:t xml:space="preserve">the proportionality provisions in the CRD/CRR framework were not suitable for all such</w:t>
      </w:r>
      <w:r>
        <w:t xml:space="preserve"> </w:t>
      </w:r>
      <w:r>
        <w:t xml:space="preserve">entities. Similar concerns and preferences were voiced in relation to the third country</w:t>
      </w:r>
      <w:r>
        <w:t xml:space="preserve"> </w:t>
      </w:r>
      <w:r>
        <w:t xml:space="preserve">branches571.</w:t>
      </w:r>
      <w:r>
        <w:t xml:space="preserve"> </w:t>
      </w:r>
      <w:r>
        <w:t xml:space="preserve">Box 20: Non-CRR entities</w:t>
      </w:r>
    </w:p>
    <w:p>
      <w:pPr>
        <w:pStyle w:val="BodyText"/>
      </w:pPr>
      <w:r>
        <w:t xml:space="preserve">Compared to the situation described in the effects analysis572, the following updates are</w:t>
      </w:r>
      <w:r>
        <w:t xml:space="preserve"> </w:t>
      </w:r>
      <w:r>
        <w:t xml:space="preserve">available for Member States in which non-CRR entities play the most important role. In</w:t>
      </w:r>
      <w:r>
        <w:t xml:space="preserve"> </w:t>
      </w:r>
      <w:r>
        <w:t xml:space="preserve">most of these Member States, the numbers of entities and share of covered deposits have</w:t>
      </w:r>
      <w:r>
        <w:t xml:space="preserve"> </w:t>
      </w:r>
      <w:r>
        <w:t xml:space="preserve">slightly declined.</w:t>
      </w:r>
      <w:r>
        <w:br/>
      </w:r>
      <w:r>
        <w:t xml:space="preserve">In Ireland, credit unions provide deposits to 3.45 million consumers subject to specific</w:t>
      </w:r>
      <w:r>
        <w:t xml:space="preserve"> </w:t>
      </w:r>
      <w:r>
        <w:t xml:space="preserve">legislation and Fitness and Probity Regime. 62 of these 226 credit unions are over</w:t>
      </w:r>
      <w:r>
        <w:t xml:space="preserve"> </w:t>
      </w:r>
      <w:r>
        <w:t xml:space="preserve">EUR 100 million in assets, representing 64% of that sector’s assets. Conversely, there are</w:t>
      </w:r>
      <w:r>
        <w:t xml:space="preserve"> </w:t>
      </w:r>
      <w:r>
        <w:t xml:space="preserve">164 credit unions below EUR 100 million in assets. The largest credit union in Ireland has</w:t>
      </w:r>
      <w:r>
        <w:t xml:space="preserve"> </w:t>
      </w:r>
      <w:r>
        <w:t xml:space="preserve">less than EUR 400 million in deposits, amounting to approximately 0.3% of the DGS. It is</w:t>
      </w:r>
      <w:r>
        <w:t xml:space="preserve"> </w:t>
      </w:r>
      <w:r>
        <w:t xml:space="preserve">worth noting that there is a Savings Protection Scheme for Credit Unions established in</w:t>
      </w:r>
      <w:r>
        <w:t xml:space="preserve"> </w:t>
      </w:r>
      <w:r>
        <w:t xml:space="preserve">1989. The latter is a discretionary scheme funded by credit unions affiliated to the Irish</w:t>
      </w:r>
      <w:r>
        <w:t xml:space="preserve"> </w:t>
      </w:r>
      <w:r>
        <w:t xml:space="preserve">League of Credit Unions. Similar to IPSs, the scheme operated by the Irish League of</w:t>
      </w:r>
      <w:r>
        <w:t xml:space="preserve"> </w:t>
      </w:r>
      <w:r>
        <w:t xml:space="preserve">Credit Unions may intervene to provide support to a credit union in difficulty.</w:t>
      </w:r>
      <w:r>
        <w:t xml:space="preserve"> </w:t>
      </w:r>
      <w:r>
        <w:t xml:space="preserve">In Lithuania, a reform strengthening the credit union sector has been underway since 2018.</w:t>
      </w:r>
      <w:r>
        <w:t xml:space="preserve"> </w:t>
      </w:r>
      <w:r>
        <w:t xml:space="preserve">Each credit union has to belong to a group led by a Central Credit Union (CCU). Currently</w:t>
      </w:r>
    </w:p>
    <w:p>
      <w:pPr>
        <w:pStyle w:val="BodyText"/>
      </w:pPr>
      <w:r>
        <w:t xml:space="preserve">570 In 2019, the proportionality embedded in the prudential requirements was reinforced for entities subject</w:t>
      </w:r>
      <w:r>
        <w:t xml:space="preserve"> </w:t>
      </w:r>
      <w:r>
        <w:t xml:space="preserve">to CRR/CRD, relative to the type and size of banking activities conducted by an entity. In particular these</w:t>
      </w:r>
      <w:r>
        <w:t xml:space="preserve"> </w:t>
      </w:r>
      <w:r>
        <w:t xml:space="preserve">revisions include: reduced requirements for reporting and disclosures, a simplified net stable funding ratio</w:t>
      </w:r>
      <w:r>
        <w:t xml:space="preserve"> </w:t>
      </w:r>
      <w:r>
        <w:t xml:space="preserve">(NSFR) for small and non-complex institutions and simplified approaches for calculating capital</w:t>
      </w:r>
      <w:r>
        <w:t xml:space="preserve"> </w:t>
      </w:r>
      <w:r>
        <w:t xml:space="preserve">requirements for counterparty credit risk and for market risk.</w:t>
      </w:r>
      <w:r>
        <w:t xml:space="preserve"> </w:t>
      </w:r>
      <w:r>
        <w:t xml:space="preserve">571 European Council (May 2020), Presidency progress report on strengthening the Banking Union, p. 4,</w:t>
      </w:r>
      <w:r>
        <w:t xml:space="preserve"> </w:t>
      </w:r>
      <w:r>
        <w:t xml:space="preserve">and European Council (2 June 2021), Portuguese Presidency Progress Report on strengthening the</w:t>
      </w:r>
      <w:r>
        <w:t xml:space="preserve"> </w:t>
      </w:r>
      <w:r>
        <w:t xml:space="preserve">Banking Union, p.7.</w:t>
      </w:r>
      <w:r>
        <w:t xml:space="preserve"> </w:t>
      </w:r>
      <w:r>
        <w:t xml:space="preserve">572 European Commission (2016), Effects analysis, p.45-50. The non-CRD/CRR entities are often</w:t>
      </w:r>
      <w:r>
        <w:t xml:space="preserve"> </w:t>
      </w:r>
      <w:r>
        <w:t xml:space="preserve">exempted from the CRD/CRR framework based on the principle of proportionality as their business</w:t>
      </w:r>
      <w:r>
        <w:t xml:space="preserve"> </w:t>
      </w:r>
      <w:r>
        <w:t xml:space="preserve">operations are often limited to certain business of relevance for local needs.</w:t>
      </w:r>
    </w:p>
    <w:p>
      <w:pPr>
        <w:pStyle w:val="BodyText"/>
      </w:pPr>
      <w:r>
        <w:t xml:space="preserve">362</w:t>
      </w:r>
      <w:r>
        <w:t xml:space="preserve"> </w:t>
      </w:r>
      <w:r>
        <w:t xml:space="preserve">there are two CCU groups with a total of 56 members (not counting the leading CCUs</w:t>
      </w:r>
      <w:r>
        <w:t xml:space="preserve"> </w:t>
      </w:r>
      <w:r>
        <w:t xml:space="preserve">themselves). CCUs as solo entities are subject to CRR requirements and are included in the</w:t>
      </w:r>
      <w:r>
        <w:t xml:space="preserve"> </w:t>
      </w:r>
      <w:r>
        <w:t xml:space="preserve">SSM. CCU groups are treated as consolidated financial groups. National prudential</w:t>
      </w:r>
      <w:r>
        <w:t xml:space="preserve"> </w:t>
      </w:r>
      <w:r>
        <w:t xml:space="preserve">requirements applicable to CCU groups on consolidated level are de facto equivalent to</w:t>
      </w:r>
      <w:r>
        <w:t xml:space="preserve"> </w:t>
      </w:r>
      <w:r>
        <w:t xml:space="preserve">CRR requirements. Four credit unions are currently independent. The CCUs and their</w:t>
      </w:r>
      <w:r>
        <w:t xml:space="preserve"> </w:t>
      </w:r>
      <w:r>
        <w:t xml:space="preserve">members are jointly liable for mutual solvency safeguarding. Among others, the CCU has</w:t>
      </w:r>
      <w:r>
        <w:t xml:space="preserve"> </w:t>
      </w:r>
      <w:r>
        <w:t xml:space="preserve">to accumulate and hold at least 1% of its total assets in the Stabilisation Fund, raised by</w:t>
      </w:r>
      <w:r>
        <w:t xml:space="preserve"> </w:t>
      </w:r>
      <w:r>
        <w:t xml:space="preserve">members’ contributions.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DGS</w:t>
      </w:r>
      <w:r>
        <w:t xml:space="preserve"> </w:t>
      </w:r>
      <w:r>
        <w:t xml:space="preserve">member-</w:t>
      </w:r>
      <w:r>
        <w:t xml:space="preserve"> </w:t>
      </w:r>
      <w:r>
        <w:t xml:space="preserve">ship</w:t>
      </w:r>
      <w:r>
        <w:t xml:space="preserve"> </w:t>
      </w:r>
      <w:r>
        <w:t xml:space="preserve">SSM</w:t>
      </w:r>
      <w:r>
        <w:t xml:space="preserve"> </w:t>
      </w:r>
      <w:r>
        <w:t xml:space="preserve">Nb. of</w:t>
      </w:r>
      <w:r>
        <w:t xml:space="preserve"> </w:t>
      </w:r>
      <w:r>
        <w:t xml:space="preserve">entities</w:t>
      </w:r>
      <w:r>
        <w:t xml:space="preserve"> </w:t>
      </w:r>
      <w:r>
        <w:t xml:space="preserve">Total</w:t>
      </w:r>
      <w:r>
        <w:t xml:space="preserve"> </w:t>
      </w:r>
      <w:r>
        <w:t xml:space="preserve">assets held</w:t>
      </w:r>
      <w:r>
        <w:t xml:space="preserve"> </w:t>
      </w:r>
      <w:r>
        <w:t xml:space="preserve">by entities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t xml:space="preserve"> </w:t>
      </w:r>
      <w:r>
        <w:t xml:space="preserve">assets as</w:t>
      </w:r>
      <w:r>
        <w:t xml:space="preserve"> </w:t>
      </w:r>
      <w:r>
        <w:t xml:space="preserve">share of</w:t>
      </w:r>
      <w:r>
        <w:t xml:space="preserve"> </w:t>
      </w:r>
      <w:r>
        <w:t xml:space="preserve">MS’</w:t>
      </w:r>
      <w:r>
        <w:t xml:space="preserve"> </w:t>
      </w:r>
      <w:r>
        <w:t xml:space="preserve">banking</w:t>
      </w:r>
      <w:r>
        <w:t xml:space="preserve"> </w:t>
      </w:r>
      <w:r>
        <w:t xml:space="preserve">sector</w:t>
      </w:r>
      <w:r>
        <w:t xml:space="preserve"> </w:t>
      </w:r>
      <w:r>
        <w:t xml:space="preserve">TA (in</w:t>
      </w:r>
      <w:r>
        <w:t xml:space="preserve"> </w:t>
      </w:r>
      <w:r>
        <w:t xml:space="preserve">%)</w:t>
      </w:r>
      <w:r>
        <w:t xml:space="preserve"> </w:t>
      </w:r>
      <w:r>
        <w:t xml:space="preserve">Covered</w:t>
      </w:r>
      <w:r>
        <w:t xml:space="preserve"> </w:t>
      </w:r>
      <w:r>
        <w:t xml:space="preserve">Deposits</w:t>
      </w:r>
      <w:r>
        <w:t xml:space="preserve"> </w:t>
      </w:r>
      <w:r>
        <w:t xml:space="preserve">held by</w:t>
      </w:r>
      <w:r>
        <w:t xml:space="preserve"> </w:t>
      </w:r>
      <w:r>
        <w:t xml:space="preserve">entities</w:t>
      </w:r>
      <w:r>
        <w:t xml:space="preserve"> </w:t>
      </w:r>
      <w:r>
        <w:t xml:space="preserve">(EUR)</w:t>
      </w:r>
      <w:r>
        <w:t xml:space="preserve"> </w:t>
      </w:r>
      <w:r>
        <w:t xml:space="preserve">Covered</w:t>
      </w:r>
      <w:r>
        <w:t xml:space="preserve"> </w:t>
      </w:r>
      <w:r>
        <w:t xml:space="preserve">Deposits</w:t>
      </w:r>
      <w:r>
        <w:t xml:space="preserve"> </w:t>
      </w:r>
      <w:r>
        <w:t xml:space="preserve">as share</w:t>
      </w:r>
      <w:r>
        <w:t xml:space="preserve"> </w:t>
      </w:r>
      <w:r>
        <w:t xml:space="preserve">of total</w:t>
      </w:r>
      <w:r>
        <w:t xml:space="preserve"> </w:t>
      </w:r>
      <w:r>
        <w:t xml:space="preserve">covered</w:t>
      </w:r>
      <w:r>
        <w:t xml:space="preserve"> </w:t>
      </w:r>
      <w:r>
        <w:t xml:space="preserve">deposits</w:t>
      </w:r>
      <w:r>
        <w:t xml:space="preserve"> </w:t>
      </w:r>
      <w:r>
        <w:t xml:space="preserve">(in %)</w:t>
      </w:r>
      <w:r>
        <w:t xml:space="preserve"> </w:t>
      </w:r>
      <w:r>
        <w:t xml:space="preserve">IE</w:t>
      </w:r>
      <w:r>
        <w:t xml:space="preserve"> </w:t>
      </w:r>
      <w:r>
        <w:t xml:space="preserve">Credit unions</w:t>
      </w:r>
      <w:r>
        <w:t xml:space="preserve"> </w:t>
      </w:r>
      <w:r>
        <w:t xml:space="preserve">Yes</w:t>
      </w:r>
      <w:r>
        <w:br/>
      </w:r>
      <w:r>
        <w:t xml:space="preserve">No</w:t>
      </w:r>
      <w:r>
        <w:t xml:space="preserve"> </w:t>
      </w:r>
      <w:r>
        <w:t xml:space="preserve">226</w:t>
      </w:r>
      <w:r>
        <w:t xml:space="preserve"> </w:t>
      </w:r>
      <w:r>
        <w:t xml:space="preserve">19.623 bn</w:t>
      </w:r>
      <w:r>
        <w:t xml:space="preserve"> </w:t>
      </w:r>
      <w:r>
        <w:t xml:space="preserve">2.6%</w:t>
      </w:r>
      <w:r>
        <w:t xml:space="preserve"> </w:t>
      </w:r>
      <w:r>
        <w:t xml:space="preserve">16.5 bn</w:t>
      </w:r>
      <w:r>
        <w:t xml:space="preserve"> </w:t>
      </w:r>
      <w:r>
        <w:t xml:space="preserve">14.00</w:t>
      </w:r>
      <w:r>
        <w:t xml:space="preserve"> </w:t>
      </w:r>
      <w:r>
        <w:t xml:space="preserve">LT</w:t>
      </w:r>
      <w:r>
        <w:t xml:space="preserve"> </w:t>
      </w:r>
      <w:r>
        <w:t xml:space="preserve">Central credit</w:t>
      </w:r>
      <w:r>
        <w:t xml:space="preserve"> </w:t>
      </w:r>
      <w:r>
        <w:t xml:space="preserve">unions (CCUs)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2</w:t>
      </w:r>
      <w:r>
        <w:t xml:space="preserve"> </w:t>
      </w:r>
      <w:r>
        <w:t xml:space="preserve">268.33 m</w:t>
      </w:r>
      <w:r>
        <w:t xml:space="preserve"> </w:t>
      </w:r>
      <w:r>
        <w:t xml:space="preserve">0.69%</w:t>
      </w:r>
      <w:r>
        <w:t xml:space="preserve"> </w:t>
      </w:r>
      <w:r>
        <w:t xml:space="preserve">0.20 m</w:t>
      </w:r>
      <w:r>
        <w:t xml:space="preserve"> </w:t>
      </w:r>
      <w:r>
        <w:t xml:space="preserve">0.00</w:t>
      </w:r>
      <w:r>
        <w:t xml:space="preserve"> </w:t>
      </w:r>
      <w:r>
        <w:t xml:space="preserve">Credit unions</w:t>
      </w:r>
      <w:r>
        <w:t xml:space="preserve"> </w:t>
      </w:r>
      <w:r>
        <w:t xml:space="preserve">under either of</w:t>
      </w:r>
      <w:r>
        <w:t xml:space="preserve"> </w:t>
      </w:r>
      <w:r>
        <w:t xml:space="preserve">CCU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56</w:t>
      </w:r>
      <w:r>
        <w:t xml:space="preserve"> </w:t>
      </w:r>
      <w:r>
        <w:t xml:space="preserve">787.75 m</w:t>
      </w:r>
      <w:r>
        <w:t xml:space="preserve"> </w:t>
      </w:r>
      <w:r>
        <w:t xml:space="preserve">2.02%</w:t>
      </w:r>
      <w:r>
        <w:t xml:space="preserve"> </w:t>
      </w:r>
      <w:r>
        <w:t xml:space="preserve">632.20 m</w:t>
      </w:r>
      <w:r>
        <w:t xml:space="preserve"> </w:t>
      </w:r>
      <w:r>
        <w:t xml:space="preserve">3.78</w:t>
      </w:r>
      <w:r>
        <w:t xml:space="preserve"> </w:t>
      </w:r>
      <w:r>
        <w:t xml:space="preserve">Credit Unions</w:t>
      </w:r>
      <w:r>
        <w:t xml:space="preserve"> </w:t>
      </w:r>
      <w:r>
        <w:t xml:space="preserve">(under</w:t>
      </w:r>
      <w:r>
        <w:t xml:space="preserve"> </w:t>
      </w:r>
      <w:r>
        <w:t xml:space="preserve">restructuring)</w:t>
      </w:r>
      <w:r>
        <w:t xml:space="preserve"> </w:t>
      </w:r>
      <w:r>
        <w:t xml:space="preserve">Yes</w:t>
      </w:r>
      <w:r>
        <w:t xml:space="preserve"> </w:t>
      </w:r>
      <w:r>
        <w:t xml:space="preserve">(Yes</w:t>
      </w:r>
      <w:r>
        <w:t xml:space="preserve"> </w:t>
      </w:r>
      <w:r>
        <w:t xml:space="preserve">from</w:t>
      </w:r>
      <w:r>
        <w:t xml:space="preserve"> </w:t>
      </w:r>
      <w:r>
        <w:t xml:space="preserve">2023)</w:t>
      </w:r>
      <w:r>
        <w:t xml:space="preserve"> </w:t>
      </w:r>
      <w:r>
        <w:t xml:space="preserve">4</w:t>
      </w:r>
      <w:r>
        <w:t xml:space="preserve"> </w:t>
      </w:r>
      <w:r>
        <w:t xml:space="preserve">177.18 m</w:t>
      </w:r>
      <w:r>
        <w:t xml:space="preserve"> </w:t>
      </w:r>
      <w:r>
        <w:t xml:space="preserve">0.45%</w:t>
      </w:r>
      <w:r>
        <w:t xml:space="preserve"> </w:t>
      </w:r>
      <w:r>
        <w:t xml:space="preserve">164.11 m</w:t>
      </w:r>
      <w:r>
        <w:t xml:space="preserve"> </w:t>
      </w:r>
      <w:r>
        <w:t xml:space="preserve">0.98</w:t>
      </w:r>
      <w:r>
        <w:t xml:space="preserve"> </w:t>
      </w:r>
      <w:r>
        <w:t xml:space="preserve">PL</w:t>
      </w:r>
      <w:r>
        <w:t xml:space="preserve"> </w:t>
      </w:r>
      <w:r>
        <w:t xml:space="preserve">Credit unions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23</w:t>
      </w:r>
      <w:r>
        <w:t xml:space="preserve"> </w:t>
      </w:r>
      <w:r>
        <w:t xml:space="preserve">2.099 bn</w:t>
      </w:r>
      <w:r>
        <w:t xml:space="preserve"> </w:t>
      </w:r>
      <w:r>
        <w:t xml:space="preserve">0.49%</w:t>
      </w:r>
      <w:r>
        <w:t xml:space="preserve"> </w:t>
      </w:r>
      <w:r>
        <w:t xml:space="preserve">1.905 bn</w:t>
      </w:r>
      <w:r>
        <w:t xml:space="preserve"> </w:t>
      </w:r>
      <w:r>
        <w:t xml:space="preserve">0.90</w:t>
      </w:r>
      <w:r>
        <w:t xml:space="preserve"> </w:t>
      </w:r>
      <w:r>
        <w:t xml:space="preserve">PT</w:t>
      </w:r>
      <w:r>
        <w:br/>
      </w:r>
      <w:r>
        <w:t xml:space="preserve">Savings banks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3</w:t>
      </w:r>
      <w:r>
        <w:t xml:space="preserve"> </w:t>
      </w:r>
      <w:r>
        <w:t xml:space="preserve">379 m</w:t>
      </w:r>
      <w:r>
        <w:t xml:space="preserve"> </w:t>
      </w:r>
      <w:r>
        <w:t xml:space="preserve">0.09 %</w:t>
      </w:r>
      <w:r>
        <w:t xml:space="preserve"> </w:t>
      </w:r>
      <w:r>
        <w:t xml:space="preserve">245</w:t>
      </w:r>
      <w:r>
        <w:t xml:space="preserve"> </w:t>
      </w:r>
      <w:r>
        <w:t xml:space="preserve">0.19</w:t>
      </w:r>
    </w:p>
    <w:p>
      <w:pPr>
        <w:pStyle w:val="BodyText"/>
      </w:pPr>
      <w:r>
        <w:t xml:space="preserve">ONDs</w:t>
      </w:r>
      <w:r>
        <w:br/>
      </w:r>
      <w:r>
        <w:t xml:space="preserve">The 2015 proposal opted for preserving a degree of discretion to accommodate national</w:t>
      </w:r>
      <w:r>
        <w:t xml:space="preserve"> </w:t>
      </w:r>
      <w:r>
        <w:t xml:space="preserve">specificities. The treatment of ONDs set out in the DGSD also gave rise to numerous</w:t>
      </w:r>
      <w:r>
        <w:t xml:space="preserve"> </w:t>
      </w:r>
      <w:r>
        <w:t xml:space="preserve">discussions, analysing their interaction with the 2015 proposal and exploring possible</w:t>
      </w:r>
      <w:r>
        <w:t xml:space="preserve"> </w:t>
      </w:r>
      <w:r>
        <w:t xml:space="preserve">options573.</w:t>
      </w:r>
      <w:r>
        <w:t xml:space="preserve"> </w:t>
      </w:r>
      <w:r>
        <w:t xml:space="preserve">The possible options were further harmonisation of ONDs in the DGSD, their general</w:t>
      </w:r>
      <w:r>
        <w:t xml:space="preserve"> </w:t>
      </w:r>
      <w:r>
        <w:t xml:space="preserve">exclusion from EDIS or a two-tier system. Some Member States also supported covering</w:t>
      </w:r>
      <w:r>
        <w:t xml:space="preserve"> </w:t>
      </w:r>
      <w:r>
        <w:t xml:space="preserve">some of the options from the mutualised funds during the reinsurance or liquidity support</w:t>
      </w:r>
      <w:r>
        <w:t xml:space="preserve"> </w:t>
      </w:r>
      <w:r>
        <w:t xml:space="preserve">phase, because the latter would be repaid to the DIF574. In the recent discussions, the</w:t>
      </w:r>
      <w:r>
        <w:t xml:space="preserve"> </w:t>
      </w:r>
      <w:r>
        <w:t xml:space="preserve">majority of members supported harmonising these options and discretions to the extent</w:t>
      </w:r>
      <w:r>
        <w:t xml:space="preserve"> </w:t>
      </w:r>
      <w:r>
        <w:t xml:space="preserve">possible to cover them, at least to a certain degree, by EDIS. Several Member States</w:t>
      </w:r>
      <w:r>
        <w:t xml:space="preserve"> </w:t>
      </w:r>
      <w:r>
        <w:t xml:space="preserve">argued in favour of harmonising substantive regimes on the use of preventive and</w:t>
      </w:r>
      <w:r>
        <w:t xml:space="preserve"> </w:t>
      </w:r>
      <w:r>
        <w:t xml:space="preserve">alternative measures in EDIS, in particular in what concerns the least cost test575. As for</w:t>
      </w:r>
      <w:r>
        <w:t xml:space="preserve"> </w:t>
      </w:r>
      <w:r>
        <w:t xml:space="preserve">the extent of coverage by EDIS, the views were split between allowing coverage by</w:t>
      </w:r>
      <w:r>
        <w:t xml:space="preserve"> </w:t>
      </w:r>
      <w:r>
        <w:t xml:space="preserve">EDIS, in view of their enhanced efficiency with a positive financial impact on the funds,</w:t>
      </w:r>
    </w:p>
    <w:p>
      <w:pPr>
        <w:pStyle w:val="BodyText"/>
      </w:pPr>
      <w:r>
        <w:t xml:space="preserve">573 European Council (November 2019), Finnish Presidency Progress report of 25 November 2019, p. 4;</w:t>
      </w:r>
      <w:r>
        <w:t xml:space="preserve"> </w:t>
      </w:r>
      <w:r>
        <w:t xml:space="preserve">Effect analysis on EDIS p. 5, 39-57.</w:t>
      </w:r>
      <w:r>
        <w:br/>
      </w:r>
      <w:r>
        <w:t xml:space="preserve">574 European Council (12 June 2018), Bulgarian Presidency Progress report on European Deposit</w:t>
      </w:r>
      <w:r>
        <w:t xml:space="preserve"> </w:t>
      </w:r>
      <w:r>
        <w:t xml:space="preserve">Insurance Scheme, p. 9.</w:t>
      </w:r>
      <w:r>
        <w:t xml:space="preserve"> </w:t>
      </w:r>
      <w:r>
        <w:t xml:space="preserve">575 See Chapter 6, sections 6.1.3.3 and 6.1.4.3.</w:t>
      </w:r>
    </w:p>
    <w:p>
      <w:pPr>
        <w:pStyle w:val="BodyText"/>
      </w:pPr>
      <w:r>
        <w:t xml:space="preserve">363</w:t>
      </w:r>
      <w:r>
        <w:t xml:space="preserve"> </w:t>
      </w:r>
      <w:r>
        <w:t xml:space="preserve">and maintaining these measures at national level. Some were of the view that the</w:t>
      </w:r>
      <w:r>
        <w:t xml:space="preserve"> </w:t>
      </w:r>
      <w:r>
        <w:t xml:space="preserve">inclusion of these measures under EDIS would require a larger DIF576.</w:t>
      </w:r>
      <w:r>
        <w:t xml:space="preserve"> </w:t>
      </w:r>
      <w:r>
        <w:t xml:space="preserve">2. HYBRID EDIS577</w:t>
      </w:r>
      <w:r>
        <w:br/>
      </w:r>
      <w:r>
        <w:t xml:space="preserve">2.1. Key features, benefits and drawbacks</w:t>
      </w:r>
      <w:r>
        <w:t xml:space="preserve"> </w:t>
      </w:r>
      <w:r>
        <w:t xml:space="preserve">The hybrid EDIS is built around the idea of a network of national DGSs coexisting with</w:t>
      </w:r>
      <w:r>
        <w:t xml:space="preserve"> </w:t>
      </w:r>
      <w:r>
        <w:t xml:space="preserve">deposit insurance fund at central level while funds remain within the national DGSs578.</w:t>
      </w:r>
      <w:r>
        <w:br/>
      </w:r>
      <w:r>
        <w:t xml:space="preserve">The setting of the parameters of the model allows for an array of options. The gradual</w:t>
      </w:r>
      <w:r>
        <w:t xml:space="preserve"> </w:t>
      </w:r>
      <w:r>
        <w:t xml:space="preserve">rollout of hybrid model (starting from a liquidity phase) could be more palatable to the</w:t>
      </w:r>
      <w:r>
        <w:t xml:space="preserve"> </w:t>
      </w:r>
      <w:r>
        <w:t xml:space="preserve">co-legislators through a transition to a loss-sharing phase and thanks to a multitude of</w:t>
      </w:r>
      <w:r>
        <w:t xml:space="preserve"> </w:t>
      </w:r>
      <w:r>
        <w:t xml:space="preserve">calibration options for the main parameters. The Commission services’ survey on the</w:t>
      </w:r>
      <w:r>
        <w:t xml:space="preserve"> </w:t>
      </w:r>
      <w:r>
        <w:t xml:space="preserve">hybrid model collected the views of Member States on individual parameters,</w:t>
      </w:r>
      <w:r>
        <w:t xml:space="preserve"> </w:t>
      </w:r>
      <w:r>
        <w:t xml:space="preserve">summarised in Box 21579.</w:t>
      </w:r>
      <w:r>
        <w:t xml:space="preserve"> </w:t>
      </w:r>
      <w:r>
        <w:t xml:space="preserve">Box 21: Member States’ views on the hybrid model (CWP of November 2020)</w:t>
      </w:r>
      <w:r>
        <w:br/>
      </w:r>
      <w:r>
        <w:t xml:space="preserve">This table summarises the outcome of the responses from 24 Member States received to</w:t>
      </w:r>
      <w:r>
        <w:t xml:space="preserve"> </w:t>
      </w:r>
      <w:r>
        <w:t xml:space="preserve">the Commission services’ survey on the hybrid model circulated in the context of CWP in</w:t>
      </w:r>
      <w:r>
        <w:t xml:space="preserve"> </w:t>
      </w:r>
      <w:r>
        <w:t xml:space="preserve">July 2020. This summary focuses on the main technical views and points raised in the</w:t>
      </w:r>
      <w:r>
        <w:t xml:space="preserve"> </w:t>
      </w:r>
      <w:r>
        <w:t xml:space="preserve">responses, not necessarily reflecting all the nuances. The brackets reflect the number of</w:t>
      </w:r>
      <w:r>
        <w:t xml:space="preserve"> </w:t>
      </w:r>
      <w:r>
        <w:t xml:space="preserve">respondents supporting a particular feature. The numbers do not add up where</w:t>
      </w:r>
      <w:r>
        <w:t xml:space="preserve"> </w:t>
      </w:r>
      <w:r>
        <w:t xml:space="preserve">respondents did not respond to every (sub-)question.</w:t>
      </w:r>
      <w:r>
        <w:br/>
      </w:r>
      <w:r>
        <w:t xml:space="preserve">It follows from this survey that, while 8 respondents favoured a fully-fledged EDIS as the</w:t>
      </w:r>
      <w:r>
        <w:t xml:space="preserve"> </w:t>
      </w:r>
      <w:r>
        <w:t xml:space="preserve">final objective, 9 respondents considered the hybrid model as a compromise to bridge the</w:t>
      </w:r>
      <w:r>
        <w:t xml:space="preserve"> </w:t>
      </w:r>
      <w:r>
        <w:t xml:space="preserve">divergent views on the transition towards a fully-fledged EDIS. 4 respondents stated the</w:t>
      </w:r>
      <w:r>
        <w:t xml:space="preserve"> </w:t>
      </w:r>
      <w:r>
        <w:t xml:space="preserve">contingency of any decision on EDIS, including loss sharing on the risk reduction.</w:t>
      </w:r>
      <w:r>
        <w:t xml:space="preserve"> </w:t>
      </w:r>
      <w:r>
        <w:t xml:space="preserve">Some positions on the below features might have been refined during the subsequent</w:t>
      </w:r>
      <w:r>
        <w:t xml:space="preserve"> </w:t>
      </w:r>
      <w:r>
        <w:t xml:space="preserve">discussions on the hybrid model in the CWP. However, these discussions, as documented</w:t>
      </w:r>
      <w:r>
        <w:t xml:space="preserve"> </w:t>
      </w:r>
      <w:r>
        <w:t xml:space="preserve">in the progress reports, appear less representative absent the feedback from a high</w:t>
      </w:r>
      <w:r>
        <w:t xml:space="preserve"> </w:t>
      </w:r>
      <w:r>
        <w:t xml:space="preserve">number of Member States.</w:t>
      </w:r>
      <w:r>
        <w:t xml:space="preserve"> </w:t>
      </w:r>
      <w:r>
        <w:t xml:space="preserve">Allocation of funds</w:t>
      </w:r>
      <w:r>
        <w:br/>
      </w:r>
      <w:r>
        <w:t xml:space="preserve">in favour of a large</w:t>
      </w:r>
      <w:r>
        <w:t xml:space="preserve"> </w:t>
      </w:r>
      <w:r>
        <w:t xml:space="preserve">central fund (5)</w:t>
      </w:r>
      <w:r>
        <w:t xml:space="preserve"> </w:t>
      </w:r>
      <w:r>
        <w:t xml:space="preserve">in favour of even</w:t>
      </w:r>
      <w:r>
        <w:t xml:space="preserve"> </w:t>
      </w:r>
      <w:r>
        <w:t xml:space="preserve">allocation (5)</w:t>
      </w:r>
      <w:r>
        <w:t xml:space="preserve"> </w:t>
      </w:r>
      <w:r>
        <w:t xml:space="preserve">in favour of a limited</w:t>
      </w:r>
      <w:r>
        <w:t xml:space="preserve"> </w:t>
      </w:r>
      <w:r>
        <w:t xml:space="preserve">central fund (4)</w:t>
      </w:r>
      <w:r>
        <w:t xml:space="preserve"> </w:t>
      </w:r>
      <w:r>
        <w:t xml:space="preserve">Caps on liquidity support</w:t>
      </w:r>
      <w:r>
        <w:t xml:space="preserve"> </w:t>
      </w:r>
      <w:r>
        <w:t xml:space="preserve">on central fund</w:t>
      </w:r>
      <w:r>
        <w:t xml:space="preserve"> </w:t>
      </w:r>
      <w:r>
        <w:t xml:space="preserve">in favour (8)</w:t>
      </w:r>
    </w:p>
    <w:p>
      <w:pPr>
        <w:pStyle w:val="BodyText"/>
      </w:pPr>
      <w:r>
        <w:t xml:space="preserve">Against (6)</w:t>
      </w:r>
      <w:r>
        <w:t xml:space="preserve"> </w:t>
      </w:r>
      <w:r>
        <w:t xml:space="preserve">Cap on mandatory lending</w:t>
      </w:r>
      <w:r>
        <w:t xml:space="preserve"> </w:t>
      </w:r>
      <w:r>
        <w:t xml:space="preserve">in favour (17)</w:t>
      </w:r>
    </w:p>
    <w:p>
      <w:pPr>
        <w:pStyle w:val="BodyText"/>
      </w:pPr>
      <w:r>
        <w:t xml:space="preserve">Against (2)</w:t>
      </w:r>
      <w:r>
        <w:t xml:space="preserve"> </w:t>
      </w:r>
      <w:r>
        <w:t xml:space="preserve">Build-up of the central</w:t>
      </w:r>
      <w:r>
        <w:t xml:space="preserve"> </w:t>
      </w:r>
      <w:r>
        <w:t xml:space="preserve">fund and of the mandatory</w:t>
      </w:r>
      <w:r>
        <w:t xml:space="preserve"> </w:t>
      </w:r>
      <w:r>
        <w:t xml:space="preserve">In favour of parallel</w:t>
      </w:r>
      <w:r>
        <w:t xml:space="preserve"> </w:t>
      </w:r>
      <w:r>
        <w:t xml:space="preserve">build-up of the two</w:t>
      </w:r>
      <w:r>
        <w:t xml:space="preserve"> </w:t>
      </w:r>
      <w:r>
        <w:t xml:space="preserve">In favour of build-</w:t>
      </w:r>
      <w:r>
        <w:t xml:space="preserve"> </w:t>
      </w:r>
      <w:r>
        <w:t xml:space="preserve">up of mandatory</w:t>
      </w:r>
      <w:r>
        <w:t xml:space="preserve"> </w:t>
      </w:r>
      <w:r>
        <w:t xml:space="preserve">In favour of prior</w:t>
      </w:r>
      <w:r>
        <w:t xml:space="preserve"> </w:t>
      </w:r>
      <w:r>
        <w:t xml:space="preserve">build-up of the central</w:t>
      </w:r>
    </w:p>
    <w:p>
      <w:pPr>
        <w:pStyle w:val="BodyText"/>
      </w:pPr>
      <w:r>
        <w:t xml:space="preserve">576 European Council (2 June 2021), Portuguese Presidency Progress report on strengthening the Banking</w:t>
      </w:r>
      <w:r>
        <w:t xml:space="preserve"> </w:t>
      </w:r>
      <w:r>
        <w:t xml:space="preserve">Union.</w:t>
      </w:r>
      <w:r>
        <w:t xml:space="preserve"> </w:t>
      </w:r>
      <w:r>
        <w:t xml:space="preserve">577 This section aims to summarise technical discussions that took place in Council working parties on</w:t>
      </w:r>
      <w:r>
        <w:t xml:space="preserve"> </w:t>
      </w:r>
      <w:r>
        <w:t xml:space="preserve">EDIS for the benefit of transparency to all stakeholders. It does not prejudge the Commission’s position as</w:t>
      </w:r>
      <w:r>
        <w:t xml:space="preserve"> </w:t>
      </w:r>
      <w:r>
        <w:t xml:space="preserve">the 2015 EDIS proposal is still on the table.</w:t>
      </w:r>
      <w:r>
        <w:t xml:space="preserve"> </w:t>
      </w:r>
      <w:r>
        <w:t xml:space="preserve">578 Whereas the available financial means could either remain in the national DGSs or be transferred to</w:t>
      </w:r>
      <w:r>
        <w:t xml:space="preserve"> </w:t>
      </w:r>
      <w:r>
        <w:t xml:space="preserve">individual compartments associated to each Member State within the DIF (see further 2.3.1).</w:t>
      </w:r>
      <w:r>
        <w:br/>
      </w:r>
      <w:r>
        <w:t xml:space="preserve">579 European Council (23 November 2020), German Presidency progress report, p.18.</w:t>
      </w:r>
    </w:p>
    <w:p>
      <w:pPr>
        <w:pStyle w:val="BodyText"/>
      </w:pPr>
      <w:r>
        <w:t xml:space="preserve">364</w:t>
      </w:r>
      <w:r>
        <w:t xml:space="preserve"> </w:t>
      </w:r>
      <w:r>
        <w:t xml:space="preserve">lending component</w:t>
      </w:r>
      <w:r>
        <w:t xml:space="preserve"> </w:t>
      </w:r>
      <w:r>
        <w:t xml:space="preserve">(8)</w:t>
      </w:r>
      <w:r>
        <w:t xml:space="preserve"> </w:t>
      </w:r>
      <w:r>
        <w:t xml:space="preserve">lending component</w:t>
      </w:r>
      <w:r>
        <w:t xml:space="preserve"> </w:t>
      </w:r>
      <w:r>
        <w:t xml:space="preserve">before the central</w:t>
      </w:r>
      <w:r>
        <w:t xml:space="preserve"> </w:t>
      </w:r>
      <w:r>
        <w:t xml:space="preserve">fund (3)</w:t>
      </w:r>
      <w:r>
        <w:t xml:space="preserve"> </w:t>
      </w:r>
      <w:r>
        <w:t xml:space="preserve">fund (1)</w:t>
      </w:r>
      <w:r>
        <w:br/>
      </w:r>
      <w:r>
        <w:t xml:space="preserve">Should the loan be repaid</w:t>
      </w:r>
      <w:r>
        <w:t xml:space="preserve"> </w:t>
      </w:r>
      <w:r>
        <w:t xml:space="preserve">with interest rates?</w:t>
      </w:r>
      <w:r>
        <w:t xml:space="preserve"> </w:t>
      </w:r>
      <w:r>
        <w:t xml:space="preserve">In favour (16)</w:t>
      </w:r>
      <w:r>
        <w:t xml:space="preserve"> </w:t>
      </w:r>
      <w:r>
        <w:t xml:space="preserve">Against (3)</w:t>
      </w:r>
      <w:r>
        <w:t xml:space="preserve"> </w:t>
      </w:r>
      <w:r>
        <w:t xml:space="preserve">What should be the</w:t>
      </w:r>
      <w:r>
        <w:t xml:space="preserve"> </w:t>
      </w:r>
      <w:r>
        <w:t xml:space="preserve">duration of loan</w:t>
      </w:r>
      <w:r>
        <w:t xml:space="preserve"> </w:t>
      </w:r>
      <w:r>
        <w:t xml:space="preserve">maturities?</w:t>
      </w:r>
      <w:r>
        <w:t xml:space="preserve"> </w:t>
      </w:r>
      <w:r>
        <w:t xml:space="preserve">Majority of respondents were open to a compromise on the trade-</w:t>
      </w:r>
      <w:r>
        <w:t xml:space="preserve"> </w:t>
      </w:r>
      <w:r>
        <w:t xml:space="preserve">off involving financial stability in the banking sector of the</w:t>
      </w:r>
      <w:r>
        <w:t xml:space="preserve"> </w:t>
      </w:r>
      <w:r>
        <w:t xml:space="preserve">beneficiary DGS and the need for replenishment of the central</w:t>
      </w:r>
      <w:r>
        <w:t xml:space="preserve"> </w:t>
      </w:r>
      <w:r>
        <w:t xml:space="preserve">fund or the lending DGSs. A higher number of respondents</w:t>
      </w:r>
      <w:r>
        <w:t xml:space="preserve"> </w:t>
      </w:r>
      <w:r>
        <w:t xml:space="preserve">supported maturities longer than 5 years.</w:t>
      </w:r>
      <w:r>
        <w:t xml:space="preserve"> </w:t>
      </w:r>
      <w:r>
        <w:t xml:space="preserve">What is the sequence of</w:t>
      </w:r>
      <w:r>
        <w:t xml:space="preserve"> </w:t>
      </w:r>
      <w:r>
        <w:t xml:space="preserve">repaying the loan to the</w:t>
      </w:r>
      <w:r>
        <w:t xml:space="preserve"> </w:t>
      </w:r>
      <w:r>
        <w:t xml:space="preserve">hybrid EDIS (the DGS</w:t>
      </w:r>
      <w:r>
        <w:t xml:space="preserve"> </w:t>
      </w:r>
      <w:r>
        <w:t xml:space="preserve">would be repaid the last)?</w:t>
      </w:r>
      <w:r>
        <w:t xml:space="preserve"> </w:t>
      </w:r>
      <w:r>
        <w:t xml:space="preserve">In favour of repaying first the</w:t>
      </w:r>
      <w:r>
        <w:t xml:space="preserve"> </w:t>
      </w:r>
      <w:r>
        <w:t xml:space="preserve">mandatory lending component</w:t>
      </w:r>
      <w:r>
        <w:t xml:space="preserve"> </w:t>
      </w:r>
      <w:r>
        <w:t xml:space="preserve">prior to the central fund (10)</w:t>
      </w:r>
      <w:r>
        <w:t xml:space="preserve"> </w:t>
      </w:r>
      <w:r>
        <w:t xml:space="preserve">In</w:t>
      </w:r>
      <w:r>
        <w:t xml:space="preserve"> </w:t>
      </w:r>
      <w:r>
        <w:t xml:space="preserve">favour</w:t>
      </w:r>
      <w:r>
        <w:t xml:space="preserve"> </w:t>
      </w:r>
      <w:r>
        <w:t xml:space="preserve">of</w:t>
      </w:r>
      <w:r>
        <w:t xml:space="preserve"> </w:t>
      </w:r>
      <w:r>
        <w:t xml:space="preserve">repaying</w:t>
      </w:r>
      <w:r>
        <w:t xml:space="preserve"> </w:t>
      </w:r>
      <w:r>
        <w:t xml:space="preserve">mandatory lending and central</w:t>
      </w:r>
      <w:r>
        <w:t xml:space="preserve"> </w:t>
      </w:r>
      <w:r>
        <w:t xml:space="preserve">fund in parallel (2)</w:t>
      </w:r>
      <w:r>
        <w:t xml:space="preserve"> </w:t>
      </w:r>
      <w:r>
        <w:t xml:space="preserve">When should the DGS in</w:t>
      </w:r>
      <w:r>
        <w:t xml:space="preserve"> </w:t>
      </w:r>
      <w:r>
        <w:t xml:space="preserve">need raise ex post</w:t>
      </w:r>
      <w:r>
        <w:t xml:space="preserve"> </w:t>
      </w:r>
      <w:r>
        <w:t xml:space="preserve">contributions?</w:t>
      </w:r>
      <w:r>
        <w:t xml:space="preserve"> </w:t>
      </w:r>
      <w:r>
        <w:t xml:space="preserve">Before the liquidity support (2)</w:t>
      </w:r>
      <w:r>
        <w:t xml:space="preserve"> </w:t>
      </w:r>
      <w:r>
        <w:t xml:space="preserve">After the liquidity support (17)</w:t>
      </w:r>
      <w:r>
        <w:t xml:space="preserve"> </w:t>
      </w:r>
      <w:r>
        <w:t xml:space="preserve">What crisis management</w:t>
      </w:r>
      <w:r>
        <w:t xml:space="preserve"> </w:t>
      </w:r>
      <w:r>
        <w:t xml:space="preserve">tools should be included in</w:t>
      </w:r>
      <w:r>
        <w:t xml:space="preserve"> </w:t>
      </w:r>
      <w:r>
        <w:t xml:space="preserve">the scope of intervention?</w:t>
      </w:r>
      <w:r>
        <w:t xml:space="preserve"> </w:t>
      </w:r>
      <w:r>
        <w:t xml:space="preserve">Payout and</w:t>
      </w:r>
      <w:r>
        <w:t xml:space="preserve"> </w:t>
      </w:r>
      <w:r>
        <w:t xml:space="preserve">resolution (9)</w:t>
      </w:r>
      <w:r>
        <w:t xml:space="preserve"> </w:t>
      </w:r>
      <w:r>
        <w:t xml:space="preserve">Payout, resolution</w:t>
      </w:r>
      <w:r>
        <w:t xml:space="preserve"> </w:t>
      </w:r>
      <w:r>
        <w:t xml:space="preserve">and alternative</w:t>
      </w:r>
      <w:r>
        <w:t xml:space="preserve"> </w:t>
      </w:r>
      <w:r>
        <w:t xml:space="preserve">measures (4)</w:t>
      </w:r>
      <w:r>
        <w:t xml:space="preserve"> </w:t>
      </w:r>
      <w:r>
        <w:t xml:space="preserve">All measures (7)</w:t>
      </w:r>
      <w:r>
        <w:t xml:space="preserve"> </w:t>
      </w:r>
      <w:r>
        <w:t xml:space="preserve">Should non-CRR entities</w:t>
      </w:r>
      <w:r>
        <w:t xml:space="preserve"> </w:t>
      </w:r>
      <w:r>
        <w:t xml:space="preserve">be included in the scope?</w:t>
      </w:r>
      <w:r>
        <w:br/>
      </w:r>
      <w:r>
        <w:t xml:space="preserve">In favour (8)</w:t>
      </w:r>
      <w:r>
        <w:t xml:space="preserve"> </w:t>
      </w:r>
      <w:r>
        <w:t xml:space="preserve">Against (8)</w:t>
      </w:r>
      <w:r>
        <w:br/>
      </w:r>
      <w:r>
        <w:t xml:space="preserve">Should ONDs be financed</w:t>
      </w:r>
      <w:r>
        <w:t xml:space="preserve"> </w:t>
      </w:r>
      <w:r>
        <w:t xml:space="preserve">by the common schemes?</w:t>
      </w:r>
      <w:r>
        <w:br/>
      </w:r>
      <w:r>
        <w:t xml:space="preserve">In favour (9)</w:t>
      </w:r>
      <w:r>
        <w:t xml:space="preserve"> </w:t>
      </w:r>
      <w:r>
        <w:t xml:space="preserve">Against (6)</w:t>
      </w:r>
      <w:r>
        <w:t xml:space="preserve"> </w:t>
      </w:r>
      <w:r>
        <w:t xml:space="preserve">Should IPSs be included</w:t>
      </w:r>
      <w:r>
        <w:t xml:space="preserve"> </w:t>
      </w:r>
      <w:r>
        <w:t xml:space="preserve">in the scope?</w:t>
      </w:r>
    </w:p>
    <w:p>
      <w:pPr>
        <w:pStyle w:val="BodyText"/>
      </w:pPr>
      <w:r>
        <w:t xml:space="preserve">(3 flagged limited</w:t>
      </w:r>
      <w:r>
        <w:t xml:space="preserve"> </w:t>
      </w:r>
      <w:r>
        <w:t xml:space="preserve">experience)</w:t>
      </w:r>
      <w:r>
        <w:t xml:space="preserve"> </w:t>
      </w:r>
      <w:r>
        <w:t xml:space="preserve">- in favour of financing</w:t>
      </w:r>
      <w:r>
        <w:t xml:space="preserve"> </w:t>
      </w:r>
      <w:r>
        <w:t xml:space="preserve">preventive measures from the</w:t>
      </w:r>
      <w:r>
        <w:t xml:space="preserve"> </w:t>
      </w:r>
      <w:r>
        <w:t xml:space="preserve">common scheme (2)</w:t>
      </w:r>
      <w:r>
        <w:t xml:space="preserve"> </w:t>
      </w:r>
      <w:r>
        <w:t xml:space="preserve">- in favour of financing from</w:t>
      </w:r>
      <w:r>
        <w:t xml:space="preserve"> </w:t>
      </w:r>
      <w:r>
        <w:t xml:space="preserve">national funds within or above</w:t>
      </w:r>
      <w:r>
        <w:t xml:space="preserve"> </w:t>
      </w:r>
      <w:r>
        <w:t xml:space="preserve">the target level (5)</w:t>
      </w:r>
      <w:r>
        <w:t xml:space="preserve"> </w:t>
      </w:r>
      <w:r>
        <w:t xml:space="preserve">Against (1)</w:t>
      </w:r>
      <w:r>
        <w:br/>
      </w:r>
      <w:r>
        <w:t xml:space="preserve">Path to loss coverage</w:t>
      </w:r>
      <w:r>
        <w:t xml:space="preserve"> </w:t>
      </w:r>
      <w:r>
        <w:t xml:space="preserve">- in favour of the same percentage of loss sharing for funds coming</w:t>
      </w:r>
      <w:r>
        <w:t xml:space="preserve"> </w:t>
      </w:r>
      <w:r>
        <w:t xml:space="preserve">from the central funds and for funds coming from mandatory</w:t>
      </w:r>
      <w:r>
        <w:t xml:space="preserve"> </w:t>
      </w:r>
      <w:r>
        <w:t xml:space="preserve">lending: 8</w:t>
      </w:r>
      <w:r>
        <w:t xml:space="preserve"> </w:t>
      </w:r>
      <w:r>
        <w:t xml:space="preserve">- against using the mandatory lending for loss sharing: 2</w:t>
      </w:r>
      <w:r>
        <w:t xml:space="preserve"> </w:t>
      </w:r>
      <w:r>
        <w:t xml:space="preserve">- loss sharing could start once the liquidity scheme is fully built-</w:t>
      </w:r>
      <w:r>
        <w:t xml:space="preserve"> </w:t>
      </w:r>
      <w:r>
        <w:t xml:space="preserve">up: 5</w:t>
      </w:r>
    </w:p>
    <w:p>
      <w:pPr>
        <w:pStyle w:val="BodyText"/>
      </w:pPr>
      <w:r>
        <w:t xml:space="preserve">In a first phase, the hybrid EDIS would provide liquidity in case of shortfall in a national</w:t>
      </w:r>
      <w:r>
        <w:t xml:space="preserve"> </w:t>
      </w:r>
      <w:r>
        <w:t xml:space="preserve">DGS. The DIF would provide liquidity support to a beneficiary DGS, once the latter has</w:t>
      </w:r>
      <w:r>
        <w:t xml:space="preserve"> </w:t>
      </w:r>
      <w:r>
        <w:t xml:space="preserve">exhausted its funds (or the mandatory share thereof, if the DGS funds were in excess of</w:t>
      </w:r>
      <w:r>
        <w:t xml:space="preserve"> </w:t>
      </w:r>
      <w:r>
        <w:t xml:space="preserve">the required minimum target level). If the DIF were depleted at the time an intervention</w:t>
      </w:r>
      <w:r>
        <w:t xml:space="preserve"> </w:t>
      </w:r>
      <w:r>
        <w:t xml:space="preserve">is needed, the SRB, on behalf of the DIF, would be able to borrow from national DGSs</w:t>
      </w:r>
      <w:r>
        <w:t xml:space="preserve"> </w:t>
      </w:r>
      <w:r>
        <w:t xml:space="preserve">through a mandatory lending mechanism.</w:t>
      </w:r>
      <w:r>
        <w:br/>
      </w:r>
      <w:r>
        <w:t xml:space="preserve">As one of the main benefits, the pooling of resources would increase the firepower of</w:t>
      </w:r>
      <w:r>
        <w:t xml:space="preserve"> </w:t>
      </w:r>
      <w:r>
        <w:t xml:space="preserve">national DGSs, as compared to the status quo, reduce the likelihood of shortfall and</w:t>
      </w:r>
      <w:r>
        <w:t xml:space="preserve"> </w:t>
      </w:r>
      <w:r>
        <w:t xml:space="preserve">subsequently possible recourse to public funds. Depositors would benefit because of their</w:t>
      </w:r>
      <w:r>
        <w:t xml:space="preserve"> </w:t>
      </w:r>
      <w:r>
        <w:t xml:space="preserve">continued access to deposits and enhanced confidence in the robustness of the safety</w:t>
      </w:r>
      <w:r>
        <w:t xml:space="preserve"> </w:t>
      </w:r>
      <w:r>
        <w:t xml:space="preserve">nets. It would also allow lowering bank contributions while maintaining an appropriate</w:t>
      </w:r>
      <w:r>
        <w:t xml:space="preserve"> </w:t>
      </w:r>
      <w:r>
        <w:t xml:space="preserve">firepower and ensuring a more sustainable replenishment. Hence, the banking sector</w:t>
      </w:r>
      <w:r>
        <w:t xml:space="preserve"> </w:t>
      </w:r>
      <w:r>
        <w:t xml:space="preserve">would be in a better position to face structural challenges (transition to digital,</w:t>
      </w:r>
      <w:r>
        <w:t xml:space="preserve"> </w:t>
      </w:r>
      <w:r>
        <w:t xml:space="preserve">consolidation, low interest rate environment, etc.) and international competition.</w:t>
      </w:r>
    </w:p>
    <w:p>
      <w:pPr>
        <w:pStyle w:val="BodyText"/>
      </w:pPr>
      <w:r>
        <w:t xml:space="preserve">365</w:t>
      </w:r>
      <w:r>
        <w:t xml:space="preserve"> </w:t>
      </w:r>
      <w:r>
        <w:t xml:space="preserve">The concept of the hybrid EDIS mitigates moral hazard concerns as national funds are</w:t>
      </w:r>
      <w:r>
        <w:t xml:space="preserve"> </w:t>
      </w:r>
      <w:r>
        <w:t xml:space="preserve">used before requesting support from the pooled resources. The co-existence of the DIF at</w:t>
      </w:r>
      <w:r>
        <w:t xml:space="preserve"> </w:t>
      </w:r>
      <w:r>
        <w:t xml:space="preserve">central level and national DGSs allows for a modulation of the interventions between the</w:t>
      </w:r>
      <w:r>
        <w:t xml:space="preserve"> </w:t>
      </w:r>
      <w:r>
        <w:t xml:space="preserve">two levels to reassure the concerns raised by Member States that want to keep national</w:t>
      </w:r>
      <w:r>
        <w:t xml:space="preserve"> </w:t>
      </w:r>
      <w:r>
        <w:t xml:space="preserve">sovereignty and/or discretion but also accountability (moral hazard argument).</w:t>
      </w:r>
      <w:r>
        <w:t xml:space="preserve"> </w:t>
      </w:r>
      <w:r>
        <w:t xml:space="preserve">Accordingly, the hybrid EDIS would also facilitate the integration of the IPSs, in view of</w:t>
      </w:r>
      <w:r>
        <w:t xml:space="preserve"> </w:t>
      </w:r>
      <w:r>
        <w:t xml:space="preserve">their concerns about the compatibility of the 2015 proposal with their prevailing business</w:t>
      </w:r>
      <w:r>
        <w:t xml:space="preserve"> </w:t>
      </w:r>
      <w:r>
        <w:t xml:space="preserve">model based on failure prevention. Similarly, the concept would also provide a solution</w:t>
      </w:r>
      <w:r>
        <w:t xml:space="preserve"> </w:t>
      </w:r>
      <w:r>
        <w:t xml:space="preserve">for the debate on the national options and discretions set out in the DGSD. The latter</w:t>
      </w:r>
      <w:r>
        <w:t xml:space="preserve"> </w:t>
      </w:r>
      <w:r>
        <w:t xml:space="preserve">raised concerns that pooled resources should not finance the claims that accommodate</w:t>
      </w:r>
      <w:r>
        <w:t xml:space="preserve"> </w:t>
      </w:r>
      <w:r>
        <w:t xml:space="preserve">national specificities across Member States, sometimes leading to a higher protection of</w:t>
      </w:r>
      <w:r>
        <w:t xml:space="preserve"> </w:t>
      </w:r>
      <w:r>
        <w:t xml:space="preserve">some depositors. The hybrid model creates an environment where, after further</w:t>
      </w:r>
      <w:r>
        <w:t xml:space="preserve"> </w:t>
      </w:r>
      <w:r>
        <w:t xml:space="preserve">harmonisation, some aspects could benefit from the coverage by EDIS and other kept as</w:t>
      </w:r>
      <w:r>
        <w:t xml:space="preserve"> </w:t>
      </w:r>
      <w:r>
        <w:t xml:space="preserve">an option for the national level.</w:t>
      </w:r>
      <w:r>
        <w:br/>
      </w:r>
      <w:r>
        <w:t xml:space="preserve">Therefore, this concept could alleviate the main concerns that emerged during the past</w:t>
      </w:r>
      <w:r>
        <w:t xml:space="preserve"> </w:t>
      </w:r>
      <w:r>
        <w:t xml:space="preserve">discussions on the Commission proposal of 2015. Unlike the latter, the hybrid EDIS</w:t>
      </w:r>
      <w:r>
        <w:t xml:space="preserve"> </w:t>
      </w:r>
      <w:r>
        <w:t xml:space="preserve">would as a first step provide liquidity support only whereby the ultimate loss are borne at</w:t>
      </w:r>
      <w:r>
        <w:t xml:space="preserve"> </w:t>
      </w:r>
      <w:r>
        <w:t xml:space="preserve">the national level. While retaining the original ambition through its evolutive nature, it</w:t>
      </w:r>
      <w:r>
        <w:t xml:space="preserve"> </w:t>
      </w:r>
      <w:r>
        <w:t xml:space="preserve">inspires an incremental approach to build trust between Member States while continuing</w:t>
      </w:r>
      <w:r>
        <w:t xml:space="preserve"> </w:t>
      </w:r>
      <w:r>
        <w:t xml:space="preserve">to assess and tackle risks in the banking sector with the view to prepare the ground for</w:t>
      </w:r>
      <w:r>
        <w:t xml:space="preserve"> </w:t>
      </w:r>
      <w:r>
        <w:t xml:space="preserve">loss coverage.</w:t>
      </w:r>
      <w:r>
        <w:br/>
      </w:r>
      <w:r>
        <w:t xml:space="preserve">The drawback would be an increased complexity of the hybrid EDIS as compared to the</w:t>
      </w:r>
      <w:r>
        <w:t xml:space="preserve"> </w:t>
      </w:r>
      <w:r>
        <w:t xml:space="preserve">2015 proposal, which envisaged one fund at the end of the third stage. In addition, the</w:t>
      </w:r>
      <w:r>
        <w:t xml:space="preserve"> </w:t>
      </w:r>
      <w:r>
        <w:t xml:space="preserve">hybrid EDIS, restricted to liquidity support and involving no loss sharing, would not</w:t>
      </w:r>
      <w:r>
        <w:t xml:space="preserve"> </w:t>
      </w:r>
      <w:r>
        <w:t xml:space="preserve">fully mitigate the bank-sovereign loop. Therefore, it would still maintain discrepancies in</w:t>
      </w:r>
      <w:r>
        <w:t xml:space="preserve"> </w:t>
      </w:r>
      <w:r>
        <w:t xml:space="preserve">depositor protection and only partially address financial stability risks in case of strong</w:t>
      </w:r>
      <w:r>
        <w:t xml:space="preserve"> </w:t>
      </w:r>
      <w:r>
        <w:t xml:space="preserve">financial disturbance. The success of the hybrid model would be reliant on a seamless</w:t>
      </w:r>
      <w:r>
        <w:t xml:space="preserve"> </w:t>
      </w:r>
      <w:r>
        <w:t xml:space="preserve">cooperation and robust governance set up between the involved authorities and DGSs.</w:t>
      </w:r>
      <w:r>
        <w:t xml:space="preserve"> </w:t>
      </w:r>
      <w:r>
        <w:t xml:space="preserve">2.2. Overview of the main possible design features and parameters</w:t>
      </w:r>
      <w:r>
        <w:t xml:space="preserve"> </w:t>
      </w:r>
      <w:r>
        <w:t xml:space="preserve">Taking into account the feedback from the CWP, a hybrid EDIS model could be based on</w:t>
      </w:r>
      <w:r>
        <w:t xml:space="preserve"> </w:t>
      </w:r>
      <w:r>
        <w:t xml:space="preserve">different assumptions representing varying levels of ambition measured with the degree</w:t>
      </w:r>
      <w:r>
        <w:t xml:space="preserve"> </w:t>
      </w:r>
      <w:r>
        <w:t xml:space="preserve">of allocation between the national funds and the DIF and the extent to which the national</w:t>
      </w:r>
      <w:r>
        <w:t xml:space="preserve"> </w:t>
      </w:r>
      <w:r>
        <w:t xml:space="preserve">funds can be mobilised for mandatory lending. Table 37 presents the overview of the</w:t>
      </w:r>
      <w:r>
        <w:t xml:space="preserve"> </w:t>
      </w:r>
      <w:r>
        <w:t xml:space="preserve">main parameters in more detail.</w:t>
      </w:r>
      <w:r>
        <w:t xml:space="preserve"> </w:t>
      </w:r>
      <w:r>
        <w:t xml:space="preserve">Table 37: Main parameters of possible designs of hybrid-EDIS</w:t>
      </w:r>
    </w:p>
    <w:p>
      <w:pPr>
        <w:pStyle w:val="BodyText"/>
      </w:pPr>
      <w:r>
        <w:t xml:space="preserve">Low-ambition hybrid</w:t>
      </w:r>
      <w:r>
        <w:t xml:space="preserve"> </w:t>
      </w:r>
      <w:r>
        <w:t xml:space="preserve">EDIS</w:t>
      </w:r>
      <w:r>
        <w:t xml:space="preserve"> </w:t>
      </w:r>
      <w:r>
        <w:t xml:space="preserve">(0.8% target level)</w:t>
      </w:r>
      <w:r>
        <w:t xml:space="preserve"> </w:t>
      </w:r>
      <w:r>
        <w:t xml:space="preserve">Medium-ambition</w:t>
      </w:r>
      <w:r>
        <w:t xml:space="preserve"> </w:t>
      </w:r>
      <w:r>
        <w:t xml:space="preserve">hybrid EDIS</w:t>
      </w:r>
      <w:r>
        <w:t xml:space="preserve"> </w:t>
      </w:r>
      <w:r>
        <w:t xml:space="preserve">(0.7% target level)</w:t>
      </w:r>
      <w:r>
        <w:t xml:space="preserve"> </w:t>
      </w:r>
      <w:r>
        <w:t xml:space="preserve">High-ambition</w:t>
      </w:r>
      <w:r>
        <w:t xml:space="preserve"> </w:t>
      </w:r>
      <w:r>
        <w:t xml:space="preserve">hybrid EDIS</w:t>
      </w:r>
      <w:r>
        <w:t xml:space="preserve"> </w:t>
      </w:r>
      <w:r>
        <w:t xml:space="preserve">(0.6% target level)</w:t>
      </w:r>
      <w:r>
        <w:t xml:space="preserve"> </w:t>
      </w:r>
      <w:r>
        <w:t xml:space="preserve">Allocation of the</w:t>
      </w:r>
      <w:r>
        <w:t xml:space="preserve"> </w:t>
      </w:r>
      <w:r>
        <w:t xml:space="preserve">funds</w:t>
      </w:r>
      <w:r>
        <w:t xml:space="preserve"> </w:t>
      </w:r>
      <w:r>
        <w:t xml:space="preserve">(the numbers are</w:t>
      </w:r>
      <w:r>
        <w:t xml:space="preserve"> </w:t>
      </w:r>
      <w:r>
        <w:t xml:space="preserve">based on the amount</w:t>
      </w:r>
      <w:r>
        <w:t xml:space="preserve"> </w:t>
      </w:r>
      <w:r>
        <w:t xml:space="preserve">of covered deposits</w:t>
      </w:r>
      <w:r>
        <w:t xml:space="preserve"> </w:t>
      </w:r>
      <w:r>
        <w:t xml:space="preserve">as of end 2020)</w:t>
      </w:r>
      <w:r>
        <w:t xml:space="preserve"> </w:t>
      </w:r>
      <w:r>
        <w:t xml:space="preserve">The DIF is allocated</w:t>
      </w:r>
      <w:r>
        <w:t xml:space="preserve"> </w:t>
      </w:r>
      <w:r>
        <w:t xml:space="preserve">with 25% of funds,</w:t>
      </w:r>
      <w:r>
        <w:t xml:space="preserve"> </w:t>
      </w:r>
      <w:r>
        <w:t xml:space="preserve">while 75% of the funds</w:t>
      </w:r>
      <w:r>
        <w:t xml:space="preserve"> </w:t>
      </w:r>
      <w:r>
        <w:t xml:space="preserve">remain at the national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With a 0.8% target</w:t>
      </w:r>
      <w:r>
        <w:t xml:space="preserve"> </w:t>
      </w:r>
      <w:r>
        <w:t xml:space="preserve">The DIF is allocated</w:t>
      </w:r>
      <w:r>
        <w:t xml:space="preserve"> </w:t>
      </w:r>
      <w:r>
        <w:t xml:space="preserve">with 50% of funds,</w:t>
      </w:r>
      <w:r>
        <w:t xml:space="preserve"> </w:t>
      </w:r>
      <w:r>
        <w:t xml:space="preserve">while 50% of the funds</w:t>
      </w:r>
      <w:r>
        <w:t xml:space="preserve"> </w:t>
      </w:r>
      <w:r>
        <w:t xml:space="preserve">remain at the national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With a 0.7% target</w:t>
      </w:r>
      <w:r>
        <w:t xml:space="preserve"> </w:t>
      </w:r>
      <w:r>
        <w:t xml:space="preserve">The DIF is allocated</w:t>
      </w:r>
      <w:r>
        <w:t xml:space="preserve"> </w:t>
      </w:r>
      <w:r>
        <w:t xml:space="preserve">with 75% of funds,</w:t>
      </w:r>
      <w:r>
        <w:t xml:space="preserve"> </w:t>
      </w:r>
      <w:r>
        <w:t xml:space="preserve">while 25% of the</w:t>
      </w:r>
      <w:r>
        <w:t xml:space="preserve"> </w:t>
      </w:r>
      <w:r>
        <w:t xml:space="preserve">funds remain at the</w:t>
      </w:r>
      <w:r>
        <w:t xml:space="preserve"> </w:t>
      </w:r>
      <w:r>
        <w:t xml:space="preserve">national level.</w:t>
      </w:r>
    </w:p>
    <w:p>
      <w:pPr>
        <w:pStyle w:val="BodyText"/>
      </w:pPr>
      <w:r>
        <w:t xml:space="preserve">With a 0.6% target</w:t>
      </w:r>
    </w:p>
    <w:p>
      <w:pPr>
        <w:pStyle w:val="BodyText"/>
      </w:pPr>
      <w:r>
        <w:t xml:space="preserve">366</w:t>
      </w:r>
      <w:r>
        <w:t xml:space="preserve"> </w:t>
      </w:r>
      <w:r>
        <w:t xml:space="preserve">level, EUR 55 bn</w:t>
      </w:r>
      <w:r>
        <w:t xml:space="preserve"> </w:t>
      </w:r>
      <w:r>
        <w:t xml:space="preserve">allocated in:</w:t>
      </w:r>
      <w:r>
        <w:t xml:space="preserve"> </w:t>
      </w:r>
      <w:r>
        <w:t xml:space="preserve">(i) DGSs: EUR 41 bn</w:t>
      </w:r>
      <w:r>
        <w:t xml:space="preserve"> </w:t>
      </w:r>
      <w:r>
        <w:t xml:space="preserve">(0.6% covered</w:t>
      </w:r>
      <w:r>
        <w:t xml:space="preserve"> </w:t>
      </w:r>
      <w:r>
        <w:t xml:space="preserve">deposits).</w:t>
      </w:r>
      <w:r>
        <w:t xml:space="preserve"> </w:t>
      </w:r>
      <w:r>
        <w:t xml:space="preserve">(ii) DIF: EUR 14 bn</w:t>
      </w:r>
      <w:r>
        <w:t xml:space="preserve"> </w:t>
      </w:r>
      <w:r>
        <w:t xml:space="preserve">(0.2 covered deposits).</w:t>
      </w:r>
    </w:p>
    <w:p>
      <w:pPr>
        <w:pStyle w:val="BodyText"/>
      </w:pPr>
      <w:r>
        <w:t xml:space="preserve">level: EUR 48 bn</w:t>
      </w:r>
      <w:r>
        <w:t xml:space="preserve"> </w:t>
      </w:r>
      <w:r>
        <w:t xml:space="preserve">allocated in:</w:t>
      </w:r>
      <w:r>
        <w:t xml:space="preserve"> </w:t>
      </w:r>
      <w:r>
        <w:t xml:space="preserve">(i) DGSs: EUR 24 bn</w:t>
      </w:r>
      <w:r>
        <w:t xml:space="preserve"> </w:t>
      </w:r>
      <w:r>
        <w:t xml:space="preserve">(0.35% covered</w:t>
      </w:r>
      <w:r>
        <w:t xml:space="preserve"> </w:t>
      </w:r>
      <w:r>
        <w:t xml:space="preserve">deposits).</w:t>
      </w:r>
      <w:r>
        <w:t xml:space="preserve"> </w:t>
      </w:r>
      <w:r>
        <w:t xml:space="preserve">(ii) DIF: EUR 24 bn</w:t>
      </w:r>
      <w:r>
        <w:t xml:space="preserve"> </w:t>
      </w:r>
      <w:r>
        <w:t xml:space="preserve">(0.35% covered</w:t>
      </w:r>
      <w:r>
        <w:t xml:space="preserve"> </w:t>
      </w:r>
      <w:r>
        <w:t xml:space="preserve">deposits).</w:t>
      </w:r>
    </w:p>
    <w:p>
      <w:pPr>
        <w:pStyle w:val="BodyText"/>
      </w:pPr>
      <w:r>
        <w:t xml:space="preserve">level: EUR 41 bn</w:t>
      </w:r>
      <w:r>
        <w:t xml:space="preserve"> </w:t>
      </w:r>
      <w:r>
        <w:t xml:space="preserve">allocated in</w:t>
      </w:r>
      <w:r>
        <w:t xml:space="preserve"> </w:t>
      </w:r>
      <w:r>
        <w:t xml:space="preserve">(i) DGSs: EUR 10 bn</w:t>
      </w:r>
      <w:r>
        <w:t xml:space="preserve"> </w:t>
      </w:r>
      <w:r>
        <w:t xml:space="preserve">(0.2% covered</w:t>
      </w:r>
      <w:r>
        <w:t xml:space="preserve"> </w:t>
      </w:r>
      <w:r>
        <w:t xml:space="preserve">deposits).</w:t>
      </w:r>
      <w:r>
        <w:t xml:space="preserve"> </w:t>
      </w:r>
      <w:r>
        <w:t xml:space="preserve">(ii) DIF: EUR 31 bn</w:t>
      </w:r>
      <w:r>
        <w:t xml:space="preserve"> </w:t>
      </w:r>
      <w:r>
        <w:t xml:space="preserve">(0.4% covered</w:t>
      </w:r>
      <w:r>
        <w:t xml:space="preserve"> </w:t>
      </w:r>
      <w:r>
        <w:t xml:space="preserve">deposits).</w:t>
      </w:r>
    </w:p>
    <w:p>
      <w:pPr>
        <w:pStyle w:val="BodyText"/>
      </w:pPr>
      <w:r>
        <w:t xml:space="preserve">Mandatory lending</w:t>
      </w:r>
      <w:r>
        <w:t xml:space="preserve"> </w:t>
      </w:r>
      <w:r>
        <w:t xml:space="preserve">(In case the DIF is</w:t>
      </w:r>
      <w:r>
        <w:t xml:space="preserve"> </w:t>
      </w:r>
      <w:r>
        <w:t xml:space="preserve">depleted, the DGS in</w:t>
      </w:r>
      <w:r>
        <w:t xml:space="preserve"> </w:t>
      </w:r>
      <w:r>
        <w:t xml:space="preserve">need is allowed to</w:t>
      </w:r>
      <w:r>
        <w:t xml:space="preserve"> </w:t>
      </w:r>
      <w:r>
        <w:t xml:space="preserve">solicit a loan from</w:t>
      </w:r>
      <w:r>
        <w:t xml:space="preserve"> </w:t>
      </w:r>
      <w:r>
        <w:t xml:space="preserve">other DGSs. Its</w:t>
      </w:r>
      <w:r>
        <w:t xml:space="preserve"> </w:t>
      </w:r>
      <w:r>
        <w:t xml:space="preserve">amount would be</w:t>
      </w:r>
      <w:r>
        <w:t xml:space="preserve"> </w:t>
      </w:r>
      <w:r>
        <w:t xml:space="preserve">capped to protect</w:t>
      </w:r>
      <w:r>
        <w:t xml:space="preserve"> </w:t>
      </w:r>
      <w:r>
        <w:t xml:space="preserve">the funds remaining</w:t>
      </w:r>
      <w:r>
        <w:t xml:space="preserve"> </w:t>
      </w:r>
      <w:r>
        <w:t xml:space="preserve">in the DGSs).</w:t>
      </w:r>
      <w:r>
        <w:t xml:space="preserve"> </w:t>
      </w:r>
      <w:r>
        <w:t xml:space="preserve">Maximum 30% of the</w:t>
      </w:r>
      <w:r>
        <w:t xml:space="preserve"> </w:t>
      </w:r>
      <w:r>
        <w:t xml:space="preserve">funds remaining in the</w:t>
      </w:r>
      <w:r>
        <w:t xml:space="preserve"> </w:t>
      </w:r>
      <w:r>
        <w:t xml:space="preserve">DGSs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mobilised for mandatory</w:t>
      </w:r>
      <w:r>
        <w:t xml:space="preserve"> </w:t>
      </w:r>
      <w:r>
        <w:t xml:space="preserve">lending to the DIF.</w:t>
      </w:r>
      <w:r>
        <w:t xml:space="preserve"> </w:t>
      </w:r>
      <w:r>
        <w:t xml:space="preserve">Maximum 50% of the funds remaining in the</w:t>
      </w:r>
      <w:r>
        <w:t xml:space="preserve"> </w:t>
      </w:r>
      <w:r>
        <w:t xml:space="preserve">DGSs could be mobilised for mandatory</w:t>
      </w:r>
      <w:r>
        <w:t xml:space="preserve"> </w:t>
      </w:r>
      <w:r>
        <w:t xml:space="preserve">lending to the DIF.</w:t>
      </w:r>
      <w:r>
        <w:t xml:space="preserve"> </w:t>
      </w:r>
      <w:r>
        <w:t xml:space="preserve">Scope 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The support from the</w:t>
      </w:r>
      <w:r>
        <w:t xml:space="preserve"> </w:t>
      </w:r>
      <w:r>
        <w:t xml:space="preserve">DIF</w:t>
      </w:r>
      <w:r>
        <w:t xml:space="preserve"> </w:t>
      </w:r>
      <w:r>
        <w:t xml:space="preserve">and</w:t>
      </w:r>
      <w:r>
        <w:t xml:space="preserve"> </w:t>
      </w:r>
      <w:r>
        <w:t xml:space="preserve">mandatory</w:t>
      </w:r>
      <w:r>
        <w:t xml:space="preserve"> </w:t>
      </w:r>
      <w:r>
        <w:t xml:space="preserve">lending could finance</w:t>
      </w:r>
      <w:r>
        <w:t xml:space="preserve"> </w:t>
      </w:r>
      <w:r>
        <w:t xml:space="preserve">various types of DGS</w:t>
      </w:r>
      <w:r>
        <w:t xml:space="preserve"> </w:t>
      </w:r>
      <w:r>
        <w:t xml:space="preserve">interventions. The least</w:t>
      </w:r>
      <w:r>
        <w:t xml:space="preserve"> </w:t>
      </w:r>
      <w:r>
        <w:t xml:space="preserve">cost</w:t>
      </w:r>
      <w:r>
        <w:t xml:space="preserve"> </w:t>
      </w:r>
      <w:r>
        <w:t xml:space="preserve">test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harmonised.</w:t>
      </w:r>
      <w:r>
        <w:t xml:space="preserve"> </w:t>
      </w:r>
      <w:r>
        <w:t xml:space="preserve">From an economic point of view, it would be</w:t>
      </w:r>
      <w:r>
        <w:t xml:space="preserve"> </w:t>
      </w:r>
      <w:r>
        <w:t xml:space="preserve">relevant that DGSs would be entitled to a</w:t>
      </w:r>
      <w:r>
        <w:t xml:space="preserve"> </w:t>
      </w:r>
      <w:r>
        <w:t xml:space="preserve">support from the DIF to finance all types of</w:t>
      </w:r>
      <w:r>
        <w:t xml:space="preserve"> </w:t>
      </w:r>
      <w:r>
        <w:t xml:space="preserve">interventions outside the payout of covered</w:t>
      </w:r>
      <w:r>
        <w:t xml:space="preserve"> </w:t>
      </w:r>
      <w:r>
        <w:t xml:space="preserve">deposits. Indeed, the least cost test would be</w:t>
      </w:r>
      <w:r>
        <w:t xml:space="preserve"> </w:t>
      </w:r>
      <w:r>
        <w:t xml:space="preserve">harmonised, ensuring level playing field and</w:t>
      </w:r>
      <w:r>
        <w:t xml:space="preserve"> </w:t>
      </w:r>
      <w:r>
        <w:t xml:space="preserve">avoiding any excessive uses of DGS and EDIS</w:t>
      </w:r>
      <w:r>
        <w:t xml:space="preserve"> </w:t>
      </w:r>
      <w:r>
        <w:t xml:space="preserve">funds. Consequently, the least costly option</w:t>
      </w:r>
      <w:r>
        <w:t xml:space="preserve"> </w:t>
      </w:r>
      <w:r>
        <w:t xml:space="preserve">would always be applied, ensuring efficiency</w:t>
      </w:r>
      <w:r>
        <w:t xml:space="preserve"> </w:t>
      </w:r>
      <w:r>
        <w:t xml:space="preserve">for the EDIS scheme.</w:t>
      </w:r>
      <w:r>
        <w:t xml:space="preserve"> </w:t>
      </w:r>
      <w:r>
        <w:t xml:space="preserve">With EDIS in place, the CMDI review could</w:t>
      </w:r>
      <w:r>
        <w:t xml:space="preserve"> </w:t>
      </w:r>
      <w:r>
        <w:t xml:space="preserve">rely on important funds available to deal with</w:t>
      </w:r>
      <w:r>
        <w:t xml:space="preserve"> </w:t>
      </w:r>
      <w:r>
        <w:t xml:space="preserve">smaller and medium-sized banks failures.</w:t>
      </w:r>
      <w:r>
        <w:br/>
      </w:r>
      <w:r>
        <w:t xml:space="preserve">National options</w:t>
      </w:r>
      <w:r>
        <w:t xml:space="preserve"> </w:t>
      </w:r>
      <w:r>
        <w:t xml:space="preserve">and discretions</w:t>
      </w:r>
      <w:r>
        <w:t xml:space="preserve"> </w:t>
      </w:r>
      <w:r>
        <w:t xml:space="preserve">If harmonised, national options and discretions would be financed by the</w:t>
      </w:r>
      <w:r>
        <w:t xml:space="preserve"> </w:t>
      </w:r>
      <w:r>
        <w:t xml:space="preserve">DIF and mandatory lending. National options and discretions that are not</w:t>
      </w:r>
      <w:r>
        <w:t xml:space="preserve"> </w:t>
      </w:r>
      <w:r>
        <w:t xml:space="preserve">harmonised could be financed at the national level, with funds above the</w:t>
      </w:r>
      <w:r>
        <w:t xml:space="preserve"> </w:t>
      </w:r>
      <w:r>
        <w:t xml:space="preserve">target level.</w:t>
      </w:r>
      <w:r>
        <w:t xml:space="preserve"> </w:t>
      </w:r>
      <w:r>
        <w:t xml:space="preserve">Maturity of the</w:t>
      </w:r>
      <w:r>
        <w:t xml:space="preserve"> </w:t>
      </w:r>
      <w:r>
        <w:t xml:space="preserve">loans</w:t>
      </w:r>
      <w:r>
        <w:t xml:space="preserve"> </w:t>
      </w:r>
      <w:r>
        <w:t xml:space="preserve">Maximum 6 years from loans coming from the DIF and from the</w:t>
      </w:r>
      <w:r>
        <w:t xml:space="preserve"> </w:t>
      </w:r>
      <w:r>
        <w:t xml:space="preserve">mandatory lending component.</w:t>
      </w:r>
      <w:r>
        <w:t xml:space="preserve"> </w:t>
      </w:r>
      <w:r>
        <w:t xml:space="preserve">Interest rates</w:t>
      </w:r>
      <w:r>
        <w:t xml:space="preserve"> </w:t>
      </w:r>
      <w:r>
        <w:t xml:space="preserve">Interest rates would be equal to the ECB marginal facility rates, increased</w:t>
      </w:r>
      <w:r>
        <w:t xml:space="preserve"> </w:t>
      </w:r>
      <w:r>
        <w:t xml:space="preserve">by 1% after 3 years in order to encourage fast repayment.</w:t>
      </w:r>
      <w:r>
        <w:br/>
      </w:r>
      <w:r>
        <w:t xml:space="preserve">Repayment</w:t>
      </w:r>
      <w:r>
        <w:t xml:space="preserve"> </w:t>
      </w:r>
      <w:r>
        <w:t xml:space="preserve">sequencing</w:t>
      </w:r>
      <w:r>
        <w:t xml:space="preserve"> </w:t>
      </w:r>
      <w:r>
        <w:t xml:space="preserve">The payments of the beneficiary DGS would be repaid in the following</w:t>
      </w:r>
      <w:r>
        <w:t xml:space="preserve"> </w:t>
      </w:r>
      <w:r>
        <w:t xml:space="preserve">sequence: first to reimburse the mandatory lending component and then</w:t>
      </w:r>
      <w:r>
        <w:t xml:space="preserve"> </w:t>
      </w:r>
      <w:r>
        <w:t xml:space="preserve">the DIF. After full repayment of the loans, the DGS would start its own</w:t>
      </w:r>
      <w:r>
        <w:t xml:space="preserve"> </w:t>
      </w:r>
      <w:r>
        <w:t xml:space="preserve">replenishment.</w:t>
      </w:r>
      <w:r>
        <w:t xml:space="preserve"> </w:t>
      </w:r>
      <w:r>
        <w:t xml:space="preserve">Extraordinary</w:t>
      </w:r>
      <w:r>
        <w:t xml:space="preserve"> </w:t>
      </w:r>
      <w:r>
        <w:t xml:space="preserve">contributions and</w:t>
      </w:r>
      <w:r>
        <w:t xml:space="preserve"> </w:t>
      </w:r>
      <w:r>
        <w:t xml:space="preserve">alternative funding</w:t>
      </w:r>
      <w:r>
        <w:t xml:space="preserve"> </w:t>
      </w:r>
      <w:r>
        <w:t xml:space="preserve">arrangements</w:t>
      </w:r>
      <w:r>
        <w:t xml:space="preserve"> </w:t>
      </w:r>
      <w:r>
        <w:t xml:space="preserve">Extraordinary contributions and alternative funding arrangements obtained</w:t>
      </w:r>
      <w:r>
        <w:t xml:space="preserve"> </w:t>
      </w:r>
      <w:r>
        <w:t xml:space="preserve">by the beneficiary DGS would be used to reimburse the loan. These could</w:t>
      </w:r>
      <w:r>
        <w:t xml:space="preserve"> </w:t>
      </w:r>
      <w:r>
        <w:t xml:space="preserve">be seen as an ultimate guarantee of reimbursement.</w:t>
      </w:r>
      <w:r>
        <w:t xml:space="preserve"> </w:t>
      </w:r>
      <w:r>
        <w:t xml:space="preserve">Governance</w:t>
      </w:r>
      <w:r>
        <w:br/>
      </w:r>
      <w:r>
        <w:t xml:space="preserve">The governance could follow the principle to align liability and control580</w:t>
      </w:r>
      <w:r>
        <w:t xml:space="preserve"> </w:t>
      </w:r>
      <w:r>
        <w:t xml:space="preserve">and imply the following:</w:t>
      </w:r>
      <w:r>
        <w:br/>
      </w:r>
      <w:r>
        <w:t xml:space="preserve">-</w:t>
      </w:r>
      <w:r>
        <w:t xml:space="preserve"> </w:t>
      </w:r>
      <w:r>
        <w:t xml:space="preserve">A more decentralised decision-making under a low ambition hybrid</w:t>
      </w:r>
      <w:r>
        <w:t xml:space="preserve"> </w:t>
      </w:r>
      <w:r>
        <w:t xml:space="preserve">EDIS. With the majority of funds remaining at the national level, the</w:t>
      </w:r>
      <w:r>
        <w:t xml:space="preserve"> </w:t>
      </w:r>
      <w:r>
        <w:t xml:space="preserve">national authorities would have a greater role, in particular in case</w:t>
      </w:r>
    </w:p>
    <w:p>
      <w:pPr>
        <w:pStyle w:val="BodyText"/>
      </w:pPr>
      <w:r>
        <w:t xml:space="preserve">580 See also European Council (2 June 2021), Portuguese Presidency Progress Report on strengthening the</w:t>
      </w:r>
      <w:r>
        <w:t xml:space="preserve"> </w:t>
      </w:r>
      <w:r>
        <w:t xml:space="preserve">Banking Union in which some Member States supported the alignment of liability and control.</w:t>
      </w:r>
    </w:p>
    <w:p>
      <w:pPr>
        <w:pStyle w:val="BodyText"/>
      </w:pPr>
      <w:r>
        <w:t xml:space="preserve">367</w:t>
      </w:r>
      <w:r>
        <w:t xml:space="preserve"> </w:t>
      </w:r>
      <w:r>
        <w:t xml:space="preserve">only national funds are used, subject to appropriate involvement of the</w:t>
      </w:r>
      <w:r>
        <w:t xml:space="preserve"> </w:t>
      </w:r>
      <w:r>
        <w:t xml:space="preserve">central authority as a safeguard.</w:t>
      </w:r>
      <w:r>
        <w:br/>
      </w:r>
      <w:r>
        <w:t xml:space="preserve">-</w:t>
      </w:r>
      <w:r>
        <w:t xml:space="preserve"> </w:t>
      </w:r>
      <w:r>
        <w:t xml:space="preserve">A more centralised decision-making under a medium and high-</w:t>
      </w:r>
      <w:r>
        <w:t xml:space="preserve"> </w:t>
      </w:r>
      <w:r>
        <w:t xml:space="preserve">ambition hybrid EDIS. The role of the central authority (SRB) would</w:t>
      </w:r>
      <w:r>
        <w:t xml:space="preserve"> </w:t>
      </w:r>
      <w:r>
        <w:t xml:space="preserve">increase with the ambition of EDIS.</w:t>
      </w:r>
      <w:r>
        <w:br/>
      </w:r>
      <w:r>
        <w:t xml:space="preserve">-</w:t>
      </w:r>
      <w:r>
        <w:t xml:space="preserve"> </w:t>
      </w:r>
      <w:r>
        <w:t xml:space="preserve">The activation of the liquidity support and its subsequent</w:t>
      </w:r>
      <w:r>
        <w:t xml:space="preserve"> </w:t>
      </w:r>
      <w:r>
        <w:t xml:space="preserve">replenishment would require involvement of the central authority for</w:t>
      </w:r>
      <w:r>
        <w:t xml:space="preserve"> </w:t>
      </w:r>
      <w:r>
        <w:t xml:space="preserve">assessing compliance of the measure decided at the national level.</w:t>
      </w:r>
      <w:r>
        <w:t xml:space="preserve"> </w:t>
      </w:r>
      <w:r>
        <w:t xml:space="preserve">-</w:t>
      </w:r>
      <w:r>
        <w:t xml:space="preserve"> </w:t>
      </w:r>
      <w:r>
        <w:t xml:space="preserve">The concrete application and implementation of measures and</w:t>
      </w:r>
      <w:r>
        <w:t xml:space="preserve"> </w:t>
      </w:r>
      <w:r>
        <w:t xml:space="preserve">conditions under all options would require the involvement at central</w:t>
      </w:r>
      <w:r>
        <w:t xml:space="preserve"> </w:t>
      </w:r>
      <w:r>
        <w:t xml:space="preserve">level in the context of the hybrid EDIS, entailing a network of national</w:t>
      </w:r>
      <w:r>
        <w:t xml:space="preserve"> </w:t>
      </w:r>
      <w:r>
        <w:t xml:space="preserve">DGSs and a central fund. The type of the involvement would range</w:t>
      </w:r>
      <w:r>
        <w:t xml:space="preserve"> </w:t>
      </w:r>
      <w:r>
        <w:t xml:space="preserve">from the monitoring, consultation and approvals depending on the</w:t>
      </w:r>
      <w:r>
        <w:t xml:space="preserve"> </w:t>
      </w:r>
      <w:r>
        <w:t xml:space="preserve">option to ensure a harmonised application of the measures and</w:t>
      </w:r>
      <w:r>
        <w:t xml:space="preserve"> </w:t>
      </w:r>
      <w:r>
        <w:t xml:space="preserve">sufficient safeguards across the Member States.</w:t>
      </w:r>
    </w:p>
    <w:p>
      <w:pPr>
        <w:pStyle w:val="BodyText"/>
      </w:pPr>
      <w:r>
        <w:t xml:space="preserve">2.3. Effectiveness and efficiency of the hybrid EDIS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Commission services performed various simulations to test the robustness of the</w:t>
      </w:r>
      <w:r>
        <w:t xml:space="preserve"> </w:t>
      </w:r>
      <w:r>
        <w:t xml:space="preserve">hybrid EDIS in reimbursing depositors in case of payout, under various scenarios of</w:t>
      </w:r>
      <w:r>
        <w:t xml:space="preserve"> </w:t>
      </w:r>
      <w:r>
        <w:t xml:space="preserve">financial crisis of different severity581. It demonstrated the effectiveness of various</w:t>
      </w:r>
      <w:r>
        <w:t xml:space="preserve"> </w:t>
      </w:r>
      <w:r>
        <w:t xml:space="preserve">designs of the hybrid EDIS compared to the status quo (i.e. national DGSs only). Pooling</w:t>
      </w:r>
      <w:r>
        <w:t xml:space="preserve"> </w:t>
      </w:r>
      <w:r>
        <w:t xml:space="preserve">resources has a strong positive impact on depositor confidence and financial stability.</w:t>
      </w:r>
      <w:r>
        <w:br/>
      </w:r>
      <w:r>
        <w:t xml:space="preserve">This analysis compares (i) the different designs of hybrid EDIS and (ii) the status quo</w:t>
      </w:r>
      <w:r>
        <w:t xml:space="preserve"> </w:t>
      </w:r>
      <w:r>
        <w:t xml:space="preserve">where 19 national DGSs guarantee deposit protection in the Banking Union. The</w:t>
      </w:r>
      <w:r>
        <w:t xml:space="preserve"> </w:t>
      </w:r>
      <w:r>
        <w:t xml:space="preserve">following assumptions apply:</w:t>
      </w:r>
      <w:r>
        <w:br/>
      </w:r>
      <w:r>
        <w:t xml:space="preserve"> Only liquidity support in the payout scenario is analysed under various designs of</w:t>
      </w:r>
      <w:r>
        <w:t xml:space="preserve"> </w:t>
      </w:r>
      <w:r>
        <w:t xml:space="preserve">hybrid EDIS, i.e. hybrid EDIS with different degree of pooled resources and a so</w:t>
      </w:r>
      <w:r>
        <w:t xml:space="preserve"> </w:t>
      </w:r>
      <w:r>
        <w:t xml:space="preserve">called ‘full liquidity pooling’ which corresponds to the pooling of all DGS funds</w:t>
      </w:r>
      <w:r>
        <w:t xml:space="preserve"> </w:t>
      </w:r>
      <w:r>
        <w:t xml:space="preserve">in line with the Commission 2015 proposal for liquidity support only (first</w:t>
      </w:r>
      <w:r>
        <w:t xml:space="preserve"> </w:t>
      </w:r>
      <w:r>
        <w:t xml:space="preserve">phase). Loss coverage (genuine mutualisation of the risks) is not analysed.</w:t>
      </w:r>
      <w:r>
        <w:br/>
      </w:r>
      <w:r>
        <w:t xml:space="preserve"> The pooled funds include the financial means in the DIF and the part of funds in</w:t>
      </w:r>
      <w:r>
        <w:t xml:space="preserve"> </w:t>
      </w:r>
      <w:r>
        <w:t xml:space="preserve">national DGSs that could be mobilised for mandatory lending. In this analysis, a</w:t>
      </w:r>
      <w:r>
        <w:t xml:space="preserve"> </w:t>
      </w:r>
      <w:r>
        <w:t xml:space="preserve">hybrid EDIS with a large DIF and a high share of national funds that can be</w:t>
      </w:r>
      <w:r>
        <w:t xml:space="preserve"> </w:t>
      </w:r>
      <w:r>
        <w:t xml:space="preserve">mobilised for mandatory lending represents a high degree of pooling.</w:t>
      </w:r>
      <w:r>
        <w:br/>
      </w:r>
      <w:r>
        <w:t xml:space="preserve"> The analysis evaluates the effectiveness of various hybrid models based on the</w:t>
      </w:r>
      <w:r>
        <w:t xml:space="preserve"> </w:t>
      </w:r>
      <w:r>
        <w:t xml:space="preserve">following two criteria: (i) the presence of a DGS liquidity shortfall (i.e. the</w:t>
      </w:r>
      <w:r>
        <w:t xml:space="preserve"> </w:t>
      </w:r>
      <w:r>
        <w:t xml:space="preserve">inability of one DGS to fully reimburse the depositors), and (ii) the amount of</w:t>
      </w:r>
      <w:r>
        <w:t xml:space="preserve"> </w:t>
      </w:r>
      <w:r>
        <w:t xml:space="preserve">these liquidity shortfalls. It uses the SYMBOL model to simulate a very high</w:t>
      </w:r>
      <w:r>
        <w:t xml:space="preserve"> </w:t>
      </w:r>
      <w:r>
        <w:t xml:space="preserve">number of financial crisis leading to banks’ failures and payout of covered</w:t>
      </w:r>
      <w:r>
        <w:t xml:space="preserve"> </w:t>
      </w:r>
      <w:r>
        <w:t xml:space="preserve">depositors.</w:t>
      </w:r>
    </w:p>
    <w:p>
      <w:pPr>
        <w:pStyle w:val="BodyText"/>
      </w:pPr>
      <w:r>
        <w:t xml:space="preserve">581 See JRC report (Annex 12).</w:t>
      </w:r>
    </w:p>
    <w:p>
      <w:pPr>
        <w:pStyle w:val="BodyText"/>
      </w:pPr>
      <w:r>
        <w:t xml:space="preserve">368</w:t>
      </w:r>
      <w:r>
        <w:t xml:space="preserve"> </w:t>
      </w:r>
      <w:r>
        <w:t xml:space="preserve">It concludes that all variants of hybrid EDIS are able to protect a higher amount of</w:t>
      </w:r>
      <w:r>
        <w:t xml:space="preserve"> </w:t>
      </w:r>
      <w:r>
        <w:t xml:space="preserve">covered deposits than under the status quo.</w:t>
      </w:r>
      <w:r>
        <w:br/>
      </w:r>
      <w:r>
        <w:t xml:space="preserve"> All designs of the hybrid EDIS and the full liquidity pooling significantly reduce</w:t>
      </w:r>
      <w:r>
        <w:t xml:space="preserve"> </w:t>
      </w:r>
      <w:r>
        <w:t xml:space="preserve">the likelihood and the sizes of liquidity shortfalls, even under a systemic event.</w:t>
      </w:r>
      <w:r>
        <w:t xml:space="preserve"> </w:t>
      </w:r>
      <w:r>
        <w:t xml:space="preserve">The more resources are pooled, the more effective and robust the depositor</w:t>
      </w:r>
      <w:r>
        <w:t xml:space="preserve"> </w:t>
      </w:r>
      <w:r>
        <w:t xml:space="preserve">protection is.</w:t>
      </w:r>
      <w:r>
        <w:br/>
      </w:r>
      <w:r>
        <w:t xml:space="preserve"> It presented the results based on three crisis scenarios of different intensity: (i) a</w:t>
      </w:r>
      <w:r>
        <w:t xml:space="preserve"> </w:t>
      </w:r>
      <w:r>
        <w:t xml:space="preserve">comparable to the financial crisis in 2008, (ii) less serious and (iii) more</w:t>
      </w:r>
      <w:r>
        <w:t xml:space="preserve"> </w:t>
      </w:r>
      <w:r>
        <w:t xml:space="preserve">serious582.</w:t>
      </w:r>
      <w:r>
        <w:t xml:space="preserve"> </w:t>
      </w:r>
      <w:r>
        <w:t xml:space="preserve"> For instance, under a financial crisis as severe as in 2008583:</w:t>
      </w:r>
      <w:r>
        <w:t xml:space="preserve"> </w:t>
      </w:r>
      <w:r>
        <w:t xml:space="preserve">-</w:t>
      </w:r>
      <w:r>
        <w:t xml:space="preserve"> </w:t>
      </w:r>
      <w:r>
        <w:t xml:space="preserve">The hybrid EDIS would reduce the probability of a liquidity shortfall from</w:t>
      </w:r>
      <w:r>
        <w:t xml:space="preserve"> </w:t>
      </w:r>
      <w:r>
        <w:t xml:space="preserve">87% (i.e. probability of liquidity shortfall under the current framework) to</w:t>
      </w:r>
      <w:r>
        <w:t xml:space="preserve"> </w:t>
      </w:r>
      <w:r>
        <w:t xml:space="preserve">47%-56% (depending on the degree of pooling of funds584).</w:t>
      </w:r>
      <w:r>
        <w:t xml:space="preserve"> </w:t>
      </w:r>
      <w:r>
        <w:t xml:space="preserve">-</w:t>
      </w:r>
      <w:r>
        <w:t xml:space="preserve"> </w:t>
      </w:r>
      <w:r>
        <w:t xml:space="preserve">In extreme cases where a liquidity shortfall would occur both under the status</w:t>
      </w:r>
      <w:r>
        <w:t xml:space="preserve"> </w:t>
      </w:r>
      <w:r>
        <w:t xml:space="preserve">quo and under a hybrid EDIS, the amount of shortfall would be significantly</w:t>
      </w:r>
      <w:r>
        <w:t xml:space="preserve"> </w:t>
      </w:r>
      <w:r>
        <w:t xml:space="preserve">lower under the hybrid EDIS. The hybrid EDIS would cover from 60% to</w:t>
      </w:r>
      <w:r>
        <w:t xml:space="preserve"> </w:t>
      </w:r>
      <w:r>
        <w:t xml:space="preserve">68% (depending on the degree of pooling of funds) of liquidity shortfalls that</w:t>
      </w:r>
      <w:r>
        <w:t xml:space="preserve"> </w:t>
      </w:r>
      <w:r>
        <w:t xml:space="preserve">would otherwise be unprotected under the current framework.</w:t>
      </w:r>
      <w:r>
        <w:br/>
      </w:r>
      <w:r>
        <w:t xml:space="preserve">-</w:t>
      </w:r>
      <w:r>
        <w:t xml:space="preserve"> </w:t>
      </w:r>
      <w:r>
        <w:t xml:space="preserve">The hybrid EDIS would have the capacity to reimburse larger amounts of</w:t>
      </w:r>
      <w:r>
        <w:t xml:space="preserve"> </w:t>
      </w:r>
      <w:r>
        <w:t xml:space="preserve">covered deposits. On average, under the current framework, EUR 22 bn of</w:t>
      </w:r>
      <w:r>
        <w:t xml:space="preserve"> </w:t>
      </w:r>
      <w:r>
        <w:t xml:space="preserve">covered deposits would be reimbursed to depositors and EUR 31-36 bn under</w:t>
      </w:r>
      <w:r>
        <w:t xml:space="preserve"> </w:t>
      </w:r>
      <w:r>
        <w:t xml:space="preserve">the hybrid/EDIS (depending on the degree of pooling of funds).</w:t>
      </w:r>
      <w:r>
        <w:t xml:space="preserve"> </w:t>
      </w:r>
      <w:r>
        <w:t xml:space="preserve"> Even in case of a systemic crisis, the hybrid EDIS outperforms the status quo. The</w:t>
      </w:r>
      <w:r>
        <w:t xml:space="preserve"> </w:t>
      </w:r>
      <w:r>
        <w:t xml:space="preserve">probability of liquidity shortfall and the amount of covered deposits that would not</w:t>
      </w:r>
      <w:r>
        <w:t xml:space="preserve"> </w:t>
      </w:r>
      <w:r>
        <w:t xml:space="preserve">be protected are lower:</w:t>
      </w:r>
      <w:r>
        <w:br/>
      </w:r>
      <w:r>
        <w:t xml:space="preserve">-</w:t>
      </w:r>
      <w:r>
        <w:t xml:space="preserve"> </w:t>
      </w:r>
      <w:r>
        <w:t xml:space="preserve">The probability of a liquidity shortfall is 87% under the status quo, 46%-56%</w:t>
      </w:r>
      <w:r>
        <w:t xml:space="preserve"> </w:t>
      </w:r>
      <w:r>
        <w:t xml:space="preserve">under the hybrid EDIS (depending on the parameter settings).</w:t>
      </w:r>
      <w:r>
        <w:t xml:space="preserve"> </w:t>
      </w:r>
      <w:r>
        <w:t xml:space="preserve">-</w:t>
      </w:r>
      <w:r>
        <w:t xml:space="preserve"> </w:t>
      </w:r>
      <w:r>
        <w:t xml:space="preserve">The hybrid EDIS covers 60%-68% of liquidity shortfalls that otherwise</w:t>
      </w:r>
      <w:r>
        <w:t xml:space="preserve"> </w:t>
      </w:r>
      <w:r>
        <w:t xml:space="preserve">remain unprotected under the status quo.</w:t>
      </w:r>
      <w:r>
        <w:br/>
      </w:r>
      <w:r>
        <w:t xml:space="preserve">-</w:t>
      </w:r>
      <w:r>
        <w:t xml:space="preserve"> </w:t>
      </w:r>
      <w:r>
        <w:t xml:space="preserve">Under the status quo, all national DGS protect EUR 22 bn on average, while</w:t>
      </w:r>
      <w:r>
        <w:t xml:space="preserve"> </w:t>
      </w:r>
      <w:r>
        <w:t xml:space="preserve">the hybrid EDIS allow covering EUR 31-36 bn of covered deposits on</w:t>
      </w:r>
      <w:r>
        <w:t xml:space="preserve"> </w:t>
      </w:r>
      <w:r>
        <w:t xml:space="preserve">average.</w:t>
      </w:r>
    </w:p>
    <w:p>
      <w:pPr>
        <w:pStyle w:val="BodyText"/>
      </w:pPr>
      <w:r>
        <w:t xml:space="preserve">582 See JRC analysis on “Measuring the effectiveness and the pooling effect of EDIS” p.21.</w:t>
      </w:r>
      <w:r>
        <w:t xml:space="preserve"> </w:t>
      </w:r>
      <w:r>
        <w:t xml:space="preserve">583 The relative effectiveness of the status quo and the hybrid EDIS does not change under other severities</w:t>
      </w:r>
      <w:r>
        <w:t xml:space="preserve"> </w:t>
      </w:r>
      <w:r>
        <w:t xml:space="preserve">of crisis.</w:t>
      </w:r>
      <w:r>
        <w:t xml:space="preserve"> </w:t>
      </w:r>
      <w:r>
        <w:t xml:space="preserve">584 Hybrid models with a low degree of pooling of funds are close to 56% and hybrid models with a high</w:t>
      </w:r>
      <w:r>
        <w:t xml:space="preserve"> </w:t>
      </w:r>
      <w:r>
        <w:t xml:space="preserve">degree of pooling are close to 47%.</w:t>
      </w:r>
    </w:p>
    <w:p>
      <w:pPr>
        <w:pStyle w:val="BodyText"/>
      </w:pPr>
      <w:r>
        <w:t xml:space="preserve">369</w:t>
      </w:r>
      <w:r>
        <w:t xml:space="preserve"> </w:t>
      </w:r>
      <w:r>
        <w:t xml:space="preserve">Efficiency, pooling effect and target levels</w:t>
      </w:r>
      <w:r>
        <w:t xml:space="preserve"> </w:t>
      </w:r>
      <w:r>
        <w:t xml:space="preserve">Pooling of resources increases the probability of full protection of the covered deposits</w:t>
      </w:r>
      <w:r>
        <w:t xml:space="preserve"> </w:t>
      </w:r>
      <w:r>
        <w:t xml:space="preserve">without liquidity shortfall. Therefore, it delivers a higher efficiency for various hybrid</w:t>
      </w:r>
      <w:r>
        <w:t xml:space="preserve"> </w:t>
      </w:r>
      <w:r>
        <w:t xml:space="preserve">EDIS designs creating room for lowering the target level and, consequently, reducing the</w:t>
      </w:r>
      <w:r>
        <w:t xml:space="preserve"> </w:t>
      </w:r>
      <w:r>
        <w:t xml:space="preserve">cost for the banking sectors across Member States.</w:t>
      </w:r>
      <w:r>
        <w:br/>
      </w:r>
      <w:r>
        <w:t xml:space="preserve">The possibility to collect lower amount of ex ante funding by the industry without</w:t>
      </w:r>
      <w:r>
        <w:t xml:space="preserve"> </w:t>
      </w:r>
      <w:r>
        <w:t xml:space="preserve">jeopardising the current level of depositors’ protection was also explored. This analysis</w:t>
      </w:r>
      <w:r>
        <w:t xml:space="preserve"> </w:t>
      </w:r>
      <w:r>
        <w:t xml:space="preserve">compared the performance of the hybrid EDIS under various shares of pooled resources</w:t>
      </w:r>
      <w:r>
        <w:t xml:space="preserve"> </w:t>
      </w:r>
      <w:r>
        <w:t xml:space="preserve">and reduced target levels with the status quo. The main results point to the possibility to</w:t>
      </w:r>
      <w:r>
        <w:t xml:space="preserve"> </w:t>
      </w:r>
      <w:r>
        <w:t xml:space="preserve">maintain or even increase the current level of depositor protection with a lower target</w:t>
      </w:r>
      <w:r>
        <w:t xml:space="preserve"> </w:t>
      </w:r>
      <w:r>
        <w:t xml:space="preserve">level. The more resources are pooled, the lower the target level could be. As a result,</w:t>
      </w:r>
      <w:r>
        <w:t xml:space="preserve"> </w:t>
      </w:r>
      <w:r>
        <w:t xml:space="preserve">depending on the design of the hybrid model, the target level could be set between 0.5%</w:t>
      </w:r>
      <w:r>
        <w:t xml:space="preserve"> </w:t>
      </w:r>
      <w:r>
        <w:t xml:space="preserve">and 0.8%, without lowering depositor protection.</w:t>
      </w:r>
      <w:r>
        <w:br/>
      </w:r>
      <w:r>
        <w:t xml:space="preserve">For instance, under a target level of 0.7% of covered deposits, the probability that a</w:t>
      </w:r>
      <w:r>
        <w:t xml:space="preserve"> </w:t>
      </w:r>
      <w:r>
        <w:t xml:space="preserve">hybrid EDIS would allow a better depositor protection than under the status quo is</w:t>
      </w:r>
      <w:r>
        <w:t xml:space="preserve"> </w:t>
      </w:r>
      <w:r>
        <w:t xml:space="preserve">around 99.8%585. Under a significantly reduced target level (0.5-0.6%), there is a 95%</w:t>
      </w:r>
      <w:r>
        <w:t xml:space="preserve"> </w:t>
      </w:r>
      <w:r>
        <w:t xml:space="preserve">probability that a hybrid model586 provides a better protection than under the status quo.</w:t>
      </w:r>
      <w:r>
        <w:t xml:space="preserve"> </w:t>
      </w:r>
      <w:r>
        <w:t xml:space="preserve">This quantitative analysis supports the potential reduced target level under an ambitious</w:t>
      </w:r>
      <w:r>
        <w:t xml:space="preserve"> </w:t>
      </w:r>
      <w:r>
        <w:t xml:space="preserve">EDIS. However, this quantitative work only considers the hybrid models for payout,</w:t>
      </w:r>
      <w:r>
        <w:t xml:space="preserve"> </w:t>
      </w:r>
      <w:r>
        <w:t xml:space="preserve">under the current creditor hierarchy. A single category of claims for all deposits and a</w:t>
      </w:r>
      <w:r>
        <w:t xml:space="preserve"> </w:t>
      </w:r>
      <w:r>
        <w:t xml:space="preserve">more frequent use of measures like transfer strategies was also taken into account. The</w:t>
      </w:r>
      <w:r>
        <w:t xml:space="preserve"> </w:t>
      </w:r>
      <w:r>
        <w:t xml:space="preserve">impact of two latter create upward or downward pressure on the amount of funds used by</w:t>
      </w:r>
      <w:r>
        <w:t xml:space="preserve"> </w:t>
      </w:r>
      <w:r>
        <w:t xml:space="preserve">the DGS and hybrid EDIS that are hard to precisely calculate. The net impact is likely to</w:t>
      </w:r>
      <w:r>
        <w:t xml:space="preserve"> </w:t>
      </w:r>
      <w:r>
        <w:t xml:space="preserve">be positive for the DGS and hybrid EDIS funds and is explained in more details below</w:t>
      </w:r>
      <w:r>
        <w:t xml:space="preserve"> </w:t>
      </w:r>
      <w:r>
        <w:t xml:space="preserve">(see Error! Reference source not found.: Implications of the scope on the uses of DGS</w:t>
      </w:r>
      <w:r>
        <w:t xml:space="preserve"> </w:t>
      </w:r>
      <w:r>
        <w:t xml:space="preserve">and hybrid EDIS funds).</w:t>
      </w:r>
      <w:r>
        <w:t xml:space="preserve"> </w:t>
      </w:r>
      <w:r>
        <w:t xml:space="preserve">2.3.1. How do the main parameters of the different hybrid EDIS designs</w:t>
      </w:r>
      <w:r>
        <w:t xml:space="preserve"> </w:t>
      </w:r>
      <w:r>
        <w:t xml:space="preserve">compare?</w:t>
      </w:r>
      <w:r>
        <w:t xml:space="preserve"> </w:t>
      </w:r>
      <w:r>
        <w:t xml:space="preserve">The possible designs of hybrid EDIS vary in the degree of allocation between the</w:t>
      </w:r>
      <w:r>
        <w:t xml:space="preserve"> </w:t>
      </w:r>
      <w:r>
        <w:t xml:space="preserve">national funds and the DIF and the extent to which the national funds can be mobilised</w:t>
      </w:r>
      <w:r>
        <w:t xml:space="preserve"> </w:t>
      </w:r>
      <w:r>
        <w:t xml:space="preserve">for mandatory lending. The likelihood of the recourse to the mandatory lending is</w:t>
      </w:r>
      <w:r>
        <w:t xml:space="preserve"> </w:t>
      </w:r>
      <w:r>
        <w:t xml:space="preserve">directly proportional to the amount of available funds in the DIF. The other parameters</w:t>
      </w:r>
      <w:r>
        <w:t xml:space="preserve"> </w:t>
      </w:r>
      <w:r>
        <w:t xml:space="preserve">are common to the various designs and relate to the modalities of the repayment of the</w:t>
      </w:r>
      <w:r>
        <w:t xml:space="preserve"> </w:t>
      </w:r>
      <w:r>
        <w:t xml:space="preserve">liquidity support, i.e. maturity of loans, interest rates, repayment sequencing and</w:t>
      </w:r>
      <w:r>
        <w:t xml:space="preserve"> </w:t>
      </w:r>
      <w:r>
        <w:t xml:space="preserve">replenishment, and the scope of coverage.</w:t>
      </w:r>
      <w:r>
        <w:br/>
      </w:r>
      <w:r>
        <w:t xml:space="preserve">2.3.1.1. Low-ambition hybrid EDIS</w:t>
      </w:r>
    </w:p>
    <w:p>
      <w:pPr>
        <w:pStyle w:val="BodyText"/>
      </w:pPr>
      <w:r>
        <w:t xml:space="preserve">585 99.8% for hybrid EDIS with reduced shared of pooled resources and 99.9% for hybrid EDIS with high</w:t>
      </w:r>
      <w:r>
        <w:t xml:space="preserve"> </w:t>
      </w:r>
      <w:r>
        <w:t xml:space="preserve">shares of pooled resources.</w:t>
      </w:r>
      <w:r>
        <w:t xml:space="preserve"> </w:t>
      </w:r>
      <w:r>
        <w:t xml:space="preserve">586 95% for hybrid EDIS with reduced shares of pooled resources and 98% for hybrid EDIS with high</w:t>
      </w:r>
      <w:r>
        <w:t xml:space="preserve"> </w:t>
      </w:r>
      <w:r>
        <w:t xml:space="preserve">shares of pooled resources.</w:t>
      </w:r>
    </w:p>
    <w:p>
      <w:pPr>
        <w:pStyle w:val="BodyText"/>
      </w:pPr>
      <w:r>
        <w:t xml:space="preserve">370</w:t>
      </w:r>
      <w:r>
        <w:t xml:space="preserve"> </w:t>
      </w:r>
      <w:r>
        <w:t xml:space="preserve">In this scenario, hybrid EDIS would imply a larger role for national solutions and</w:t>
      </w:r>
      <w:r>
        <w:t xml:space="preserve"> </w:t>
      </w:r>
      <w:r>
        <w:t xml:space="preserve">resources and a smaller role for central funding.</w:t>
      </w:r>
      <w:r>
        <w:br/>
      </w:r>
      <w:r>
        <w:t xml:space="preserve">Allocation of the funds and mandatory lending</w:t>
      </w:r>
      <w:r>
        <w:t xml:space="preserve"> </w:t>
      </w:r>
      <w:r>
        <w:t xml:space="preserve">The allocation of funds would maintain 75% of the funds at national level. Accordingly,</w:t>
      </w:r>
      <w:r>
        <w:t xml:space="preserve"> </w:t>
      </w:r>
      <w:r>
        <w:t xml:space="preserve">25% of DGS funds would be transferred to the DIF, while 30% of the funds remaining in</w:t>
      </w:r>
      <w:r>
        <w:t xml:space="preserve"> </w:t>
      </w:r>
      <w:r>
        <w:t xml:space="preserve">the national DGS could be mobilised for mandatory lending (i.e. cap amounting to 30%).</w:t>
      </w:r>
      <w:r>
        <w:t xml:space="preserve"> </w:t>
      </w:r>
      <w:r>
        <w:t xml:space="preserve">Unlike in the case of mandatory lending, there is no cap on the DIF. Indeed, while setting</w:t>
      </w:r>
      <w:r>
        <w:t xml:space="preserve"> </w:t>
      </w:r>
      <w:r>
        <w:t xml:space="preserve">such a cap would arguably protect the funds in the DIF, it would increase the complexity</w:t>
      </w:r>
      <w:r>
        <w:t xml:space="preserve"> </w:t>
      </w:r>
      <w:r>
        <w:t xml:space="preserve">of the hybrid EDIS and lower the capacity of an effective crisis response. Moreover, the</w:t>
      </w:r>
      <w:r>
        <w:t xml:space="preserve"> </w:t>
      </w:r>
      <w:r>
        <w:t xml:space="preserve">probability of recourse to the mandatory lending would be higher, more prone to</w:t>
      </w:r>
      <w:r>
        <w:t xml:space="preserve"> </w:t>
      </w:r>
      <w:r>
        <w:t xml:space="preserve">operational challenges than accessing the resources in the DIF and less effective in terms</w:t>
      </w:r>
      <w:r>
        <w:t xml:space="preserve"> </w:t>
      </w:r>
      <w:r>
        <w:t xml:space="preserve">of crisis response due to the limited amount in national DGSs.587</w:t>
      </w:r>
      <w:r>
        <w:br/>
      </w:r>
      <w:r>
        <w:t xml:space="preserve">This scenario would be more efficient than the status quo for the banking industry</w:t>
      </w:r>
      <w:r>
        <w:t xml:space="preserve"> </w:t>
      </w:r>
      <w:r>
        <w:t xml:space="preserve">because it would address more effectively the risk of shortfalls. However, the relatively</w:t>
      </w:r>
      <w:r>
        <w:t xml:space="preserve"> </w:t>
      </w:r>
      <w:r>
        <w:t xml:space="preserve">lower pooling effect leads to a higher risk of DGS liquidity shortfall than under a high-</w:t>
      </w:r>
      <w:r>
        <w:t xml:space="preserve"> </w:t>
      </w:r>
      <w:r>
        <w:t xml:space="preserve">ambition model (as well as the middle-way option). Therefore, by providing limited</w:t>
      </w:r>
      <w:r>
        <w:t xml:space="preserve"> </w:t>
      </w:r>
      <w:r>
        <w:t xml:space="preserve">scope for synergies it would maintain the target level (i.e. 0.8% of the covered deposits).</w:t>
      </w:r>
      <w:r>
        <w:br/>
      </w:r>
      <w:r>
        <w:t xml:space="preserve">Scope of intervention</w:t>
      </w:r>
      <w:r>
        <w:br/>
      </w:r>
      <w:r>
        <w:t xml:space="preserve">In line with the limited share of funds transferred to the DIF and the cap on mandatory</w:t>
      </w:r>
      <w:r>
        <w:t xml:space="preserve"> </w:t>
      </w:r>
      <w:r>
        <w:t xml:space="preserve">lending, the available firepower in hybrid EDIS would only allow to finance DGS</w:t>
      </w:r>
      <w:r>
        <w:t xml:space="preserve"> </w:t>
      </w:r>
      <w:r>
        <w:t xml:space="preserve">interventions for payout and in resolution. The preventive and alternative measures</w:t>
      </w:r>
      <w:r>
        <w:t xml:space="preserve"> </w:t>
      </w:r>
      <w:r>
        <w:t xml:space="preserve">would be financed at the national level.</w:t>
      </w:r>
      <w:r>
        <w:br/>
      </w:r>
      <w:r>
        <w:t xml:space="preserve">Under this scenario, members of IPSs would be required to transfer 25% of their DGS</w:t>
      </w:r>
      <w:r>
        <w:t xml:space="preserve"> </w:t>
      </w:r>
      <w:r>
        <w:t xml:space="preserve">financial means to the DIF (corresponding to the 25% earmarked for payouts). This</w:t>
      </w:r>
      <w:r>
        <w:t xml:space="preserve"> </w:t>
      </w:r>
      <w:r>
        <w:t xml:space="preserve">would also imply that IPSs would finance preventive measures with the funds remaining</w:t>
      </w:r>
      <w:r>
        <w:t xml:space="preserve"> </w:t>
      </w:r>
      <w:r>
        <w:t xml:space="preserve">at national level, in line with their business model. Compared to the baseline scenario,</w:t>
      </w:r>
      <w:r>
        <w:t xml:space="preserve"> </w:t>
      </w:r>
      <w:r>
        <w:t xml:space="preserve">the change would imply a transfer of a certain portion of their DGS funds at central level,</w:t>
      </w:r>
      <w:r>
        <w:t xml:space="preserve"> </w:t>
      </w:r>
      <w:r>
        <w:t xml:space="preserve">combined with the changes affecting the revised conditions of application (Annex 6).</w:t>
      </w:r>
      <w:r>
        <w:t xml:space="preserve"> </w:t>
      </w:r>
      <w:r>
        <w:t xml:space="preserve">This would, however, not affect the amount available for preventive measures because,</w:t>
      </w:r>
      <w:r>
        <w:t xml:space="preserve"> </w:t>
      </w:r>
      <w:r>
        <w:t xml:space="preserve">under the current framework, if the available financial means fall below 25%, the</w:t>
      </w:r>
      <w:r>
        <w:t xml:space="preserve"> </w:t>
      </w:r>
      <w:r>
        <w:t xml:space="preserve">affiliated institutions must immediately provide the means used for preventive measures,</w:t>
      </w:r>
      <w:r>
        <w:t xml:space="preserve"> </w:t>
      </w:r>
      <w:r>
        <w:t xml:space="preserve">e.g. in the form of extraordinary contributions.</w:t>
      </w:r>
      <w:r>
        <w:t xml:space="preserve"> </w:t>
      </w:r>
      <w:r>
        <w:t xml:space="preserve">2.3.1.2. High-ambition hybrid EDIS</w:t>
      </w:r>
      <w:r>
        <w:t xml:space="preserve"> </w:t>
      </w:r>
      <w:r>
        <w:t xml:space="preserve">In this scenario, hybrid EDIS would have a strong centralised component, ensuring a</w:t>
      </w:r>
      <w:r>
        <w:t xml:space="preserve"> </w:t>
      </w:r>
      <w:r>
        <w:t xml:space="preserve">large firepower conducive to synergies to reduce the costs to the industry.</w:t>
      </w:r>
      <w:r>
        <w:t xml:space="preserve"> </w:t>
      </w:r>
      <w:r>
        <w:t xml:space="preserve">Allocation of the funds and mandatory lending</w:t>
      </w:r>
      <w:r>
        <w:t xml:space="preserve"> </w:t>
      </w:r>
      <w:r>
        <w:t xml:space="preserve">A combination of a large DIF and a significant part of funds remaining at the national</w:t>
      </w:r>
      <w:r>
        <w:t xml:space="preserve"> </w:t>
      </w:r>
      <w:r>
        <w:t xml:space="preserve">level available for mandatory lending would imply a large firepower. To this end, a large</w:t>
      </w:r>
    </w:p>
    <w:p>
      <w:pPr>
        <w:pStyle w:val="BodyText"/>
      </w:pPr>
      <w:r>
        <w:t xml:space="preserve">587 The mandatory lending would require prior collection of funds from all national DGSs.</w:t>
      </w:r>
    </w:p>
    <w:p>
      <w:pPr>
        <w:pStyle w:val="BodyText"/>
      </w:pPr>
      <w:r>
        <w:t xml:space="preserve">371</w:t>
      </w:r>
      <w:r>
        <w:t xml:space="preserve"> </w:t>
      </w:r>
      <w:r>
        <w:t xml:space="preserve">share of the national funds (i.e. 75%) is transferred to the DIF. In case the DIF is</w:t>
      </w:r>
      <w:r>
        <w:t xml:space="preserve"> </w:t>
      </w:r>
      <w:r>
        <w:t xml:space="preserve">depleted, 50% of the funds remaining in national DGSs could be mobilised for</w:t>
      </w:r>
      <w:r>
        <w:t xml:space="preserve"> </w:t>
      </w:r>
      <w:r>
        <w:t xml:space="preserve">mandatory lending. The cap on the amount potentially mobilised for mandatory lending</w:t>
      </w:r>
      <w:r>
        <w:t xml:space="preserve"> </w:t>
      </w:r>
      <w:r>
        <w:t xml:space="preserve">would be set at 50% of the funds remaining in the national DGS. Like under option 3, no</w:t>
      </w:r>
      <w:r>
        <w:t xml:space="preserve"> </w:t>
      </w:r>
      <w:r>
        <w:t xml:space="preserve">cap would be applied on the DIF.</w:t>
      </w:r>
      <w:r>
        <w:t xml:space="preserve"> </w:t>
      </w:r>
      <w:r>
        <w:t xml:space="preserve">Compared to a low-ambition model, the larger firepower would allow to exploit</w:t>
      </w:r>
      <w:r>
        <w:t xml:space="preserve"> </w:t>
      </w:r>
      <w:r>
        <w:t xml:space="preserve">maximum synergies as a result of the pooling effect and would reduce the cost of</w:t>
      </w:r>
      <w:r>
        <w:t xml:space="preserve"> </w:t>
      </w:r>
      <w:r>
        <w:t xml:space="preserve">funding, putting the banking sector in a better position to face the current challenges and</w:t>
      </w:r>
      <w:r>
        <w:t xml:space="preserve"> </w:t>
      </w:r>
      <w:r>
        <w:t xml:space="preserve">contribute in the ongoing economic recovery. According to the quantitative analysis</w:t>
      </w:r>
      <w:r>
        <w:t xml:space="preserve"> </w:t>
      </w:r>
      <w:r>
        <w:t xml:space="preserve">performed by the JRC, the combined target level for the Banking Union Member States</w:t>
      </w:r>
      <w:r>
        <w:t xml:space="preserve"> </w:t>
      </w:r>
      <w:r>
        <w:t xml:space="preserve">would be reduced from the current 0.8% to 0.6%. Such a lower target level would</w:t>
      </w:r>
      <w:r>
        <w:t xml:space="preserve"> </w:t>
      </w:r>
      <w:r>
        <w:t xml:space="preserve">correspond to a 25.5% cost reduction (around EUR 14 bn) for the banking sectors in the</w:t>
      </w:r>
      <w:r>
        <w:t xml:space="preserve"> </w:t>
      </w:r>
      <w:r>
        <w:t xml:space="preserve">Banking Union.</w:t>
      </w:r>
      <w:r>
        <w:t xml:space="preserve"> </w:t>
      </w:r>
      <w:r>
        <w:t xml:space="preserve">Scope of intervention</w:t>
      </w:r>
      <w:r>
        <w:t xml:space="preserve"> </w:t>
      </w:r>
      <w:r>
        <w:t xml:space="preserve">The economic rationale for allowing support from the DIF to national DGSs to finance</w:t>
      </w:r>
      <w:r>
        <w:t xml:space="preserve"> </w:t>
      </w:r>
      <w:r>
        <w:t xml:space="preserve">preventive and alternative measures is clear. Indeed, the least cost test would be</w:t>
      </w:r>
      <w:r>
        <w:t xml:space="preserve"> </w:t>
      </w:r>
      <w:r>
        <w:t xml:space="preserve">harmonised, ensuring level playing field and avoiding any excessive uses of DGS and</w:t>
      </w:r>
      <w:r>
        <w:t xml:space="preserve"> </w:t>
      </w:r>
      <w:r>
        <w:t xml:space="preserve">EDIS funds. Consequently, the least costly option would always be applied, ensuring</w:t>
      </w:r>
      <w:r>
        <w:t xml:space="preserve"> </w:t>
      </w:r>
      <w:r>
        <w:t xml:space="preserve">efficiency for the EDIS scheme.</w:t>
      </w:r>
      <w:r>
        <w:t xml:space="preserve"> </w:t>
      </w:r>
      <w:r>
        <w:t xml:space="preserve">This approach would provide incentives to integrate the members of IPSs (recognised as</w:t>
      </w:r>
      <w:r>
        <w:t xml:space="preserve"> </w:t>
      </w:r>
      <w:r>
        <w:t xml:space="preserve">DGS) within the European system of safety nets. Similar to other banks, members of</w:t>
      </w:r>
      <w:r>
        <w:t xml:space="preserve"> </w:t>
      </w:r>
      <w:r>
        <w:t xml:space="preserve">IPSs would be included in the scope of the hybrid EDIS and eligible for liquidity support</w:t>
      </w:r>
      <w:r>
        <w:t xml:space="preserve"> </w:t>
      </w:r>
      <w:r>
        <w:t xml:space="preserve">for all EDIS interventions. Through the funds remaining at the national level and the</w:t>
      </w:r>
      <w:r>
        <w:t xml:space="preserve"> </w:t>
      </w:r>
      <w:r>
        <w:t xml:space="preserve">target level reduction, they would also have large amount of funds at the IPS level to</w:t>
      </w:r>
      <w:r>
        <w:t xml:space="preserve"> </w:t>
      </w:r>
      <w:r>
        <w:t xml:space="preserve">finance the preventive measures. Consequently, IPSs would retain their current business</w:t>
      </w:r>
      <w:r>
        <w:t xml:space="preserve"> </w:t>
      </w:r>
      <w:r>
        <w:t xml:space="preserve">model based on the failure prevention using preventive measures, subject to the</w:t>
      </w:r>
      <w:r>
        <w:t xml:space="preserve"> </w:t>
      </w:r>
      <w:r>
        <w:t xml:space="preserve">modifications proposed in Annex 6. In particular, like any other DGS, IPSs would be</w:t>
      </w:r>
      <w:r>
        <w:t xml:space="preserve"> </w:t>
      </w:r>
      <w:r>
        <w:t xml:space="preserve">subject to a least cost test and more harmonised conditions when financing preventive</w:t>
      </w:r>
      <w:r>
        <w:t xml:space="preserve"> </w:t>
      </w:r>
      <w:r>
        <w:t xml:space="preserve">measures. In addition, a specific mechanism could determine an appropriate reduction</w:t>
      </w:r>
      <w:r>
        <w:t xml:space="preserve"> </w:t>
      </w:r>
      <w:r>
        <w:t xml:space="preserve">from the contribution to the DIF to reflect a lower risk profile and effectiveness of the</w:t>
      </w:r>
      <w:r>
        <w:t xml:space="preserve"> </w:t>
      </w:r>
      <w:r>
        <w:t xml:space="preserve">monitoring functions. For the sake of completeness, an alternative approach would be</w:t>
      </w:r>
      <w:r>
        <w:t xml:space="preserve"> </w:t>
      </w:r>
      <w:r>
        <w:t xml:space="preserve">required in case preventive measures were subject to a tailored least cost test reflecting</w:t>
      </w:r>
      <w:r>
        <w:t xml:space="preserve"> </w:t>
      </w:r>
      <w:r>
        <w:t xml:space="preserve">the features of IPS, e.g. the presence of a legal commitment to intervene.</w:t>
      </w:r>
      <w:r>
        <w:t xml:space="preserve"> </w:t>
      </w:r>
      <w:r>
        <w:t xml:space="preserve">2.3.1.3. Medium-ambition hybrid EDIS</w:t>
      </w:r>
      <w:r>
        <w:t xml:space="preserve"> </w:t>
      </w:r>
      <w:r>
        <w:t xml:space="preserve">In this scenario, hybrid EDIS would have a medium centralised component, ensuring a</w:t>
      </w:r>
      <w:r>
        <w:t xml:space="preserve"> </w:t>
      </w:r>
      <w:r>
        <w:t xml:space="preserve">medium firepower conducive to certain synergies to reduce the costs to the industry.</w:t>
      </w:r>
      <w:r>
        <w:t xml:space="preserve"> </w:t>
      </w:r>
      <w:r>
        <w:t xml:space="preserve">Allocation of the funds and mandatory lending</w:t>
      </w:r>
      <w:r>
        <w:t xml:space="preserve"> </w:t>
      </w:r>
      <w:r>
        <w:t xml:space="preserve">Under this scenario, the allocation of funds would maintain 50% of the funds at national</w:t>
      </w:r>
      <w:r>
        <w:t xml:space="preserve"> </w:t>
      </w:r>
      <w:r>
        <w:t xml:space="preserve">level and 50% of DGS funds transferred to the DIF. In case the DIF is depleted, 50% of</w:t>
      </w:r>
      <w:r>
        <w:t xml:space="preserve"> </w:t>
      </w:r>
      <w:r>
        <w:t xml:space="preserve">the funds remaining in the national DGS would be mobilised for mandatory lending. The</w:t>
      </w:r>
    </w:p>
    <w:p>
      <w:pPr>
        <w:pStyle w:val="BodyText"/>
      </w:pPr>
      <w:r>
        <w:t xml:space="preserve">372</w:t>
      </w:r>
      <w:r>
        <w:t xml:space="preserve"> </w:t>
      </w:r>
      <w:r>
        <w:t xml:space="preserve">cap on the amount potentially mobilised for mandatory lending would be set at 50% of</w:t>
      </w:r>
      <w:r>
        <w:t xml:space="preserve"> </w:t>
      </w:r>
      <w:r>
        <w:t xml:space="preserve">the funds remaining in the national DGS, while no cap would be applied to the DIF.</w:t>
      </w:r>
      <w:r>
        <w:t xml:space="preserve"> </w:t>
      </w:r>
      <w:r>
        <w:t xml:space="preserve">Compared to a low-ambition model, a larger firepower would generate certain synergies</w:t>
      </w:r>
      <w:r>
        <w:t xml:space="preserve"> </w:t>
      </w:r>
      <w:r>
        <w:t xml:space="preserve">because of the pooling effect and reduce the cost of funding, putting the banking sector in</w:t>
      </w:r>
      <w:r>
        <w:t xml:space="preserve"> </w:t>
      </w:r>
      <w:r>
        <w:t xml:space="preserve">a better position to face the current challenges and contribute in the ongoing economic</w:t>
      </w:r>
      <w:r>
        <w:t xml:space="preserve"> </w:t>
      </w:r>
      <w:r>
        <w:t xml:space="preserve">recovery. According to quantitative analysis, the combined target level for the Banking</w:t>
      </w:r>
      <w:r>
        <w:t xml:space="preserve"> </w:t>
      </w:r>
      <w:r>
        <w:t xml:space="preserve">Union Member States would be reduced from the 0.8% of covered deposit to 0.7%. On</w:t>
      </w:r>
      <w:r>
        <w:t xml:space="preserve"> </w:t>
      </w:r>
      <w:r>
        <w:t xml:space="preserve">average, it would lead to a 12.7% cost reduction for the banking sector (contributions</w:t>
      </w:r>
      <w:r>
        <w:t xml:space="preserve"> </w:t>
      </w:r>
      <w:r>
        <w:t xml:space="preserve">corresponding to the target level would decrease from EUR 55 bn to EUR 48 bn).</w:t>
      </w:r>
      <w:r>
        <w:t xml:space="preserve"> </w:t>
      </w:r>
      <w:r>
        <w:t xml:space="preserve">Scope of intervention</w:t>
      </w:r>
      <w:r>
        <w:br/>
      </w:r>
      <w:r>
        <w:t xml:space="preserve">Like in a high-ambition model, it would be economically efficient to include all DGS</w:t>
      </w:r>
      <w:r>
        <w:t xml:space="preserve"> </w:t>
      </w:r>
      <w:r>
        <w:t xml:space="preserve">interventions in the scope of EDIS.</w:t>
      </w:r>
      <w:r>
        <w:t xml:space="preserve"> </w:t>
      </w:r>
      <w:r>
        <w:t xml:space="preserve">This approach would provide the same incentives to integrate the IPSs within the</w:t>
      </w:r>
      <w:r>
        <w:t xml:space="preserve"> </w:t>
      </w:r>
      <w:r>
        <w:t xml:space="preserve">European system of safety nets, while preserving their business model, as described</w:t>
      </w:r>
      <w:r>
        <w:t xml:space="preserve"> </w:t>
      </w:r>
      <w:r>
        <w:t xml:space="preserve">above for a high-ambition model.</w:t>
      </w:r>
      <w:r>
        <w:t xml:space="preserve"> </w:t>
      </w:r>
      <w:r>
        <w:t xml:space="preserve">2.3.2. Focus on the remaining parameters</w:t>
      </w:r>
      <w:r>
        <w:t xml:space="preserve"> </w:t>
      </w:r>
      <w:r>
        <w:t xml:space="preserve">Features of the loans from the DIF and mandatory lending</w:t>
      </w:r>
      <w:r>
        <w:t xml:space="preserve"> </w:t>
      </w:r>
      <w:r>
        <w:t xml:space="preserve">The liquidity support would take the form of a loan from the DIF, including resources</w:t>
      </w:r>
      <w:r>
        <w:t xml:space="preserve"> </w:t>
      </w:r>
      <w:r>
        <w:t xml:space="preserve">from paid-in means and/or those mobilised via the mandatory lending mechanism.</w:t>
      </w:r>
      <w:r>
        <w:t xml:space="preserve"> </w:t>
      </w:r>
      <w:r>
        <w:t xml:space="preserve">Taking into account the discussions in the CWP, the best policy option would be to</w:t>
      </w:r>
      <w:r>
        <w:t xml:space="preserve"> </w:t>
      </w:r>
      <w:r>
        <w:t xml:space="preserve">provide for high-level features of the loan, such as loans and interests, set out in a</w:t>
      </w:r>
      <w:r>
        <w:t xml:space="preserve"> </w:t>
      </w:r>
      <w:r>
        <w:t xml:space="preserve">repayment plan to be agreed in advance between a national DGS and the SRB as the</w:t>
      </w:r>
      <w:r>
        <w:t xml:space="preserve"> </w:t>
      </w:r>
      <w:r>
        <w:t xml:space="preserve">central authority. This approach would also be broadly in line with the feedback of</w:t>
      </w:r>
      <w:r>
        <w:t xml:space="preserve"> </w:t>
      </w:r>
      <w:r>
        <w:t xml:space="preserve">members in the CWP where a higher number of members supported a maturity longer</w:t>
      </w:r>
      <w:r>
        <w:t xml:space="preserve"> </w:t>
      </w:r>
      <w:r>
        <w:t xml:space="preserve">than five years as well as the interest rates. Nevertheless, also in line with this feedback,</w:t>
      </w:r>
      <w:r>
        <w:t xml:space="preserve"> </w:t>
      </w:r>
      <w:r>
        <w:t xml:space="preserve">these rules would also require a specified degree of embedded flexibility to reflect the</w:t>
      </w:r>
      <w:r>
        <w:t xml:space="preserve"> </w:t>
      </w:r>
      <w:r>
        <w:t xml:space="preserve">effect on financial stability on a case by case basis.</w:t>
      </w:r>
      <w:r>
        <w:br/>
      </w:r>
      <w:r>
        <w:t xml:space="preserve">When setting the loan maturities, the main trade-offs involve an incentive for the</w:t>
      </w:r>
      <w:r>
        <w:t xml:space="preserve"> </w:t>
      </w:r>
      <w:r>
        <w:t xml:space="preserve">beneficiary DGS to reimburse the loan within a short period and, thereby, ensuring a fast</w:t>
      </w:r>
      <w:r>
        <w:t xml:space="preserve"> </w:t>
      </w:r>
      <w:r>
        <w:t xml:space="preserve">replenishment of the DIF (including the national DGSs involved in mandatory lending)</w:t>
      </w:r>
      <w:r>
        <w:t xml:space="preserve"> </w:t>
      </w:r>
      <w:r>
        <w:t xml:space="preserve">balanced against the financial stability objectives in the beneficiary DGS’ banking sector.</w:t>
      </w:r>
      <w:r>
        <w:t xml:space="preserve"> </w:t>
      </w:r>
      <w:r>
        <w:t xml:space="preserve">While a short maturity is susceptible to put a national DGS under pressure, a long</w:t>
      </w:r>
      <w:r>
        <w:t xml:space="preserve"> </w:t>
      </w:r>
      <w:r>
        <w:t xml:space="preserve">maturity would limit the funding capacity of the DIF for years. Accordingly, the best</w:t>
      </w:r>
      <w:r>
        <w:t xml:space="preserve"> </w:t>
      </w:r>
      <w:r>
        <w:t xml:space="preserve">option would be to set a maximum threshold of up to 6 years for the loans to a</w:t>
      </w:r>
      <w:r>
        <w:t xml:space="preserve"> </w:t>
      </w:r>
      <w:r>
        <w:t xml:space="preserve">beneficiary DGS. This approach would be consistent with Article 10(2) DGSD on the</w:t>
      </w:r>
      <w:r>
        <w:t xml:space="preserve"> </w:t>
      </w:r>
      <w:r>
        <w:t xml:space="preserve">replenishment of the available financial means to ensure a level playing field in the single</w:t>
      </w:r>
    </w:p>
    <w:p>
      <w:pPr>
        <w:pStyle w:val="BodyText"/>
      </w:pPr>
      <w:r>
        <w:t xml:space="preserve">373</w:t>
      </w:r>
      <w:r>
        <w:t xml:space="preserve"> </w:t>
      </w:r>
      <w:r>
        <w:t xml:space="preserve">market.588 Hence, the same replenishment rules should apply in the Member States</w:t>
      </w:r>
      <w:r>
        <w:t xml:space="preserve"> </w:t>
      </w:r>
      <w:r>
        <w:t xml:space="preserve">within and outside the Banking Union.</w:t>
      </w:r>
      <w:r>
        <w:br/>
      </w:r>
      <w:r>
        <w:t xml:space="preserve">The loans would be subject to interest rates. When determining the level of interest rates,</w:t>
      </w:r>
      <w:r>
        <w:t xml:space="preserve"> </w:t>
      </w:r>
      <w:r>
        <w:t xml:space="preserve">the interest rates should compensate the opportunity cost of the DIF and the national</w:t>
      </w:r>
      <w:r>
        <w:t xml:space="preserve"> </w:t>
      </w:r>
      <w:r>
        <w:t xml:space="preserve">DGSs as they have to lend to a beneficiary DGS instead of investing their funds in low-</w:t>
      </w:r>
      <w:r>
        <w:t xml:space="preserve"> </w:t>
      </w:r>
      <w:r>
        <w:t xml:space="preserve">risk assets, while encouraging a fast repayment of the liquidity support. Consequently,</w:t>
      </w:r>
      <w:r>
        <w:t xml:space="preserve"> </w:t>
      </w:r>
      <w:r>
        <w:t xml:space="preserve">the best option would be to set the interest rates at the ECB marginal lending facility</w:t>
      </w:r>
      <w:r>
        <w:t xml:space="preserve"> </w:t>
      </w:r>
      <w:r>
        <w:t xml:space="preserve">rate589, plus 1% for years 3 to 6.</w:t>
      </w:r>
      <w:r>
        <w:br/>
      </w:r>
      <w:r>
        <w:t xml:space="preserve">In this respect, the discussions in the CWP highlighted the importance of avoiding any</w:t>
      </w:r>
      <w:r>
        <w:t xml:space="preserve"> </w:t>
      </w:r>
      <w:r>
        <w:t xml:space="preserve">first mover advantage, i.e. where the first mover gains access to the central fund under</w:t>
      </w:r>
      <w:r>
        <w:t xml:space="preserve"> </w:t>
      </w:r>
      <w:r>
        <w:t xml:space="preserve">better conditions than a second beneficiary DGS. For this reason, the same maturity and</w:t>
      </w:r>
      <w:r>
        <w:t xml:space="preserve"> </w:t>
      </w:r>
      <w:r>
        <w:t xml:space="preserve">interest rates from loans coming from the DIF and from the mandatory lending</w:t>
      </w:r>
      <w:r>
        <w:t xml:space="preserve"> </w:t>
      </w:r>
      <w:r>
        <w:t xml:space="preserve">component would appear the most suitable means to avoid any first mover advantage.</w:t>
      </w:r>
      <w:r>
        <w:t xml:space="preserve"> </w:t>
      </w:r>
      <w:r>
        <w:t xml:space="preserve">The alternative option would be to subject the loans to different conditions, e.g. higher</w:t>
      </w:r>
      <w:r>
        <w:t xml:space="preserve"> </w:t>
      </w:r>
      <w:r>
        <w:t xml:space="preserve">interest rates if they come from mandatory lending. This would imply that, depending on</w:t>
      </w:r>
      <w:r>
        <w:t xml:space="preserve"> </w:t>
      </w:r>
      <w:r>
        <w:t xml:space="preserve">the actual funding capacity of the DIF, the second beneficiary DGS would have no</w:t>
      </w:r>
      <w:r>
        <w:t xml:space="preserve"> </w:t>
      </w:r>
      <w:r>
        <w:t xml:space="preserve">choice than to request support from the DIF relying on mandatory lending of the hybrid</w:t>
      </w:r>
      <w:r>
        <w:t xml:space="preserve"> </w:t>
      </w:r>
      <w:r>
        <w:t xml:space="preserve">EDIS.</w:t>
      </w:r>
      <w:r>
        <w:br/>
      </w:r>
      <w:r>
        <w:t xml:space="preserve">Sequencing of the repayment</w:t>
      </w:r>
      <w:r>
        <w:br/>
      </w:r>
      <w:r>
        <w:t xml:space="preserve">In line with the feedback received in the CWP, a specific sequencing mechanism would</w:t>
      </w:r>
      <w:r>
        <w:t xml:space="preserve"> </w:t>
      </w:r>
      <w:r>
        <w:t xml:space="preserve">be appropriate to prioritise the replenishment of the loans provided by other DGSs over</w:t>
      </w:r>
      <w:r>
        <w:t xml:space="preserve"> </w:t>
      </w:r>
      <w:r>
        <w:t xml:space="preserve">the loan from the paid-in means in the DIF. Accordingly, the beneficiary DGS would</w:t>
      </w:r>
      <w:r>
        <w:t xml:space="preserve"> </w:t>
      </w:r>
      <w:r>
        <w:t xml:space="preserve">repay the liquidity support in instalments, to be specified in the repayment plan, to the</w:t>
      </w:r>
      <w:r>
        <w:t xml:space="preserve"> </w:t>
      </w:r>
      <w:r>
        <w:t xml:space="preserve">DIF. The latter would repay first the other national DGSs involved in the mandatory</w:t>
      </w:r>
      <w:r>
        <w:t xml:space="preserve"> </w:t>
      </w:r>
      <w:r>
        <w:t xml:space="preserve">lending and, second, would replenish the amount due to the DIF itself. Consequently, the</w:t>
      </w:r>
      <w:r>
        <w:t xml:space="preserve"> </w:t>
      </w:r>
      <w:r>
        <w:t xml:space="preserve">loans from mandatory lending component is likely to be subject to a maturity shorter than</w:t>
      </w:r>
      <w:r>
        <w:t xml:space="preserve"> </w:t>
      </w:r>
      <w:r>
        <w:t xml:space="preserve">six years. The national DGS would replenish their own funds as a last resort.</w:t>
      </w:r>
      <w:r>
        <w:br/>
      </w:r>
      <w:r>
        <w:t xml:space="preserve">Replenishment by extraordinary contributions and alternative funding arrangements</w:t>
      </w:r>
      <w:r>
        <w:t xml:space="preserve"> </w:t>
      </w:r>
      <w:r>
        <w:t xml:space="preserve">Beneficiary DGSs would repay the liquidity support in line with the rules set out in</w:t>
      </w:r>
      <w:r>
        <w:t xml:space="preserve"> </w:t>
      </w:r>
      <w:r>
        <w:t xml:space="preserve">Article 10(8) DGSD. According to this provision, in case the available financial means</w:t>
      </w:r>
      <w:r>
        <w:t xml:space="preserve"> </w:t>
      </w:r>
      <w:r>
        <w:t xml:space="preserve">are insufficient, DGS members shall pay extraordinary contributions, and the ex post</w:t>
      </w:r>
      <w:r>
        <w:t xml:space="preserve"> </w:t>
      </w:r>
      <w:r>
        <w:t xml:space="preserve">contributions should not exceed 0.5% of the covered deposits of DGS members per</w:t>
      </w:r>
      <w:r>
        <w:t xml:space="preserve"> </w:t>
      </w:r>
      <w:r>
        <w:t xml:space="preserve">calendar year. Among the policy options discussed, extraordinary contributions would be</w:t>
      </w:r>
      <w:r>
        <w:t xml:space="preserve"> </w:t>
      </w:r>
      <w:r>
        <w:t xml:space="preserve">raised either before requesting support from the hybrid EDIS or subsequently. The trade-</w:t>
      </w:r>
      <w:r>
        <w:t xml:space="preserve"> </w:t>
      </w:r>
      <w:r>
        <w:t xml:space="preserve">off to consider would be between financial stability in the concerned banking sector</w:t>
      </w:r>
      <w:r>
        <w:t xml:space="preserve"> </w:t>
      </w:r>
      <w:r>
        <w:t xml:space="preserve">versus the protection of the means of the DIF and incentive compatibility.</w:t>
      </w:r>
    </w:p>
    <w:p>
      <w:pPr>
        <w:pStyle w:val="BodyText"/>
      </w:pPr>
      <w:r>
        <w:t xml:space="preserve">588 Article 10(2) DGSD provides: “If, after the target level has been reached for the first time, the</w:t>
      </w:r>
      <w:r>
        <w:t xml:space="preserve"> </w:t>
      </w:r>
      <w:r>
        <w:t xml:space="preserve">available financial means have been reduced to less than two-thirds of the target level, the regular</w:t>
      </w:r>
      <w:r>
        <w:t xml:space="preserve"> </w:t>
      </w:r>
      <w:r>
        <w:t xml:space="preserve">contribution shall be set at a level allowing the target level to be reached within six years.”</w:t>
      </w:r>
      <w:r>
        <w:t xml:space="preserve"> </w:t>
      </w:r>
      <w:r>
        <w:t xml:space="preserve">589 Potentially with a floor at 0%.</w:t>
      </w:r>
    </w:p>
    <w:p>
      <w:pPr>
        <w:pStyle w:val="BodyText"/>
      </w:pPr>
      <w:r>
        <w:t xml:space="preserve">374</w:t>
      </w:r>
      <w:r>
        <w:t xml:space="preserve"> </w:t>
      </w:r>
      <w:r>
        <w:t xml:space="preserve">In line with the feedback received, the best policy option would be to raise ex post</w:t>
      </w:r>
      <w:r>
        <w:t xml:space="preserve"> </w:t>
      </w:r>
      <w:r>
        <w:t xml:space="preserve">contributions after receiving liquidity support in order to repay the loan. In this scenario,</w:t>
      </w:r>
      <w:r>
        <w:t xml:space="preserve"> </w:t>
      </w:r>
      <w:r>
        <w:t xml:space="preserve">the DGS would receive fast liquidity support, facilitating the DGS’ intervention and</w:t>
      </w:r>
      <w:r>
        <w:t xml:space="preserve"> </w:t>
      </w:r>
      <w:r>
        <w:t xml:space="preserve">strengthening the confidence of depositors. Together with alternative funding</w:t>
      </w:r>
      <w:r>
        <w:t xml:space="preserve"> </w:t>
      </w:r>
      <w:r>
        <w:t xml:space="preserve">arrangements under Article 10(9) DGSD, to be reinforced as proposed in Annex 6,</w:t>
      </w:r>
      <w:r>
        <w:t xml:space="preserve"> </w:t>
      </w:r>
      <w:r>
        <w:t xml:space="preserve">extraordinary contributions may be seen as a reliable ultimate guarantee of</w:t>
      </w:r>
      <w:r>
        <w:t xml:space="preserve"> </w:t>
      </w:r>
      <w:r>
        <w:t xml:space="preserve">reimbursement, contributing to build trust among the participants in the hybrid EDIS.</w:t>
      </w:r>
      <w:r>
        <w:br/>
      </w:r>
      <w:r>
        <w:t xml:space="preserve">Governance</w:t>
      </w:r>
      <w:r>
        <w:t xml:space="preserve"> </w:t>
      </w:r>
      <w:r>
        <w:t xml:space="preserve">The discussions in the CWP on governance highlighted the importance of the alignment</w:t>
      </w:r>
      <w:r>
        <w:t xml:space="preserve"> </w:t>
      </w:r>
      <w:r>
        <w:t xml:space="preserve">of liability and control. There was a general support for the SRB as a central authority</w:t>
      </w:r>
      <w:r>
        <w:t xml:space="preserve"> </w:t>
      </w:r>
      <w:r>
        <w:t xml:space="preserve">administering EDIS. A number of members also acknowledged that, whilst dependent on</w:t>
      </w:r>
      <w:r>
        <w:t xml:space="preserve"> </w:t>
      </w:r>
      <w:r>
        <w:t xml:space="preserve">the design of EDIS, the governance arrangements should not be overly complex to ensure</w:t>
      </w:r>
      <w:r>
        <w:t xml:space="preserve"> </w:t>
      </w:r>
      <w:r>
        <w:t xml:space="preserve">effective decision-making. For several members, it would be important to envisage a role</w:t>
      </w:r>
      <w:r>
        <w:t xml:space="preserve"> </w:t>
      </w:r>
      <w:r>
        <w:t xml:space="preserve">for national DGSs in the decision-making process and allow access to the national</w:t>
      </w:r>
      <w:r>
        <w:t xml:space="preserve"> </w:t>
      </w:r>
      <w:r>
        <w:t xml:space="preserve">resources in the central fund (in the individual compartment) irrespective of the central</w:t>
      </w:r>
      <w:r>
        <w:t xml:space="preserve"> </w:t>
      </w:r>
      <w:r>
        <w:t xml:space="preserve">authority’s authorisation.</w:t>
      </w:r>
      <w:r>
        <w:br/>
      </w:r>
      <w:r>
        <w:t xml:space="preserve">The low- and high-ambition models would each involve either a more decentralised or</w:t>
      </w:r>
      <w:r>
        <w:t xml:space="preserve"> </w:t>
      </w:r>
      <w:r>
        <w:t xml:space="preserve">more centralised approach, subject to appropriate safeguards and in line with the</w:t>
      </w:r>
      <w:r>
        <w:t xml:space="preserve"> </w:t>
      </w:r>
      <w:r>
        <w:t xml:space="preserve">principle of subsidiarity. A possible alternative middle-way option involving an equal</w:t>
      </w:r>
      <w:r>
        <w:t xml:space="preserve"> </w:t>
      </w:r>
      <w:r>
        <w:t xml:space="preserve">split of resources at national and central level would require a more balanced approach</w:t>
      </w:r>
      <w:r>
        <w:t xml:space="preserve"> </w:t>
      </w:r>
      <w:r>
        <w:t xml:space="preserve">between the two options conducive to a system of shared governance. All options should</w:t>
      </w:r>
      <w:r>
        <w:t xml:space="preserve"> </w:t>
      </w:r>
      <w:r>
        <w:t xml:space="preserve">result in a balanced combination of a centralised, involving a participation by national</w:t>
      </w:r>
      <w:r>
        <w:t xml:space="preserve"> </w:t>
      </w:r>
      <w:r>
        <w:t xml:space="preserve">authorities and where appropriate, national DGSs, and a decentralised approach, where</w:t>
      </w:r>
      <w:r>
        <w:t xml:space="preserve"> </w:t>
      </w:r>
      <w:r>
        <w:t xml:space="preserve">national authorities take the lead under consultation mechanism involving the central</w:t>
      </w:r>
      <w:r>
        <w:t xml:space="preserve"> </w:t>
      </w:r>
      <w:r>
        <w:t xml:space="preserve">authority.</w:t>
      </w:r>
      <w:r>
        <w:br/>
      </w:r>
      <w:r>
        <w:t xml:space="preserve">Non-CRR entities and third country branches</w:t>
      </w:r>
      <w:r>
        <w:t xml:space="preserve"> </w:t>
      </w:r>
      <w:r>
        <w:t xml:space="preserve">In view of the importance of such non-CRR entities in a small number of banking</w:t>
      </w:r>
      <w:r>
        <w:t xml:space="preserve"> </w:t>
      </w:r>
      <w:r>
        <w:t xml:space="preserve">markets, the non-CRR entities could be covered by EDIS because the liquidity support</w:t>
      </w:r>
      <w:r>
        <w:t xml:space="preserve"> </w:t>
      </w:r>
      <w:r>
        <w:t xml:space="preserve">would be repaid in any case. Taking into account the feedback received, the best option</w:t>
      </w:r>
      <w:r>
        <w:t xml:space="preserve"> </w:t>
      </w:r>
      <w:r>
        <w:t xml:space="preserve">to address the concerns regarding their supervision would be to provide for a transitional</w:t>
      </w:r>
      <w:r>
        <w:t xml:space="preserve"> </w:t>
      </w:r>
      <w:r>
        <w:t xml:space="preserve">period during which the non-CRR entities could be repatriated under the CRD/CRR</w:t>
      </w:r>
      <w:r>
        <w:t xml:space="preserve"> </w:t>
      </w:r>
      <w:r>
        <w:t xml:space="preserve">framework’s provisions that have recently reinforced the embedded proportionality.</w:t>
      </w:r>
      <w:r>
        <w:t xml:space="preserve"> </w:t>
      </w:r>
      <w:r>
        <w:t xml:space="preserve">Depending on the developments around the common authorisation requirements in the</w:t>
      </w:r>
      <w:r>
        <w:t xml:space="preserve"> </w:t>
      </w:r>
      <w:r>
        <w:t xml:space="preserve">ongoing review of the CRD/CRR framework, the third country branches could be</w:t>
      </w:r>
      <w:r>
        <w:t xml:space="preserve"> </w:t>
      </w:r>
      <w:r>
        <w:t xml:space="preserve">included in the scope of EDIS. Alternatively, they should be protected by national funds</w:t>
      </w:r>
      <w:r>
        <w:t xml:space="preserve"> </w:t>
      </w:r>
      <w:r>
        <w:t xml:space="preserve">above the target level.</w:t>
      </w:r>
      <w:r>
        <w:t xml:space="preserve"> </w:t>
      </w:r>
      <w:r>
        <w:t xml:space="preserve">ONDs</w:t>
      </w:r>
      <w:r>
        <w:t xml:space="preserve"> </w:t>
      </w:r>
      <w:r>
        <w:t xml:space="preserve">The revised framework should provide incentives to finance as many ONDs as possible.</w:t>
      </w:r>
      <w:r>
        <w:t xml:space="preserve"> </w:t>
      </w:r>
      <w:r>
        <w:t xml:space="preserve">Moreover, given any liquidity support provided would be entirely repaid, it would be</w:t>
      </w:r>
      <w:r>
        <w:t xml:space="preserve"> </w:t>
      </w:r>
      <w:r>
        <w:t xml:space="preserve">sensible for the hybrid EDIS to finance at least the major ONDs. This would also be</w:t>
      </w:r>
      <w:r>
        <w:t xml:space="preserve"> </w:t>
      </w:r>
      <w:r>
        <w:t xml:space="preserve">beneficial in terms of administrative burden for the DGS that would otherwise have been</w:t>
      </w:r>
      <w:r>
        <w:t xml:space="preserve"> </w:t>
      </w:r>
      <w:r>
        <w:t xml:space="preserve">required to distinguish the OND-related claims, not eligible for EDIS coverage, from</w:t>
      </w:r>
    </w:p>
    <w:p>
      <w:pPr>
        <w:pStyle w:val="BodyText"/>
      </w:pPr>
      <w:r>
        <w:t xml:space="preserve">375</w:t>
      </w:r>
      <w:r>
        <w:t xml:space="preserve"> </w:t>
      </w:r>
      <w:r>
        <w:t xml:space="preserve">other depositor claims. Moreover, this would also be in line with the rationale and</w:t>
      </w:r>
      <w:r>
        <w:t xml:space="preserve"> </w:t>
      </w:r>
      <w:r>
        <w:t xml:space="preserve">analysis substantiating further harmonisation of several ONDs explained in the EBA</w:t>
      </w:r>
      <w:r>
        <w:t xml:space="preserve"> </w:t>
      </w:r>
      <w:r>
        <w:t xml:space="preserve">opinions and in Annex 6.</w:t>
      </w:r>
      <w:r>
        <w:br/>
      </w:r>
      <w:r>
        <w:t xml:space="preserve">During the last CWP discussion on the treatment of ONDs in the context of EDIS, the</w:t>
      </w:r>
      <w:r>
        <w:t xml:space="preserve"> </w:t>
      </w:r>
      <w:r>
        <w:t xml:space="preserve">feedback received supported a creation of as harmonised system as possible to preserve</w:t>
      </w:r>
      <w:r>
        <w:t xml:space="preserve"> </w:t>
      </w:r>
      <w:r>
        <w:t xml:space="preserve">level playing field. The majority of Member States considered that ONDs should be</w:t>
      </w:r>
      <w:r>
        <w:t xml:space="preserve"> </w:t>
      </w:r>
      <w:r>
        <w:t xml:space="preserve">harmonised, where possible, and covered at least to a certain degree by EDIS. Some</w:t>
      </w:r>
      <w:r>
        <w:t xml:space="preserve"> </w:t>
      </w:r>
      <w:r>
        <w:t xml:space="preserve">Member States nevertheless underlined the need for flexibility to preserve national</w:t>
      </w:r>
      <w:r>
        <w:t xml:space="preserve"> </w:t>
      </w:r>
      <w:r>
        <w:t xml:space="preserve">specificities. Others mentioned their preference to keep the ONDs in the current form and</w:t>
      </w:r>
      <w:r>
        <w:t xml:space="preserve"> </w:t>
      </w:r>
      <w:r>
        <w:t xml:space="preserve">cover them by national DGS only, possibly with funds above the target level. Others</w:t>
      </w:r>
      <w:r>
        <w:t xml:space="preserve"> </w:t>
      </w:r>
      <w:r>
        <w:t xml:space="preserve">were willing to consider eliminating some of the ONDs.</w:t>
      </w:r>
      <w:r>
        <w:br/>
      </w:r>
      <w:r>
        <w:t xml:space="preserve">The following table provides an overview of ONDs, based on the findings of the CEPS</w:t>
      </w:r>
      <w:r>
        <w:t xml:space="preserve"> </w:t>
      </w:r>
      <w:r>
        <w:t xml:space="preserve">study as concerns their estimated impact in terms of either covered deposits or available</w:t>
      </w:r>
      <w:r>
        <w:t xml:space="preserve"> </w:t>
      </w:r>
      <w:r>
        <w:t xml:space="preserve">financial means and the number of Member States in which each OND was transposed.</w:t>
      </w:r>
      <w:r>
        <w:t xml:space="preserve"> </w:t>
      </w:r>
      <w:r>
        <w:t xml:space="preserve">The ONDs were distinguished according to their impact which is either financial for the</w:t>
      </w:r>
      <w:r>
        <w:t xml:space="preserve"> </w:t>
      </w:r>
      <w:r>
        <w:t xml:space="preserve">DGS, with effects on depositor confidence, or other impact that would represent a higher</w:t>
      </w:r>
      <w:r>
        <w:t xml:space="preserve"> </w:t>
      </w:r>
      <w:r>
        <w:t xml:space="preserve">exposure for EDIS.</w:t>
      </w:r>
      <w:r>
        <w:br/>
      </w:r>
      <w:r>
        <w:t xml:space="preserve">Table 38: Other ONDs and the corresponding provision under the DGSD (*590)</w:t>
      </w:r>
    </w:p>
    <w:p>
      <w:pPr>
        <w:pStyle w:val="BodyText"/>
      </w:pPr>
      <w:r>
        <w:t xml:space="preserve">Proposed for</w:t>
      </w:r>
      <w:r>
        <w:t xml:space="preserve"> </w:t>
      </w:r>
      <w:r>
        <w:t xml:space="preserve">further</w:t>
      </w:r>
      <w:r>
        <w:t xml:space="preserve"> </w:t>
      </w:r>
      <w:r>
        <w:t xml:space="preserve">harmonisation</w:t>
      </w:r>
      <w:r>
        <w:t xml:space="preserve"> </w:t>
      </w:r>
      <w:r>
        <w:t xml:space="preserve">Covered by EDIS</w:t>
      </w:r>
      <w:r>
        <w:t xml:space="preserve"> </w:t>
      </w:r>
      <w:r>
        <w:t xml:space="preserve">Impact*</w:t>
      </w:r>
      <w:r>
        <w:t xml:space="preserve"> </w:t>
      </w:r>
      <w:r>
        <w:t xml:space="preserve">Rele-</w:t>
      </w:r>
      <w:r>
        <w:t xml:space="preserve"> </w:t>
      </w:r>
      <w:r>
        <w:t xml:space="preserve">vance*</w:t>
      </w:r>
      <w:r>
        <w:t xml:space="preserve"> </w:t>
      </w:r>
      <w:r>
        <w:t xml:space="preserve">1. ONDs THAT MAY HAVE AN UPWARD FINANCIAL IMPACT ON EDIS (I.E. THEY IMPACT THE</w:t>
      </w:r>
      <w:r>
        <w:t xml:space="preserve"> </w:t>
      </w:r>
      <w:r>
        <w:t xml:space="preserve">AMOUNT, AND THUS THE RISK PROFILE OF NATIONAL DGS/EDIS) AND POSSIBLE IMPACT ON</w:t>
      </w:r>
      <w:r>
        <w:t xml:space="preserve"> </w:t>
      </w:r>
      <w:r>
        <w:t xml:space="preserve">DEPOSITOR CONFIDENCE AND/OR THE LEVEL PLAYING FIELD</w:t>
      </w:r>
      <w:r>
        <w:t xml:space="preserve"> </w:t>
      </w:r>
      <w:r>
        <w:t xml:space="preserve">Coverage level and payout procedure</w:t>
      </w:r>
      <w:r>
        <w:t xml:space="preserve"> </w:t>
      </w:r>
      <w:r>
        <w:t xml:space="preserve">1.</w:t>
      </w:r>
      <w:r>
        <w:t xml:space="preserve"> </w:t>
      </w:r>
      <w:r>
        <w:t xml:space="preserve">Coverage of Pension Schemes (Article 5(2)a)</w:t>
      </w:r>
      <w:r>
        <w:br/>
      </w:r>
      <w:r>
        <w:t xml:space="preserve">No</w:t>
      </w:r>
      <w:r>
        <w:br/>
      </w:r>
      <w:r>
        <w:t xml:space="preserve">No</w:t>
      </w:r>
      <w:r>
        <w:br/>
      </w:r>
      <w:r>
        <w:t xml:space="preserve">Up to 1.4%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54"/>
        </w:numPr>
      </w:pPr>
      <w:r>
        <w:t xml:space="preserve">Deposits held by small local authorities</w:t>
      </w:r>
      <w:r>
        <w:t xml:space="preserve"> </w:t>
      </w:r>
      <w:r>
        <w:t xml:space="preserve">(Article 5(2)b)</w:t>
      </w:r>
      <w:r>
        <w:t xml:space="preserve"> </w:t>
      </w:r>
      <w:r>
        <w:t xml:space="preserve">Yes (to be</w:t>
      </w:r>
      <w:r>
        <w:t xml:space="preserve"> </w:t>
      </w:r>
      <w:r>
        <w:t xml:space="preserve">removed)**</w:t>
      </w:r>
      <w:r>
        <w:t xml:space="preserve"> </w:t>
      </w:r>
      <w:r>
        <w:t xml:space="preserve">It is proposed to</w:t>
      </w:r>
      <w:r>
        <w:t xml:space="preserve"> </w:t>
      </w:r>
      <w:r>
        <w:t xml:space="preserve">cover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Up to 0.1%</w:t>
      </w:r>
    </w:p>
    <w:p>
      <w:pPr>
        <w:pStyle w:val="FirstParagraph"/>
      </w:pPr>
      <w:r>
        <w:t xml:space="preserve">6</w:t>
      </w:r>
      <w:r>
        <w:br/>
      </w:r>
      <w:r>
        <w:t xml:space="preserve">3.</w:t>
      </w:r>
      <w:r>
        <w:t xml:space="preserve"> </w:t>
      </w:r>
      <w:r>
        <w:t xml:space="preserve">Temporary high balances relating to certain</w:t>
      </w:r>
      <w:r>
        <w:t xml:space="preserve"> </w:t>
      </w:r>
      <w:r>
        <w:t xml:space="preserve">transactions (Article 6(2))</w:t>
      </w:r>
    </w:p>
    <w:p>
      <w:pPr>
        <w:pStyle w:val="BodyText"/>
      </w:pPr>
      <w:r>
        <w:t xml:space="preserve">Yes**</w:t>
      </w:r>
      <w:r>
        <w:t xml:space="preserve"> </w:t>
      </w:r>
      <w:r>
        <w:t xml:space="preserve">Yes</w:t>
      </w:r>
      <w:r>
        <w:br/>
      </w:r>
      <w:r>
        <w:t xml:space="preserve">Up to 10%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4.</w:t>
      </w:r>
      <w:r>
        <w:t xml:space="preserve"> </w:t>
      </w:r>
      <w:r>
        <w:t xml:space="preserve">Old-age provision products and pensions</w:t>
      </w:r>
      <w:r>
        <w:t xml:space="preserve"> </w:t>
      </w:r>
      <w:r>
        <w:t xml:space="preserve">(Article 6(3))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Up to 22%</w:t>
      </w:r>
    </w:p>
    <w:p>
      <w:pPr>
        <w:pStyle w:val="BodyText"/>
      </w:pPr>
      <w:r>
        <w:t xml:space="preserve">2</w:t>
      </w:r>
      <w:r>
        <w:br/>
      </w:r>
      <w:r>
        <w:t xml:space="preserve">Contributions and available financial means</w:t>
      </w:r>
      <w:r>
        <w:br/>
      </w:r>
      <w:r>
        <w:t xml:space="preserve">5.</w:t>
      </w:r>
      <w:r>
        <w:t xml:space="preserve"> </w:t>
      </w:r>
      <w:r>
        <w:t xml:space="preserve">Payment commitments</w:t>
      </w:r>
      <w:r>
        <w:br/>
      </w:r>
      <w:r>
        <w:t xml:space="preserve">Yes**</w:t>
      </w:r>
      <w:r>
        <w:t xml:space="preserve"> </w:t>
      </w:r>
      <w:r>
        <w:t xml:space="preserve">Yes</w:t>
      </w:r>
      <w:r>
        <w:br/>
      </w:r>
      <w:r>
        <w:t xml:space="preserve">Up to 63%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6.</w:t>
      </w:r>
      <w:r>
        <w:t xml:space="preserve"> </w:t>
      </w:r>
      <w:r>
        <w:t xml:space="preserve">Participations by branches from outside the EU</w:t>
      </w:r>
      <w:r>
        <w:t xml:space="preserve"> </w:t>
      </w:r>
      <w:r>
        <w:t xml:space="preserve">(Article 15(1) 2nd subpara)</w:t>
      </w:r>
      <w:r>
        <w:t xml:space="preserve"> </w:t>
      </w:r>
      <w:r>
        <w:t xml:space="preserve">Yes**</w:t>
      </w:r>
      <w:r>
        <w:br/>
      </w:r>
      <w:r>
        <w:t xml:space="preserve">Yes</w:t>
      </w:r>
      <w:r>
        <w:br/>
      </w:r>
      <w:r>
        <w:t xml:space="preserve">n/a</w:t>
      </w:r>
      <w:r>
        <w:t xml:space="preserve"> </w:t>
      </w:r>
      <w:r>
        <w:t xml:space="preserve">27</w:t>
      </w:r>
      <w:r>
        <w:t xml:space="preserve"> </w:t>
      </w:r>
      <w:r>
        <w:t xml:space="preserve">7.</w:t>
      </w:r>
      <w:r>
        <w:t xml:space="preserve"> </w:t>
      </w:r>
      <w:r>
        <w:t xml:space="preserve">Lower contributions for members of IPSs</w:t>
      </w:r>
      <w:r>
        <w:t xml:space="preserve"> </w:t>
      </w:r>
      <w:r>
        <w:t xml:space="preserve">(Article 13(1) 3rd subpara)</w:t>
      </w:r>
    </w:p>
    <w:p>
      <w:pPr>
        <w:pStyle w:val="BodyText"/>
      </w:pPr>
      <w:r>
        <w:t xml:space="preserve">Yes</w:t>
      </w:r>
      <w:r>
        <w:br/>
      </w:r>
      <w:r>
        <w:t xml:space="preserve">Yes</w:t>
      </w:r>
      <w:r>
        <w:br/>
      </w:r>
      <w:r>
        <w:t xml:space="preserve">(to be</w:t>
      </w:r>
      <w:r>
        <w:t xml:space="preserve"> </w:t>
      </w:r>
      <w:r>
        <w:t xml:space="preserve">addressed in</w:t>
      </w:r>
      <w:r>
        <w:t xml:space="preserve"> </w:t>
      </w:r>
      <w:r>
        <w:t xml:space="preserve">risk-based</w:t>
      </w:r>
      <w:r>
        <w:t xml:space="preserve"> </w:t>
      </w:r>
      <w:r>
        <w:t xml:space="preserve">contributions)</w:t>
      </w:r>
      <w:r>
        <w:br/>
      </w:r>
      <w:r>
        <w:t xml:space="preserve">5</w:t>
      </w:r>
      <w:r>
        <w:br/>
      </w:r>
      <w:r>
        <w:t xml:space="preserve">8.</w:t>
      </w:r>
      <w:r>
        <w:t xml:space="preserve"> </w:t>
      </w:r>
      <w:r>
        <w:t xml:space="preserve">Lower contributions for low-risk sectors</w:t>
      </w:r>
      <w:r>
        <w:t xml:space="preserve"> </w:t>
      </w:r>
      <w:r>
        <w:t xml:space="preserve">(Article 13(1) 2nd subpara)</w:t>
      </w:r>
      <w:r>
        <w:t xml:space="preserve"> </w:t>
      </w:r>
      <w:r>
        <w:t xml:space="preserve">Yes (to be</w:t>
      </w:r>
      <w:r>
        <w:t xml:space="preserve"> </w:t>
      </w:r>
      <w:r>
        <w:t xml:space="preserve">removed)</w:t>
      </w:r>
      <w:r>
        <w:t xml:space="preserve"> </w:t>
      </w:r>
      <w:r>
        <w:t xml:space="preserve">No</w:t>
      </w:r>
      <w:r>
        <w:br/>
      </w:r>
      <w:r>
        <w:t xml:space="preserve">not used in</w:t>
      </w:r>
      <w:r>
        <w:t xml:space="preserve"> </w:t>
      </w:r>
      <w:r>
        <w:t xml:space="preserve">practice</w:t>
      </w:r>
      <w:r>
        <w:br/>
      </w:r>
      <w:r>
        <w:t xml:space="preserve">4</w:t>
      </w:r>
      <w:r>
        <w:br/>
      </w:r>
      <w:r>
        <w:t xml:space="preserve">2. ONDs THAT MAY HAVE AN IMPACT ON THE DEPOSITOR CONFIDENCE AND/OR THE LEVEL</w:t>
      </w:r>
      <w:r>
        <w:t xml:space="preserve"> </w:t>
      </w:r>
      <w:r>
        <w:t xml:space="preserve">PLAYING FIELD BUT NO UPWARD FINANCIAL IMPACT ON EDIS</w:t>
      </w:r>
    </w:p>
    <w:p>
      <w:pPr>
        <w:pStyle w:val="BodyText"/>
      </w:pPr>
      <w:r>
        <w:t xml:space="preserve">590 The impact of each OND is measured either in terms of covered deposits or, in the case of payment</w:t>
      </w:r>
      <w:r>
        <w:t xml:space="preserve"> </w:t>
      </w:r>
      <w:r>
        <w:t xml:space="preserve">commitments, in terms of available financial means. The relevance sets out the number of Member States</w:t>
      </w:r>
      <w:r>
        <w:t xml:space="preserve"> </w:t>
      </w:r>
      <w:r>
        <w:t xml:space="preserve">that transposed the respective ONDs.</w:t>
      </w:r>
    </w:p>
    <w:p>
      <w:pPr>
        <w:pStyle w:val="BodyText"/>
      </w:pPr>
      <w:r>
        <w:t xml:space="preserve">376</w:t>
      </w:r>
      <w:r>
        <w:t xml:space="preserve"> </w:t>
      </w:r>
      <w:r>
        <w:t xml:space="preserve">Coverage level and payout procedure</w:t>
      </w:r>
      <w:r>
        <w:t xml:space="preserve"> </w:t>
      </w:r>
      <w:r>
        <w:t xml:space="preserve">9.</w:t>
      </w:r>
      <w:r>
        <w:t xml:space="preserve"> </w:t>
      </w:r>
      <w:r>
        <w:t xml:space="preserve">Treated as single depositor (Article 7(2))</w:t>
      </w:r>
      <w:r>
        <w:t xml:space="preserve"> </w:t>
      </w:r>
      <w:r>
        <w:t xml:space="preserve">No</w:t>
      </w:r>
      <w:r>
        <w:br/>
      </w:r>
      <w:r>
        <w:t xml:space="preserve">Yes</w:t>
      </w:r>
      <w:r>
        <w:br/>
      </w:r>
      <w:r>
        <w:t xml:space="preserve">Up to 9%</w:t>
      </w:r>
    </w:p>
    <w:p>
      <w:pPr>
        <w:pStyle w:val="BodyText"/>
      </w:pPr>
      <w:r>
        <w:t xml:space="preserve">13</w:t>
      </w:r>
      <w:r>
        <w:br/>
      </w:r>
      <w:r>
        <w:t xml:space="preserve">10. Set-off of depositor liabilities (Article 7(5))</w:t>
      </w:r>
      <w:r>
        <w:t xml:space="preserve"> </w:t>
      </w:r>
      <w:r>
        <w:t xml:space="preserve">Yes (to be</w:t>
      </w:r>
      <w:r>
        <w:t xml:space="preserve"> </w:t>
      </w:r>
      <w:r>
        <w:t xml:space="preserve">removed)**</w:t>
      </w:r>
      <w:r>
        <w:t xml:space="preserve"> </w:t>
      </w:r>
      <w:r>
        <w:t xml:space="preserve">No</w:t>
      </w:r>
      <w:r>
        <w:t xml:space="preserve"> </w:t>
      </w:r>
      <w:r>
        <w:t xml:space="preserve">Up to 5.9%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11. Longer repayment period for certain deposits</w:t>
      </w:r>
      <w:r>
        <w:t xml:space="preserve"> </w:t>
      </w:r>
      <w:r>
        <w:t xml:space="preserve">(Article 8(3))</w:t>
      </w:r>
      <w:r>
        <w:t xml:space="preserve"> </w:t>
      </w:r>
      <w:r>
        <w:t xml:space="preserve">Yes**</w:t>
      </w:r>
      <w:r>
        <w:t xml:space="preserve"> </w:t>
      </w:r>
      <w:r>
        <w:t xml:space="preserve">No impact</w:t>
      </w:r>
      <w:r>
        <w:t xml:space="preserve"> </w:t>
      </w:r>
      <w:r>
        <w:t xml:space="preserve">Up to 2%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12. Deadline on validity of repayment claims</w:t>
      </w:r>
      <w:r>
        <w:t xml:space="preserve"> </w:t>
      </w:r>
      <w:r>
        <w:t xml:space="preserve">(Article 9(3))</w:t>
      </w:r>
      <w:r>
        <w:t xml:space="preserve"> </w:t>
      </w:r>
      <w:r>
        <w:t xml:space="preserve">Yes**</w:t>
      </w:r>
      <w:r>
        <w:br/>
      </w:r>
      <w:r>
        <w:t xml:space="preserve">No impact</w:t>
      </w:r>
      <w:r>
        <w:t xml:space="preserve"> </w:t>
      </w:r>
      <w:r>
        <w:t xml:space="preserve">Up to 0.2%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Contributions</w:t>
      </w:r>
      <w:r>
        <w:t xml:space="preserve"> </w:t>
      </w:r>
      <w:r>
        <w:t xml:space="preserve">13. Minimum contribution (Article 13(1) 5th</w:t>
      </w:r>
      <w:r>
        <w:t xml:space="preserve"> </w:t>
      </w:r>
      <w:r>
        <w:t xml:space="preserve">subpara DGSD)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br/>
      </w:r>
      <w:r>
        <w:t xml:space="preserve">(to be</w:t>
      </w:r>
      <w:r>
        <w:t xml:space="preserve"> </w:t>
      </w:r>
      <w:r>
        <w:t xml:space="preserve">addressed in</w:t>
      </w:r>
      <w:r>
        <w:t xml:space="preserve"> </w:t>
      </w:r>
      <w:r>
        <w:t xml:space="preserve">risk-based</w:t>
      </w:r>
      <w:r>
        <w:t xml:space="preserve"> </w:t>
      </w:r>
      <w:r>
        <w:t xml:space="preserve">contributions)</w:t>
      </w:r>
      <w:r>
        <w:br/>
      </w:r>
      <w:r>
        <w:t xml:space="preserve">8</w:t>
      </w:r>
      <w:r>
        <w:t xml:space="preserve"> </w:t>
      </w:r>
      <w:r>
        <w:t xml:space="preserve">3. ONDs THAT DO NOT HAVE ANY IMPACT ON EDIS</w:t>
      </w:r>
      <w:r>
        <w:t xml:space="preserve"> </w:t>
      </w:r>
      <w:r>
        <w:t xml:space="preserve">Coverage level and payout procedure</w:t>
      </w:r>
      <w:r>
        <w:br/>
      </w:r>
      <w:r>
        <w:t xml:space="preserve">14. Exclusion of deposits to pay off a loan on</w:t>
      </w:r>
      <w:r>
        <w:t xml:space="preserve"> </w:t>
      </w:r>
      <w:r>
        <w:t xml:space="preserve">private immovable property (Article 5(3))</w:t>
      </w:r>
      <w:r>
        <w:t xml:space="preserve"> </w:t>
      </w:r>
      <w:r>
        <w:t xml:space="preserve">No</w:t>
      </w:r>
      <w:r>
        <w:br/>
      </w:r>
      <w:r>
        <w:t xml:space="preserve">No</w:t>
      </w:r>
      <w:r>
        <w:br/>
      </w:r>
      <w:r>
        <w:t xml:space="preserve">Up to 22%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15. Exclusion of deposits fulfilling a social</w:t>
      </w:r>
      <w:r>
        <w:t xml:space="preserve"> </w:t>
      </w:r>
      <w:r>
        <w:t xml:space="preserve">purpose (Article 7(8))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br/>
      </w:r>
      <w:r>
        <w:t xml:space="preserve">Up to 25%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Contributions and available financial means</w:t>
      </w:r>
      <w:r>
        <w:br/>
      </w:r>
      <w:r>
        <w:t xml:space="preserve">16. Contribution to existing mandatory schemes</w:t>
      </w:r>
      <w:r>
        <w:t xml:space="preserve"> </w:t>
      </w:r>
      <w:r>
        <w:t xml:space="preserve">(Article 10(4))</w:t>
      </w:r>
    </w:p>
    <w:p>
      <w:pPr>
        <w:pStyle w:val="BodyText"/>
      </w:pPr>
      <w:r>
        <w:t xml:space="preserve">Yes (to be</w:t>
      </w:r>
      <w:r>
        <w:t xml:space="preserve"> </w:t>
      </w:r>
      <w:r>
        <w:t xml:space="preserve">removed)</w:t>
      </w:r>
      <w:r>
        <w:t xml:space="preserve"> </w:t>
      </w:r>
      <w:r>
        <w:t xml:space="preserve">No</w:t>
      </w:r>
      <w:r>
        <w:br/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17. Voluntary lending between DGSs (Article</w:t>
      </w:r>
      <w:r>
        <w:t xml:space="preserve"> </w:t>
      </w:r>
      <w:r>
        <w:t xml:space="preserve">12(1))</w:t>
      </w:r>
      <w:r>
        <w:t xml:space="preserve"> </w:t>
      </w:r>
      <w:r>
        <w:t xml:space="preserve">No</w:t>
      </w:r>
      <w:r>
        <w:br/>
      </w:r>
      <w:r>
        <w:t xml:space="preserve">No</w:t>
      </w:r>
      <w:r>
        <w:br/>
      </w:r>
      <w:r>
        <w:t xml:space="preserve">n/a</w:t>
      </w:r>
      <w:r>
        <w:t xml:space="preserve"> </w:t>
      </w:r>
      <w:r>
        <w:t xml:space="preserve">14</w:t>
      </w:r>
      <w:r>
        <w:t xml:space="preserve"> </w:t>
      </w:r>
      <w:r>
        <w:t xml:space="preserve">18. Use of a uniform risk-weight affiliates of</w:t>
      </w:r>
      <w:r>
        <w:t xml:space="preserve"> </w:t>
      </w:r>
      <w:r>
        <w:t xml:space="preserve">central bodies (Article 13(1) 4th subpara)</w:t>
      </w:r>
      <w:r>
        <w:t xml:space="preserve"> </w:t>
      </w:r>
      <w:r>
        <w:t xml:space="preserve">No</w:t>
      </w:r>
      <w:r>
        <w:br/>
      </w:r>
      <w:r>
        <w:t xml:space="preserve">No impact591</w:t>
      </w:r>
      <w:r>
        <w:br/>
      </w:r>
      <w:r>
        <w:t xml:space="preserve">n/a</w:t>
      </w:r>
      <w:r>
        <w:br/>
      </w:r>
      <w:r>
        <w:t xml:space="preserve">6</w:t>
      </w:r>
      <w:r>
        <w:t xml:space="preserve"> </w:t>
      </w:r>
      <w:r>
        <w:t xml:space="preserve">** See Annex 6</w:t>
      </w:r>
      <w:r>
        <w:t xml:space="preserve"> </w:t>
      </w:r>
      <w:r>
        <w:t xml:space="preserve">The above table indicates the ONDs for which further harmonisation would be proposed,</w:t>
      </w:r>
      <w:r>
        <w:t xml:space="preserve"> </w:t>
      </w:r>
      <w:r>
        <w:t xml:space="preserve">as set out in Annex 6, so that they can be covered by the DIF (at least to a certain extent).</w:t>
      </w:r>
      <w:r>
        <w:t xml:space="preserve"> </w:t>
      </w:r>
      <w:r>
        <w:t xml:space="preserve">For example, the temporary high balances are one of the options that could have an</w:t>
      </w:r>
      <w:r>
        <w:t xml:space="preserve"> </w:t>
      </w:r>
      <w:r>
        <w:t xml:space="preserve">upward financial impact on EDIS, although they appear to be rare. In line with EBA’s</w:t>
      </w:r>
      <w:r>
        <w:t xml:space="preserve"> </w:t>
      </w:r>
      <w:r>
        <w:t xml:space="preserve">recommendations, the option would be harmonised by setting a minimum harmonised</w:t>
      </w:r>
      <w:r>
        <w:t xml:space="preserve"> </w:t>
      </w:r>
      <w:r>
        <w:t xml:space="preserve">threshold. Consequently, while some Member States would be required to increase the</w:t>
      </w:r>
      <w:r>
        <w:t xml:space="preserve"> </w:t>
      </w:r>
      <w:r>
        <w:t xml:space="preserve">current threshold, others that already have a higher threshold would be entitled to retain</w:t>
      </w:r>
      <w:r>
        <w:t xml:space="preserve"> </w:t>
      </w:r>
      <w:r>
        <w:t xml:space="preserve">it. While the latter would benefit from a guaranteed coverage by EDIS of up to</w:t>
      </w:r>
      <w:r>
        <w:t xml:space="preserve"> </w:t>
      </w:r>
      <w:r>
        <w:t xml:space="preserve">EUR 500 000, they would be required to cover any amount in excess of the minimum</w:t>
      </w:r>
      <w:r>
        <w:t xml:space="preserve"> </w:t>
      </w:r>
      <w:r>
        <w:t xml:space="preserve">harmonised threshold from the funds above the target level. Under a high-ambition</w:t>
      </w:r>
      <w:r>
        <w:t xml:space="preserve"> </w:t>
      </w:r>
      <w:r>
        <w:t xml:space="preserve">model envisaging a lower target level than the current 0.8%, this approach would be cost-</w:t>
      </w:r>
      <w:r>
        <w:t xml:space="preserve"> </w:t>
      </w:r>
      <w:r>
        <w:t xml:space="preserve">neutral. The same would apply to the alternative middle-way option. Under a low-</w:t>
      </w:r>
      <w:r>
        <w:t xml:space="preserve"> </w:t>
      </w:r>
      <w:r>
        <w:t xml:space="preserve">ambition model, the limited risk that a DGS would cover a portion of such temporary</w:t>
      </w:r>
      <w:r>
        <w:t xml:space="preserve"> </w:t>
      </w:r>
      <w:r>
        <w:t xml:space="preserve">high balances from national funds above the target level would mitigate the impact on</w:t>
      </w:r>
      <w:r>
        <w:t xml:space="preserve"> </w:t>
      </w:r>
      <w:r>
        <w:t xml:space="preserve">cost neutrality because the increased coverage level should cover the majority of</w:t>
      </w:r>
      <w:r>
        <w:t xml:space="preserve"> </w:t>
      </w:r>
      <w:r>
        <w:t xml:space="preserve">estimated temporary high balances.</w:t>
      </w:r>
      <w:r>
        <w:br/>
      </w:r>
      <w:r>
        <w:t xml:space="preserve">Conversely, ONDs, for which no harmonisation is proposed, would not be eligible for</w:t>
      </w:r>
      <w:r>
        <w:t xml:space="preserve"> </w:t>
      </w:r>
      <w:r>
        <w:t xml:space="preserve">liquidity support from EDIS and would remain covered by national funds above the</w:t>
      </w:r>
      <w:r>
        <w:t xml:space="preserve"> </w:t>
      </w:r>
      <w:r>
        <w:t xml:space="preserve">target level (still cost neutral as the result of the reduced target level under a high-</w:t>
      </w:r>
      <w:r>
        <w:t xml:space="preserve"> </w:t>
      </w:r>
      <w:r>
        <w:t xml:space="preserve">ambition model and a possible middle-way option). This approach appears as the most</w:t>
      </w:r>
    </w:p>
    <w:p>
      <w:pPr>
        <w:pStyle w:val="BodyText"/>
      </w:pPr>
      <w:r>
        <w:t xml:space="preserve">591 The amount of contributions would be re-distributed among the different entities within the same</w:t>
      </w:r>
      <w:r>
        <w:t xml:space="preserve"> </w:t>
      </w:r>
      <w:r>
        <w:t xml:space="preserve">group, without affecting the total amount of contributions to be paid to EDIS.</w:t>
      </w:r>
    </w:p>
    <w:p>
      <w:pPr>
        <w:pStyle w:val="BodyText"/>
      </w:pPr>
      <w:r>
        <w:t xml:space="preserve">377</w:t>
      </w:r>
      <w:r>
        <w:t xml:space="preserve"> </w:t>
      </w:r>
      <w:r>
        <w:t xml:space="preserve">suitable because these ONDs are applicable in very few Member States (some outside the</w:t>
      </w:r>
      <w:r>
        <w:t xml:space="preserve"> </w:t>
      </w:r>
      <w:r>
        <w:t xml:space="preserve">Banking Union). Other ONDs would not have impact in terms of coverage by EDIS and</w:t>
      </w:r>
      <w:r>
        <w:t xml:space="preserve"> </w:t>
      </w:r>
      <w:r>
        <w:t xml:space="preserve">could be retained in the current form or subject to more harmonisation when reflected in</w:t>
      </w:r>
      <w:r>
        <w:t xml:space="preserve"> </w:t>
      </w:r>
      <w:r>
        <w:t xml:space="preserve">the risk-based contributions592.</w:t>
      </w:r>
      <w:r>
        <w:t xml:space="preserve"> </w:t>
      </w:r>
      <w:r>
        <w:t xml:space="preserve">2.3.3. Implications of the scope on the uses of DGS and hybrid EDIS funds</w:t>
      </w:r>
      <w:r>
        <w:t xml:space="preserve"> </w:t>
      </w:r>
      <w:r>
        <w:t xml:space="preserve">The financing of resolution measures could have positive implications for the resources</w:t>
      </w:r>
      <w:r>
        <w:t xml:space="preserve"> </w:t>
      </w:r>
      <w:r>
        <w:t xml:space="preserve">available in the DGS and in the hybrid EDIS. As explained above in the case of ONDs</w:t>
      </w:r>
      <w:r>
        <w:t xml:space="preserve"> </w:t>
      </w:r>
      <w:r>
        <w:t xml:space="preserve">and compared to the status quo, there could be elements under the revised rules that</w:t>
      </w:r>
      <w:r>
        <w:t xml:space="preserve"> </w:t>
      </w:r>
      <w:r>
        <w:t xml:space="preserve">could create upward or downward pressure on amount of funds used by the network of</w:t>
      </w:r>
      <w:r>
        <w:t xml:space="preserve"> </w:t>
      </w:r>
      <w:r>
        <w:t xml:space="preserve">DGSs and the hybrid EDIS. Nevertheless, the net impact is impossible to assess</w:t>
      </w:r>
      <w:r>
        <w:t xml:space="preserve"> </w:t>
      </w:r>
      <w:r>
        <w:t xml:space="preserve">accurately, given a number of variables.</w:t>
      </w:r>
      <w:r>
        <w:t xml:space="preserve"> </w:t>
      </w:r>
      <w:r>
        <w:t xml:space="preserve">On the one hand, whilst not altering the depositor protection up to EUR 100 000, the</w:t>
      </w:r>
      <w:r>
        <w:t xml:space="preserve"> </w:t>
      </w:r>
      <w:r>
        <w:t xml:space="preserve">change to the creditor hierarchy would significantly affect the outcomes of the least cost</w:t>
      </w:r>
      <w:r>
        <w:t xml:space="preserve"> </w:t>
      </w:r>
      <w:r>
        <w:t xml:space="preserve">test, increasing the frequency of DGS uses due to higher financial cap for any DGS</w:t>
      </w:r>
      <w:r>
        <w:t xml:space="preserve"> </w:t>
      </w:r>
      <w:r>
        <w:t xml:space="preserve">intervention. In the calculation of the revised least cost test, the likelihood of DGS’</w:t>
      </w:r>
      <w:r>
        <w:t xml:space="preserve"> </w:t>
      </w:r>
      <w:r>
        <w:t xml:space="preserve">ultimate losses in case of payout would be higher compared to the current preferential</w:t>
      </w:r>
      <w:r>
        <w:t xml:space="preserve"> </w:t>
      </w:r>
      <w:r>
        <w:t xml:space="preserve">ranking of covered depositors.593</w:t>
      </w:r>
      <w:r>
        <w:t xml:space="preserve"> </w:t>
      </w:r>
      <w:r>
        <w:t xml:space="preserve">On the other hand, facilitating the use of other measures like transfer strategies, whether</w:t>
      </w:r>
      <w:r>
        <w:t xml:space="preserve"> </w:t>
      </w:r>
      <w:r>
        <w:t xml:space="preserve">in resolution594 or in insolvency, would be more efficient. It would lower the costs for the</w:t>
      </w:r>
      <w:r>
        <w:t xml:space="preserve"> </w:t>
      </w:r>
      <w:r>
        <w:t xml:space="preserve">DGS and hybrid EDIS and better preserve its funding capacities. It would also release the</w:t>
      </w:r>
      <w:r>
        <w:t xml:space="preserve"> </w:t>
      </w:r>
      <w:r>
        <w:t xml:space="preserve">pressure on emergency of replenishment and reduce pro-cyclicality. Moreover, this</w:t>
      </w:r>
      <w:r>
        <w:t xml:space="preserve"> </w:t>
      </w:r>
      <w:r>
        <w:t xml:space="preserve">positive effect would be reinforced by the pooling of resources, also incrementally</w:t>
      </w:r>
      <w:r>
        <w:t xml:space="preserve"> </w:t>
      </w:r>
      <w:r>
        <w:t xml:space="preserve">increasing the effectiveness and efficiency of the hybrid EDIS compared to the status</w:t>
      </w:r>
      <w:r>
        <w:t xml:space="preserve"> </w:t>
      </w:r>
      <w:r>
        <w:t xml:space="preserve">quo. The rationale of the advantages of DGS interventions alternative to depositor</w:t>
      </w:r>
      <w:r>
        <w:t xml:space="preserve"> </w:t>
      </w:r>
      <w:r>
        <w:t xml:space="preserve">payouts is explained in Error! Reference source not found.</w:t>
      </w:r>
      <w:r>
        <w:t xml:space="preserve"> </w:t>
      </w:r>
      <w:r>
        <w:t xml:space="preserve">Box 22: Rationale for the broad scope of interventions by DGS and EDIS</w:t>
      </w:r>
    </w:p>
    <w:p>
      <w:pPr>
        <w:pStyle w:val="BodyText"/>
      </w:pPr>
      <w:r>
        <w:t xml:space="preserve">Considerations concerning the cost of payout versus cost of other DGS interventions</w:t>
      </w:r>
    </w:p>
    <w:p>
      <w:pPr>
        <w:pStyle w:val="BodyText"/>
      </w:pPr>
      <w:r>
        <w:t xml:space="preserve">The cost of DGS interventions includes two dimensions: i) the immediate disbursement</w:t>
      </w:r>
      <w:r>
        <w:t xml:space="preserve"> </w:t>
      </w:r>
      <w:r>
        <w:t xml:space="preserve">need and ii) the potential ultimate loss.</w:t>
      </w:r>
    </w:p>
    <w:p>
      <w:pPr>
        <w:pStyle w:val="BodyText"/>
      </w:pPr>
      <w:r>
        <w:t xml:space="preserve">In terms of immediate disbursement need, payout is very expensive, as the DGS has to</w:t>
      </w:r>
      <w:r>
        <w:t xml:space="preserve"> </w:t>
      </w:r>
      <w:r>
        <w:t xml:space="preserve">immediately pay the whole amount of covered deposits to depositors and wait for</w:t>
      </w:r>
      <w:r>
        <w:t xml:space="preserve"> </w:t>
      </w:r>
      <w:r>
        <w:t xml:space="preserve">recovery of its disbursement during lengthy insolvency proceedings.595 Consequently, a</w:t>
      </w:r>
      <w:r>
        <w:t xml:space="preserve"> </w:t>
      </w:r>
      <w:r>
        <w:t xml:space="preserve">payout could deplete the financial means of the DGS for years, or lead to replenishments</w:t>
      </w:r>
      <w:r>
        <w:t xml:space="preserve"> </w:t>
      </w:r>
      <w:r>
        <w:t xml:space="preserve">contributions by banks potentially putting a strong financial pressure on the banking</w:t>
      </w:r>
      <w:r>
        <w:t xml:space="preserve"> </w:t>
      </w:r>
      <w:r>
        <w:t xml:space="preserve">sector.</w:t>
      </w:r>
    </w:p>
    <w:p>
      <w:pPr>
        <w:pStyle w:val="BodyText"/>
      </w:pPr>
      <w:r>
        <w:t xml:space="preserve">592 This is the case of OND 9 and 15. See also section Error! Reference source not found..</w:t>
      </w:r>
      <w:r>
        <w:t xml:space="preserve"> </w:t>
      </w:r>
      <w:r>
        <w:t xml:space="preserve">593 The change in the creditor hierarchy would increase the likelihood of DGS losses in case of failure.</w:t>
      </w:r>
      <w:r>
        <w:t xml:space="preserve"> </w:t>
      </w:r>
      <w:r>
        <w:t xml:space="preserve">594 Mostly in resolution due to the proposed changes to the PIA.</w:t>
      </w:r>
      <w:r>
        <w:t xml:space="preserve"> </w:t>
      </w:r>
      <w:r>
        <w:t xml:space="preserve">595 See the EBA opinion on DGS funds, p. 23-24. Some Member States reported on payouts cases prior to</w:t>
      </w:r>
      <w:r>
        <w:t xml:space="preserve"> </w:t>
      </w:r>
      <w:r>
        <w:t xml:space="preserve">2015 where the insolvency proceedings was not yet completed. Some insolvency proceeding may take</w:t>
      </w:r>
      <w:r>
        <w:t xml:space="preserve"> </w:t>
      </w:r>
      <w:r>
        <w:t xml:space="preserve">around 10 years, e.g. decision regarding DSB Bank N.V. in the Netherlands (also here).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In the long term, the final loss for the DGS would depend on the recovery rate. If the</w:t>
      </w:r>
      <w:r>
        <w:t xml:space="preserve"> </w:t>
      </w:r>
      <w:r>
        <w:t xml:space="preserve">latter is high, the ultimate loss would be relatively low and consequently impose a lower</w:t>
      </w:r>
      <w:r>
        <w:t xml:space="preserve"> </w:t>
      </w:r>
      <w:r>
        <w:t xml:space="preserve">net burden on the DGS. The recovery rates in insolvency are driven not only by the</w:t>
      </w:r>
      <w:r>
        <w:t xml:space="preserve"> </w:t>
      </w:r>
      <w:r>
        <w:t xml:space="preserve">ranking of the covered deposits in the creditor hierarchy, but also the quality of assets of</w:t>
      </w:r>
      <w:r>
        <w:t xml:space="preserve"> </w:t>
      </w:r>
      <w:r>
        <w:t xml:space="preserve">the failed bank, the national insolvency laws and the efficiency of insolvency</w:t>
      </w:r>
      <w:r>
        <w:t xml:space="preserve"> </w:t>
      </w:r>
      <w:r>
        <w:t xml:space="preserve">proceedings.596</w:t>
      </w:r>
    </w:p>
    <w:p>
      <w:pPr>
        <w:pStyle w:val="BodyText"/>
      </w:pPr>
      <w:r>
        <w:t xml:space="preserve">For DGS interventions other than payout, the costs and the immediate disbursement need</w:t>
      </w:r>
      <w:r>
        <w:t xml:space="preserve"> </w:t>
      </w:r>
      <w:r>
        <w:t xml:space="preserve">for the DGS are dependent on the tools that are used. Some tools can be highly cash</w:t>
      </w:r>
      <w:r>
        <w:t xml:space="preserve"> </w:t>
      </w:r>
      <w:r>
        <w:t xml:space="preserve">efficient, such as guarantees, in the sense that they preserve the DGS funding capacity.</w:t>
      </w:r>
      <w:r>
        <w:t xml:space="preserve"> </w:t>
      </w:r>
      <w:r>
        <w:t xml:space="preserve">Other tools could strongly limit the potential final loss but be more cash consuming, such</w:t>
      </w:r>
      <w:r>
        <w:t xml:space="preserve"> </w:t>
      </w:r>
      <w:r>
        <w:t xml:space="preserve">as loans. All tools entail a certain degree of uncertainty: a loan involves a credit risk, a</w:t>
      </w:r>
      <w:r>
        <w:t xml:space="preserve"> </w:t>
      </w:r>
      <w:r>
        <w:t xml:space="preserve">guarantee may or may not be called, and a capital injection may be paid back but with a</w:t>
      </w:r>
      <w:r>
        <w:t xml:space="preserve"> </w:t>
      </w:r>
      <w:r>
        <w:t xml:space="preserve">strong uncertainty as regards the selling price. Another variable that could lower the cost</w:t>
      </w:r>
      <w:r>
        <w:t xml:space="preserve"> </w:t>
      </w:r>
      <w:r>
        <w:t xml:space="preserve">is the presence of a buyer.</w:t>
      </w:r>
    </w:p>
    <w:p>
      <w:pPr>
        <w:pStyle w:val="BodyText"/>
      </w:pPr>
      <w:r>
        <w:t xml:space="preserve">The transactions, similar to so-called purchase &amp; assumptions agreements predominantly</w:t>
      </w:r>
      <w:r>
        <w:t xml:space="preserve"> </w:t>
      </w:r>
      <w:r>
        <w:t xml:space="preserve">used in the United States, are likely to be more efficient for the DGS than a payout.</w:t>
      </w:r>
      <w:r>
        <w:t xml:space="preserve"> </w:t>
      </w:r>
      <w:r>
        <w:t xml:space="preserve">Indeed, the transfer of the (whole or partial) business would preserve the franchise value</w:t>
      </w:r>
      <w:r>
        <w:t xml:space="preserve"> </w:t>
      </w:r>
      <w:r>
        <w:t xml:space="preserve">to a greater extent than under a piecemeal liquidation approach. It would avoid the</w:t>
      </w:r>
      <w:r>
        <w:t xml:space="preserve"> </w:t>
      </w:r>
      <w:r>
        <w:t xml:space="preserve">destruction of the business brand and/or ensure preserving the commercial relationships</w:t>
      </w:r>
      <w:r>
        <w:t xml:space="preserve"> </w:t>
      </w:r>
      <w:r>
        <w:t xml:space="preserve">of the exiting bank with the clients. Consequently, this approach would strive to maintain</w:t>
      </w:r>
      <w:r>
        <w:t xml:space="preserve"> </w:t>
      </w:r>
      <w:r>
        <w:t xml:space="preserve">or improve the profitability of and the return on the assets, and thereby minimising the</w:t>
      </w:r>
      <w:r>
        <w:t xml:space="preserve"> </w:t>
      </w:r>
      <w:r>
        <w:t xml:space="preserve">cost for the DGS.</w:t>
      </w:r>
    </w:p>
    <w:p>
      <w:pPr>
        <w:pStyle w:val="BodyText"/>
      </w:pPr>
      <w:r>
        <w:t xml:space="preserve">Lastly, the least cost assessment would limit the cost of this type of DGS interventions</w:t>
      </w:r>
      <w:r>
        <w:t xml:space="preserve"> </w:t>
      </w:r>
      <w:r>
        <w:t xml:space="preserve">(in insolvency and in resolution) compared to the cost of the payout. In that sense,</w:t>
      </w:r>
      <w:r>
        <w:t xml:space="preserve"> </w:t>
      </w:r>
      <w:r>
        <w:t xml:space="preserve">developing the role of other DGSs interventions in the CMDI is efficient for the DGS</w:t>
      </w:r>
      <w:r>
        <w:t xml:space="preserve"> </w:t>
      </w:r>
      <w:r>
        <w:t xml:space="preserve">(lowering the immediate replenishment needs) and for the economy in general (with a</w:t>
      </w:r>
      <w:r>
        <w:t xml:space="preserve"> </w:t>
      </w:r>
      <w:r>
        <w:t xml:space="preserve">lower destruction of value).</w:t>
      </w:r>
    </w:p>
    <w:p>
      <w:pPr>
        <w:pStyle w:val="BodyText"/>
      </w:pPr>
      <w:r>
        <w:t xml:space="preserve">Use of DGS funds in the revised CMDI</w:t>
      </w:r>
    </w:p>
    <w:p>
      <w:pPr>
        <w:pStyle w:val="BodyText"/>
      </w:pPr>
      <w:r>
        <w:t xml:space="preserve">Currently, a DGS is unlikely to finance other measures than payout subject to the least</w:t>
      </w:r>
      <w:r>
        <w:t xml:space="preserve"> </w:t>
      </w:r>
      <w:r>
        <w:t xml:space="preserve">cost test based on the preferential ranking of covered deposits (see section 4.1.1 in Annex</w:t>
      </w:r>
      <w:r>
        <w:t xml:space="preserve"> </w:t>
      </w:r>
      <w:r>
        <w:t xml:space="preserve">7). Changes appear necessary to make such a least cost test more realistic and there are</w:t>
      </w:r>
      <w:r>
        <w:t xml:space="preserve"> </w:t>
      </w:r>
      <w:r>
        <w:t xml:space="preserve">clear trade-offs to be made.</w:t>
      </w:r>
    </w:p>
    <w:p>
      <w:pPr>
        <w:pStyle w:val="BodyText"/>
      </w:pPr>
      <w:r>
        <w:t xml:space="preserve">The change in the creditor hierarchy would facilitate the uses of more efficient tools that</w:t>
      </w:r>
      <w:r>
        <w:t xml:space="preserve"> </w:t>
      </w:r>
      <w:r>
        <w:t xml:space="preserve">preserve the liquidity of the DGS and/or EDIS and, consequently, also the financial</w:t>
      </w:r>
      <w:r>
        <w:t xml:space="preserve"> </w:t>
      </w:r>
      <w:r>
        <w:t xml:space="preserve">stability. Moreover, this approach exploring more efficient tools than payout would bring</w:t>
      </w:r>
      <w:r>
        <w:t xml:space="preserve"> </w:t>
      </w:r>
      <w:r>
        <w:t xml:space="preserve">about a number of positive effects on the depositor confidence:</w:t>
      </w:r>
      <w:r>
        <w:t xml:space="preserve"> </w:t>
      </w:r>
      <w:r>
        <w:t xml:space="preserve">In payout events, depositors must be reimbursed within 7 days. However, interrupted</w:t>
      </w:r>
      <w:r>
        <w:t xml:space="preserve"> </w:t>
      </w:r>
      <w:r>
        <w:t xml:space="preserve">access to accounts, social benefits and credit facilities for even a short period in</w:t>
      </w:r>
      <w:r>
        <w:t xml:space="preserve"> </w:t>
      </w:r>
      <w:r>
        <w:t xml:space="preserve">prevalently cashless societies, using or operating with credit and debit cards and</w:t>
      </w:r>
      <w:r>
        <w:t xml:space="preserve"> </w:t>
      </w:r>
      <w:r>
        <w:t xml:space="preserve">electronic systems, could impact the overall economy. Conversely, under other DGS</w:t>
      </w:r>
      <w:r>
        <w:t xml:space="preserve"> </w:t>
      </w:r>
      <w:r>
        <w:t xml:space="preserve">interventions, the depositor access to deposits would be unimpaired.</w:t>
      </w:r>
      <w:r>
        <w:t xml:space="preserve"> </w:t>
      </w:r>
      <w:r>
        <w:t xml:space="preserve">Changing the creditor hierarchy would increase the protection of a wider scope of</w:t>
      </w:r>
    </w:p>
    <w:p>
      <w:pPr>
        <w:pStyle w:val="BodyText"/>
      </w:pPr>
      <w:r>
        <w:t xml:space="preserve">596 See the EBA opinion on DGS funds, p. 23-24. The empirical evidence suggests that the recovery rates</w:t>
      </w:r>
      <w:r>
        <w:t xml:space="preserve"> </w:t>
      </w:r>
      <w:r>
        <w:t xml:space="preserve">can be very different, ranging from 1% to 100%.</w:t>
      </w:r>
    </w:p>
    <w:p>
      <w:pPr>
        <w:pStyle w:val="BodyText"/>
      </w:pPr>
      <w:r>
        <w:t xml:space="preserve">379</w:t>
      </w:r>
      <w:r>
        <w:t xml:space="preserve"> </w:t>
      </w:r>
      <w:r>
        <w:t xml:space="preserve">depositors by creating an environment where their deposits and commercial relationship</w:t>
      </w:r>
      <w:r>
        <w:t xml:space="preserve"> </w:t>
      </w:r>
      <w:r>
        <w:t xml:space="preserve">are transferred to another bank. Consequently, this would minimise the occurrence of</w:t>
      </w:r>
      <w:r>
        <w:t xml:space="preserve"> </w:t>
      </w:r>
      <w:r>
        <w:t xml:space="preserve">depositor payouts and the likelihood of DGS’ subrogation into depositor claims under</w:t>
      </w:r>
      <w:r>
        <w:t xml:space="preserve"> </w:t>
      </w:r>
      <w:r>
        <w:t xml:space="preserve">‘less preferential’ creditor hierarchy.</w:t>
      </w:r>
    </w:p>
    <w:p>
      <w:pPr>
        <w:pStyle w:val="BodyText"/>
      </w:pPr>
      <w:r>
        <w:t xml:space="preserve">Therefore, the revised framework should improve the incentives for alternatives to</w:t>
      </w:r>
      <w:r>
        <w:t xml:space="preserve"> </w:t>
      </w:r>
      <w:r>
        <w:t xml:space="preserve">depositor payout, via a more realistic least cost test. Depositor payout would constitute a</w:t>
      </w:r>
      <w:r>
        <w:t xml:space="preserve"> </w:t>
      </w:r>
      <w:r>
        <w:t xml:space="preserve">fallout option in case there is no potential buyer for a viable part of the bank. Last but not</w:t>
      </w:r>
      <w:r>
        <w:t xml:space="preserve"> </w:t>
      </w:r>
      <w:r>
        <w:t xml:space="preserve">the least, in many cases, the counterfactual of the extensive use of DGS is ultimately the</w:t>
      </w:r>
      <w:r>
        <w:t xml:space="preserve"> </w:t>
      </w:r>
      <w:r>
        <w:t xml:space="preserve">need for taxpayer money to cover the shortfall, which is more likely in the case of</w:t>
      </w:r>
      <w:r>
        <w:t xml:space="preserve"> </w:t>
      </w:r>
      <w:r>
        <w:t xml:space="preserve">payouts (high cost in the short term).</w:t>
      </w:r>
    </w:p>
    <w:p>
      <w:pPr>
        <w:pStyle w:val="BodyText"/>
      </w:pPr>
      <w:r>
        <w:t xml:space="preserve">2.3.4. Build-up of the DIF and contributions</w:t>
      </w:r>
      <w:r>
        <w:t xml:space="preserve"> </w:t>
      </w:r>
      <w:r>
        <w:t xml:space="preserve">Once the funding of all national DGSs has at least reached a pre-defined target level, the</w:t>
      </w:r>
      <w:r>
        <w:t xml:space="preserve"> </w:t>
      </w:r>
      <w:r>
        <w:t xml:space="preserve">DIF managed by the SRB could be built up by raising subsequent bank contributions or</w:t>
      </w:r>
      <w:r>
        <w:t xml:space="preserve"> </w:t>
      </w:r>
      <w:r>
        <w:t xml:space="preserve">by transferring already collected contributions from national DGSs. All national DGSs</w:t>
      </w:r>
      <w:r>
        <w:t xml:space="preserve"> </w:t>
      </w:r>
      <w:r>
        <w:t xml:space="preserve">are underway to reach the target level of 0.8% of covered deposits by 2024 and most of</w:t>
      </w:r>
      <w:r>
        <w:t xml:space="preserve"> </w:t>
      </w:r>
      <w:r>
        <w:t xml:space="preserve">them have already reached it.597</w:t>
      </w:r>
      <w:r>
        <w:br/>
      </w:r>
      <w:r>
        <w:t xml:space="preserve">Consequently, the policy option retained in the 2015 proposal to build up the DIF</w:t>
      </w:r>
      <w:r>
        <w:t xml:space="preserve"> </w:t>
      </w:r>
      <w:r>
        <w:t xml:space="preserve">directly from banks’ contributions calculated at the Banking Union level would not be</w:t>
      </w:r>
      <w:r>
        <w:t xml:space="preserve"> </w:t>
      </w:r>
      <w:r>
        <w:t xml:space="preserve">appropriate as it would impose an additional cost on the industry. Among the policy</w:t>
      </w:r>
      <w:r>
        <w:t xml:space="preserve"> </w:t>
      </w:r>
      <w:r>
        <w:t xml:space="preserve">options discussed, the paid-in resources transferred to the DIF could either be deposited</w:t>
      </w:r>
      <w:r>
        <w:t xml:space="preserve"> </w:t>
      </w:r>
      <w:r>
        <w:t xml:space="preserve">in individual compartments or be mutualised in one fund. Alternatively, the share of</w:t>
      </w:r>
      <w:r>
        <w:t xml:space="preserve"> </w:t>
      </w:r>
      <w:r>
        <w:t xml:space="preserve">funds remaining in the national DGSs to be mobilised for mandatory lending could be</w:t>
      </w:r>
      <w:r>
        <w:t xml:space="preserve"> </w:t>
      </w:r>
      <w:r>
        <w:t xml:space="preserve">placed in such compartments next to the DIF (one compartment per Member State)</w:t>
      </w:r>
      <w:r>
        <w:t xml:space="preserve"> </w:t>
      </w:r>
      <w:r>
        <w:t xml:space="preserve">facilitating its operationalisation.598</w:t>
      </w:r>
      <w:r>
        <w:t xml:space="preserve"> </w:t>
      </w:r>
      <w:r>
        <w:t xml:space="preserve">In line with the feedback received, the DIF would be built-up with a one-off transfer of a</w:t>
      </w:r>
      <w:r>
        <w:t xml:space="preserve"> </w:t>
      </w:r>
      <w:r>
        <w:t xml:space="preserve">share of the target level collected at national level already based on a percentage</w:t>
      </w:r>
      <w:r>
        <w:t xml:space="preserve"> </w:t>
      </w:r>
      <w:r>
        <w:t xml:space="preserve">calculated according to risk-based methodology to be agreed in a delegated act599. This</w:t>
      </w:r>
      <w:r>
        <w:t xml:space="preserve"> </w:t>
      </w:r>
      <w:r>
        <w:t xml:space="preserve">methodology would also determine the approach to some ONDs related to risk-bank</w:t>
      </w:r>
      <w:r>
        <w:t xml:space="preserve"> </w:t>
      </w:r>
      <w:r>
        <w:t xml:space="preserve">contributions to ensure level playing field. The latter option would be sensible under a</w:t>
      </w:r>
      <w:r>
        <w:t xml:space="preserve"> </w:t>
      </w:r>
      <w:r>
        <w:t xml:space="preserve">low-ambition model. In view of the higher target levels of the DIF envisaged under a</w:t>
      </w:r>
      <w:r>
        <w:t xml:space="preserve"> </w:t>
      </w:r>
      <w:r>
        <w:t xml:space="preserve">high-ambition model (and a possible middle-way option), the best option would be to</w:t>
      </w:r>
      <w:r>
        <w:t xml:space="preserve"> </w:t>
      </w:r>
      <w:r>
        <w:t xml:space="preserve">build up the DIF following a gradual funding path.</w:t>
      </w:r>
      <w:r>
        <w:br/>
      </w:r>
      <w:r>
        <w:t xml:space="preserve">Risk-based contributions</w:t>
      </w:r>
    </w:p>
    <w:p>
      <w:pPr>
        <w:pStyle w:val="BodyText"/>
      </w:pPr>
      <w:r>
        <w:t xml:space="preserve">597 See also Annex 5 (evaluation).</w:t>
      </w:r>
      <w:r>
        <w:br/>
      </w:r>
      <w:r>
        <w:t xml:space="preserve">598 This option was supported by many members noting the lesser complexity who noted that it is</w:t>
      </w:r>
      <w:r>
        <w:t xml:space="preserve"> </w:t>
      </w:r>
      <w:r>
        <w:t xml:space="preserve">administratively less complex and more likely to ensure a timely support from the DIF. Some members</w:t>
      </w:r>
      <w:r>
        <w:t xml:space="preserve"> </w:t>
      </w:r>
      <w:r>
        <w:t xml:space="preserve">expressed their preference to leave the funds in the national DGSs emphasising the importance of the funds</w:t>
      </w:r>
      <w:r>
        <w:t xml:space="preserve"> </w:t>
      </w:r>
      <w:r>
        <w:t xml:space="preserve">being under direct national control. A few members proposed an alternative option where the central fund</w:t>
      </w:r>
      <w:r>
        <w:t xml:space="preserve"> </w:t>
      </w:r>
      <w:r>
        <w:t xml:space="preserve">would be entirely composed of individual compartments, departing from the hybrid model (see European</w:t>
      </w:r>
      <w:r>
        <w:t xml:space="preserve"> </w:t>
      </w:r>
      <w:r>
        <w:t xml:space="preserve">Council (2 June 2021), Portuguese Presidency Progress Report on strengthening the Banking Union, p. 6).</w:t>
      </w:r>
      <w:r>
        <w:t xml:space="preserve"> </w:t>
      </w:r>
      <w:r>
        <w:t xml:space="preserve">599 For instance, under a low ambition hybrid EDIS, in order to transfer, in total, 75% of the DGS funds to</w:t>
      </w:r>
      <w:r>
        <w:t xml:space="preserve"> </w:t>
      </w:r>
      <w:r>
        <w:t xml:space="preserve">the DIF, some DGSs would transfer 74% and others 76%.</w:t>
      </w:r>
    </w:p>
    <w:p>
      <w:pPr>
        <w:pStyle w:val="BodyText"/>
      </w:pPr>
      <w:r>
        <w:t xml:space="preserve">380</w:t>
      </w:r>
      <w:r>
        <w:t xml:space="preserve"> </w:t>
      </w:r>
      <w:r>
        <w:t xml:space="preserve">Under the status quo, each DGS has to reach a target level of 0.8% of covered deposits</w:t>
      </w:r>
      <w:r>
        <w:t xml:space="preserve"> </w:t>
      </w:r>
      <w:r>
        <w:t xml:space="preserve">and the contributions take into account the amount of covered deposits and the degree of</w:t>
      </w:r>
      <w:r>
        <w:t xml:space="preserve"> </w:t>
      </w:r>
      <w:r>
        <w:t xml:space="preserve">risk incurred by each credit institution relative to all other credit institutions affiliated to</w:t>
      </w:r>
      <w:r>
        <w:t xml:space="preserve"> </w:t>
      </w:r>
      <w:r>
        <w:t xml:space="preserve">the same participating DGS.</w:t>
      </w:r>
      <w:r>
        <w:t xml:space="preserve"> </w:t>
      </w:r>
      <w:r>
        <w:t xml:space="preserve">Under both options, it would be crucial to maintain a risk-based approach to maintain the</w:t>
      </w:r>
      <w:r>
        <w:t xml:space="preserve"> </w:t>
      </w:r>
      <w:r>
        <w:t xml:space="preserve">DGS target level and to build up the DIF. The risk-based method is an important</w:t>
      </w:r>
      <w:r>
        <w:t xml:space="preserve"> </w:t>
      </w:r>
      <w:r>
        <w:t xml:space="preserve">incentive for banks to reduce their risks and also contribute to build a fair deposit</w:t>
      </w:r>
      <w:r>
        <w:t xml:space="preserve"> </w:t>
      </w:r>
      <w:r>
        <w:t xml:space="preserve">insurance scheme where the more risky banks pay higher contributions than the others.</w:t>
      </w:r>
      <w:r>
        <w:t xml:space="preserve"> </w:t>
      </w:r>
      <w:r>
        <w:t xml:space="preserve">The impact of the different designs on the level of contributions would be twofold.</w:t>
      </w:r>
      <w:r>
        <w:br/>
      </w:r>
      <w:r>
        <w:t xml:space="preserve">First, the pooling of funds would create synergies that could be exploited to reduce the</w:t>
      </w:r>
      <w:r>
        <w:t xml:space="preserve"> </w:t>
      </w:r>
      <w:r>
        <w:t xml:space="preserve">costs for the banking sectors in the Banking Union. Consequently, the target level would</w:t>
      </w:r>
      <w:r>
        <w:t xml:space="preserve"> </w:t>
      </w:r>
      <w:r>
        <w:t xml:space="preserve">be reduced under more ambitious models susceptible to lower the level of contributions</w:t>
      </w:r>
      <w:r>
        <w:t xml:space="preserve"> </w:t>
      </w:r>
      <w:r>
        <w:t xml:space="preserve">for the banking sectors (for simplification referred to as “national reference measure”).</w:t>
      </w:r>
      <w:r>
        <w:t xml:space="preserve"> </w:t>
      </w:r>
      <w:r>
        <w:t xml:space="preserve">Conversely, a low-ambition model would maintain the target level at 0.8% of covered</w:t>
      </w:r>
      <w:r>
        <w:t xml:space="preserve"> </w:t>
      </w:r>
      <w:r>
        <w:t xml:space="preserve">deposits because of limited synergies.</w:t>
      </w:r>
      <w:r>
        <w:br/>
      </w:r>
      <w:r>
        <w:t xml:space="preserve">Second, in line with the feedback received, the build-up of the DIF would imply a</w:t>
      </w:r>
      <w:r>
        <w:t xml:space="preserve"> </w:t>
      </w:r>
      <w:r>
        <w:t xml:space="preserve">calculation of contributions based on the amount of covered deposits and the degree of</w:t>
      </w:r>
      <w:r>
        <w:t xml:space="preserve"> </w:t>
      </w:r>
      <w:r>
        <w:t xml:space="preserve">risk of each credit institution relative to all other credit institutions covered by EDIS</w:t>
      </w:r>
      <w:r>
        <w:t xml:space="preserve"> </w:t>
      </w:r>
      <w:r>
        <w:t xml:space="preserve">(referred to as “Banking Union reference measure”). Accordingly, in the EDIS, the</w:t>
      </w:r>
      <w:r>
        <w:t xml:space="preserve"> </w:t>
      </w:r>
      <w:r>
        <w:t xml:space="preserve">contributions would be calculated based on the Banking Union reference measures for</w:t>
      </w:r>
      <w:r>
        <w:t xml:space="preserve"> </w:t>
      </w:r>
      <w:r>
        <w:t xml:space="preserve">the share of the funds transferred to the DIF, while the contributions to the national DGSs</w:t>
      </w:r>
      <w:r>
        <w:t xml:space="preserve"> </w:t>
      </w:r>
      <w:r>
        <w:t xml:space="preserve">would continue using a national reference measure. The other policy options discussed</w:t>
      </w:r>
      <w:r>
        <w:t xml:space="preserve"> </w:t>
      </w:r>
      <w:r>
        <w:t xml:space="preserve">were that the contributions to the DIF could be built up using the national reference</w:t>
      </w:r>
      <w:r>
        <w:t xml:space="preserve"> </w:t>
      </w:r>
      <w:r>
        <w:t xml:space="preserve">measures in the reinsurance phase, implying liquidity support only, or a hybrid one,</w:t>
      </w:r>
      <w:r>
        <w:t xml:space="preserve"> </w:t>
      </w:r>
      <w:r>
        <w:t xml:space="preserve">based on both a national and a Banking Union reference.</w:t>
      </w:r>
      <w:r>
        <w:t xml:space="preserve"> </w:t>
      </w:r>
      <w:r>
        <w:t xml:space="preserve">An ambitious model would imply a redistribution effect due to changes in the basis for</w:t>
      </w:r>
      <w:r>
        <w:t xml:space="preserve"> </w:t>
      </w:r>
      <w:r>
        <w:t xml:space="preserve">calculating a certain portion of the contributions. This would mean that, compared to the</w:t>
      </w:r>
      <w:r>
        <w:t xml:space="preserve"> </w:t>
      </w:r>
      <w:r>
        <w:t xml:space="preserve">status quo, some banks would pay more and others less. Such redistribution effect would</w:t>
      </w:r>
      <w:r>
        <w:t xml:space="preserve"> </w:t>
      </w:r>
      <w:r>
        <w:t xml:space="preserve">be more material for higher ambitious models because of the higher share of funds in the</w:t>
      </w:r>
      <w:r>
        <w:t xml:space="preserve"> </w:t>
      </w:r>
      <w:r>
        <w:t xml:space="preserve">DIF, and, by contrast, would be limited under a low-ambition model, envisaging a lower</w:t>
      </w:r>
      <w:r>
        <w:t xml:space="preserve"> </w:t>
      </w:r>
      <w:r>
        <w:t xml:space="preserve">share of funds in the DIF.</w:t>
      </w:r>
      <w:r>
        <w:t xml:space="preserve"> </w:t>
      </w:r>
      <w:r>
        <w:t xml:space="preserve">Table 39 sets out the anonymised level of contributions per each Member State,</w:t>
      </w:r>
      <w:r>
        <w:t xml:space="preserve"> </w:t>
      </w:r>
      <w:r>
        <w:t xml:space="preserve">calculated based on a database collected from Member States with data as of end 2018.</w:t>
      </w:r>
      <w:r>
        <w:t xml:space="preserve"> </w:t>
      </w:r>
      <w:r>
        <w:t xml:space="preserve">100 represents the current level of contributions, calculated at the national level, with a</w:t>
      </w:r>
      <w:r>
        <w:t xml:space="preserve"> </w:t>
      </w:r>
      <w:r>
        <w:t xml:space="preserve">0.8% target level. The impacts of reducing the target level and calculating part of the</w:t>
      </w:r>
      <w:r>
        <w:t xml:space="preserve"> </w:t>
      </w:r>
      <w:r>
        <w:t xml:space="preserve">contributions at Banking Union level are presented for the various designs of hybrid</w:t>
      </w:r>
      <w:r>
        <w:t xml:space="preserve"> </w:t>
      </w:r>
      <w:r>
        <w:t xml:space="preserve">EDIS. The methodology for calculating the contributions follows the indicators in the</w:t>
      </w:r>
      <w:r>
        <w:t xml:space="preserve"> </w:t>
      </w:r>
      <w:r>
        <w:t xml:space="preserve">EBA guidelines600.</w:t>
      </w:r>
    </w:p>
    <w:p>
      <w:pPr>
        <w:pStyle w:val="BodyText"/>
      </w:pPr>
      <w:r>
        <w:t xml:space="preserve">600 EBA Guidelines on methods for calculating contributions to deposit guarantee schemes.</w:t>
      </w:r>
    </w:p>
    <w:p>
      <w:pPr>
        <w:pStyle w:val="BodyText"/>
      </w:pPr>
      <w:r>
        <w:t xml:space="preserve">381</w:t>
      </w:r>
    </w:p>
    <w:p>
      <w:pPr>
        <w:pStyle w:val="BodyText"/>
      </w:pPr>
      <w:r>
        <w:t xml:space="preserve">Table 39: Impact of the redistribution effect and reduced target level601</w:t>
      </w:r>
      <w:r>
        <w:t xml:space="preserve"> </w:t>
      </w:r>
      <w:r>
        <w:t xml:space="preserve">Source: European Commission services estimations based on JRC quantitative analysis (see JRC report on</w:t>
      </w:r>
      <w:r>
        <w:t xml:space="preserve"> </w:t>
      </w:r>
      <w:r>
        <w:t xml:space="preserve">EDIS risk-based contributions, Annex 12)</w:t>
      </w:r>
      <w:r>
        <w:t xml:space="preserve"> </w:t>
      </w:r>
      <w:r>
        <w:t xml:space="preserve">This table shows that, under the medium- and high-ambition models, for all banking</w:t>
      </w:r>
      <w:r>
        <w:t xml:space="preserve"> </w:t>
      </w:r>
      <w:r>
        <w:t xml:space="preserve">sectors, the combined impact of the redistribution effect and the reduced target level</w:t>
      </w:r>
      <w:r>
        <w:t xml:space="preserve"> </w:t>
      </w:r>
      <w:r>
        <w:t xml:space="preserve">would lead to lower the contributions compared to the status quo602.</w:t>
      </w:r>
      <w:r>
        <w:br/>
      </w:r>
      <w:r>
        <w:t xml:space="preserve">Under a low-ambition model, as there is no target level reduction, the redistribution</w:t>
      </w:r>
      <w:r>
        <w:t xml:space="preserve"> </w:t>
      </w:r>
      <w:r>
        <w:t xml:space="preserve">effect would lead to higher contributions for 10 national banking sectors and lower</w:t>
      </w:r>
      <w:r>
        <w:t xml:space="preserve"> </w:t>
      </w:r>
      <w:r>
        <w:t xml:space="preserve">contributions for 11 banking sectors. The impacts on the contributions would range from</w:t>
      </w:r>
      <w:r>
        <w:t xml:space="preserve"> </w:t>
      </w:r>
      <w:r>
        <w:t xml:space="preserve">a reduction of contributions of 3% to an increase of 7%.</w:t>
      </w:r>
      <w:r>
        <w:t xml:space="preserve"> </w:t>
      </w:r>
      <w:r>
        <w:t xml:space="preserve">2.4. Transition towards loss coverage and review clause</w:t>
      </w:r>
      <w:r>
        <w:t xml:space="preserve"> </w:t>
      </w:r>
      <w:r>
        <w:t xml:space="preserve">The 2015 proposal introduced a loss coverage since the start. The latter turned out to be</w:t>
      </w:r>
      <w:r>
        <w:t xml:space="preserve"> </w:t>
      </w:r>
      <w:r>
        <w:t xml:space="preserve">the most contentious element, advocated by some and opposed by others. The position of</w:t>
      </w:r>
      <w:r>
        <w:t xml:space="preserve"> </w:t>
      </w:r>
      <w:r>
        <w:t xml:space="preserve">certain Member States on the introduction of loss sharing was contingent on further risk</w:t>
      </w:r>
      <w:r>
        <w:t xml:space="preserve"> </w:t>
      </w:r>
      <w:r>
        <w:t xml:space="preserve">reductions in the banks’ balance sheets, sometimes including amendments concerning the</w:t>
      </w:r>
      <w:r>
        <w:t xml:space="preserve"> </w:t>
      </w:r>
      <w:r>
        <w:t xml:space="preserve">capital requirement on sovereign exposures.</w:t>
      </w:r>
      <w:r>
        <w:t xml:space="preserve"> </w:t>
      </w:r>
      <w:r>
        <w:t xml:space="preserve">Box 23 illustrates that hybrid EDIS would provide sufficient flexibility for a gradual</w:t>
      </w:r>
      <w:r>
        <w:t xml:space="preserve"> </w:t>
      </w:r>
      <w:r>
        <w:t xml:space="preserve">introduction of loss sharing. In view of the difficult political compromise on the steady-</w:t>
      </w:r>
      <w:r>
        <w:t xml:space="preserve"> </w:t>
      </w:r>
      <w:r>
        <w:t xml:space="preserve">state, the best policy option would be to start with a hybrid EDIS focusing only on</w:t>
      </w:r>
      <w:r>
        <w:t xml:space="preserve"> </w:t>
      </w:r>
      <w:r>
        <w:t xml:space="preserve">liquidity support as the reduction of risks in the banking sectors continues with the view</w:t>
      </w:r>
    </w:p>
    <w:p>
      <w:pPr>
        <w:pStyle w:val="BodyText"/>
      </w:pPr>
      <w:r>
        <w:t xml:space="preserve">601 This table is based on the JRC’s report included in Annex 12, p. 60.</w:t>
      </w:r>
      <w:r>
        <w:t xml:space="preserve"> </w:t>
      </w:r>
      <w:r>
        <w:t xml:space="preserve">602 Under a high ambition hybrid EDIS, the national banking sectors would pay from 30% to 12% less</w:t>
      </w:r>
      <w:r>
        <w:t xml:space="preserve"> </w:t>
      </w:r>
      <w:r>
        <w:t xml:space="preserve">compared to the status quo. For comparison, under the middle way option, the cost reduction would range</w:t>
      </w:r>
      <w:r>
        <w:t xml:space="preserve"> </w:t>
      </w:r>
      <w:r>
        <w:t xml:space="preserve">from -17% to -1%.</w:t>
      </w:r>
    </w:p>
    <w:p>
      <w:pPr>
        <w:pStyle w:val="BodyText"/>
      </w:pPr>
      <w:r>
        <w:t xml:space="preserve">382</w:t>
      </w:r>
      <w:r>
        <w:t xml:space="preserve"> </w:t>
      </w:r>
      <w:r>
        <w:t xml:space="preserve">to prepare the ground for loss coverage. During the liquidity support phase, only the</w:t>
      </w:r>
      <w:r>
        <w:t xml:space="preserve"> </w:t>
      </w:r>
      <w:r>
        <w:t xml:space="preserve">member institutions of the beneficiary DGS would pay contributions to replenish the</w:t>
      </w:r>
      <w:r>
        <w:t xml:space="preserve"> </w:t>
      </w:r>
      <w:r>
        <w:t xml:space="preserve">DIF. In order to maintain this ambition in the steady state, a review clause would be</w:t>
      </w:r>
      <w:r>
        <w:t xml:space="preserve"> </w:t>
      </w:r>
      <w:r>
        <w:t xml:space="preserve">inserted to re-engage the discussions around the path towards EDIS with a loss-sharing</w:t>
      </w:r>
      <w:r>
        <w:t xml:space="preserve"> </w:t>
      </w:r>
      <w:r>
        <w:t xml:space="preserve">component.</w:t>
      </w:r>
      <w:r>
        <w:t xml:space="preserve"> </w:t>
      </w:r>
      <w:r>
        <w:t xml:space="preserve">Ultimately, the benefits of a fully-fledged EDIS, with loss coverage, would imply a</w:t>
      </w:r>
      <w:r>
        <w:t xml:space="preserve"> </w:t>
      </w:r>
      <w:r>
        <w:t xml:space="preserve">harmonised level of depositor protection for all depositors in the Banking Union,</w:t>
      </w:r>
      <w:r>
        <w:t xml:space="preserve"> </w:t>
      </w:r>
      <w:r>
        <w:t xml:space="preserve">regardless of the geographical location of the bank, with the view to enhance financial</w:t>
      </w:r>
      <w:r>
        <w:t xml:space="preserve"> </w:t>
      </w:r>
      <w:r>
        <w:t xml:space="preserve">stability and break the bank-sovereign nexus. The element of loss sharing would make</w:t>
      </w:r>
      <w:r>
        <w:t xml:space="preserve"> </w:t>
      </w:r>
      <w:r>
        <w:t xml:space="preserve">the third pillar of the Banking Union more robust as all the banks in the Banking Union</w:t>
      </w:r>
      <w:r>
        <w:t xml:space="preserve"> </w:t>
      </w:r>
      <w:r>
        <w:t xml:space="preserve">would contribute to the replenishment of the DIF, ensuring a faster replenishment</w:t>
      </w:r>
      <w:r>
        <w:t xml:space="preserve"> </w:t>
      </w:r>
      <w:r>
        <w:t xml:space="preserve">capacity. Similarly, sharing the losses at the Banking Union level would lower the</w:t>
      </w:r>
      <w:r>
        <w:t xml:space="preserve"> </w:t>
      </w:r>
      <w:r>
        <w:t xml:space="preserve">financial strain on one single national banking sector, significantly mitigating adverse</w:t>
      </w:r>
      <w:r>
        <w:t xml:space="preserve"> </w:t>
      </w:r>
      <w:r>
        <w:t xml:space="preserve">effects on financial stability and weakening of the sovereign-banks nexus. Lastly, the</w:t>
      </w:r>
      <w:r>
        <w:t xml:space="preserve"> </w:t>
      </w:r>
      <w:r>
        <w:t xml:space="preserve">introduction of loss sharing would have positive benefits for the market integration in the</w:t>
      </w:r>
      <w:r>
        <w:t xml:space="preserve"> </w:t>
      </w:r>
      <w:r>
        <w:t xml:space="preserve">Banking Union.</w:t>
      </w:r>
      <w:r>
        <w:t xml:space="preserve"> </w:t>
      </w:r>
      <w:r>
        <w:t xml:space="preserve">There is a clear trade-off to be made between the policy options of a fully-fledged EDIS</w:t>
      </w:r>
      <w:r>
        <w:t xml:space="preserve"> </w:t>
      </w:r>
      <w:r>
        <w:t xml:space="preserve">inherent in the 2015 proposal, subject to political stalemate and contingent on additional</w:t>
      </w:r>
      <w:r>
        <w:t xml:space="preserve"> </w:t>
      </w:r>
      <w:r>
        <w:t xml:space="preserve">conditionality to be agreed at political level, and the roll out of liquidity support that</w:t>
      </w:r>
      <w:r>
        <w:t xml:space="preserve"> </w:t>
      </w:r>
      <w:r>
        <w:t xml:space="preserve">could be achieved in the shorter term. According to this trade-off, the hybrid EDIS would</w:t>
      </w:r>
      <w:r>
        <w:t xml:space="preserve"> </w:t>
      </w:r>
      <w:r>
        <w:t xml:space="preserve">be suboptimal compared to a fully-fledged EDIS (e.g. implying a slower replenishment,</w:t>
      </w:r>
      <w:r>
        <w:t xml:space="preserve"> </w:t>
      </w:r>
      <w:r>
        <w:t xml:space="preserve">taking into account the financial strain on the beneficiary DGS, constituting partial</w:t>
      </w:r>
      <w:r>
        <w:t xml:space="preserve"> </w:t>
      </w:r>
      <w:r>
        <w:t xml:space="preserve">safeguards for host Member States). However, in the absence of political agreement on a</w:t>
      </w:r>
      <w:r>
        <w:t xml:space="preserve"> </w:t>
      </w:r>
      <w:r>
        <w:t xml:space="preserve">fully-fledged EDIS, the liquidity support would better address the financial stability</w:t>
      </w:r>
      <w:r>
        <w:t xml:space="preserve"> </w:t>
      </w:r>
      <w:r>
        <w:t xml:space="preserve">objectives to avoid liquidity shortfalls when dealing with bank failures. Therefore, the</w:t>
      </w:r>
      <w:r>
        <w:t xml:space="preserve"> </w:t>
      </w:r>
      <w:r>
        <w:t xml:space="preserve">hybrid EDIS would constitute a significant improvement of the status quo.</w:t>
      </w:r>
    </w:p>
    <w:p>
      <w:pPr>
        <w:pStyle w:val="BodyText"/>
      </w:pPr>
      <w:r>
        <w:t xml:space="preserve">383</w:t>
      </w:r>
      <w:r>
        <w:t xml:space="preserve"> </w:t>
      </w:r>
      <w:r>
        <w:t xml:space="preserve">Box 23: Considerations on the transition to the steady state603</w:t>
      </w:r>
      <w:r>
        <w:br/>
      </w:r>
      <w:r>
        <w:t xml:space="preserve">From a long-term perspective, the introduction of loss coverage would entail significant</w:t>
      </w:r>
      <w:r>
        <w:t xml:space="preserve"> </w:t>
      </w:r>
      <w:r>
        <w:t xml:space="preserve">changes for the parameters of the hybrid EDIS. Going forward, the following policy</w:t>
      </w:r>
      <w:r>
        <w:t xml:space="preserve"> </w:t>
      </w:r>
      <w:r>
        <w:t xml:space="preserve">options would require further analysis and discussion:</w:t>
      </w:r>
      <w:r>
        <w:br/>
      </w:r>
      <w:r>
        <w:t xml:space="preserve"> The introduction of the loss-sharing component could be progressive towards the</w:t>
      </w:r>
      <w:r>
        <w:t xml:space="preserve"> </w:t>
      </w:r>
      <w:r>
        <w:t xml:space="preserve">steady state according to a specified transition timeline from the liquidity phase to</w:t>
      </w:r>
      <w:r>
        <w:t xml:space="preserve"> </w:t>
      </w:r>
      <w:r>
        <w:t xml:space="preserve">the steady state. In the steady state, the funds of the national DGSs could be</w:t>
      </w:r>
      <w:r>
        <w:t xml:space="preserve"> </w:t>
      </w:r>
      <w:r>
        <w:t xml:space="preserve">progressively transferred to the DIF. Alternatively, a certain share of funds could</w:t>
      </w:r>
      <w:r>
        <w:t xml:space="preserve"> </w:t>
      </w:r>
      <w:r>
        <w:t xml:space="preserve">remain at national level to mitigate moral hazard and potentially finance residual</w:t>
      </w:r>
      <w:r>
        <w:t xml:space="preserve"> </w:t>
      </w:r>
      <w:r>
        <w:t xml:space="preserve">national options and discretions. Under both options, the national DGS would carry</w:t>
      </w:r>
      <w:r>
        <w:t xml:space="preserve"> </w:t>
      </w:r>
      <w:r>
        <w:t xml:space="preserve">out their roles in the crisis management and handling of depositor claims.</w:t>
      </w:r>
      <w:r>
        <w:br/>
      </w:r>
      <w:r>
        <w:t xml:space="preserve"> The concept of loss sharing could be subject to different definitions. Under one</w:t>
      </w:r>
      <w:r>
        <w:t xml:space="preserve"> </w:t>
      </w:r>
      <w:r>
        <w:t xml:space="preserve">definition, both the national DGS and the DIF would share a certain percentage of</w:t>
      </w:r>
      <w:r>
        <w:t xml:space="preserve"> </w:t>
      </w:r>
      <w:r>
        <w:t xml:space="preserve">the losses with respect to each intervention. Under a second definition, the national</w:t>
      </w:r>
      <w:r>
        <w:t xml:space="preserve"> </w:t>
      </w:r>
      <w:r>
        <w:t xml:space="preserve">DGSs would be required to exhaust their funds before the DIF would intervene,</w:t>
      </w:r>
      <w:r>
        <w:t xml:space="preserve"> </w:t>
      </w:r>
      <w:r>
        <w:t xml:space="preserve">taking a share of losses.</w:t>
      </w:r>
      <w:r>
        <w:br/>
      </w:r>
      <w:r>
        <w:t xml:space="preserve"> Further analysis will be required on the interaction between the loss coverage and</w:t>
      </w:r>
      <w:r>
        <w:t xml:space="preserve"> </w:t>
      </w:r>
      <w:r>
        <w:t xml:space="preserve">other parameters of the hybrid EDIS, such as the allocation of the funds between the</w:t>
      </w:r>
      <w:r>
        <w:t xml:space="preserve"> </w:t>
      </w:r>
      <w:r>
        <w:t xml:space="preserve">national and the DIF levels. The build-up of the loss-sharing component would</w:t>
      </w:r>
      <w:r>
        <w:t xml:space="preserve"> </w:t>
      </w:r>
      <w:r>
        <w:t xml:space="preserve">require on a significant size of the DIF. For example, under a low ambition EDIS,</w:t>
      </w:r>
      <w:r>
        <w:t xml:space="preserve"> </w:t>
      </w:r>
      <w:r>
        <w:t xml:space="preserve">the DIF would be too limited and would not be able to support a significant share of</w:t>
      </w:r>
      <w:r>
        <w:t xml:space="preserve"> </w:t>
      </w:r>
      <w:r>
        <w:t xml:space="preserve">the losses, rendering the loss-sharing component rather artificial. Consequently,</w:t>
      </w:r>
      <w:r>
        <w:t xml:space="preserve"> </w:t>
      </w:r>
      <w:r>
        <w:t xml:space="preserve">progressing from such a scenario to loss sharing would require a significant increase</w:t>
      </w:r>
      <w:r>
        <w:t xml:space="preserve"> </w:t>
      </w:r>
      <w:r>
        <w:t xml:space="preserve">in the size of the DIF.</w:t>
      </w:r>
    </w:p>
    <w:p>
      <w:pPr>
        <w:pStyle w:val="BodyText"/>
      </w:pPr>
      <w:r>
        <w:t xml:space="preserve">603 See European Council (2 June 2021), Portuguese Presidency Progress Report on strengthening the</w:t>
      </w:r>
      <w:r>
        <w:t xml:space="preserve"> </w:t>
      </w:r>
      <w:r>
        <w:t xml:space="preserve">Banking Union.</w:t>
      </w:r>
    </w:p>
    <w:p>
      <w:pPr>
        <w:pStyle w:val="BodyText"/>
      </w:pPr>
      <w:r>
        <w:t xml:space="preserve">384</w:t>
      </w:r>
      <w:r>
        <w:t xml:space="preserve"> </w:t>
      </w:r>
      <w:r>
        <w:t xml:space="preserve">ANNEX 11: EBA RESPONSE TO THE CALL FOR ADVICE</w:t>
      </w:r>
    </w:p>
    <w:p>
      <w:pPr>
        <w:pStyle w:val="BodyText"/>
      </w:pPr>
      <w:r>
        <w:t xml:space="preserve">We refer to the Call for Advice report by the EBA entitled “Call for advice regarding</w:t>
      </w:r>
      <w:r>
        <w:t xml:space="preserve"> </w:t>
      </w:r>
      <w:r>
        <w:t xml:space="preserve">funding in resolution and insolvency – part of the review of the crisis management and</w:t>
      </w:r>
      <w:r>
        <w:t xml:space="preserve"> </w:t>
      </w:r>
      <w:r>
        <w:t xml:space="preserve">deposit insurance framework” and published on 22 October 2021604. With this report, and</w:t>
      </w:r>
      <w:r>
        <w:t xml:space="preserve"> </w:t>
      </w:r>
      <w:r>
        <w:t xml:space="preserve">at the request of Commission services, the EBA provides targeted technical advice to</w:t>
      </w:r>
      <w:r>
        <w:t xml:space="preserve"> </w:t>
      </w:r>
      <w:r>
        <w:t xml:space="preserve">assess the reported difficulty for some small and medium-sized banks to issue sufficient</w:t>
      </w:r>
      <w:r>
        <w:t xml:space="preserve"> </w:t>
      </w:r>
      <w:r>
        <w:t xml:space="preserve">loss absorbing financial instruments, to examine the current requirements to access</w:t>
      </w:r>
      <w:r>
        <w:t xml:space="preserve"> </w:t>
      </w:r>
      <w:r>
        <w:t xml:space="preserve">available sources of funding in the current framework, including in view of the funding</w:t>
      </w:r>
      <w:r>
        <w:t xml:space="preserve"> </w:t>
      </w:r>
      <w:r>
        <w:t xml:space="preserve">structure of the above mentioned banks, and to assess the quantitative impacts of various</w:t>
      </w:r>
      <w:r>
        <w:t xml:space="preserve"> </w:t>
      </w:r>
      <w:r>
        <w:t xml:space="preserve">possible policy options, as specified by the Commission services, in the area of funding</w:t>
      </w:r>
      <w:r>
        <w:t xml:space="preserve"> </w:t>
      </w:r>
      <w:r>
        <w:t xml:space="preserve">in resolution and insolvency and their effectiveness in achieving the policy objectives.</w:t>
      </w:r>
      <w:r>
        <w:t xml:space="preserve"> </w:t>
      </w:r>
      <w:r>
        <w:t xml:space="preserve">Summary</w:t>
      </w:r>
      <w:r>
        <w:t xml:space="preserve"> </w:t>
      </w:r>
      <w:r>
        <w:t xml:space="preserve">The EBA response to the Call for Advice provides a quantitative analysis on banks’</w:t>
      </w:r>
      <w:r>
        <w:t xml:space="preserve"> </w:t>
      </w:r>
      <w:r>
        <w:t xml:space="preserve">capacity to access available sources of funding under the current framework and under</w:t>
      </w:r>
      <w:r>
        <w:t xml:space="preserve"> </w:t>
      </w:r>
      <w:r>
        <w:t xml:space="preserve">various creditor hierarchies, and with regards to the minimum requirement for own funds</w:t>
      </w:r>
      <w:r>
        <w:t xml:space="preserve"> </w:t>
      </w:r>
      <w:r>
        <w:t xml:space="preserve">and eligible liabilities (MREL).</w:t>
      </w:r>
      <w:r>
        <w:t xml:space="preserve"> </w:t>
      </w:r>
      <w:r>
        <w:t xml:space="preserve">The EBA response provides a descriptive analysis on banks’ capacity to access resolution</w:t>
      </w:r>
      <w:r>
        <w:t xml:space="preserve"> </w:t>
      </w:r>
      <w:r>
        <w:t xml:space="preserve">financing arrangements based on banks’ balance sheets and their business models, as</w:t>
      </w:r>
      <w:r>
        <w:t xml:space="preserve"> </w:t>
      </w:r>
      <w:r>
        <w:t xml:space="preserve">well as an analysis based on a modelling approach to simulate crisis scenarios.</w:t>
      </w:r>
      <w:r>
        <w:t xml:space="preserve"> </w:t>
      </w:r>
      <w:r>
        <w:t xml:space="preserve">The descriptive analysis shows the change to banks’ internal loss-absorption capacity</w:t>
      </w:r>
      <w:r>
        <w:t xml:space="preserve"> </w:t>
      </w:r>
      <w:r>
        <w:t xml:space="preserve">under four scenarios of depositor preferences compared to the current creditor hierarchy</w:t>
      </w:r>
      <w:r>
        <w:t xml:space="preserve"> </w:t>
      </w:r>
      <w:r>
        <w:t xml:space="preserve">applicable in each Member State. The analysis, whose findings are presented under</w:t>
      </w:r>
      <w:r>
        <w:t xml:space="preserve"> </w:t>
      </w:r>
      <w:r>
        <w:t xml:space="preserve">several different capital depletion scenarios, draws two main conclusions: (i) preferring</w:t>
      </w:r>
      <w:r>
        <w:t xml:space="preserve"> </w:t>
      </w:r>
      <w:r>
        <w:t xml:space="preserve">deposits to other ordinary unsecured claims increases the number of banks that are able</w:t>
      </w:r>
      <w:r>
        <w:t xml:space="preserve"> </w:t>
      </w:r>
      <w:r>
        <w:t xml:space="preserve">to meet the requirements to access resolution financing arrangements without the bail-in</w:t>
      </w:r>
      <w:r>
        <w:t xml:space="preserve"> </w:t>
      </w:r>
      <w:r>
        <w:t xml:space="preserve">of any type of depositors and (ii) a single-tier depositor preference (i.e. all types of</w:t>
      </w:r>
      <w:r>
        <w:t xml:space="preserve"> </w:t>
      </w:r>
      <w:r>
        <w:t xml:space="preserve">depositors rank pari passu) comes with the highest impact on covered deposits and the</w:t>
      </w:r>
      <w:r>
        <w:t xml:space="preserve"> </w:t>
      </w:r>
      <w:r>
        <w:t xml:space="preserve">highest contributions from deposit guarantee schemes compared to the other policy</w:t>
      </w:r>
      <w:r>
        <w:t xml:space="preserve"> </w:t>
      </w:r>
      <w:r>
        <w:t xml:space="preserve">options and the current situation. The modelling approach, which simulates an economic</w:t>
      </w:r>
      <w:r>
        <w:t xml:space="preserve"> </w:t>
      </w:r>
      <w:r>
        <w:t xml:space="preserve">scenario similar to the global financial crisis confirms the findings.</w:t>
      </w:r>
      <w:r>
        <w:t xml:space="preserve"> </w:t>
      </w:r>
      <w:r>
        <w:t xml:space="preserve">In a third part, the report also investigates the issue of market access for MREL</w:t>
      </w:r>
      <w:r>
        <w:t xml:space="preserve"> </w:t>
      </w:r>
      <w:r>
        <w:t xml:space="preserve">instruments for small and medium-sized banks to. A limited number of these institutions</w:t>
      </w:r>
      <w:r>
        <w:t xml:space="preserve"> </w:t>
      </w:r>
      <w:r>
        <w:t xml:space="preserve">had not yet issued senior MREL eligible instrument or AT1 and Tier 2 instruments as of</w:t>
      </w:r>
      <w:r>
        <w:t xml:space="preserve"> </w:t>
      </w:r>
      <w:r>
        <w:t xml:space="preserve">end-2019.</w:t>
      </w:r>
    </w:p>
    <w:p>
      <w:pPr>
        <w:pStyle w:val="BodyText"/>
      </w:pPr>
      <w:r>
        <w:t xml:space="preserve">604 EBA (22 October 2021), Call for advice regarding funding in resolution and insolvency.</w:t>
      </w:r>
    </w:p>
    <w:p>
      <w:pPr>
        <w:pStyle w:val="BodyText"/>
      </w:pPr>
      <w:r>
        <w:t xml:space="preserve">385</w:t>
      </w:r>
      <w:r>
        <w:t xml:space="preserve"> </w:t>
      </w:r>
      <w:r>
        <w:t xml:space="preserve">ANNEX 12: ANALYTICAL WORK BY THE JOINT RESEARCH</w:t>
      </w:r>
      <w:r>
        <w:t xml:space="preserve"> </w:t>
      </w:r>
      <w:r>
        <w:t xml:space="preserve">CENTRE</w:t>
      </w:r>
    </w:p>
    <w:p>
      <w:pPr>
        <w:pStyle w:val="BodyText"/>
      </w:pPr>
      <w:r>
        <w:t xml:space="preserve">We refer to the Joint Research Centre technical report entitled ‘Quantitative analysis on</w:t>
      </w:r>
      <w:r>
        <w:t xml:space="preserve"> </w:t>
      </w:r>
      <w:r>
        <w:t xml:space="preserve">selected deposits insurance issues for purposes of the impact assessment’ (JRC132364,</w:t>
      </w:r>
      <w:r>
        <w:t xml:space="preserve"> </w:t>
      </w:r>
      <w:r>
        <w:t xml:space="preserve">available on the EU Science Hub). In this report, and at the request of Commission</w:t>
      </w:r>
      <w:r>
        <w:t xml:space="preserve"> </w:t>
      </w:r>
      <w:r>
        <w:t xml:space="preserve">services, the Joint Research Centre assessed (i) temporary high balances and the impact</w:t>
      </w:r>
      <w:r>
        <w:t xml:space="preserve"> </w:t>
      </w:r>
      <w:r>
        <w:t xml:space="preserve">of harmonising them, (ii) the effectiveness and the pooling effect of a central deposit</w:t>
      </w:r>
      <w:r>
        <w:t xml:space="preserve"> </w:t>
      </w:r>
      <w:r>
        <w:t xml:space="preserve">insurance scheme, and (iii) different approaches to risk-based contributions to EDIS.</w:t>
      </w:r>
      <w:r>
        <w:t xml:space="preserve"> </w:t>
      </w:r>
      <w:r>
        <w:t xml:space="preserve">Review of temporary high balances</w:t>
      </w:r>
      <w:r>
        <w:t xml:space="preserve"> </w:t>
      </w:r>
      <w:r>
        <w:t xml:space="preserve">The report assesses the financial impact of harmonising the coverage of temporary high</w:t>
      </w:r>
      <w:r>
        <w:t xml:space="preserve"> </w:t>
      </w:r>
      <w:r>
        <w:t xml:space="preserve">balances under Article 6(2) of the DGSD. Building on past exercises, the report</w:t>
      </w:r>
      <w:r>
        <w:t xml:space="preserve"> </w:t>
      </w:r>
      <w:r>
        <w:t xml:space="preserve">quantifies the size of deposits generated from real estate transactions and insurance pay-</w:t>
      </w:r>
      <w:r>
        <w:t xml:space="preserve"> </w:t>
      </w:r>
      <w:r>
        <w:t xml:space="preserve">outs linked to life events and criminal injuries protected under the DGSD. It assesses the</w:t>
      </w:r>
      <w:r>
        <w:t xml:space="preserve"> </w:t>
      </w:r>
      <w:r>
        <w:t xml:space="preserve">cost for the DGS and banks when providing extra protection to these deposits. The</w:t>
      </w:r>
      <w:r>
        <w:t xml:space="preserve"> </w:t>
      </w:r>
      <w:r>
        <w:t xml:space="preserve">analysis also introduces a novel angle to the problem. It looks at the impact on the wealth</w:t>
      </w:r>
      <w:r>
        <w:t xml:space="preserve"> </w:t>
      </w:r>
      <w:r>
        <w:t xml:space="preserve">of households involved in real estate transaction absent the DGS protection. This double</w:t>
      </w:r>
      <w:r>
        <w:t xml:space="preserve"> </w:t>
      </w:r>
      <w:r>
        <w:t xml:space="preserve">perspective on costs and benefits enables a better understanding of the implication of</w:t>
      </w:r>
      <w:r>
        <w:t xml:space="preserve"> </w:t>
      </w:r>
      <w:r>
        <w:t xml:space="preserve">different policy options.</w:t>
      </w:r>
      <w:r>
        <w:t xml:space="preserve"> </w:t>
      </w:r>
      <w:r>
        <w:t xml:space="preserve">Measuring the effectiveness and the pooling effect of EDIS</w:t>
      </w:r>
      <w:r>
        <w:t xml:space="preserve"> </w:t>
      </w:r>
      <w:r>
        <w:t xml:space="preserve">The report addresses how DGS pay-out capacity would change if the current national</w:t>
      </w:r>
      <w:r>
        <w:t xml:space="preserve"> </w:t>
      </w:r>
      <w:r>
        <w:t xml:space="preserve">DGS system is replaced or complemented by EDIS and whether synergies arise from</w:t>
      </w:r>
      <w:r>
        <w:t xml:space="preserve"> </w:t>
      </w:r>
      <w:r>
        <w:t xml:space="preserve">pooling effects in the contributions. The analysis is based on the SYMBOL model, which</w:t>
      </w:r>
      <w:r>
        <w:t xml:space="preserve"> </w:t>
      </w:r>
      <w:r>
        <w:t xml:space="preserve">simulates bank failures and the corresponding multiple pay-outs hitting the Deposits</w:t>
      </w:r>
      <w:r>
        <w:t xml:space="preserve"> </w:t>
      </w:r>
      <w:r>
        <w:t xml:space="preserve">Guarantee Schemes and the common fund.</w:t>
      </w:r>
      <w:r>
        <w:br/>
      </w:r>
      <w:r>
        <w:t xml:space="preserve">The report finds that EDIS is more effective than the status quo. A system with common</w:t>
      </w:r>
      <w:r>
        <w:t xml:space="preserve"> </w:t>
      </w:r>
      <w:r>
        <w:t xml:space="preserve">financial means is able to protect a higher amount of covered deposits than under the</w:t>
      </w:r>
      <w:r>
        <w:t xml:space="preserve"> </w:t>
      </w:r>
      <w:r>
        <w:t xml:space="preserve">status quo. The more resources are mutualised, the more effective the system is. All</w:t>
      </w:r>
      <w:r>
        <w:t xml:space="preserve"> </w:t>
      </w:r>
      <w:r>
        <w:t xml:space="preserve">variant of EDIS considered in the analysis significantly reduce the likelihood and the size</w:t>
      </w:r>
      <w:r>
        <w:t xml:space="preserve"> </w:t>
      </w:r>
      <w:r>
        <w:t xml:space="preserve">of liquidity shortfall even under a systemic event. In addition, the pooling of resources</w:t>
      </w:r>
      <w:r>
        <w:t xml:space="preserve"> </w:t>
      </w:r>
      <w:r>
        <w:t xml:space="preserve">increases the probability of full protection of the covered deposits without liquidity</w:t>
      </w:r>
      <w:r>
        <w:t xml:space="preserve"> </w:t>
      </w:r>
      <w:r>
        <w:t xml:space="preserve">shortfall and delivers a higher efficiency for various EDIS designs creating room for</w:t>
      </w:r>
      <w:r>
        <w:t xml:space="preserve"> </w:t>
      </w:r>
      <w:r>
        <w:t xml:space="preserve">lowering the target level and consequently the cost for the baking sector.</w:t>
      </w:r>
      <w:r>
        <w:br/>
      </w:r>
      <w:r>
        <w:t xml:space="preserve">Different approaches to risk-based contributions to EDIS</w:t>
      </w:r>
      <w:r>
        <w:t xml:space="preserve"> </w:t>
      </w:r>
      <w:r>
        <w:t xml:space="preserve">The technical framework for determining these contributions is based upon EBA</w:t>
      </w:r>
      <w:r>
        <w:t xml:space="preserve"> </w:t>
      </w:r>
      <w:r>
        <w:t xml:space="preserve">guidelines on methods for calculating contributions to deposits guarantee schemes. EBA</w:t>
      </w:r>
      <w:r>
        <w:t xml:space="preserve"> </w:t>
      </w:r>
      <w:r>
        <w:t xml:space="preserve">developed such guidelines pursuant to Article 13(3) of the Directive 2014/49/EU of the</w:t>
      </w:r>
      <w:r>
        <w:t xml:space="preserve"> </w:t>
      </w:r>
      <w:r>
        <w:t xml:space="preserve">European Parliament and of the Council and they set alternative methodologies and risk</w:t>
      </w:r>
      <w:r>
        <w:t xml:space="preserve"> </w:t>
      </w:r>
      <w:r>
        <w:t xml:space="preserve">indicators to compute risk-based contributions.</w:t>
      </w:r>
      <w:r>
        <w:br/>
      </w:r>
      <w:r>
        <w:t xml:space="preserve">Starting from this report, the JRC developed and tested alternative scoring methods and</w:t>
      </w:r>
      <w:r>
        <w:t xml:space="preserve"> </w:t>
      </w:r>
      <w:r>
        <w:t xml:space="preserve">presents the results of this analysis in the present report.</w:t>
      </w:r>
    </w:p>
    <w:p>
      <w:pPr>
        <w:pStyle w:val="BodyText"/>
      </w:pPr>
      <w:r>
        <w:t xml:space="preserve">386</w:t>
      </w:r>
      <w:r>
        <w:t xml:space="preserve"> </w:t>
      </w:r>
      <w:r>
        <w:t xml:space="preserve">ANNEX 13: OTHER QUANTITATIVE ANALYSES</w:t>
      </w:r>
    </w:p>
    <w:p>
      <w:pPr>
        <w:pStyle w:val="Compact"/>
        <w:numPr>
          <w:ilvl w:val="0"/>
          <w:numId w:val="1055"/>
        </w:numPr>
      </w:pPr>
      <w:r>
        <w:t xml:space="preserve">OBJECTIVE AND SCOPE</w:t>
      </w:r>
      <w:r>
        <w:t xml:space="preserve"> </w:t>
      </w:r>
      <w:r>
        <w:t xml:space="preserve">The objective of this Annex is to provide detailed quantitative information to support the</w:t>
      </w:r>
      <w:r>
        <w:t xml:space="preserve"> </w:t>
      </w:r>
      <w:r>
        <w:t xml:space="preserve">assessment of the policy options set out in Chapters 5, 6 and 7 as well as certain aspects</w:t>
      </w:r>
      <w:r>
        <w:t xml:space="preserve"> </w:t>
      </w:r>
      <w:r>
        <w:t xml:space="preserve">of the evaluation (Annex 5). In terms of scope, this Annex covers:</w:t>
      </w:r>
    </w:p>
    <w:p>
      <w:pPr>
        <w:pStyle w:val="Compact"/>
        <w:numPr>
          <w:ilvl w:val="0"/>
          <w:numId w:val="1056"/>
        </w:numPr>
      </w:pPr>
      <w:r>
        <w:t xml:space="preserve">An overview of the methodology</w:t>
      </w:r>
    </w:p>
    <w:p>
      <w:pPr>
        <w:pStyle w:val="Compact"/>
        <w:numPr>
          <w:ilvl w:val="0"/>
          <w:numId w:val="1056"/>
        </w:numPr>
      </w:pPr>
      <w:r>
        <w:t xml:space="preserve">An overview of the application of the public interest assessment (PIA)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An overview of the operationalisation of transfer strategies</w:t>
      </w:r>
    </w:p>
    <w:p>
      <w:pPr>
        <w:pStyle w:val="Compact"/>
        <w:numPr>
          <w:ilvl w:val="0"/>
          <w:numId w:val="1056"/>
        </w:numPr>
      </w:pPr>
      <w:r>
        <w:t xml:space="preserve">An overview of issues regarding MREL requirements</w:t>
      </w:r>
    </w:p>
    <w:p>
      <w:pPr>
        <w:pStyle w:val="Compact"/>
        <w:numPr>
          <w:ilvl w:val="0"/>
          <w:numId w:val="1056"/>
        </w:numPr>
      </w:pPr>
      <w:r>
        <w:t xml:space="preserve">Caveats and disclaimers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Other methodological considerations</w:t>
      </w:r>
    </w:p>
    <w:p>
      <w:pPr>
        <w:pStyle w:val="Compact"/>
        <w:numPr>
          <w:ilvl w:val="0"/>
          <w:numId w:val="1057"/>
        </w:numPr>
      </w:pPr>
      <w:r>
        <w:t xml:space="preserve">OVERVIEW OF THE METHODOLOGY</w:t>
      </w:r>
      <w:r>
        <w:t xml:space="preserve"> </w:t>
      </w:r>
      <w:r>
        <w:t xml:space="preserve">Data sources and references</w:t>
      </w:r>
      <w:r>
        <w:t xml:space="preserve"> </w:t>
      </w:r>
      <w:r>
        <w:t xml:space="preserve">Each area of analysis outlined in section 1 builds on the data provided by the SRB and</w:t>
      </w:r>
      <w:r>
        <w:t xml:space="preserve"> </w:t>
      </w:r>
      <w:r>
        <w:t xml:space="preserve">the data used in the EBA response to the Call for Advice report collected by the EBA</w:t>
      </w:r>
      <w:r>
        <w:t xml:space="preserve"> </w:t>
      </w:r>
      <w:r>
        <w:t xml:space="preserve">directly from resolution authorities. Table 40 provides a mapping of the data sources</w:t>
      </w:r>
      <w:r>
        <w:t xml:space="preserve"> </w:t>
      </w:r>
      <w:r>
        <w:t xml:space="preserve">used in this Annex:</w:t>
      </w:r>
      <w:r>
        <w:br/>
      </w:r>
      <w:r>
        <w:t xml:space="preserve">Table 40: Mapping data sources and references</w:t>
      </w:r>
      <w:r>
        <w:t xml:space="preserve"> </w:t>
      </w:r>
      <w:r>
        <w:t xml:space="preserve">Section #</w:t>
      </w:r>
      <w:r>
        <w:t xml:space="preserve"> </w:t>
      </w:r>
      <w:r>
        <w:t xml:space="preserve">Data sources and references</w:t>
      </w:r>
      <w:r>
        <w:t xml:space="preserve"> </w:t>
      </w:r>
      <w:r>
        <w:t xml:space="preserve">Application of the PIA</w:t>
      </w:r>
    </w:p>
    <w:p>
      <w:pPr>
        <w:pStyle w:val="Compact"/>
        <w:numPr>
          <w:ilvl w:val="0"/>
          <w:numId w:val="1058"/>
        </w:numPr>
      </w:pPr>
      <w:r>
        <w:t xml:space="preserve">EBA CfA report605</w:t>
      </w:r>
    </w:p>
    <w:p>
      <w:pPr>
        <w:pStyle w:val="Compact"/>
        <w:numPr>
          <w:ilvl w:val="0"/>
          <w:numId w:val="1058"/>
        </w:numPr>
      </w:pPr>
      <w:r>
        <w:t xml:space="preserve">SRB data</w:t>
      </w:r>
      <w:r>
        <w:t xml:space="preserve"> </w:t>
      </w:r>
      <w:r>
        <w:t xml:space="preserve">Transfer strategies</w:t>
      </w:r>
    </w:p>
    <w:p>
      <w:pPr>
        <w:pStyle w:val="Compact"/>
        <w:numPr>
          <w:ilvl w:val="0"/>
          <w:numId w:val="1058"/>
        </w:numPr>
      </w:pPr>
      <w:r>
        <w:t xml:space="preserve">EBA quantitative MREL report as of 31 December</w:t>
      </w:r>
      <w:r>
        <w:t xml:space="preserve"> </w:t>
      </w:r>
      <w:r>
        <w:t xml:space="preserve">2019 of June 2021606 and as of 31 December 2020 of</w:t>
      </w:r>
      <w:r>
        <w:t xml:space="preserve"> </w:t>
      </w:r>
      <w:r>
        <w:t xml:space="preserve">April 2022607</w:t>
      </w:r>
      <w:r>
        <w:t xml:space="preserve"> </w:t>
      </w:r>
      <w:r>
        <w:t xml:space="preserve">MREL</w:t>
      </w:r>
    </w:p>
    <w:p>
      <w:pPr>
        <w:pStyle w:val="Compact"/>
        <w:numPr>
          <w:ilvl w:val="0"/>
          <w:numId w:val="1058"/>
        </w:numPr>
      </w:pPr>
      <w:r>
        <w:t xml:space="preserve">MREL build-up</w:t>
      </w:r>
    </w:p>
    <w:p>
      <w:pPr>
        <w:pStyle w:val="Compact"/>
        <w:numPr>
          <w:ilvl w:val="0"/>
          <w:numId w:val="1058"/>
        </w:numPr>
      </w:pPr>
      <w:r>
        <w:t xml:space="preserve">Issuances of own funds and</w:t>
      </w:r>
      <w:r>
        <w:t xml:space="preserve"> </w:t>
      </w:r>
      <w:r>
        <w:t xml:space="preserve">eligible liabilities</w:t>
      </w:r>
    </w:p>
    <w:p>
      <w:pPr>
        <w:pStyle w:val="Compact"/>
        <w:numPr>
          <w:ilvl w:val="0"/>
          <w:numId w:val="1058"/>
        </w:numPr>
      </w:pPr>
      <w:r>
        <w:t xml:space="preserve">Holdings of own funds and</w:t>
      </w:r>
      <w:r>
        <w:t xml:space="preserve"> </w:t>
      </w:r>
      <w:r>
        <w:t xml:space="preserve">eligible liabilities</w:t>
      </w:r>
    </w:p>
    <w:p>
      <w:pPr>
        <w:pStyle w:val="Compact"/>
        <w:numPr>
          <w:ilvl w:val="0"/>
          <w:numId w:val="1058"/>
        </w:numPr>
      </w:pPr>
      <w:r>
        <w:t xml:space="preserve">SRB MREL Dashboards608 and Annual Reports609</w:t>
      </w:r>
    </w:p>
    <w:p>
      <w:pPr>
        <w:pStyle w:val="Compact"/>
        <w:numPr>
          <w:ilvl w:val="0"/>
          <w:numId w:val="1058"/>
        </w:numPr>
      </w:pPr>
      <w:r>
        <w:t xml:space="preserve">European Commission, ECB and SRB joint Risk</w:t>
      </w:r>
      <w:r>
        <w:t xml:space="preserve"> </w:t>
      </w:r>
      <w:r>
        <w:t xml:space="preserve">Reduction Monitoring Reports of November 2020610,</w:t>
      </w:r>
      <w:r>
        <w:t xml:space="preserve"> </w:t>
      </w:r>
      <w:r>
        <w:t xml:space="preserve">May 2021611 and November 2021612</w:t>
      </w:r>
    </w:p>
    <w:p>
      <w:pPr>
        <w:pStyle w:val="Compact"/>
        <w:numPr>
          <w:ilvl w:val="0"/>
          <w:numId w:val="1058"/>
        </w:numPr>
      </w:pPr>
      <w:r>
        <w:t xml:space="preserve">EBA quantitative MREL reports as of 31 December</w:t>
      </w:r>
      <w:r>
        <w:t xml:space="preserve"> </w:t>
      </w:r>
      <w:r>
        <w:t xml:space="preserve">2019 of June 2021, as of 31 December 2020 of April</w:t>
      </w:r>
      <w:r>
        <w:t xml:space="preserve"> </w:t>
      </w:r>
      <w:r>
        <w:t xml:space="preserve">2022 and as of 31 December 2021 of January</w:t>
      </w:r>
      <w:r>
        <w:t xml:space="preserve"> </w:t>
      </w:r>
      <w:r>
        <w:t xml:space="preserve">2023613</w:t>
      </w:r>
    </w:p>
    <w:p>
      <w:pPr>
        <w:pStyle w:val="FirstParagraph"/>
      </w:pPr>
      <w:r>
        <w:t xml:space="preserve">605 EBA (October 2021), Call for advice regarding funding in resolution and insolvency</w:t>
      </w:r>
      <w:r>
        <w:t xml:space="preserve"> </w:t>
      </w:r>
      <w:r>
        <w:t xml:space="preserve">606 EBA (June 2021), EBA Quantitative MREL report, as of 31 December 2019.</w:t>
      </w:r>
      <w:r>
        <w:t xml:space="preserve"> </w:t>
      </w:r>
      <w:r>
        <w:t xml:space="preserve">607 EBA (April 2022), EBA Quantitative MREL report, as of 31 December 2020.</w:t>
      </w:r>
      <w:r>
        <w:t xml:space="preserve"> </w:t>
      </w:r>
      <w:r>
        <w:t xml:space="preserve">608 SRB (Q2 2020 to Q3 2022), MREL Dashboards.</w:t>
      </w:r>
      <w:r>
        <w:t xml:space="preserve"> </w:t>
      </w:r>
      <w:r>
        <w:t xml:space="preserve">609 SRB (2015 – 2020), SRB Annual reports.</w:t>
      </w:r>
      <w:r>
        <w:t xml:space="preserve"> </w:t>
      </w:r>
      <w:r>
        <w:t xml:space="preserve">610 European Commission, ECB, SRB (November 2020), Monitoring report on risk reduction indicators.</w:t>
      </w:r>
      <w:r>
        <w:br/>
      </w:r>
      <w:r>
        <w:t xml:space="preserve">611 European Commission, ECB, SRB (May 2021), Monitoring report on risk reduction indicators.</w:t>
      </w:r>
      <w:r>
        <w:br/>
      </w:r>
      <w:r>
        <w:t xml:space="preserve">612 European Commission, ECB, SRB (November 2021), Monitoring report on risk reduction indicators.</w:t>
      </w:r>
      <w:r>
        <w:t xml:space="preserve"> </w:t>
      </w:r>
      <w:r>
        <w:t xml:space="preserve">613 EBA (January 2023), EBA MREL quantitative monitoring report and impact assessment</w:t>
      </w:r>
    </w:p>
    <w:p>
      <w:pPr>
        <w:pStyle w:val="BodyText"/>
      </w:pPr>
      <w:r>
        <w:t xml:space="preserve">387</w:t>
      </w:r>
      <w:r>
        <w:t xml:space="preserve"> </w:t>
      </w:r>
      <w:r>
        <w:t xml:space="preserve">Section #</w:t>
      </w:r>
      <w:r>
        <w:t xml:space="preserve"> </w:t>
      </w:r>
      <w:r>
        <w:t xml:space="preserve">Data sources and references</w:t>
      </w:r>
      <w:r>
        <w:t xml:space="preserve"> </w:t>
      </w:r>
      <w:r>
        <w:t xml:space="preserve">- ECB data on MREL holdings</w:t>
      </w:r>
      <w:r>
        <w:t xml:space="preserve"> </w:t>
      </w:r>
      <w:r>
        <w:t xml:space="preserve">- S&amp;P data</w:t>
      </w:r>
    </w:p>
    <w:p>
      <w:pPr>
        <w:pStyle w:val="BodyText"/>
      </w:pPr>
      <w:r>
        <w:t xml:space="preserve">Detailed information on methodological assumptions is available in each section where</w:t>
      </w:r>
      <w:r>
        <w:t xml:space="preserve"> </w:t>
      </w:r>
      <w:r>
        <w:t xml:space="preserve">these analyses are presented.</w:t>
      </w:r>
      <w:r>
        <w:t xml:space="preserve"> </w:t>
      </w:r>
      <w:r>
        <w:t xml:space="preserve">3.</w:t>
      </w:r>
      <w:r>
        <w:t xml:space="preserve"> </w:t>
      </w:r>
      <w:r>
        <w:t xml:space="preserve">PUBLIC INTEREST ASSESSMENT</w:t>
      </w:r>
      <w:r>
        <w:t xml:space="preserve"> </w:t>
      </w:r>
      <w:r>
        <w:t xml:space="preserve">The objective of this section is to present descriptive statistics related to the outcome of</w:t>
      </w:r>
      <w:r>
        <w:t xml:space="preserve"> </w:t>
      </w:r>
      <w:r>
        <w:t xml:space="preserve">the implementation of the PIA for resolution planning purposes to date614. The</w:t>
      </w:r>
      <w:r>
        <w:t xml:space="preserve"> </w:t>
      </w:r>
      <w:r>
        <w:t xml:space="preserve">information is based on the application of the PIA under the existing rules (baseline).</w:t>
      </w:r>
      <w:r>
        <w:t xml:space="preserve"> </w:t>
      </w:r>
      <w:r>
        <w:t xml:space="preserve">This section does not estimate the extension of the PIA application under the packages of</w:t>
      </w:r>
      <w:r>
        <w:t xml:space="preserve"> </w:t>
      </w:r>
      <w:r>
        <w:t xml:space="preserve">options described in Chapter 6 for the reasons described in that chapter (i.e. retained</w:t>
      </w:r>
      <w:r>
        <w:t xml:space="preserve"> </w:t>
      </w:r>
      <w:r>
        <w:t xml:space="preserve">discretion by authorities, PIA decision at planning phase is a presumptive path which</w:t>
      </w:r>
      <w:r>
        <w:t xml:space="preserve"> </w:t>
      </w:r>
      <w:r>
        <w:t xml:space="preserve">could change at the moment of failure in function of concrete case by case</w:t>
      </w:r>
      <w:r>
        <w:t xml:space="preserve"> </w:t>
      </w:r>
      <w:r>
        <w:t xml:space="preserve">circumstances).</w:t>
      </w:r>
      <w:r>
        <w:br/>
      </w:r>
      <w:r>
        <w:t xml:space="preserve">Table 41 provides an overview, per size classification and per funding structure, taking</w:t>
      </w:r>
      <w:r>
        <w:t xml:space="preserve"> </w:t>
      </w:r>
      <w:r>
        <w:t xml:space="preserve">into account the prevalence of deposits in the banks’ liabilities615, of the implementation</w:t>
      </w:r>
      <w:r>
        <w:t xml:space="preserve"> </w:t>
      </w:r>
      <w:r>
        <w:t xml:space="preserve">of the PIA.</w:t>
      </w:r>
      <w:r>
        <w:br/>
      </w:r>
      <w:r>
        <w:t xml:space="preserve">Based on data referred to in the EBA CfA report and SRB input, at the level of the EU,</w:t>
      </w:r>
      <w:r>
        <w:t xml:space="preserve"> </w:t>
      </w:r>
      <w:r>
        <w:t xml:space="preserve">90% of the large banks, including all G-SIIs and a majority of O-SIIs have a positive</w:t>
      </w:r>
      <w:r>
        <w:t xml:space="preserve"> </w:t>
      </w:r>
      <w:r>
        <w:t xml:space="preserve">PIA, leading the vast majority of the systemically important banks to have resolution as</w:t>
      </w:r>
      <w:r>
        <w:t xml:space="preserve"> </w:t>
      </w:r>
      <w:r>
        <w:t xml:space="preserve">presumptive path in case of failure.</w:t>
      </w:r>
      <w:r>
        <w:t xml:space="preserve"> </w:t>
      </w:r>
      <w:r>
        <w:t xml:space="preserve">The outcome of the assessment changes significantly depending on the size</w:t>
      </w:r>
      <w:r>
        <w:t xml:space="preserve"> </w:t>
      </w:r>
      <w:r>
        <w:t xml:space="preserve">classification, in particular when the size of the institution decreases. In particular, while</w:t>
      </w:r>
      <w:r>
        <w:t xml:space="preserve"> </w:t>
      </w:r>
      <w:r>
        <w:t xml:space="preserve">few of the largest institutions have a negative PIA, the share of institutions with a</w:t>
      </w:r>
      <w:r>
        <w:t xml:space="preserve"> </w:t>
      </w:r>
      <w:r>
        <w:t xml:space="preserve">positive PIA decreases to 70% for medium-sized institutions across the EU, and down to</w:t>
      </w:r>
      <w:r>
        <w:t xml:space="preserve"> </w:t>
      </w:r>
      <w:r>
        <w:t xml:space="preserve">29% for small and non-complex institutions. In total, 187 banks out of 368 (51%) in the</w:t>
      </w:r>
      <w:r>
        <w:t xml:space="preserve"> </w:t>
      </w:r>
      <w:r>
        <w:t xml:space="preserve">sample are earmarked for resolution. The proportion is similar in the Banking Union616</w:t>
      </w:r>
      <w:r>
        <w:t xml:space="preserve"> </w:t>
      </w:r>
      <w:r>
        <w:t xml:space="preserve">(49%).</w:t>
      </w:r>
      <w:r>
        <w:t xml:space="preserve"> </w:t>
      </w:r>
      <w:r>
        <w:t xml:space="preserve">When considering the funding structure, banks with a high prevalence of deposits (i.e. </w:t>
      </w:r>
      <w:r>
        <w:t xml:space="preserve"> </w:t>
      </w:r>
      <w:r>
        <w:t xml:space="preserve">proportion of deposits over 80% of TLOF) tend to be more often earmarked for</w:t>
      </w:r>
      <w:r>
        <w:t xml:space="preserve"> </w:t>
      </w:r>
      <w:r>
        <w:t xml:space="preserve">liquidation (only 39% of cases with a positive PIA). However, the lower levels of</w:t>
      </w:r>
      <w:r>
        <w:t xml:space="preserve"> </w:t>
      </w:r>
      <w:r>
        <w:t xml:space="preserve">prevalence of deposits do not have a material effect on the distribution between negative</w:t>
      </w:r>
      <w:r>
        <w:t xml:space="preserve"> </w:t>
      </w:r>
      <w:r>
        <w:t xml:space="preserve">and positive PIA, as the proportion of banks earmarked for resolution is generally stable</w:t>
      </w:r>
      <w:r>
        <w:t xml:space="preserve"> </w:t>
      </w:r>
      <w:r>
        <w:t xml:space="preserve">between 57% and 62%.</w:t>
      </w:r>
    </w:p>
    <w:p>
      <w:pPr>
        <w:pStyle w:val="BodyText"/>
      </w:pPr>
      <w:r>
        <w:t xml:space="preserve">614 Irrespective of the resolution authorities’ decision regarding the PIA when an institution is at the</w:t>
      </w:r>
      <w:r>
        <w:t xml:space="preserve"> </w:t>
      </w:r>
      <w:r>
        <w:t xml:space="preserve">moment of failure or likely to fail (Article 32 BRRD).</w:t>
      </w:r>
      <w:r>
        <w:t xml:space="preserve"> </w:t>
      </w:r>
      <w:r>
        <w:t xml:space="preserve">615 In accordance with the methodology used in the EBA CfA Report.</w:t>
      </w:r>
      <w:r>
        <w:t xml:space="preserve"> </w:t>
      </w:r>
      <w:r>
        <w:t xml:space="preserve">616 Considering all banks in the Banking Union (significant and less significant institutions).</w:t>
      </w:r>
    </w:p>
    <w:p>
      <w:pPr>
        <w:pStyle w:val="BodyText"/>
      </w:pPr>
      <w:r>
        <w:t xml:space="preserve">388</w:t>
      </w:r>
      <w:r>
        <w:t xml:space="preserve"> </w:t>
      </w:r>
      <w:r>
        <w:t xml:space="preserve">Table 41: Outcome of the implementation of the PIA in the EU</w:t>
      </w:r>
    </w:p>
    <w:p>
      <w:pPr>
        <w:pStyle w:val="Compact"/>
        <w:numPr>
          <w:ilvl w:val="0"/>
          <w:numId w:val="1059"/>
        </w:numPr>
      </w:pPr>
      <w:r>
        <w:t xml:space="preserve">Institutions with</w:t>
      </w:r>
      <w:r>
        <w:t xml:space="preserve"> </w:t>
      </w:r>
      <w:r>
        <w:t xml:space="preserve">positive PIA</w:t>
      </w:r>
      <w:r>
        <w:t xml:space="preserve"> </w:t>
      </w:r>
      <w:r>
        <w:t xml:space="preserve">Count</w:t>
      </w:r>
      <w:r>
        <w:t xml:space="preserve"> </w:t>
      </w:r>
      <w:r>
        <w:t xml:space="preserve">%</w:t>
      </w:r>
      <w:r>
        <w:t xml:space="preserve"> </w:t>
      </w:r>
      <w:r>
        <w:t xml:space="preserve">Small</w:t>
      </w:r>
      <w:r>
        <w:t xml:space="preserve"> </w:t>
      </w:r>
      <w:r>
        <w:t xml:space="preserve">195</w:t>
      </w:r>
      <w:r>
        <w:t xml:space="preserve"> </w:t>
      </w:r>
      <w:r>
        <w:t xml:space="preserve">56</w:t>
      </w:r>
      <w:r>
        <w:t xml:space="preserve"> </w:t>
      </w:r>
      <w:r>
        <w:t xml:space="preserve">29%</w:t>
      </w:r>
      <w:r>
        <w:t xml:space="preserve"> </w:t>
      </w:r>
      <w:r>
        <w:t xml:space="preserve">Medium</w:t>
      </w:r>
      <w:r>
        <w:t xml:space="preserve"> </w:t>
      </w:r>
      <w:r>
        <w:t xml:space="preserve">124</w:t>
      </w:r>
      <w:r>
        <w:t xml:space="preserve"> </w:t>
      </w:r>
      <w:r>
        <w:t xml:space="preserve">87</w:t>
      </w:r>
      <w:r>
        <w:t xml:space="preserve"> </w:t>
      </w:r>
      <w:r>
        <w:t xml:space="preserve">70%</w:t>
      </w:r>
      <w:r>
        <w:t xml:space="preserve"> </w:t>
      </w:r>
      <w:r>
        <w:t xml:space="preserve">Large</w:t>
      </w:r>
      <w:r>
        <w:t xml:space="preserve"> </w:t>
      </w:r>
      <w:r>
        <w:t xml:space="preserve">49</w:t>
      </w:r>
      <w:r>
        <w:t xml:space="preserve"> </w:t>
      </w:r>
      <w:r>
        <w:t xml:space="preserve">44</w:t>
      </w:r>
      <w:r>
        <w:t xml:space="preserve"> </w:t>
      </w:r>
      <w:r>
        <w:t xml:space="preserve">90%</w:t>
      </w:r>
      <w:r>
        <w:t xml:space="preserve"> </w:t>
      </w:r>
      <w:r>
        <w:t xml:space="preserve">Low</w:t>
      </w:r>
      <w:r>
        <w:t xml:space="preserve"> </w:t>
      </w:r>
      <w:r>
        <w:t xml:space="preserve">107</w:t>
      </w:r>
      <w:r>
        <w:t xml:space="preserve"> </w:t>
      </w:r>
      <w:r>
        <w:t xml:space="preserve">63</w:t>
      </w:r>
      <w:r>
        <w:t xml:space="preserve"> </w:t>
      </w:r>
      <w:r>
        <w:t xml:space="preserve">59%</w:t>
      </w:r>
      <w:r>
        <w:t xml:space="preserve"> </w:t>
      </w:r>
      <w:r>
        <w:t xml:space="preserve">Mid</w:t>
      </w:r>
      <w:r>
        <w:t xml:space="preserve"> </w:t>
      </w:r>
      <w:r>
        <w:t xml:space="preserve">44</w:t>
      </w:r>
      <w:r>
        <w:t xml:space="preserve"> </w:t>
      </w:r>
      <w:r>
        <w:t xml:space="preserve">25</w:t>
      </w:r>
      <w:r>
        <w:t xml:space="preserve"> </w:t>
      </w:r>
      <w:r>
        <w:t xml:space="preserve">57%</w:t>
      </w:r>
      <w:r>
        <w:t xml:space="preserve"> </w:t>
      </w:r>
      <w:r>
        <w:t xml:space="preserve">Mid-High</w:t>
      </w:r>
      <w:r>
        <w:t xml:space="preserve"> </w:t>
      </w:r>
      <w:r>
        <w:t xml:space="preserve">63</w:t>
      </w:r>
      <w:r>
        <w:t xml:space="preserve"> </w:t>
      </w:r>
      <w:r>
        <w:t xml:space="preserve">39</w:t>
      </w:r>
      <w:r>
        <w:t xml:space="preserve"> </w:t>
      </w:r>
      <w:r>
        <w:t xml:space="preserve">62%</w:t>
      </w:r>
      <w:r>
        <w:t xml:space="preserve"> </w:t>
      </w:r>
      <w:r>
        <w:t xml:space="preserve">High</w:t>
      </w:r>
      <w:r>
        <w:t xml:space="preserve"> </w:t>
      </w:r>
      <w:r>
        <w:t xml:space="preserve">154</w:t>
      </w:r>
      <w:r>
        <w:t xml:space="preserve"> </w:t>
      </w:r>
      <w:r>
        <w:t xml:space="preserve">60</w:t>
      </w:r>
      <w:r>
        <w:t xml:space="preserve"> </w:t>
      </w:r>
      <w:r>
        <w:t xml:space="preserve">39%</w:t>
      </w:r>
      <w:r>
        <w:t xml:space="preserve"> </w:t>
      </w:r>
      <w:r>
        <w:t xml:space="preserve">Total</w:t>
      </w:r>
      <w:r>
        <w:t xml:space="preserve"> </w:t>
      </w:r>
      <w:r>
        <w:t xml:space="preserve">368</w:t>
      </w:r>
      <w:r>
        <w:t xml:space="preserve"> </w:t>
      </w:r>
      <w:r>
        <w:t xml:space="preserve">187</w:t>
      </w:r>
      <w:r>
        <w:t xml:space="preserve"> </w:t>
      </w:r>
      <w:r>
        <w:t xml:space="preserve">51%</w:t>
      </w:r>
      <w:r>
        <w:t xml:space="preserve"> </w:t>
      </w:r>
      <w:r>
        <w:t xml:space="preserve">Source: Commission services, based on EBA CfA report and SRB data, as of Q4 2019</w:t>
      </w:r>
    </w:p>
    <w:p>
      <w:pPr>
        <w:pStyle w:val="Compact"/>
        <w:numPr>
          <w:ilvl w:val="0"/>
          <w:numId w:val="1060"/>
        </w:numPr>
      </w:pPr>
      <w:r>
        <w:t xml:space="preserve">OPERATIONALISATION OF TRANSFER STRATEGIES</w:t>
      </w:r>
      <w:r>
        <w:t xml:space="preserve"> </w:t>
      </w:r>
      <w:r>
        <w:t xml:space="preserve">In case of positive PIA, the choice of the resolution strategy and the appropriate</w:t>
      </w:r>
      <w:r>
        <w:t xml:space="preserve"> </w:t>
      </w:r>
      <w:r>
        <w:t xml:space="preserve">resolution tools relies on resolution authorities’ judgement and discretion. In particular,</w:t>
      </w:r>
      <w:r>
        <w:t xml:space="preserve"> </w:t>
      </w:r>
      <w:r>
        <w:t xml:space="preserve">relying on the use of a transfer tool (e.g. sale of business, bridge institution or asset</w:t>
      </w:r>
      <w:r>
        <w:t xml:space="preserve"> </w:t>
      </w:r>
      <w:r>
        <w:t xml:space="preserve">separation) depends on several factors aimed at supporting the feasibility and credibility</w:t>
      </w:r>
      <w:r>
        <w:t xml:space="preserve"> </w:t>
      </w:r>
      <w:r>
        <w:t xml:space="preserve">of a full or partial transfer of activities to a third party in resolution. So far, evidence</w:t>
      </w:r>
      <w:r>
        <w:t xml:space="preserve"> </w:t>
      </w:r>
      <w:r>
        <w:t xml:space="preserve">shows that transfer strategies have been mostly used for small or mid-sized institutions,</w:t>
      </w:r>
      <w:r>
        <w:t xml:space="preserve"> </w:t>
      </w:r>
      <w:r>
        <w:t xml:space="preserve">for which the transferability is seen as more achievable compared to other, larger groups.</w:t>
      </w:r>
      <w:r>
        <w:br/>
      </w:r>
      <w:r>
        <w:t xml:space="preserve">According to the EBA 2023 quantitative report on MREL, as of December 2021,</w:t>
      </w:r>
      <w:r>
        <w:t xml:space="preserve"> </w:t>
      </w:r>
      <w:r>
        <w:t xml:space="preserve">approximately 81% of EU-27 banks’ domestic assets were covered by a strategy other</w:t>
      </w:r>
      <w:r>
        <w:t xml:space="preserve"> </w:t>
      </w:r>
      <w:r>
        <w:t xml:space="preserve">than liquidation: 77.3% of assets were covered by a bail-in strategy and 3.5% by a</w:t>
      </w:r>
      <w:r>
        <w:t xml:space="preserve"> </w:t>
      </w:r>
      <w:r>
        <w:t xml:space="preserve">strategy relying on the use of a transfer tool. Bail-in strategies continue to be the first-</w:t>
      </w:r>
      <w:r>
        <w:t xml:space="preserve"> </w:t>
      </w:r>
      <w:r>
        <w:t xml:space="preserve">choice approach for the largest banks, with a total of 144 MREL decisions covering EUR</w:t>
      </w:r>
      <w:r>
        <w:t xml:space="preserve"> </w:t>
      </w:r>
      <w:r>
        <w:t xml:space="preserve">23.5 tn in assets. Instead, the use of transfer tools is the preferred strategy for 146 banks</w:t>
      </w:r>
      <w:r>
        <w:t xml:space="preserve"> </w:t>
      </w:r>
      <w:r>
        <w:t xml:space="preserve">representing approximately EUR 1.1 tn in assets, covering mostly resolution groups or</w:t>
      </w:r>
      <w:r>
        <w:t xml:space="preserve"> </w:t>
      </w:r>
      <w:r>
        <w:t xml:space="preserve">stand-alone resolution entities that are relatively limited in size, with only six of them</w:t>
      </w:r>
      <w:r>
        <w:t xml:space="preserve"> </w:t>
      </w:r>
      <w:r>
        <w:t xml:space="preserve">classified as O-SIIs and 140 of them classified as other (non-systemic) banks.</w:t>
      </w:r>
      <w:r>
        <w:br/>
      </w:r>
      <w:r>
        <w:t xml:space="preserve">Table 42: Overview of resolution strategies (based on MREL decisions, as of December</w:t>
      </w:r>
      <w:r>
        <w:t xml:space="preserve"> </w:t>
      </w:r>
      <w:r>
        <w:t xml:space="preserve">2021)617</w:t>
      </w:r>
      <w:r>
        <w:t xml:space="preserve"> </w:t>
      </w:r>
      <w:r>
        <w:t xml:space="preserve">Resolution</w:t>
      </w:r>
      <w:r>
        <w:t xml:space="preserve"> </w:t>
      </w:r>
      <w:r>
        <w:t xml:space="preserve">strategy</w:t>
      </w:r>
      <w:r>
        <w:t xml:space="preserve"> </w:t>
      </w:r>
      <w:r>
        <w:t xml:space="preserve">Total assets</w:t>
      </w:r>
      <w:r>
        <w:t xml:space="preserve"> </w:t>
      </w:r>
      <w:r>
        <w:t xml:space="preserve">(EUR bn)</w:t>
      </w:r>
      <w:r>
        <w:t xml:space="preserve"> </w:t>
      </w:r>
      <w:r>
        <w:t xml:space="preserve">% of</w:t>
      </w:r>
      <w:r>
        <w:t xml:space="preserve"> </w:t>
      </w:r>
      <w:r>
        <w:t xml:space="preserve">assets</w:t>
      </w:r>
      <w:r>
        <w:t xml:space="preserve"> </w:t>
      </w:r>
      <w:r>
        <w:t xml:space="preserve">Number of</w:t>
      </w:r>
      <w:r>
        <w:t xml:space="preserve"> </w:t>
      </w:r>
      <w:r>
        <w:t xml:space="preserve">decisions</w:t>
      </w:r>
      <w:r>
        <w:t xml:space="preserve"> </w:t>
      </w:r>
      <w:r>
        <w:t xml:space="preserve">% of</w:t>
      </w:r>
      <w:r>
        <w:t xml:space="preserve"> </w:t>
      </w:r>
      <w:r>
        <w:t xml:space="preserve">decisions</w:t>
      </w:r>
      <w:r>
        <w:t xml:space="preserve"> </w:t>
      </w:r>
      <w:r>
        <w:t xml:space="preserve">Bail-in</w:t>
      </w:r>
      <w:r>
        <w:t xml:space="preserve"> </w:t>
      </w:r>
      <w:r>
        <w:t xml:space="preserve">23 537</w:t>
      </w:r>
      <w:r>
        <w:t xml:space="preserve"> </w:t>
      </w:r>
      <w:r>
        <w:t xml:space="preserve">95%</w:t>
      </w:r>
      <w:r>
        <w:t xml:space="preserve"> </w:t>
      </w:r>
      <w:r>
        <w:t xml:space="preserve">144</w:t>
      </w:r>
      <w:r>
        <w:t xml:space="preserve"> </w:t>
      </w:r>
      <w:r>
        <w:t xml:space="preserve">43%</w:t>
      </w:r>
      <w:r>
        <w:t xml:space="preserve"> </w:t>
      </w:r>
      <w:r>
        <w:t xml:space="preserve">Transfer</w:t>
      </w:r>
      <w:r>
        <w:t xml:space="preserve"> </w:t>
      </w:r>
      <w:r>
        <w:t xml:space="preserve">1 051</w:t>
      </w:r>
      <w:r>
        <w:t xml:space="preserve"> </w:t>
      </w:r>
      <w:r>
        <w:t xml:space="preserve">5%</w:t>
      </w:r>
      <w:r>
        <w:t xml:space="preserve"> </w:t>
      </w:r>
      <w:r>
        <w:t xml:space="preserve">146</w:t>
      </w:r>
      <w:r>
        <w:t xml:space="preserve"> </w:t>
      </w:r>
      <w:r>
        <w:t xml:space="preserve">43%</w:t>
      </w:r>
      <w:r>
        <w:t xml:space="preserve"> </w:t>
      </w:r>
      <w:r>
        <w:t xml:space="preserve">Source: EBA quantitative MREL report 2021.</w:t>
      </w:r>
    </w:p>
    <w:p>
      <w:pPr>
        <w:pStyle w:val="FirstParagraph"/>
      </w:pPr>
      <w:r>
        <w:t xml:space="preserve">617 In addition, 47 decisions – not included in this table – have been taken for banks subject to liquidation,</w:t>
      </w:r>
      <w:r>
        <w:t xml:space="preserve"> </w:t>
      </w:r>
      <w:r>
        <w:t xml:space="preserve">for which MREL has been set above own funds requirements in accordance with the BRRD.</w:t>
      </w:r>
    </w:p>
    <w:p>
      <w:pPr>
        <w:pStyle w:val="BodyText"/>
      </w:pPr>
      <w:r>
        <w:t xml:space="preserve">389</w:t>
      </w:r>
      <w:r>
        <w:t xml:space="preserve"> </w:t>
      </w:r>
      <w:r>
        <w:t xml:space="preserve">Due to a lack of available and accurate information on the precise resolution strategy, a</w:t>
      </w:r>
      <w:r>
        <w:t xml:space="preserve"> </w:t>
      </w:r>
      <w:r>
        <w:t xml:space="preserve">more detailed break-down based on the sample of banks used in the EBA CfA report was</w:t>
      </w:r>
      <w:r>
        <w:t xml:space="preserve"> </w:t>
      </w:r>
      <w:r>
        <w:t xml:space="preserve">not possible.</w:t>
      </w:r>
      <w:r>
        <w:br/>
      </w:r>
      <w:r>
        <w:t xml:space="preserve">5.</w:t>
      </w:r>
      <w:r>
        <w:t xml:space="preserve"> </w:t>
      </w:r>
      <w:r>
        <w:t xml:space="preserve">MREL</w:t>
      </w:r>
      <w:r>
        <w:t xml:space="preserve"> </w:t>
      </w:r>
      <w:r>
        <w:t xml:space="preserve">5.1. MREL build-up</w:t>
      </w:r>
      <w:r>
        <w:t xml:space="preserve"> </w:t>
      </w:r>
      <w:r>
        <w:t xml:space="preserve">Overview of compliance with external MREL requirements</w:t>
      </w:r>
      <w:r>
        <w:t xml:space="preserve"> </w:t>
      </w:r>
      <w:r>
        <w:t xml:space="preserve">According to the EBA 2023 MREL quantitative report618 which analysed MREL</w:t>
      </w:r>
      <w:r>
        <w:t xml:space="preserve"> </w:t>
      </w:r>
      <w:r>
        <w:t xml:space="preserve">compliance for a sample of 245 EU resolution groups and individual resolution entities</w:t>
      </w:r>
      <w:r>
        <w:t xml:space="preserve"> </w:t>
      </w:r>
      <w:r>
        <w:t xml:space="preserve">as of Q4 2021, the average MREL target (weighted by TREA) was 22.6% TREA, with a</w:t>
      </w:r>
      <w:r>
        <w:t xml:space="preserve"> </w:t>
      </w:r>
      <w:r>
        <w:t xml:space="preserve">combined buffer requirement of 3.3% of TREA. Subordination requirements, including</w:t>
      </w:r>
      <w:r>
        <w:t xml:space="preserve"> </w:t>
      </w:r>
      <w:r>
        <w:t xml:space="preserve">CBR, were set at a level of 18.5% TREA. Out of the total sample of 245 banks subject to</w:t>
      </w:r>
      <w:r>
        <w:t xml:space="preserve"> </w:t>
      </w:r>
      <w:r>
        <w:t xml:space="preserve">an external MREL, subordination requirements have been set for 169 resolution groups.</w:t>
      </w:r>
      <w:r>
        <w:t xml:space="preserve"> </w:t>
      </w:r>
      <w:r>
        <w:t xml:space="preserve">As of Q4 2021, 70 resolution groups had an MREL shortfall estimated at EUR 33 bn,</w:t>
      </w:r>
      <w:r>
        <w:t xml:space="preserve"> </w:t>
      </w:r>
      <w:r>
        <w:t xml:space="preserve">down from EUR 67.6 bn for 110 resolution groups as of Q4 2020 and 102 bn for 111</w:t>
      </w:r>
      <w:r>
        <w:t xml:space="preserve"> </w:t>
      </w:r>
      <w:r>
        <w:t xml:space="preserve">resolution groups as of Q4 2019. The reduction in shortfalls should be considered against</w:t>
      </w:r>
      <w:r>
        <w:t xml:space="preserve"> </w:t>
      </w:r>
      <w:r>
        <w:t xml:space="preserve">strong issuance levels over the period.</w:t>
      </w:r>
      <w:r>
        <w:br/>
      </w:r>
      <w:r>
        <w:t xml:space="preserve">-</w:t>
      </w:r>
      <w:r>
        <w:t xml:space="preserve"> </w:t>
      </w:r>
      <w:r>
        <w:t xml:space="preserve">G-SIIs: The average MREL target for G-SIIs was 22.9% TREA, including a</w:t>
      </w:r>
      <w:r>
        <w:t xml:space="preserve"> </w:t>
      </w:r>
      <w:r>
        <w:t xml:space="preserve">subordination requirement of 17.6% TREA. On top of this requirement comes the</w:t>
      </w:r>
      <w:r>
        <w:t xml:space="preserve"> </w:t>
      </w:r>
      <w:r>
        <w:t xml:space="preserve">combined buffer requirement of 3.6% on a weighted average basis to be met with</w:t>
      </w:r>
      <w:r>
        <w:t xml:space="preserve"> </w:t>
      </w:r>
      <w:r>
        <w:t xml:space="preserve">CET1. The aggregate MREL shortfalls for G-SIIs declined most significantly</w:t>
      </w:r>
      <w:r>
        <w:t xml:space="preserve"> </w:t>
      </w:r>
      <w:r>
        <w:t xml:space="preserve">between Q4 2019 and Q4 2020, from EUR 19 bn to EUR 3.8 bn attributable to</w:t>
      </w:r>
      <w:r>
        <w:t xml:space="preserve"> </w:t>
      </w:r>
      <w:r>
        <w:t xml:space="preserve">one G-SII. As of Q4 2021, all G-SIIs comply with their end-state MREL targets.</w:t>
      </w:r>
      <w:r>
        <w:t xml:space="preserve"> </w:t>
      </w:r>
      <w:r>
        <w:t xml:space="preserve">-</w:t>
      </w:r>
      <w:r>
        <w:t xml:space="preserve"> </w:t>
      </w:r>
      <w:r>
        <w:t xml:space="preserve">O-SIIs: The average MREL target for O-SIIs was 22.8% TREA, plus an average</w:t>
      </w:r>
      <w:r>
        <w:t xml:space="preserve"> </w:t>
      </w:r>
      <w:r>
        <w:t xml:space="preserve">combined buffer requirement of 3.1% TREA. The average MREL requirement</w:t>
      </w:r>
      <w:r>
        <w:t xml:space="preserve"> </w:t>
      </w:r>
      <w:r>
        <w:t xml:space="preserve">are broadly similar across O-SIIs irrespective of their size. MREL shortfalls for</w:t>
      </w:r>
      <w:r>
        <w:t xml:space="preserve"> </w:t>
      </w:r>
      <w:r>
        <w:t xml:space="preserve">O-SIIs also declined from EUR 64 bn as of Q4 2019 to EUR 46.9 bn as of Q4</w:t>
      </w:r>
      <w:r>
        <w:t xml:space="preserve"> </w:t>
      </w:r>
      <w:r>
        <w:t xml:space="preserve">2020, attributable to 45 banks, further down to EUR 14.4 bn as of Q4 2021,</w:t>
      </w:r>
      <w:r>
        <w:t xml:space="preserve"> </w:t>
      </w:r>
      <w:r>
        <w:t xml:space="preserve">attributable to 34 banks. The level of MREL eligible resources was higher for</w:t>
      </w:r>
      <w:r>
        <w:t xml:space="preserve"> </w:t>
      </w:r>
      <w:r>
        <w:t xml:space="preserve">larger O-SIIs, particularly top-tier O-SIIs, than for smaller banks. Apart from the</w:t>
      </w:r>
      <w:r>
        <w:t xml:space="preserve"> </w:t>
      </w:r>
      <w:r>
        <w:t xml:space="preserve">overall level, there was a high divergence in the distribution of eligible resources.</w:t>
      </w:r>
      <w:r>
        <w:t xml:space="preserve"> </w:t>
      </w:r>
      <w:r>
        <w:t xml:space="preserve">While larger O-SIIs exhibit a lower level of common equity Tier 1 compared to</w:t>
      </w:r>
      <w:r>
        <w:t xml:space="preserve"> </w:t>
      </w:r>
      <w:r>
        <w:t xml:space="preserve">smaller banks, they hold a higher level of senior non-preferred instruments, which</w:t>
      </w:r>
      <w:r>
        <w:t xml:space="preserve"> </w:t>
      </w:r>
      <w:r>
        <w:t xml:space="preserve">was scarcer in the group of O-SIIs with assets lower than EUR 50 bn. Contrary to</w:t>
      </w:r>
      <w:r>
        <w:t xml:space="preserve"> </w:t>
      </w:r>
      <w:r>
        <w:t xml:space="preserve">previous periods, smaller O-SIIs held subordinated debt as of Q4 2021.</w:t>
      </w:r>
      <w:r>
        <w:br/>
      </w:r>
      <w:r>
        <w:t xml:space="preserve">-</w:t>
      </w:r>
      <w:r>
        <w:t xml:space="preserve"> </w:t>
      </w:r>
      <w:r>
        <w:t xml:space="preserve">Other banks: The average MREL target for other banks was 20.8% TREA for</w:t>
      </w:r>
      <w:r>
        <w:t xml:space="preserve"> </w:t>
      </w:r>
      <w:r>
        <w:t xml:space="preserve">banks not considered as G-SII nor O-SII, supplemented by an average combined</w:t>
      </w:r>
      <w:r>
        <w:t xml:space="preserve"> </w:t>
      </w:r>
      <w:r>
        <w:t xml:space="preserve">buffer requirement of 2.5% TREA. Compared to systemic entities, other banks</w:t>
      </w:r>
      <w:r>
        <w:t xml:space="preserve"> </w:t>
      </w:r>
      <w:r>
        <w:t xml:space="preserve">were set a lower MREL as a percentage of TREA, reflecting the prevalence of</w:t>
      </w:r>
      <w:r>
        <w:t xml:space="preserve"> </w:t>
      </w:r>
      <w:r>
        <w:t xml:space="preserve">transfer strategies for which adjustment to MREL calibration are introduced by</w:t>
      </w:r>
    </w:p>
    <w:p>
      <w:pPr>
        <w:pStyle w:val="BodyText"/>
      </w:pPr>
      <w:r>
        <w:t xml:space="preserve">618 EBA (January 2023), EBA MREL quantitative monitoring report and impact assessment, as of 31</w:t>
      </w:r>
      <w:r>
        <w:t xml:space="preserve"> </w:t>
      </w:r>
      <w:r>
        <w:t xml:space="preserve">December 2021.</w:t>
      </w:r>
    </w:p>
    <w:p>
      <w:pPr>
        <w:pStyle w:val="BodyText"/>
      </w:pPr>
      <w:r>
        <w:t xml:space="preserve">390</w:t>
      </w:r>
      <w:r>
        <w:t xml:space="preserve"> </w:t>
      </w:r>
      <w:r>
        <w:t xml:space="preserve">resolution authorities. The aggregate MREL shortfalls for other banks reach 18.6</w:t>
      </w:r>
      <w:r>
        <w:t xml:space="preserve"> </w:t>
      </w:r>
      <w:r>
        <w:t xml:space="preserve">bn, attributable to 36 banks, down by 27% compared to end 2020 on a</w:t>
      </w:r>
      <w:r>
        <w:t xml:space="preserve"> </w:t>
      </w:r>
      <w:r>
        <w:t xml:space="preserve">comparable basis. Compared to systemic institutions, other banks held a higher</w:t>
      </w:r>
      <w:r>
        <w:t xml:space="preserve"> </w:t>
      </w:r>
      <w:r>
        <w:t xml:space="preserve">level of common equity Tier 1 capital and senior liabilities. On the contrary, they</w:t>
      </w:r>
      <w:r>
        <w:t xml:space="preserve"> </w:t>
      </w:r>
      <w:r>
        <w:t xml:space="preserve">exhibited lower levels of additional Tier 1 instruments, Tier 2 capital and senior</w:t>
      </w:r>
      <w:r>
        <w:t xml:space="preserve"> </w:t>
      </w:r>
      <w:r>
        <w:t xml:space="preserve">non-preferred debt.</w:t>
      </w:r>
    </w:p>
    <w:p>
      <w:pPr>
        <w:pStyle w:val="BodyText"/>
      </w:pPr>
      <w:r>
        <w:t xml:space="preserve">In terms of resources, the EBA MREL quantitative reports provide an overview of the</w:t>
      </w:r>
      <w:r>
        <w:t xml:space="preserve"> </w:t>
      </w:r>
      <w:r>
        <w:t xml:space="preserve">structure of the MREL resources for G-SIIs, O-SIIs and other banks, highlighting the</w:t>
      </w:r>
      <w:r>
        <w:t xml:space="preserve"> </w:t>
      </w:r>
      <w:r>
        <w:t xml:space="preserve">relative importance of AT1, Tier 2 and senior non-preferred liabilities across various size</w:t>
      </w:r>
      <w:r>
        <w:t xml:space="preserve"> </w:t>
      </w:r>
      <w:r>
        <w:t xml:space="preserve">groups, more prone to be part of the funding mix of larger institutions than small and</w:t>
      </w:r>
      <w:r>
        <w:t xml:space="preserve"> </w:t>
      </w:r>
      <w:r>
        <w:t xml:space="preserve">mid-size banks, even when qualified as O-SIIs in their jurisdiction.</w:t>
      </w:r>
      <w:r>
        <w:t xml:space="preserve"> </w:t>
      </w:r>
      <w:r>
        <w:t xml:space="preserve">This is also reflected in the composition of the liability structure of the resolution entities</w:t>
      </w:r>
      <w:r>
        <w:t xml:space="preserve"> </w:t>
      </w:r>
      <w:r>
        <w:t xml:space="preserve">included in the EBA CfA report. As highlighted in Table 43, issuances of senior non-</w:t>
      </w:r>
      <w:r>
        <w:t xml:space="preserve"> </w:t>
      </w:r>
      <w:r>
        <w:t xml:space="preserve">preferred liabilities, senior unsecured liabilities, but also AT1 and Tier 2 instruments are</w:t>
      </w:r>
      <w:r>
        <w:t xml:space="preserve"> </w:t>
      </w:r>
      <w:r>
        <w:t xml:space="preserve">relatively more important for larger institutions. In addition, the issuances of certain</w:t>
      </w:r>
      <w:r>
        <w:t xml:space="preserve"> </w:t>
      </w:r>
      <w:r>
        <w:t xml:space="preserve">subordinated liabilities is concentrated in some Member States: no senior non-preferred</w:t>
      </w:r>
      <w:r>
        <w:t xml:space="preserve"> </w:t>
      </w:r>
      <w:r>
        <w:t xml:space="preserve">liabilities are present for resolution entities in 12 Member States, other subordinated</w:t>
      </w:r>
      <w:r>
        <w:t xml:space="preserve"> </w:t>
      </w:r>
      <w:r>
        <w:t xml:space="preserve">liabilities are either not present or in very limited amount in five Member States, but with</w:t>
      </w:r>
      <w:r>
        <w:t xml:space="preserve"> </w:t>
      </w:r>
      <w:r>
        <w:t xml:space="preserve">large shares in three other Member States (DE 1.28% TLOF, HR 1.12% or AT 0.95%),</w:t>
      </w:r>
      <w:r>
        <w:t xml:space="preserve"> </w:t>
      </w:r>
      <w:r>
        <w:t xml:space="preserve">senior unsecured liabilities represent on average more than 24% of TLOF in four</w:t>
      </w:r>
      <w:r>
        <w:t xml:space="preserve"> </w:t>
      </w:r>
      <w:r>
        <w:t xml:space="preserve">Member States (FI, FR, NL and SE), against less than 5% TLOF in 17 other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Table 43: Composition of liability structure (resolution entities, % TLOF)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Resolution Liquidation</w:t>
      </w:r>
      <w:r>
        <w:t xml:space="preserve"> </w:t>
      </w:r>
      <w:r>
        <w:t xml:space="preserve">Subordinated liabilities</w:t>
      </w:r>
      <w:r>
        <w:t xml:space="preserve"> </w:t>
      </w:r>
      <w:r>
        <w:t xml:space="preserve">0.1%</w:t>
      </w:r>
      <w:r>
        <w:t xml:space="preserve"> </w:t>
      </w:r>
      <w:r>
        <w:t xml:space="preserve">1.1%</w:t>
      </w:r>
      <w:r>
        <w:t xml:space="preserve"> </w:t>
      </w:r>
      <w:r>
        <w:t xml:space="preserve">0.3%</w:t>
      </w:r>
      <w:r>
        <w:t xml:space="preserve"> </w:t>
      </w:r>
      <w:r>
        <w:t xml:space="preserve">0.4%</w:t>
      </w:r>
      <w:r>
        <w:t xml:space="preserve"> </w:t>
      </w:r>
      <w:r>
        <w:t xml:space="preserve">1.3%</w:t>
      </w:r>
      <w:r>
        <w:t xml:space="preserve"> </w:t>
      </w:r>
      <w:r>
        <w:t xml:space="preserve">Senior non-preferred liabilities</w:t>
      </w:r>
      <w:r>
        <w:t xml:space="preserve"> </w:t>
      </w:r>
      <w:r>
        <w:t xml:space="preserve">0.0%</w:t>
      </w:r>
      <w:r>
        <w:t xml:space="preserve"> </w:t>
      </w:r>
      <w:r>
        <w:t xml:space="preserve">1.8%</w:t>
      </w:r>
      <w:r>
        <w:t xml:space="preserve"> </w:t>
      </w:r>
      <w:r>
        <w:t xml:space="preserve">3.2%</w:t>
      </w:r>
      <w:r>
        <w:t xml:space="preserve"> </w:t>
      </w:r>
      <w:r>
        <w:t xml:space="preserve">2.9%</w:t>
      </w:r>
      <w:r>
        <w:t xml:space="preserve"> </w:t>
      </w:r>
      <w:r>
        <w:t xml:space="preserve">2.7%</w:t>
      </w:r>
      <w:r>
        <w:t xml:space="preserve"> </w:t>
      </w:r>
      <w:r>
        <w:t xml:space="preserve">Senior unsecured liabilities</w:t>
      </w:r>
      <w:r>
        <w:t xml:space="preserve"> </w:t>
      </w:r>
      <w:r>
        <w:t xml:space="preserve">2.7%</w:t>
      </w:r>
      <w:r>
        <w:t xml:space="preserve"> </w:t>
      </w:r>
      <w:r>
        <w:t xml:space="preserve">5.4%</w:t>
      </w:r>
      <w:r>
        <w:t xml:space="preserve"> </w:t>
      </w:r>
      <w:r>
        <w:t xml:space="preserve">13.4%</w:t>
      </w:r>
      <w:r>
        <w:t xml:space="preserve"> </w:t>
      </w:r>
      <w:r>
        <w:t xml:space="preserve">10.7%</w:t>
      </w:r>
      <w:r>
        <w:t xml:space="preserve"> </w:t>
      </w:r>
      <w:r>
        <w:t xml:space="preserve">22.4%</w:t>
      </w:r>
      <w:r>
        <w:t xml:space="preserve"> </w:t>
      </w:r>
      <w:r>
        <w:t xml:space="preserve">Own funds</w:t>
      </w:r>
      <w:r>
        <w:t xml:space="preserve"> </w:t>
      </w:r>
      <w:r>
        <w:t xml:space="preserve">13.2%</w:t>
      </w:r>
      <w:r>
        <w:t xml:space="preserve"> </w:t>
      </w:r>
      <w:r>
        <w:t xml:space="preserve">7.9%</w:t>
      </w:r>
      <w:r>
        <w:t xml:space="preserve"> </w:t>
      </w:r>
      <w:r>
        <w:t xml:space="preserve">8.3%</w:t>
      </w:r>
      <w:r>
        <w:t xml:space="preserve"> </w:t>
      </w:r>
      <w:r>
        <w:t xml:space="preserve">8.4%</w:t>
      </w:r>
      <w:r>
        <w:t xml:space="preserve"> </w:t>
      </w:r>
      <w:r>
        <w:t xml:space="preserve">8.1%</w:t>
      </w:r>
      <w:r>
        <w:t xml:space="preserve"> </w:t>
      </w:r>
      <w:r>
        <w:t xml:space="preserve">- Tier 2</w:t>
      </w:r>
      <w:r>
        <w:t xml:space="preserve"> </w:t>
      </w:r>
      <w:r>
        <w:t xml:space="preserve">0.6%</w:t>
      </w:r>
      <w:r>
        <w:t xml:space="preserve"> </w:t>
      </w:r>
      <w:r>
        <w:t xml:space="preserve">1.0%</w:t>
      </w:r>
      <w:r>
        <w:t xml:space="preserve"> </w:t>
      </w:r>
      <w:r>
        <w:t xml:space="preserve">1.5%</w:t>
      </w:r>
      <w:r>
        <w:t xml:space="preserve"> </w:t>
      </w:r>
      <w:r>
        <w:t xml:space="preserve">1.4%</w:t>
      </w:r>
      <w:r>
        <w:t xml:space="preserve"> </w:t>
      </w:r>
      <w:r>
        <w:t xml:space="preserve">0.9%</w:t>
      </w:r>
      <w:r>
        <w:t xml:space="preserve"> </w:t>
      </w:r>
      <w:r>
        <w:t xml:space="preserve">- AT1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0.2%</w:t>
      </w:r>
      <w:r>
        <w:t xml:space="preserve"> </w:t>
      </w:r>
      <w:r>
        <w:t xml:space="preserve">- CET1</w:t>
      </w:r>
      <w:r>
        <w:t xml:space="preserve"> </w:t>
      </w:r>
      <w:r>
        <w:t xml:space="preserve">12.4%</w:t>
      </w:r>
      <w:r>
        <w:t xml:space="preserve"> </w:t>
      </w:r>
      <w:r>
        <w:t xml:space="preserve">6.6%</w:t>
      </w:r>
      <w:r>
        <w:t xml:space="preserve"> </w:t>
      </w:r>
      <w:r>
        <w:t xml:space="preserve">6.1%</w:t>
      </w:r>
      <w:r>
        <w:t xml:space="preserve"> </w:t>
      </w:r>
      <w:r>
        <w:t xml:space="preserve">6.3%</w:t>
      </w:r>
      <w:r>
        <w:t xml:space="preserve"> </w:t>
      </w:r>
      <w:r>
        <w:t xml:space="preserve">6.9%</w:t>
      </w:r>
      <w:r>
        <w:t xml:space="preserve"> </w:t>
      </w:r>
      <w:r>
        <w:t xml:space="preserve">Other liabilities</w:t>
      </w:r>
      <w:r>
        <w:t xml:space="preserve"> </w:t>
      </w:r>
      <w:r>
        <w:t xml:space="preserve">84.0%</w:t>
      </w:r>
      <w:r>
        <w:t xml:space="preserve"> </w:t>
      </w:r>
      <w:r>
        <w:t xml:space="preserve">83.8%</w:t>
      </w:r>
      <w:r>
        <w:t xml:space="preserve"> </w:t>
      </w:r>
      <w:r>
        <w:t xml:space="preserve">74.8%</w:t>
      </w:r>
      <w:r>
        <w:t xml:space="preserve"> </w:t>
      </w:r>
      <w:r>
        <w:t xml:space="preserve">77.6%</w:t>
      </w:r>
      <w:r>
        <w:t xml:space="preserve"> </w:t>
      </w:r>
      <w:r>
        <w:t xml:space="preserve">65.5%</w:t>
      </w:r>
      <w:r>
        <w:t xml:space="preserve"> </w:t>
      </w:r>
      <w:r>
        <w:t xml:space="preserve">Total</w:t>
      </w:r>
      <w:r>
        <w:t xml:space="preserve"> </w:t>
      </w:r>
      <w:r>
        <w:t xml:space="preserve">100.0% 100.0% 100.0%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Commission services, based on EBA CfA report, data as of Q4 2019.</w:t>
      </w:r>
      <w:r>
        <w:t xml:space="preserve"> </w:t>
      </w:r>
      <w:r>
        <w:t xml:space="preserve">In the Banking Union, as per SRB’s MREL Dashboard as of Q3 2022619, the average</w:t>
      </w:r>
      <w:r>
        <w:t xml:space="preserve"> </w:t>
      </w:r>
      <w:r>
        <w:t xml:space="preserve">final MREL target represented 23.3% TREA, and 26.4% TREA when including the</w:t>
      </w:r>
      <w:r>
        <w:t xml:space="preserve"> </w:t>
      </w:r>
      <w:r>
        <w:t xml:space="preserve">combined buffer requirement. The average MREL subordination target including the</w:t>
      </w:r>
      <w:r>
        <w:t xml:space="preserve"> </w:t>
      </w:r>
      <w:r>
        <w:t xml:space="preserve">combined buffer requirement amounted to 19.3% TREA. In terms of build-up of eligible</w:t>
      </w:r>
      <w:r>
        <w:t xml:space="preserve"> </w:t>
      </w:r>
      <w:r>
        <w:t xml:space="preserve">instruments, the average stock of MREL eligible liabilities and own funds reached 31.2%</w:t>
      </w:r>
      <w:r>
        <w:t xml:space="preserve"> </w:t>
      </w:r>
      <w:r>
        <w:t xml:space="preserve">TREA. In absolute terms, the stock reached EUR 2 353 bn, increasing by 6% or EUR</w:t>
      </w:r>
    </w:p>
    <w:p>
      <w:pPr>
        <w:pStyle w:val="BodyText"/>
      </w:pPr>
      <w:r>
        <w:t xml:space="preserve">619 SRB (February 2023), SRB MREL Dashboard Q3 2022</w:t>
      </w:r>
    </w:p>
    <w:p>
      <w:pPr>
        <w:pStyle w:val="BodyText"/>
      </w:pPr>
      <w:r>
        <w:t xml:space="preserve">391</w:t>
      </w:r>
      <w:r>
        <w:t xml:space="preserve"> </w:t>
      </w:r>
      <w:r>
        <w:t xml:space="preserve">134.2 bn year-on-year. This trend is in line with the banks’ funding plans to meet the</w:t>
      </w:r>
      <w:r>
        <w:t xml:space="preserve"> </w:t>
      </w:r>
      <w:r>
        <w:t xml:space="preserve">biding final MREL targets by 1 January 2024. The average MREL shortfalls against the</w:t>
      </w:r>
      <w:r>
        <w:t xml:space="preserve"> </w:t>
      </w:r>
      <w:r>
        <w:t xml:space="preserve">final target (2024) amounted to 0.2% TREA (EUR 18.1 bn) in Q3 2022, and 0.4% TREA</w:t>
      </w:r>
      <w:r>
        <w:t xml:space="preserve"> </w:t>
      </w:r>
      <w:r>
        <w:t xml:space="preserve">(EUR 30.5 bn) when including the combined buffer requirement. These levels represent a</w:t>
      </w:r>
      <w:r>
        <w:t xml:space="preserve"> </w:t>
      </w:r>
      <w:r>
        <w:t xml:space="preserve">year-on-year decrease, despite the recent economic uncertainty, showing the authority’s</w:t>
      </w:r>
      <w:r>
        <w:t xml:space="preserve"> </w:t>
      </w:r>
      <w:r>
        <w:t xml:space="preserve">progress in delivering more MREL decisions despite the increase in the sample of banks.</w:t>
      </w:r>
      <w:r>
        <w:br/>
      </w:r>
      <w:r>
        <w:t xml:space="preserve">While compliance with MREL targets is a matter of transitional period and most banks</w:t>
      </w:r>
      <w:r>
        <w:t xml:space="preserve"> </w:t>
      </w:r>
      <w:r>
        <w:t xml:space="preserve">are expected to fulfil their requirements once the transitional period expired, certain</w:t>
      </w:r>
      <w:r>
        <w:t xml:space="preserve"> </w:t>
      </w:r>
      <w:r>
        <w:t xml:space="preserve">banks may be facing more structural issues to comply with their requirement (see section</w:t>
      </w:r>
      <w:r>
        <w:t xml:space="preserve"> </w:t>
      </w:r>
      <w:r>
        <w:t xml:space="preserve">5.2).</w:t>
      </w:r>
      <w:r>
        <w:t xml:space="preserve"> </w:t>
      </w:r>
      <w:r>
        <w:t xml:space="preserve">MREL calibration for transfer strategies</w:t>
      </w:r>
      <w:r>
        <w:t xml:space="preserve"> </w:t>
      </w:r>
      <w:r>
        <w:t xml:space="preserve">The SRB’s MREL policy620 describes the calibration of MREL for transfer strategies and</w:t>
      </w:r>
      <w:r>
        <w:t xml:space="preserve"> </w:t>
      </w:r>
      <w:r>
        <w:t xml:space="preserve">for open bank bail-in strategies621. Banks with transfer strategy as the preferred</w:t>
      </w:r>
      <w:r>
        <w:t xml:space="preserve"> </w:t>
      </w:r>
      <w:r>
        <w:t xml:space="preserve">resolution strategy are required to hold MREL instruments to cover for loss absorption</w:t>
      </w:r>
      <w:r>
        <w:t xml:space="preserve"> </w:t>
      </w:r>
      <w:r>
        <w:t xml:space="preserve">and recapitalisation, where the latter is adjusted downwards with a factor between 15-</w:t>
      </w:r>
      <w:r>
        <w:t xml:space="preserve"> </w:t>
      </w:r>
      <w:r>
        <w:t xml:space="preserve">25% of the recapitalisation amount, on a case by case basis, when compared to open</w:t>
      </w:r>
      <w:r>
        <w:t xml:space="preserve"> </w:t>
      </w:r>
      <w:r>
        <w:t xml:space="preserve">bank bail-in strategy. This adjustment could be added to other adjustment factors</w:t>
      </w:r>
      <w:r>
        <w:t xml:space="preserve"> </w:t>
      </w:r>
      <w:r>
        <w:t xml:space="preserve">applicable to the recapitalisation amount. The rationale for a lower recapitalisation</w:t>
      </w:r>
      <w:r>
        <w:t xml:space="preserve"> </w:t>
      </w:r>
      <w:r>
        <w:t xml:space="preserve">amount for transfer strategies lies with the lack of need to recapitalise banks whose (part</w:t>
      </w:r>
      <w:r>
        <w:t xml:space="preserve"> </w:t>
      </w:r>
      <w:r>
        <w:t xml:space="preserve">of the) business would be transferred to a buyer. At the same time, under the current</w:t>
      </w:r>
      <w:r>
        <w:t xml:space="preserve"> </w:t>
      </w:r>
      <w:r>
        <w:t xml:space="preserve">policy, the MREL calibration goes beyond own funds (loss absorption) for banks under</w:t>
      </w:r>
      <w:r>
        <w:t xml:space="preserve"> </w:t>
      </w:r>
      <w:r>
        <w:t xml:space="preserve">transfer strategies in order to cater for certain situations (such as a negative transfer price,</w:t>
      </w:r>
      <w:r>
        <w:t xml:space="preserve"> </w:t>
      </w:r>
      <w:r>
        <w:t xml:space="preserve">i.e. lower than the net asset value or if the transfer does not materialise at all).</w:t>
      </w:r>
      <w:r>
        <w:br/>
      </w:r>
      <w:r>
        <w:t xml:space="preserve">Overview of compliance with internal MREL requirements</w:t>
      </w:r>
      <w:r>
        <w:t xml:space="preserve"> </w:t>
      </w:r>
      <w:r>
        <w:t xml:space="preserve">The requirement for subsidiaries, which are part of single point of entry (SPE) resolution</w:t>
      </w:r>
      <w:r>
        <w:t xml:space="preserve"> </w:t>
      </w:r>
      <w:r>
        <w:t xml:space="preserve">groups and which are not resolution entities themselves, to issue internal MREL eligible</w:t>
      </w:r>
      <w:r>
        <w:t xml:space="preserve"> </w:t>
      </w:r>
      <w:r>
        <w:t xml:space="preserve">instruments to the resolution entity entered into force with the BRRD II/SRMR II in June</w:t>
      </w:r>
      <w:r>
        <w:t xml:space="preserve"> </w:t>
      </w:r>
      <w:r>
        <w:t xml:space="preserve">2020 and became applicable from 28 December 2020, upon transposition. Therefore, due</w:t>
      </w:r>
      <w:r>
        <w:t xml:space="preserve"> </w:t>
      </w:r>
      <w:r>
        <w:t xml:space="preserve">to the relatively recent legal basis, calibrating and communicating internal MREL</w:t>
      </w:r>
      <w:r>
        <w:t xml:space="preserve"> </w:t>
      </w:r>
      <w:r>
        <w:t xml:space="preserve">decisions to entities is still in progress. Moreover, given the large number of entities in</w:t>
      </w:r>
      <w:r>
        <w:t xml:space="preserve"> </w:t>
      </w:r>
      <w:r>
        <w:t xml:space="preserve">scope of the internal MREL requirement, a prioritisation and sequencing of the work was</w:t>
      </w:r>
      <w:r>
        <w:t xml:space="preserve"> </w:t>
      </w:r>
      <w:r>
        <w:t xml:space="preserve">necessary. The SRB started preparing internal MREL decisions for entities under its</w:t>
      </w:r>
      <w:r>
        <w:t xml:space="preserve"> </w:t>
      </w:r>
      <w:r>
        <w:t xml:space="preserve">remit under the 2020 MREL policy and has successively expanded the scope by</w:t>
      </w:r>
      <w:r>
        <w:t xml:space="preserve"> </w:t>
      </w:r>
      <w:r>
        <w:t xml:space="preserve">prioritising entities representing at least 2% of the resolution group’s TREA, or leverage</w:t>
      </w:r>
      <w:r>
        <w:t xml:space="preserve"> </w:t>
      </w:r>
      <w:r>
        <w:t xml:space="preserve">exposure, or total operating income or which provide critical functions or those with total</w:t>
      </w:r>
      <w:r>
        <w:t xml:space="preserve"> </w:t>
      </w:r>
      <w:r>
        <w:t xml:space="preserve">assets exceeding EUR 5bn622.</w:t>
      </w:r>
    </w:p>
    <w:p>
      <w:pPr>
        <w:pStyle w:val="BodyText"/>
      </w:pPr>
      <w:r>
        <w:t xml:space="preserve">620 SRB (June 2022), SRB MREL policy, section 2.4.2.</w:t>
      </w:r>
      <w:r>
        <w:t xml:space="preserve"> </w:t>
      </w:r>
      <w:r>
        <w:t xml:space="preserve">621 While the BRRD requires that the MREL calibration reflects the resolution strategy and tools, the</w:t>
      </w:r>
      <w:r>
        <w:t xml:space="preserve"> </w:t>
      </w:r>
      <w:r>
        <w:t xml:space="preserve">level 1 text is not prescriptive in terms of quantifying the differences in calibration in function of strategy.</w:t>
      </w:r>
      <w:r>
        <w:br/>
      </w:r>
      <w:r>
        <w:t xml:space="preserve">622 SRB (June 2022), SRB MREL policy, section 4.1.</w:t>
      </w:r>
    </w:p>
    <w:p>
      <w:pPr>
        <w:pStyle w:val="BodyText"/>
      </w:pPr>
      <w:r>
        <w:t xml:space="preserve">392</w:t>
      </w:r>
      <w:r>
        <w:t xml:space="preserve"> </w:t>
      </w:r>
      <w:r>
        <w:t xml:space="preserve">5.2. Issuances of own funds and eligible liabilities</w:t>
      </w:r>
      <w:r>
        <w:t xml:space="preserve"> </w:t>
      </w:r>
      <w:r>
        <w:t xml:space="preserve">The objective of this section is to provide quantitative elements related to the issuances</w:t>
      </w:r>
      <w:r>
        <w:t xml:space="preserve"> </w:t>
      </w:r>
      <w:r>
        <w:t xml:space="preserve">of own funds and eligible liabilities to support the assessment of the ability of institutions</w:t>
      </w:r>
      <w:r>
        <w:t xml:space="preserve"> </w:t>
      </w:r>
      <w:r>
        <w:t xml:space="preserve">to meet their MREL requirements. A specific emphasis is put on small and mid-sized</w:t>
      </w:r>
      <w:r>
        <w:t xml:space="preserve"> </w:t>
      </w:r>
      <w:r>
        <w:t xml:space="preserve">banks in view of any challenges experienced in reaching the required levels of MREL</w:t>
      </w:r>
      <w:r>
        <w:t xml:space="preserve"> </w:t>
      </w:r>
      <w:r>
        <w:t xml:space="preserve">buffers and the possible impact of the policy options related to an extension of the PIA.</w:t>
      </w:r>
      <w:r>
        <w:t xml:space="preserve"> </w:t>
      </w:r>
      <w:r>
        <w:t xml:space="preserve">The section is based on data from the SRB (covering the Banking Union through regular</w:t>
      </w:r>
      <w:r>
        <w:t xml:space="preserve"> </w:t>
      </w:r>
      <w:r>
        <w:t xml:space="preserve">monitoring of MREL issuances), EBA (covering specifically small and medium-size</w:t>
      </w:r>
      <w:r>
        <w:t xml:space="preserve"> </w:t>
      </w:r>
      <w:r>
        <w:t xml:space="preserve">banks in the context of the reply to the CfA) and publicly available information at the</w:t>
      </w:r>
      <w:r>
        <w:t xml:space="preserve"> </w:t>
      </w:r>
      <w:r>
        <w:t xml:space="preserve">level of the EU.</w:t>
      </w:r>
      <w:r>
        <w:t xml:space="preserve"> </w:t>
      </w:r>
      <w:r>
        <w:t xml:space="preserve">MREL issuances in the Banking Union (SRB remit)</w:t>
      </w:r>
      <w:r>
        <w:t xml:space="preserve"> </w:t>
      </w:r>
      <w:r>
        <w:t xml:space="preserve">Based on SRB data623 covering a sample of 75 to 82 groups, the stock of MREL eligible</w:t>
      </w:r>
      <w:r>
        <w:t xml:space="preserve"> </w:t>
      </w:r>
      <w:r>
        <w:t xml:space="preserve">liabilities at the level of the Banking Union reached as of Q3 2022 an amount of</w:t>
      </w:r>
      <w:r>
        <w:t xml:space="preserve"> </w:t>
      </w:r>
      <w:r>
        <w:t xml:space="preserve">EUR 2 353 bn, increasing by EUR 134.2 bn year-on-year. The increase was also</w:t>
      </w:r>
      <w:r>
        <w:t xml:space="preserve"> </w:t>
      </w:r>
      <w:r>
        <w:t xml:space="preserve">significant for own funds and subordinated liabilities, amounting to EUR 1 989 bn in Q3</w:t>
      </w:r>
      <w:r>
        <w:t xml:space="preserve"> </w:t>
      </w:r>
      <w:r>
        <w:t xml:space="preserve">2022.</w:t>
      </w:r>
      <w:r>
        <w:br/>
      </w:r>
      <w:r>
        <w:t xml:space="preserve">In Q3 2022, MREL issuances amounted to EUR 75 bn, up by 11% compared to Q2 2022.</w:t>
      </w:r>
      <w:r>
        <w:t xml:space="preserve"> </w:t>
      </w:r>
      <w:r>
        <w:t xml:space="preserve">Overall, year-to-date issuance volume remained rather elevated (equal to EUR 226.3 bn),</w:t>
      </w:r>
      <w:r>
        <w:t xml:space="preserve"> </w:t>
      </w:r>
      <w:r>
        <w:t xml:space="preserve">increasing with respect to the same period of 2021 (up by around 20% or EUR 38.1 bn),</w:t>
      </w:r>
      <w:r>
        <w:t xml:space="preserve"> </w:t>
      </w:r>
      <w:r>
        <w:t xml:space="preserve">while remaining broadly in line with the same period of 2020. Issuances by G-SIIs</w:t>
      </w:r>
      <w:r>
        <w:t xml:space="preserve"> </w:t>
      </w:r>
      <w:r>
        <w:t xml:space="preserve">accounted for 37% of the total issuances in Q3 2022. The SRB also noted that issuers’</w:t>
      </w:r>
      <w:r>
        <w:t xml:space="preserve"> </w:t>
      </w:r>
      <w:r>
        <w:t xml:space="preserve">preference in Q3 2022 was towards senior bonds (40% of total issuances), senior non-</w:t>
      </w:r>
      <w:r>
        <w:t xml:space="preserve"> </w:t>
      </w:r>
      <w:r>
        <w:t xml:space="preserve">preferred liabilities (34%), AT1 (10%) and Tier 2 instruments (4%).</w:t>
      </w:r>
    </w:p>
    <w:p>
      <w:pPr>
        <w:pStyle w:val="BodyText"/>
      </w:pPr>
      <w:r>
        <w:t xml:space="preserve">623 SRB (Q2 2020 to Q3 2022), MREL Dashboards.</w:t>
      </w:r>
    </w:p>
    <w:p>
      <w:pPr>
        <w:pStyle w:val="BodyText"/>
      </w:pPr>
      <w:r>
        <w:t xml:space="preserve">393</w:t>
      </w:r>
      <w:r>
        <w:t xml:space="preserve"> </w:t>
      </w:r>
      <w:r>
        <w:t xml:space="preserve">Figure 33: MREL gross issuances by type of instrument, EUR bn</w:t>
      </w:r>
    </w:p>
    <w:p>
      <w:pPr>
        <w:pStyle w:val="BodyText"/>
      </w:pPr>
      <w:r>
        <w:t xml:space="preserve">Source: SRB MREL Dashboard – Q3 2022</w:t>
      </w:r>
      <w:r>
        <w:t xml:space="preserve"> </w:t>
      </w:r>
      <w:r>
        <w:t xml:space="preserve">In particular, SRB data shows that MREL gross issuances until Q3 2022 took place in</w:t>
      </w:r>
      <w:r>
        <w:t xml:space="preserve"> </w:t>
      </w:r>
      <w:r>
        <w:t xml:space="preserve">several Member States, despite the economic impact of the COVID-19 outbreak. In Q3</w:t>
      </w:r>
      <w:r>
        <w:t xml:space="preserve"> </w:t>
      </w:r>
      <w:r>
        <w:t xml:space="preserve">2022, banks showed some heterogeneity in the volume of issuances, with Top Tier banks</w:t>
      </w:r>
      <w:r>
        <w:t xml:space="preserve"> </w:t>
      </w:r>
      <w:r>
        <w:t xml:space="preserve">being particularly active. Banks with total assets below EUR 100 bn accounted for 11%</w:t>
      </w:r>
      <w:r>
        <w:t xml:space="preserve"> </w:t>
      </w:r>
      <w:r>
        <w:t xml:space="preserve">of the total issuance amounts.</w:t>
      </w:r>
      <w:r>
        <w:t xml:space="preserve"> </w:t>
      </w:r>
      <w:r>
        <w:t xml:space="preserve">Figure 34: MREL gross issuances by country, EUR bn and %TREA</w:t>
      </w:r>
    </w:p>
    <w:p>
      <w:pPr>
        <w:pStyle w:val="BodyText"/>
      </w:pPr>
      <w:r>
        <w:t xml:space="preserve">394</w:t>
      </w:r>
    </w:p>
    <w:p>
      <w:pPr>
        <w:pStyle w:val="BodyText"/>
      </w:pPr>
      <w:r>
        <w:t xml:space="preserve">Source: SRB MREL Dashboard – Q3 2022</w:t>
      </w:r>
      <w:r>
        <w:t xml:space="preserve"> </w:t>
      </w:r>
      <w:r>
        <w:t xml:space="preserve">5.3. Focus on small and medium-sized banks</w:t>
      </w:r>
      <w:r>
        <w:t xml:space="preserve"> </w:t>
      </w:r>
      <w:r>
        <w:t xml:space="preserve">5.3.1. General considerations on issuance capacity</w:t>
      </w:r>
      <w:r>
        <w:t xml:space="preserve"> </w:t>
      </w:r>
      <w:r>
        <w:t xml:space="preserve">Extending the PIA will impact small and medium-sized banks for which resolution</w:t>
      </w:r>
      <w:r>
        <w:t xml:space="preserve"> </w:t>
      </w:r>
      <w:r>
        <w:t xml:space="preserve">authorities will more frequently consider resolution strategies at the time of resolution</w:t>
      </w:r>
      <w:r>
        <w:t xml:space="preserve"> </w:t>
      </w:r>
      <w:r>
        <w:t xml:space="preserve">planning. The determination of the relevant resolution strategies will remain at the</w:t>
      </w:r>
      <w:r>
        <w:t xml:space="preserve"> </w:t>
      </w:r>
      <w:r>
        <w:t xml:space="preserve">discretion of the resolution authorities, but these new candidates for resolution will</w:t>
      </w:r>
      <w:r>
        <w:t xml:space="preserve"> </w:t>
      </w:r>
      <w:r>
        <w:t xml:space="preserve">likely, at least partly, be subject to strategies relying on transfer tools (such as sale of</w:t>
      </w:r>
      <w:r>
        <w:t xml:space="preserve"> </w:t>
      </w:r>
      <w:r>
        <w:t xml:space="preserve">business, bridge institution or asset separation tools) given their limited size and systemic</w:t>
      </w:r>
      <w:r>
        <w:t xml:space="preserve"> </w:t>
      </w:r>
      <w:r>
        <w:t xml:space="preserve">importance compared to other, larger banks. As a result, these banks would be subject to</w:t>
      </w:r>
      <w:r>
        <w:t xml:space="preserve"> </w:t>
      </w:r>
      <w:r>
        <w:t xml:space="preserve">appropriate and proportionate levels of MREL requirements, in line with BRRD and</w:t>
      </w:r>
      <w:r>
        <w:t xml:space="preserve"> </w:t>
      </w:r>
      <w:r>
        <w:t xml:space="preserve">SRMR.</w:t>
      </w:r>
      <w:r>
        <w:t xml:space="preserve"> </w:t>
      </w:r>
      <w:r>
        <w:t xml:space="preserve">While some banks may have sufficient own funds and other eligible instruments to be</w:t>
      </w:r>
      <w:r>
        <w:t xml:space="preserve"> </w:t>
      </w:r>
      <w:r>
        <w:t xml:space="preserve">compliant with such requirements, for other banks, as MREL levels may exceed the loss</w:t>
      </w:r>
      <w:r>
        <w:t xml:space="preserve"> </w:t>
      </w:r>
      <w:r>
        <w:t xml:space="preserve">absorption amount (own funds)624, additional funding needs may emerge. The net effect</w:t>
      </w:r>
      <w:r>
        <w:t xml:space="preserve"> </w:t>
      </w:r>
      <w:r>
        <w:t xml:space="preserve">of MREL-related additional costs on banks, due to the expansion of the PIA cannot be</w:t>
      </w:r>
      <w:r>
        <w:t xml:space="preserve"> </w:t>
      </w:r>
      <w:r>
        <w:t xml:space="preserve">estimated because it would depend on bank-specific MREL targets set by authorities</w:t>
      </w:r>
      <w:r>
        <w:t xml:space="preserve"> </w:t>
      </w:r>
      <w:r>
        <w:t xml:space="preserve">following the determination of a positive PIA and the stock of outstanding eligible</w:t>
      </w:r>
      <w:r>
        <w:t xml:space="preserve"> </w:t>
      </w:r>
      <w:r>
        <w:t xml:space="preserve">instruments on these banks’ balance sheets.</w:t>
      </w:r>
      <w:r>
        <w:br/>
      </w:r>
      <w:r>
        <w:t xml:space="preserve">In this context, a study based on publicly available information extracted from S&amp;P</w:t>
      </w:r>
      <w:r>
        <w:t xml:space="preserve"> </w:t>
      </w:r>
      <w:r>
        <w:t xml:space="preserve">database, summarised in section 5.3.3, provides anecdotal evidence on the existence of</w:t>
      </w:r>
      <w:r>
        <w:t xml:space="preserve"> </w:t>
      </w:r>
      <w:r>
        <w:t xml:space="preserve">issuances of various forms of instruments, subordinated and senior unsecured liabilities,</w:t>
      </w:r>
      <w:r>
        <w:t xml:space="preserve"> </w:t>
      </w:r>
      <w:r>
        <w:t xml:space="preserve">across all size of institutions, including for those with a balance sheet lower than EUR 10</w:t>
      </w:r>
      <w:r>
        <w:t xml:space="preserve"> </w:t>
      </w:r>
      <w:r>
        <w:t xml:space="preserve">or 30 bn. This study shows that, while issuances are concentrated in a few Member States</w:t>
      </w:r>
      <w:r>
        <w:t xml:space="preserve"> </w:t>
      </w:r>
      <w:r>
        <w:t xml:space="preserve">and that the largest institutions, as seen previously, represent the majority of the issuers</w:t>
      </w:r>
      <w:r>
        <w:t xml:space="preserve"> </w:t>
      </w:r>
      <w:r>
        <w:t xml:space="preserve">in number and volume, some small and mid-sized banks have also issued subordinated</w:t>
      </w:r>
      <w:r>
        <w:t xml:space="preserve"> </w:t>
      </w:r>
      <w:r>
        <w:t xml:space="preserve">and senior resources likely to support the compliance with MREL requirements, where</w:t>
      </w:r>
      <w:r>
        <w:t xml:space="preserve"> </w:t>
      </w:r>
      <w:r>
        <w:t xml:space="preserve">not already achieved.</w:t>
      </w:r>
    </w:p>
    <w:p>
      <w:pPr>
        <w:pStyle w:val="BodyText"/>
      </w:pPr>
      <w:r>
        <w:t xml:space="preserve">624 The MREL calibration for transfer strategies is smaller when compared to open bank-bail-in strategies</w:t>
      </w:r>
      <w:r>
        <w:t xml:space="preserve"> </w:t>
      </w:r>
      <w:r>
        <w:t xml:space="preserve">due to the adjustments currently envisaged in various jurisdictions to cater for the banks’ business models</w:t>
      </w:r>
      <w:r>
        <w:t xml:space="preserve"> </w:t>
      </w:r>
      <w:r>
        <w:t xml:space="preserve">and resolution strategies relying on transfer tools.</w:t>
      </w:r>
    </w:p>
    <w:p>
      <w:pPr>
        <w:pStyle w:val="BodyText"/>
      </w:pPr>
      <w:r>
        <w:t xml:space="preserve">395</w:t>
      </w:r>
      <w:r>
        <w:t xml:space="preserve"> </w:t>
      </w:r>
      <w:r>
        <w:t xml:space="preserve">This analysis has a number of important caveats, such as the absence of clear delineation</w:t>
      </w:r>
      <w:r>
        <w:t xml:space="preserve"> </w:t>
      </w:r>
      <w:r>
        <w:t xml:space="preserve">between MREL eligible instruments and the concentration of observations in certain</w:t>
      </w:r>
      <w:r>
        <w:t xml:space="preserve"> </w:t>
      </w:r>
      <w:r>
        <w:t xml:space="preserve">issuers or in certain Member States, de facto constraining the presentation of the results.</w:t>
      </w:r>
      <w:r>
        <w:t xml:space="preserve"> </w:t>
      </w:r>
      <w:r>
        <w:t xml:space="preserve">The moderate number of issuances for these specific types of institutions may be</w:t>
      </w:r>
      <w:r>
        <w:t xml:space="preserve"> </w:t>
      </w:r>
      <w:r>
        <w:t xml:space="preserve">explained by transitional or more structural difficulties to access capital markets.</w:t>
      </w:r>
      <w:r>
        <w:br/>
      </w:r>
      <w:r>
        <w:t xml:space="preserve">On one hand, structural challenges are mostly linked to: (i) the general features of the</w:t>
      </w:r>
      <w:r>
        <w:t xml:space="preserve"> </w:t>
      </w:r>
      <w:r>
        <w:t xml:space="preserve">banks’ business model and funding structure, in particular the reliance on deposits and</w:t>
      </w:r>
      <w:r>
        <w:t xml:space="preserve"> </w:t>
      </w:r>
      <w:r>
        <w:t xml:space="preserve">CET1 to finance traditional lending activities, (ii) the absence of past issuance programs,</w:t>
      </w:r>
      <w:r>
        <w:t xml:space="preserve"> </w:t>
      </w:r>
      <w:r>
        <w:t xml:space="preserve">ratings or listed shares (see Box 24) that may hamper the ability to access internationally</w:t>
      </w:r>
      <w:r>
        <w:t xml:space="preserve"> </w:t>
      </w:r>
      <w:r>
        <w:t xml:space="preserve">active capital markets, (iii) the level of development and depth of local capital markets</w:t>
      </w:r>
      <w:r>
        <w:t xml:space="preserve"> </w:t>
      </w:r>
      <w:r>
        <w:t xml:space="preserve">and (iv) the implied costs linked to the issuance of debt securities and their impacts on</w:t>
      </w:r>
      <w:r>
        <w:t xml:space="preserve"> </w:t>
      </w:r>
      <w:r>
        <w:t xml:space="preserve">profitability, in particular in jurisdictions where markets are less liquid and where</w:t>
      </w:r>
      <w:r>
        <w:t xml:space="preserve"> </w:t>
      </w:r>
      <w:r>
        <w:t xml:space="preserve">sovereigns have relatively lower credit ratings compared to other Member States.</w:t>
      </w:r>
      <w:r>
        <w:t xml:space="preserve"> </w:t>
      </w:r>
      <w:r>
        <w:t xml:space="preserve">On the other hand, transitional challenges mostly relate to: (i) limited issuance</w:t>
      </w:r>
      <w:r>
        <w:t xml:space="preserve"> </w:t>
      </w:r>
      <w:r>
        <w:t xml:space="preserve">requirements due to high capital positions or the absence of MREL targets above capital</w:t>
      </w:r>
      <w:r>
        <w:t xml:space="preserve"> </w:t>
      </w:r>
      <w:r>
        <w:t xml:space="preserve">requirements having regard to the applicable strategy in case of failure (i.e. liquidation),</w:t>
      </w:r>
      <w:r>
        <w:t xml:space="preserve"> </w:t>
      </w:r>
      <w:r>
        <w:t xml:space="preserve">(ii) timeframes for MREL setting by resolution authorities based on which certain</w:t>
      </w:r>
      <w:r>
        <w:t xml:space="preserve"> </w:t>
      </w:r>
      <w:r>
        <w:t xml:space="preserve">institutions, in particular the least systemic ones, may have only been notified recently</w:t>
      </w:r>
      <w:r>
        <w:t xml:space="preserve"> </w:t>
      </w:r>
      <w:r>
        <w:t xml:space="preserve">about their requirements, (iii) transition periods potentially beyond 2024 allowing for a</w:t>
      </w:r>
      <w:r>
        <w:t xml:space="preserve"> </w:t>
      </w:r>
      <w:r>
        <w:t xml:space="preserve">delay in issuance in order to limit impacts on profitability (interest margin) and (iv) a</w:t>
      </w:r>
      <w:r>
        <w:t xml:space="preserve"> </w:t>
      </w:r>
      <w:r>
        <w:t xml:space="preserve">logic of sequencing with the AT1 and Tier 2 layers to meet prudential capital</w:t>
      </w:r>
      <w:r>
        <w:t xml:space="preserve"> </w:t>
      </w:r>
      <w:r>
        <w:t xml:space="preserve">requirements and to favour subsequent senior issuances insofar as they meet the MREL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These considerations call for caution when drawing general conclusions about the</w:t>
      </w:r>
      <w:r>
        <w:t xml:space="preserve"> </w:t>
      </w:r>
      <w:r>
        <w:t xml:space="preserve">explanatory factors linked to the issuances of own funds and eligible liabilities by small</w:t>
      </w:r>
      <w:r>
        <w:t xml:space="preserve"> </w:t>
      </w:r>
      <w:r>
        <w:t xml:space="preserve">and mid-sized banks and the potential additional costs of such issuances.</w:t>
      </w:r>
      <w:r>
        <w:br/>
      </w:r>
      <w:r>
        <w:t xml:space="preserve">5.3.2. EBA report on difficulties of certain banks to issue MREL eligible liabilities</w:t>
      </w:r>
      <w:r>
        <w:t xml:space="preserve"> </w:t>
      </w:r>
      <w:r>
        <w:t xml:space="preserve">A recent EBA report625 provided an analysis of possible factors that may explain the</w:t>
      </w:r>
      <w:r>
        <w:t xml:space="preserve"> </w:t>
      </w:r>
      <w:r>
        <w:t xml:space="preserve">issuance activity of MREL eligible liabilities, or lack thereof, by certain small banks.</w:t>
      </w:r>
      <w:r>
        <w:t xml:space="preserve"> </w:t>
      </w:r>
      <w:r>
        <w:t xml:space="preserve">Based on data as of Q4 2021, the EBA highlighted the following aspects:</w:t>
      </w:r>
      <w:r>
        <w:t xml:space="preserve"> </w:t>
      </w:r>
      <w:r>
        <w:t xml:space="preserve">-</w:t>
      </w:r>
      <w:r>
        <w:t xml:space="preserve"> </w:t>
      </w:r>
      <w:r>
        <w:t xml:space="preserve">The impact on profitability of MREL issuances, estimated via the cost of long-</w:t>
      </w:r>
      <w:r>
        <w:t xml:space="preserve"> </w:t>
      </w:r>
      <w:r>
        <w:t xml:space="preserve">term unsecured debt. The study shows that, while the overall situation appeared</w:t>
      </w:r>
      <w:r>
        <w:t xml:space="preserve"> </w:t>
      </w:r>
      <w:r>
        <w:t xml:space="preserve">manageable at the time (notwithstanding the changes of economic conditions and</w:t>
      </w:r>
      <w:r>
        <w:t xml:space="preserve"> </w:t>
      </w:r>
      <w:r>
        <w:t xml:space="preserve">the recent general rise of interest rates), the spreads of unsecured funding were</w:t>
      </w:r>
      <w:r>
        <w:t xml:space="preserve"> </w:t>
      </w:r>
      <w:r>
        <w:t xml:space="preserve">significantly higher for smaller banks than for their larger peers.</w:t>
      </w:r>
      <w:r>
        <w:t xml:space="preserve"> </w:t>
      </w:r>
      <w:r>
        <w:t xml:space="preserve">-</w:t>
      </w:r>
      <w:r>
        <w:t xml:space="preserve"> </w:t>
      </w:r>
      <w:r>
        <w:t xml:space="preserve">The ability of certain small banks to issue MREL over the period analysed in the</w:t>
      </w:r>
      <w:r>
        <w:t xml:space="preserve"> </w:t>
      </w:r>
      <w:r>
        <w:t xml:space="preserve">report seems linked, for certain issuers, to intrinsic financial health issues</w:t>
      </w:r>
      <w:r>
        <w:t xml:space="preserve"> </w:t>
      </w:r>
      <w:r>
        <w:t xml:space="preserve">(evidenced by low credit ratings), but it is also constrained by external factors</w:t>
      </w:r>
      <w:r>
        <w:t xml:space="preserve"> </w:t>
      </w:r>
      <w:r>
        <w:t xml:space="preserve">such as the sovereign rating or the apparent lack of deep markets in their home</w:t>
      </w:r>
      <w:r>
        <w:t xml:space="preserve"> </w:t>
      </w:r>
      <w:r>
        <w:t xml:space="preserve">jurisdiction.</w:t>
      </w:r>
    </w:p>
    <w:p>
      <w:pPr>
        <w:pStyle w:val="BodyText"/>
      </w:pPr>
      <w:r>
        <w:t xml:space="preserve">625 EBA (January 2023), EBA MREL quantitative monitoring report and impact assessment</w:t>
      </w:r>
    </w:p>
    <w:p>
      <w:pPr>
        <w:pStyle w:val="BodyText"/>
      </w:pPr>
      <w:r>
        <w:t xml:space="preserve">396</w:t>
      </w:r>
      <w:r>
        <w:t xml:space="preserve"> </w:t>
      </w:r>
      <w:r>
        <w:t xml:space="preserve">The conclusions of the report must be assessed with caution, given the limited focus on</w:t>
      </w:r>
      <w:r>
        <w:t xml:space="preserve"> </w:t>
      </w:r>
      <w:r>
        <w:t xml:space="preserve">certain groups of banks and the absence of a holistic assessment. Nevertheless, the study</w:t>
      </w:r>
      <w:r>
        <w:t xml:space="preserve"> </w:t>
      </w:r>
      <w:r>
        <w:t xml:space="preserve">confirms the complexity of the issue and the need to recognise the heterogeneity of the</w:t>
      </w:r>
      <w:r>
        <w:t xml:space="preserve"> </w:t>
      </w:r>
      <w:r>
        <w:t xml:space="preserve">situation of small banks, given that their ability to issue MREL eligible instruments may</w:t>
      </w:r>
      <w:r>
        <w:t xml:space="preserve"> </w:t>
      </w:r>
      <w:r>
        <w:t xml:space="preserve">be impacted by several factors that goes beyond their intrinsic financial position or</w:t>
      </w:r>
      <w:r>
        <w:t xml:space="preserve"> </w:t>
      </w:r>
      <w:r>
        <w:t xml:space="preserve">business model.</w:t>
      </w:r>
      <w:r>
        <w:t xml:space="preserve"> </w:t>
      </w:r>
      <w:r>
        <w:t xml:space="preserve">Box 24: Small and medium-sized banks: ratings and listed entities</w:t>
      </w:r>
      <w:r>
        <w:t xml:space="preserve"> </w:t>
      </w:r>
      <w:r>
        <w:t xml:space="preserve">Based on ECB data, 115 banks out of 1 978 operating in the Banking Union have a</w:t>
      </w:r>
      <w:r>
        <w:t xml:space="preserve"> </w:t>
      </w:r>
      <w:r>
        <w:t xml:space="preserve">rating at entity level. The presence of rating strongly decreases in conjunction with</w:t>
      </w:r>
      <w:r>
        <w:t xml:space="preserve"> </w:t>
      </w:r>
      <w:r>
        <w:t xml:space="preserve">the size of the bank: while 41% of entities with a balance sheet of more than</w:t>
      </w:r>
      <w:r>
        <w:t xml:space="preserve"> </w:t>
      </w:r>
      <w:r>
        <w:t xml:space="preserve">EUR 100 bn have a rating, the percentage falls to 6% of the smallest banks with a</w:t>
      </w:r>
      <w:r>
        <w:t xml:space="preserve"> </w:t>
      </w:r>
      <w:r>
        <w:t xml:space="preserve">balance sheet below EUR 10 bn. At aggregated level, 6% of the entities have a rating</w:t>
      </w:r>
      <w:r>
        <w:t xml:space="preserve"> </w:t>
      </w:r>
      <w:r>
        <w:t xml:space="preserve">(this figure takes into account all banks for which the total asset size is not available</w:t>
      </w:r>
      <w:r>
        <w:t xml:space="preserve"> </w:t>
      </w:r>
      <w:r>
        <w:t xml:space="preserve">and that were not included in any other category).</w:t>
      </w:r>
    </w:p>
    <w:p>
      <w:pPr>
        <w:pStyle w:val="BodyText"/>
      </w:pPr>
      <w:r>
        <w:t xml:space="preserve">Table 44: Share of banks with a rating (entity level, % of total)</w:t>
      </w:r>
      <w:r>
        <w:t xml:space="preserve"> </w:t>
      </w:r>
      <w:r>
        <w:t xml:space="preserve">Banks with a</w:t>
      </w:r>
      <w:r>
        <w:t xml:space="preserve"> </w:t>
      </w:r>
      <w:r>
        <w:t xml:space="preserve">rating (%)</w:t>
      </w:r>
      <w:r>
        <w:t xml:space="preserve"> </w:t>
      </w:r>
      <w:r>
        <w:t xml:space="preserve">Above EUR 100 bn</w:t>
      </w:r>
      <w:r>
        <w:t xml:space="preserve"> </w:t>
      </w:r>
      <w:r>
        <w:t xml:space="preserve">41%</w:t>
      </w:r>
      <w:r>
        <w:t xml:space="preserve"> </w:t>
      </w:r>
      <w:r>
        <w:t xml:space="preserve">EUR 100-50 bn</w:t>
      </w:r>
      <w:r>
        <w:t xml:space="preserve"> </w:t>
      </w:r>
      <w:r>
        <w:t xml:space="preserve">18%</w:t>
      </w:r>
      <w:r>
        <w:t xml:space="preserve"> </w:t>
      </w:r>
      <w:r>
        <w:t xml:space="preserve">EUR 50-30 bn</w:t>
      </w:r>
      <w:r>
        <w:t xml:space="preserve"> </w:t>
      </w:r>
      <w:r>
        <w:t xml:space="preserve">23%</w:t>
      </w:r>
      <w:r>
        <w:t xml:space="preserve"> </w:t>
      </w:r>
      <w:r>
        <w:t xml:space="preserve">EUR 30-10 bn</w:t>
      </w:r>
      <w:r>
        <w:t xml:space="preserve"> </w:t>
      </w:r>
      <w:r>
        <w:t xml:space="preserve">14%</w:t>
      </w:r>
      <w:r>
        <w:t xml:space="preserve"> </w:t>
      </w:r>
      <w:r>
        <w:t xml:space="preserve">Below EUR 10 bn</w:t>
      </w:r>
      <w:r>
        <w:t xml:space="preserve"> </w:t>
      </w:r>
      <w:r>
        <w:t xml:space="preserve">6%</w:t>
      </w:r>
      <w:r>
        <w:t xml:space="preserve"> </w:t>
      </w:r>
      <w:r>
        <w:t xml:space="preserve">Total</w:t>
      </w:r>
      <w:r>
        <w:t xml:space="preserve"> </w:t>
      </w:r>
      <w:r>
        <w:t xml:space="preserve">6%</w:t>
      </w:r>
      <w:r>
        <w:t xml:space="preserve"> </w:t>
      </w:r>
      <w:r>
        <w:t xml:space="preserve">Source: ECB computations, data as of Q4 2021</w:t>
      </w:r>
    </w:p>
    <w:p>
      <w:pPr>
        <w:pStyle w:val="BodyText"/>
      </w:pPr>
      <w:r>
        <w:t xml:space="preserve">The variation is also significant, but with higher absolute levels, with respect to the</w:t>
      </w:r>
      <w:r>
        <w:t xml:space="preserve"> </w:t>
      </w:r>
      <w:r>
        <w:t xml:space="preserve">share of banks that are listed in the Banking Union. While almost all banks with a</w:t>
      </w:r>
      <w:r>
        <w:t xml:space="preserve"> </w:t>
      </w:r>
      <w:r>
        <w:t xml:space="preserve">balance sheet higher than EUR 50 bn are listed, the share decreases progressively</w:t>
      </w:r>
      <w:r>
        <w:t xml:space="preserve"> </w:t>
      </w:r>
      <w:r>
        <w:t xml:space="preserve">down to 42% for banks with a balance sheet size lower than EUR 10 bn. At</w:t>
      </w:r>
      <w:r>
        <w:t xml:space="preserve"> </w:t>
      </w:r>
      <w:r>
        <w:t xml:space="preserve">aggregated level, 34% of the entities are listed (this figure takes into account all banks</w:t>
      </w:r>
      <w:r>
        <w:t xml:space="preserve"> </w:t>
      </w:r>
      <w:r>
        <w:t xml:space="preserve">for which the total asset size is not available and that were not included in any other</w:t>
      </w:r>
      <w:r>
        <w:t xml:space="preserve"> </w:t>
      </w:r>
      <w:r>
        <w:t xml:space="preserve">category).</w:t>
      </w:r>
    </w:p>
    <w:p>
      <w:pPr>
        <w:pStyle w:val="BodyText"/>
      </w:pPr>
      <w:r>
        <w:t xml:space="preserve">Table 45: Share of banks listed (% of total)</w:t>
      </w:r>
      <w:r>
        <w:t xml:space="preserve"> </w:t>
      </w:r>
      <w:r>
        <w:t xml:space="preserve">Banks with a</w:t>
      </w:r>
      <w:r>
        <w:t xml:space="preserve"> </w:t>
      </w:r>
      <w:r>
        <w:t xml:space="preserve">rating (%)</w:t>
      </w:r>
      <w:r>
        <w:t xml:space="preserve"> </w:t>
      </w:r>
      <w:r>
        <w:t xml:space="preserve">Above EUR 100 bn</w:t>
      </w:r>
      <w:r>
        <w:t xml:space="preserve"> </w:t>
      </w:r>
      <w:r>
        <w:t xml:space="preserve">98%</w:t>
      </w:r>
      <w:r>
        <w:t xml:space="preserve"> </w:t>
      </w:r>
      <w:r>
        <w:t xml:space="preserve">EUR 100-50 bn</w:t>
      </w:r>
      <w:r>
        <w:t xml:space="preserve"> </w:t>
      </w:r>
      <w:r>
        <w:t xml:space="preserve">96%</w:t>
      </w:r>
      <w:r>
        <w:t xml:space="preserve"> </w:t>
      </w:r>
      <w:r>
        <w:t xml:space="preserve">EUR 50-30 bn</w:t>
      </w:r>
      <w:r>
        <w:t xml:space="preserve"> </w:t>
      </w:r>
      <w:r>
        <w:t xml:space="preserve">81%</w:t>
      </w:r>
      <w:r>
        <w:t xml:space="preserve"> </w:t>
      </w:r>
      <w:r>
        <w:t xml:space="preserve">EUR 30-10 bn</w:t>
      </w:r>
      <w:r>
        <w:t xml:space="preserve"> </w:t>
      </w:r>
      <w:r>
        <w:t xml:space="preserve">78%</w:t>
      </w:r>
      <w:r>
        <w:t xml:space="preserve"> </w:t>
      </w:r>
      <w:r>
        <w:t xml:space="preserve">Below EUR 10 bn</w:t>
      </w:r>
      <w:r>
        <w:t xml:space="preserve"> </w:t>
      </w:r>
      <w:r>
        <w:t xml:space="preserve">42%</w:t>
      </w:r>
      <w:r>
        <w:t xml:space="preserve"> </w:t>
      </w:r>
      <w:r>
        <w:t xml:space="preserve">Total</w:t>
      </w:r>
      <w:r>
        <w:t xml:space="preserve"> </w:t>
      </w:r>
      <w:r>
        <w:t xml:space="preserve">34%</w:t>
      </w:r>
      <w:r>
        <w:t xml:space="preserve"> </w:t>
      </w:r>
      <w:r>
        <w:t xml:space="preserve">Source: ECB computations, data as of Q4 2021</w:t>
      </w:r>
    </w:p>
    <w:p>
      <w:pPr>
        <w:pStyle w:val="BodyText"/>
      </w:pPr>
      <w:r>
        <w:t xml:space="preserve">Some of these banks, on an individual level, may not necessarily be standalone</w:t>
      </w:r>
      <w:r>
        <w:t xml:space="preserve"> </w:t>
      </w:r>
      <w:r>
        <w:t xml:space="preserve">entities and may be part of larger banking groups and, therefore, embedded into</w:t>
      </w:r>
      <w:r>
        <w:t xml:space="preserve"> </w:t>
      </w:r>
      <w:r>
        <w:t xml:space="preserve">group-wide funding structures.</w:t>
      </w:r>
    </w:p>
    <w:p>
      <w:pPr>
        <w:pStyle w:val="BodyText"/>
      </w:pPr>
      <w:r>
        <w:t xml:space="preserve">397</w:t>
      </w:r>
      <w:r>
        <w:t xml:space="preserve"> </w:t>
      </w:r>
      <w:r>
        <w:t xml:space="preserve">5.3.3. Evaluation of the funding capacity – Study of public issuances</w:t>
      </w:r>
      <w:r>
        <w:t xml:space="preserve"> </w:t>
      </w:r>
      <w:r>
        <w:t xml:space="preserve">The subsequent study626 is based on a sample covering 7 721 issuances by 298 issuers</w:t>
      </w:r>
      <w:r>
        <w:t xml:space="preserve"> </w:t>
      </w:r>
      <w:r>
        <w:t xml:space="preserve">with a balance sheet below EUR 100 bn627. Issuances take the form of subordinated and</w:t>
      </w:r>
      <w:r>
        <w:t xml:space="preserve"> </w:t>
      </w:r>
      <w:r>
        <w:t xml:space="preserve">senior unsecured debt securities with a maturity higher than one year, with a minimum</w:t>
      </w:r>
      <w:r>
        <w:t xml:space="preserve"> </w:t>
      </w:r>
      <w:r>
        <w:t xml:space="preserve">ticket of EUR 20 million, from January 2018 to January 2023, i.e. a time period which is</w:t>
      </w:r>
      <w:r>
        <w:t xml:space="preserve"> </w:t>
      </w:r>
      <w:r>
        <w:t xml:space="preserve">consistent with the progressive path followed by resolution authorities in setting MREL</w:t>
      </w:r>
      <w:r>
        <w:t xml:space="preserve"> </w:t>
      </w:r>
      <w:r>
        <w:t xml:space="preserve">requirements in the EU, including under the revised Banking Package adopted in 2019.</w:t>
      </w:r>
      <w:r>
        <w:br/>
      </w:r>
      <w:r>
        <w:t xml:space="preserve">The dataset does not include a clear delineation to single out MREL eligible instruments.</w:t>
      </w:r>
      <w:r>
        <w:t xml:space="preserve"> </w:t>
      </w:r>
      <w:r>
        <w:t xml:space="preserve">As such, some liabilities included in the sample may be issued by institutions that are not</w:t>
      </w:r>
      <w:r>
        <w:t xml:space="preserve"> </w:t>
      </w:r>
      <w:r>
        <w:t xml:space="preserve">resolution entities or may not comply with all the eligibility conditions set out in Article</w:t>
      </w:r>
      <w:r>
        <w:t xml:space="preserve"> </w:t>
      </w:r>
      <w:r>
        <w:t xml:space="preserve">72b CRR for MREL eligible liabilities.</w:t>
      </w:r>
      <w:r>
        <w:t xml:space="preserve"> </w:t>
      </w:r>
      <w:r>
        <w:t xml:space="preserve">Main takeaways:</w:t>
      </w:r>
      <w:r>
        <w:t xml:space="preserve"> </w:t>
      </w:r>
      <w:r>
        <w:t xml:space="preserve">-</w:t>
      </w:r>
      <w:r>
        <w:t xml:space="preserve"> </w:t>
      </w:r>
      <w:r>
        <w:t xml:space="preserve">Overview of the issuers</w:t>
      </w:r>
      <w:r>
        <w:t xml:space="preserve"> </w:t>
      </w:r>
      <w:r>
        <w:t xml:space="preserve">Over the last five years, 298 issuers located in the EU, with a balance sheet size below</w:t>
      </w:r>
      <w:r>
        <w:t xml:space="preserve"> </w:t>
      </w:r>
      <w:r>
        <w:t xml:space="preserve">EUR 100 bn, reported a total of 7 721 issuances of subordinated and senior debt</w:t>
      </w:r>
      <w:r>
        <w:t xml:space="preserve"> </w:t>
      </w:r>
      <w:r>
        <w:t xml:space="preserve">instruments. The observations show that issuers are concentrated in a few Member</w:t>
      </w:r>
      <w:r>
        <w:t xml:space="preserve"> </w:t>
      </w:r>
      <w:r>
        <w:t xml:space="preserve">States: AT, DE, FR, IT, LU and SE represent more than 65% of the issuers and 89% of</w:t>
      </w:r>
      <w:r>
        <w:t xml:space="preserve"> </w:t>
      </w:r>
      <w:r>
        <w:t xml:space="preserve">the number of issuances, while there are only a limited number of issuances reported in</w:t>
      </w:r>
      <w:r>
        <w:t xml:space="preserve"> </w:t>
      </w:r>
      <w:r>
        <w:t xml:space="preserve">eight Member States, predominantly in Central and Eastern Europe.</w:t>
      </w:r>
    </w:p>
    <w:p>
      <w:pPr>
        <w:pStyle w:val="BodyText"/>
      </w:pPr>
      <w:r>
        <w:t xml:space="preserve">626 Source: S&amp;P data as of 19 January 2023, Commission services computations.</w:t>
      </w:r>
      <w:r>
        <w:br/>
      </w:r>
      <w:r>
        <w:t xml:space="preserve">627 Data quality checks led to the exclusion of a limited amount of observations, in particular when the</w:t>
      </w:r>
      <w:r>
        <w:t xml:space="preserve"> </w:t>
      </w:r>
      <w:r>
        <w:t xml:space="preserve">type of instrument or the size of the issuer were not available.</w:t>
      </w:r>
    </w:p>
    <w:p>
      <w:pPr>
        <w:pStyle w:val="BodyText"/>
      </w:pPr>
      <w:r>
        <w:t xml:space="preserve">398</w:t>
      </w:r>
      <w:r>
        <w:t xml:space="preserve"> </w:t>
      </w:r>
      <w:r>
        <w:t xml:space="preserve">Table 46: Number of issuers (per Member State* and balance sheet size)</w:t>
      </w:r>
      <w:r>
        <w:t xml:space="preserve"> </w:t>
      </w:r>
      <w:r>
        <w:t xml:space="preserve">Size (EUR billion)</w:t>
      </w:r>
      <w:r>
        <w:t xml:space="preserve"> </w:t>
      </w:r>
      <w:r>
        <w:t xml:space="preserve">&lt;10</w:t>
      </w:r>
      <w:r>
        <w:t xml:space="preserve"> </w:t>
      </w:r>
      <w:r>
        <w:t xml:space="preserve">[10-30[</w:t>
      </w:r>
      <w:r>
        <w:t xml:space="preserve"> </w:t>
      </w:r>
      <w:r>
        <w:t xml:space="preserve">[30-50[</w:t>
      </w:r>
      <w:r>
        <w:t xml:space="preserve"> </w:t>
      </w:r>
      <w:r>
        <w:t xml:space="preserve">[50-100[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29</w:t>
      </w:r>
      <w:r>
        <w:t xml:space="preserve"> </w:t>
      </w:r>
      <w:r>
        <w:t xml:space="preserve">BE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BG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DE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32</w:t>
      </w:r>
      <w:r>
        <w:t xml:space="preserve"> </w:t>
      </w:r>
      <w:r>
        <w:t xml:space="preserve">DK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13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EL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ES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FI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FR</w:t>
      </w:r>
      <w:r>
        <w:t xml:space="preserve"> </w:t>
      </w:r>
      <w:r>
        <w:t xml:space="preserve">15</w:t>
      </w:r>
      <w:r>
        <w:t xml:space="preserve"> </w:t>
      </w:r>
      <w:r>
        <w:t xml:space="preserve">17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43</w:t>
      </w:r>
      <w:r>
        <w:t xml:space="preserve"> </w:t>
      </w:r>
      <w:r>
        <w:t xml:space="preserve">HR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HU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IE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IT</w:t>
      </w:r>
      <w:r>
        <w:t xml:space="preserve"> </w:t>
      </w:r>
      <w:r>
        <w:t xml:space="preserve">41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63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LV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MT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NL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PL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SE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SI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SK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140</w:t>
      </w:r>
      <w:r>
        <w:t xml:space="preserve"> </w:t>
      </w:r>
      <w:r>
        <w:t xml:space="preserve">89</w:t>
      </w:r>
      <w:r>
        <w:t xml:space="preserve"> </w:t>
      </w:r>
      <w:r>
        <w:t xml:space="preserve">22</w:t>
      </w:r>
      <w:r>
        <w:t xml:space="preserve"> </w:t>
      </w:r>
      <w:r>
        <w:t xml:space="preserve">47</w:t>
      </w:r>
      <w:r>
        <w:t xml:space="preserve"> </w:t>
      </w:r>
      <w:r>
        <w:t xml:space="preserve">298</w:t>
      </w:r>
      <w:r>
        <w:t xml:space="preserve"> </w:t>
      </w:r>
      <w:r>
        <w:t xml:space="preserve">* an issuing bank may be part of a group headed in another Member State</w:t>
      </w:r>
      <w:r>
        <w:t xml:space="preserve"> </w:t>
      </w:r>
      <w:r>
        <w:t xml:space="preserve">Source: Commission services computations, based on S&amp;P data as of 19 January 2023.</w:t>
      </w:r>
      <w:r>
        <w:t xml:space="preserve"> </w:t>
      </w:r>
      <w:r>
        <w:t xml:space="preserve">The number of issuers should be viewed in perspective of the total number of banks</w:t>
      </w:r>
      <w:r>
        <w:t xml:space="preserve"> </w:t>
      </w:r>
      <w:r>
        <w:t xml:space="preserve">operating in the EU. Based on ECB data as of Q4 2020, approximately 1 150 banks with</w:t>
      </w:r>
      <w:r>
        <w:t xml:space="preserve"> </w:t>
      </w:r>
      <w:r>
        <w:t xml:space="preserve">total assets below EUR 100 bn628 are operating in the Banking Union Member States. As</w:t>
      </w:r>
      <w:r>
        <w:t xml:space="preserve"> </w:t>
      </w:r>
      <w:r>
        <w:t xml:space="preserve">already noted, on an individual level, these banks are not necessarily standalone entities</w:t>
      </w:r>
      <w:r>
        <w:t xml:space="preserve"> </w:t>
      </w:r>
      <w:r>
        <w:t xml:space="preserve">and may be part of larger banking groups and therefore embedded into group-wide</w:t>
      </w:r>
      <w:r>
        <w:t xml:space="preserve"> </w:t>
      </w:r>
      <w:r>
        <w:t xml:space="preserve">funding structures. Similarly, not all banks would in any case be subject to resolution</w:t>
      </w:r>
      <w:r>
        <w:t xml:space="preserve"> </w:t>
      </w:r>
      <w:r>
        <w:t xml:space="preserve">strategies and may not have to issue MREL eligible instruments beyond their capital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628 In addition to 803 banks for which the total assets size was not reported, for a total, including all asset</w:t>
      </w:r>
      <w:r>
        <w:t xml:space="preserve"> </w:t>
      </w:r>
      <w:r>
        <w:t xml:space="preserve">size groups, of 1,998 banks.</w:t>
      </w:r>
    </w:p>
    <w:bookmarkEnd w:id="22"/>
    <w:bookmarkStart w:id="23" w:name="section-3"/>
    <w:p>
      <w:pPr>
        <w:pStyle w:val="Heading2"/>
      </w:pPr>
      <w:r>
        <w:t xml:space="preserve">399</w:t>
      </w:r>
    </w:p>
    <w:p>
      <w:pPr>
        <w:pStyle w:val="FirstParagraph"/>
      </w:pPr>
      <w:r>
        <w:t xml:space="preserve">Overview of the issuances (types and amounts)</w:t>
      </w:r>
      <w:r>
        <w:t xml:space="preserve"> </w:t>
      </w:r>
      <w:r>
        <w:t xml:space="preserve">Bearing in mind the caveats on the limited number of observations, issuances of</w:t>
      </w:r>
      <w:r>
        <w:t xml:space="preserve"> </w:t>
      </w:r>
      <w:r>
        <w:t xml:space="preserve">subordinated instruments represent no more than 5% of the total issuances in each size</w:t>
      </w:r>
      <w:r>
        <w:t xml:space="preserve"> </w:t>
      </w:r>
      <w:r>
        <w:t xml:space="preserve">group. Banks with smaller balance sheet report issuances of subordinated instruments,</w:t>
      </w:r>
      <w:r>
        <w:t xml:space="preserve"> </w:t>
      </w:r>
      <w:r>
        <w:t xml:space="preserve">but in limited numbers compared to the number of issuers in most jurisdictions. Data</w:t>
      </w:r>
      <w:r>
        <w:t xml:space="preserve"> </w:t>
      </w:r>
      <w:r>
        <w:t xml:space="preserve">shows that nine Member States report 10 or less issuances of subordinated and senior</w:t>
      </w:r>
      <w:r>
        <w:t xml:space="preserve"> </w:t>
      </w:r>
      <w:r>
        <w:t xml:space="preserve">unsecured debt instruments. Senior issuances represent the majority of instruments issued</w:t>
      </w:r>
      <w:r>
        <w:t xml:space="preserve"> </w:t>
      </w:r>
      <w:r>
        <w:t xml:space="preserve">in all size groups. In total, senior instruments account for 98% of all issuances.</w:t>
      </w:r>
      <w:r>
        <w:br/>
      </w:r>
      <w:r>
        <w:t xml:space="preserve">Table 47: Number of issuances (per Member States* and balance sheet size)</w:t>
      </w:r>
      <w:r>
        <w:t xml:space="preserve"> </w:t>
      </w:r>
      <w:r>
        <w:t xml:space="preserve">&lt;10</w:t>
      </w:r>
    </w:p>
    <w:p>
      <w:pPr>
        <w:pStyle w:val="BodyText"/>
      </w:pPr>
      <w:r>
        <w:t xml:space="preserve">[10-30[</w:t>
      </w:r>
    </w:p>
    <w:p>
      <w:pPr>
        <w:pStyle w:val="BodyText"/>
      </w:pPr>
      <w:r>
        <w:t xml:space="preserve">[30-50[</w:t>
      </w:r>
    </w:p>
    <w:p>
      <w:pPr>
        <w:pStyle w:val="BodyText"/>
      </w:pPr>
      <w:r>
        <w:t xml:space="preserve">[50-100[</w:t>
      </w:r>
      <w:r>
        <w:t xml:space="preserve"> </w:t>
      </w:r>
      <w:r>
        <w:t xml:space="preserve">Total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AT</w:t>
      </w:r>
      <w:r>
        <w:t xml:space="preserve"> </w:t>
      </w:r>
      <w:r>
        <w:t xml:space="preserve">28</w:t>
      </w:r>
      <w:r>
        <w:t xml:space="preserve"> </w:t>
      </w:r>
      <w:r>
        <w:t xml:space="preserve">955</w:t>
      </w:r>
      <w:r>
        <w:t xml:space="preserve"> </w:t>
      </w:r>
      <w:r>
        <w:t xml:space="preserve">17</w:t>
      </w:r>
      <w:r>
        <w:t xml:space="preserve"> </w:t>
      </w:r>
      <w:r>
        <w:t xml:space="preserve">122</w:t>
      </w:r>
      <w:r>
        <w:t xml:space="preserve"> </w:t>
      </w:r>
      <w:r>
        <w:t xml:space="preserve">0</w:t>
      </w:r>
      <w:r>
        <w:t xml:space="preserve"> </w:t>
      </w:r>
      <w:r>
        <w:t xml:space="preserve">76</w:t>
      </w:r>
      <w:r>
        <w:t xml:space="preserve"> </w:t>
      </w:r>
      <w:r>
        <w:t xml:space="preserve">10</w:t>
      </w:r>
      <w:r>
        <w:t xml:space="preserve"> </w:t>
      </w:r>
      <w:r>
        <w:t xml:space="preserve">83</w:t>
      </w:r>
      <w:r>
        <w:t xml:space="preserve"> </w:t>
      </w:r>
      <w:r>
        <w:t xml:space="preserve">1,291</w:t>
      </w:r>
      <w:r>
        <w:t xml:space="preserve"> </w:t>
      </w:r>
      <w:r>
        <w:t xml:space="preserve">BE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CZ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19</w:t>
      </w:r>
      <w:r>
        <w:t xml:space="preserve"> </w:t>
      </w:r>
      <w:r>
        <w:t xml:space="preserve">DE</w:t>
      </w:r>
      <w:r>
        <w:t xml:space="preserve"> </w:t>
      </w:r>
      <w:r>
        <w:t xml:space="preserve">4</w:t>
      </w:r>
      <w:r>
        <w:t xml:space="preserve"> </w:t>
      </w:r>
      <w:r>
        <w:t xml:space="preserve">57</w:t>
      </w:r>
      <w:r>
        <w:t xml:space="preserve"> </w:t>
      </w:r>
      <w:r>
        <w:t xml:space="preserve">0</w:t>
      </w:r>
      <w:r>
        <w:t xml:space="preserve"> </w:t>
      </w:r>
      <w:r>
        <w:t xml:space="preserve">190</w:t>
      </w:r>
      <w:r>
        <w:t xml:space="preserve"> </w:t>
      </w:r>
      <w:r>
        <w:t xml:space="preserve">4</w:t>
      </w:r>
      <w:r>
        <w:t xml:space="preserve"> </w:t>
      </w:r>
      <w:r>
        <w:t xml:space="preserve">973</w:t>
      </w:r>
      <w:r>
        <w:t xml:space="preserve"> </w:t>
      </w:r>
      <w:r>
        <w:t xml:space="preserve">4</w:t>
      </w:r>
      <w:r>
        <w:t xml:space="preserve"> </w:t>
      </w:r>
      <w:r>
        <w:t xml:space="preserve">195</w:t>
      </w:r>
      <w:r>
        <w:t xml:space="preserve"> </w:t>
      </w:r>
      <w:r>
        <w:t xml:space="preserve">1,427</w:t>
      </w:r>
      <w:r>
        <w:t xml:space="preserve"> </w:t>
      </w:r>
      <w:r>
        <w:t xml:space="preserve">DK</w:t>
      </w:r>
      <w:r>
        <w:t xml:space="preserve"> </w:t>
      </w:r>
      <w:r>
        <w:t xml:space="preserve">3</w:t>
      </w:r>
      <w:r>
        <w:t xml:space="preserve"> </w:t>
      </w:r>
      <w:r>
        <w:t xml:space="preserve">24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28</w:t>
      </w:r>
      <w:r>
        <w:t xml:space="preserve"> </w:t>
      </w:r>
      <w:r>
        <w:t xml:space="preserve">86</w:t>
      </w:r>
      <w:r>
        <w:t xml:space="preserve"> </w:t>
      </w:r>
      <w:r>
        <w:t xml:space="preserve">EE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24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24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26</w:t>
      </w:r>
      <w:r>
        <w:t xml:space="preserve"> </w:t>
      </w:r>
      <w:r>
        <w:t xml:space="preserve">0</w:t>
      </w:r>
      <w:r>
        <w:t xml:space="preserve"> </w:t>
      </w:r>
      <w:r>
        <w:t xml:space="preserve">40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8</w:t>
      </w:r>
      <w:r>
        <w:t xml:space="preserve"> </w:t>
      </w:r>
      <w:r>
        <w:t xml:space="preserve">60</w:t>
      </w:r>
      <w:r>
        <w:t xml:space="preserve"> </w:t>
      </w:r>
      <w:r>
        <w:t xml:space="preserve">155</w:t>
      </w:r>
      <w:r>
        <w:t xml:space="preserve"> </w:t>
      </w:r>
      <w:r>
        <w:t xml:space="preserve">FR</w:t>
      </w:r>
      <w:r>
        <w:t xml:space="preserve"> </w:t>
      </w:r>
      <w:r>
        <w:t xml:space="preserve">0</w:t>
      </w:r>
      <w:r>
        <w:t xml:space="preserve"> </w:t>
      </w:r>
      <w:r>
        <w:t xml:space="preserve">314</w:t>
      </w:r>
      <w:r>
        <w:t xml:space="preserve"> </w:t>
      </w:r>
      <w:r>
        <w:t xml:space="preserve">0</w:t>
      </w:r>
      <w:r>
        <w:t xml:space="preserve"> </w:t>
      </w:r>
      <w:r>
        <w:t xml:space="preserve">112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189</w:t>
      </w:r>
      <w:r>
        <w:t xml:space="preserve"> </w:t>
      </w:r>
      <w:r>
        <w:t xml:space="preserve">623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HU</w:t>
      </w:r>
      <w:r>
        <w:t xml:space="preserve"> </w:t>
      </w:r>
      <w:r>
        <w:t xml:space="preserve">0</w:t>
      </w:r>
      <w:r>
        <w:t xml:space="preserve"> </w:t>
      </w:r>
      <w:r>
        <w:t xml:space="preserve">45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57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55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78</w:t>
      </w:r>
      <w:r>
        <w:t xml:space="preserve"> </w:t>
      </w:r>
      <w:r>
        <w:t xml:space="preserve">IT</w:t>
      </w:r>
      <w:r>
        <w:t xml:space="preserve"> </w:t>
      </w:r>
      <w:r>
        <w:t xml:space="preserve">6</w:t>
      </w:r>
      <w:r>
        <w:t xml:space="preserve"> </w:t>
      </w:r>
      <w:r>
        <w:t xml:space="preserve">132</w:t>
      </w:r>
      <w:r>
        <w:t xml:space="preserve"> </w:t>
      </w:r>
      <w:r>
        <w:t xml:space="preserve">3</w:t>
      </w:r>
      <w:r>
        <w:t xml:space="preserve"> </w:t>
      </w:r>
      <w:r>
        <w:t xml:space="preserve">82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125</w:t>
      </w:r>
      <w:r>
        <w:t xml:space="preserve"> </w:t>
      </w:r>
      <w:r>
        <w:t xml:space="preserve">361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36</w:t>
      </w:r>
      <w:r>
        <w:t xml:space="preserve"> </w:t>
      </w:r>
      <w:r>
        <w:t xml:space="preserve">1</w:t>
      </w:r>
      <w:r>
        <w:t xml:space="preserve"> </w:t>
      </w:r>
      <w:r>
        <w:t xml:space="preserve">16</w:t>
      </w:r>
      <w:r>
        <w:t xml:space="preserve"> </w:t>
      </w:r>
      <w:r>
        <w:t xml:space="preserve">5</w:t>
      </w:r>
      <w:r>
        <w:t xml:space="preserve"> </w:t>
      </w:r>
      <w:r>
        <w:t xml:space="preserve">2,825</w:t>
      </w:r>
      <w:r>
        <w:t xml:space="preserve"> </w:t>
      </w:r>
      <w:r>
        <w:t xml:space="preserve">0</w:t>
      </w:r>
      <w:r>
        <w:t xml:space="preserve"> </w:t>
      </w:r>
      <w:r>
        <w:t xml:space="preserve">90</w:t>
      </w:r>
      <w:r>
        <w:t xml:space="preserve"> </w:t>
      </w:r>
      <w:r>
        <w:t xml:space="preserve">2,973</w:t>
      </w:r>
      <w:r>
        <w:t xml:space="preserve"> </w:t>
      </w:r>
      <w:r>
        <w:t xml:space="preserve">LV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MT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NL</w:t>
      </w:r>
      <w:r>
        <w:t xml:space="preserve"> </w:t>
      </w:r>
      <w:r>
        <w:t xml:space="preserve">0</w:t>
      </w:r>
      <w:r>
        <w:t xml:space="preserve"> </w:t>
      </w:r>
      <w:r>
        <w:t xml:space="preserve">80</w:t>
      </w:r>
      <w:r>
        <w:t xml:space="preserve"> </w:t>
      </w:r>
      <w:r>
        <w:t xml:space="preserve">1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166</w:t>
      </w:r>
      <w:r>
        <w:t xml:space="preserve"> </w:t>
      </w:r>
      <w:r>
        <w:t xml:space="preserve">278</w:t>
      </w:r>
      <w:r>
        <w:t xml:space="preserve"> </w:t>
      </w:r>
      <w:r>
        <w:t xml:space="preserve">PL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31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44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15</w:t>
      </w:r>
      <w:r>
        <w:t xml:space="preserve"> </w:t>
      </w:r>
      <w:r>
        <w:t xml:space="preserve">27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SE</w:t>
      </w:r>
      <w:r>
        <w:t xml:space="preserve"> </w:t>
      </w:r>
      <w:r>
        <w:t xml:space="preserve">0</w:t>
      </w:r>
      <w:r>
        <w:t xml:space="preserve"> </w:t>
      </w:r>
      <w:r>
        <w:t xml:space="preserve">134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38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182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Total</w:t>
      </w:r>
      <w:r>
        <w:t xml:space="preserve"> </w:t>
      </w:r>
      <w:r>
        <w:t xml:space="preserve">48</w:t>
      </w:r>
      <w:r>
        <w:t xml:space="preserve"> </w:t>
      </w:r>
      <w:r>
        <w:t xml:space="preserve">1,885</w:t>
      </w:r>
      <w:r>
        <w:t xml:space="preserve"> </w:t>
      </w:r>
      <w:r>
        <w:t xml:space="preserve">37</w:t>
      </w:r>
      <w:r>
        <w:t xml:space="preserve"> </w:t>
      </w:r>
      <w:r>
        <w:t xml:space="preserve">708</w:t>
      </w:r>
      <w:r>
        <w:t xml:space="preserve"> </w:t>
      </w:r>
      <w:r>
        <w:t xml:space="preserve">17</w:t>
      </w:r>
      <w:r>
        <w:t xml:space="preserve"> </w:t>
      </w:r>
      <w:r>
        <w:t xml:space="preserve">3,984</w:t>
      </w:r>
      <w:r>
        <w:t xml:space="preserve"> </w:t>
      </w:r>
      <w:r>
        <w:t xml:space="preserve">50</w:t>
      </w:r>
      <w:r>
        <w:t xml:space="preserve"> </w:t>
      </w:r>
      <w:r>
        <w:t xml:space="preserve">992</w:t>
      </w:r>
      <w:r>
        <w:t xml:space="preserve"> </w:t>
      </w:r>
      <w:r>
        <w:t xml:space="preserve">7,721</w:t>
      </w:r>
      <w:r>
        <w:t xml:space="preserve"> </w:t>
      </w:r>
      <w:r>
        <w:t xml:space="preserve">% per size</w:t>
      </w:r>
      <w:r>
        <w:t xml:space="preserve"> </w:t>
      </w:r>
      <w:r>
        <w:t xml:space="preserve">group</w:t>
      </w:r>
      <w:r>
        <w:t xml:space="preserve"> </w:t>
      </w:r>
      <w:r>
        <w:t xml:space="preserve">2.5%</w:t>
      </w:r>
      <w:r>
        <w:t xml:space="preserve"> </w:t>
      </w:r>
      <w:r>
        <w:t xml:space="preserve">97.5%</w:t>
      </w:r>
      <w:r>
        <w:t xml:space="preserve"> </w:t>
      </w:r>
      <w:r>
        <w:t xml:space="preserve">5.0%</w:t>
      </w:r>
      <w:r>
        <w:t xml:space="preserve"> </w:t>
      </w:r>
      <w:r>
        <w:t xml:space="preserve">95.0%</w:t>
      </w:r>
      <w:r>
        <w:t xml:space="preserve"> </w:t>
      </w:r>
      <w:r>
        <w:t xml:space="preserve">0.4%</w:t>
      </w:r>
      <w:r>
        <w:t xml:space="preserve"> </w:t>
      </w:r>
      <w:r>
        <w:t xml:space="preserve">99.6%</w:t>
      </w:r>
      <w:r>
        <w:t xml:space="preserve"> </w:t>
      </w:r>
      <w:r>
        <w:t xml:space="preserve">4.8%</w:t>
      </w:r>
      <w:r>
        <w:t xml:space="preserve"> </w:t>
      </w:r>
      <w:r>
        <w:t xml:space="preserve">95.2%</w:t>
      </w:r>
    </w:p>
    <w:p>
      <w:pPr>
        <w:pStyle w:val="BodyText"/>
      </w:pPr>
      <w:r>
        <w:t xml:space="preserve">Source: Commission services computations, based on S&amp;P data as of 19 January 2023. * An issuing bank</w:t>
      </w:r>
      <w:r>
        <w:t xml:space="preserve"> </w:t>
      </w:r>
      <w:r>
        <w:t xml:space="preserve">may be part of a group headquartered in another Member State.</w:t>
      </w:r>
      <w:r>
        <w:t xml:space="preserve"> </w:t>
      </w:r>
      <w:r>
        <w:t xml:space="preserve">The 7 721 issuances represent an amount of EUR 1 236 bn, of which EUR 1 209 bn</w:t>
      </w:r>
      <w:r>
        <w:t xml:space="preserve"> </w:t>
      </w:r>
      <w:r>
        <w:t xml:space="preserve">senior instruments. In general, issuances account for a larger percentage of the</w:t>
      </w:r>
      <w:r>
        <w:t xml:space="preserve"> </w:t>
      </w:r>
      <w:r>
        <w:t xml:space="preserve">institutions’ total assets for the smallest banks: on average, senior unsecured debt</w:t>
      </w:r>
    </w:p>
    <w:p>
      <w:pPr>
        <w:pStyle w:val="BodyText"/>
      </w:pPr>
      <w:r>
        <w:t xml:space="preserve">400</w:t>
      </w:r>
      <w:r>
        <w:t xml:space="preserve"> </w:t>
      </w:r>
      <w:r>
        <w:t xml:space="preserve">securities represent 5.98% of total assets for banks with a balance sheet size smaller than</w:t>
      </w:r>
      <w:r>
        <w:t xml:space="preserve"> </w:t>
      </w:r>
      <w:r>
        <w:t xml:space="preserve">EUR 10 bn, with averages in certain Member States reaching up to 11% to 46% of total</w:t>
      </w:r>
      <w:r>
        <w:t xml:space="preserve"> </w:t>
      </w:r>
      <w:r>
        <w:t xml:space="preserve">assets respectively, by far exceeding average levels for other size groups. Issuances of</w:t>
      </w:r>
      <w:r>
        <w:t xml:space="preserve"> </w:t>
      </w:r>
      <w:r>
        <w:t xml:space="preserve">subordinated instruments represent on average 0.04% of the total assets for banks with a</w:t>
      </w:r>
      <w:r>
        <w:t xml:space="preserve"> </w:t>
      </w:r>
      <w:r>
        <w:t xml:space="preserve">balance sheet size smaller than EUR 10 bn, generally higher than other size groups.</w:t>
      </w:r>
      <w:r>
        <w:t xml:space="preserve"> </w:t>
      </w:r>
      <w:r>
        <w:t xml:space="preserve">In general, several banks may be willing to ensure a layer of subordinated debt in the</w:t>
      </w:r>
      <w:r>
        <w:t xml:space="preserve"> </w:t>
      </w:r>
      <w:r>
        <w:t xml:space="preserve">form of AT1 and T2 above what is required to be held as CET1 before issuing other</w:t>
      </w:r>
      <w:r>
        <w:t xml:space="preserve"> </w:t>
      </w:r>
      <w:r>
        <w:t xml:space="preserve">forms of liabilities, such as senior non-preferred instruments. This progressive path</w:t>
      </w:r>
      <w:r>
        <w:t xml:space="preserve"> </w:t>
      </w:r>
      <w:r>
        <w:t xml:space="preserve">allows for prudential capital requirements to be met at a lower cost than CET1 and for</w:t>
      </w:r>
      <w:r>
        <w:t xml:space="preserve"> </w:t>
      </w:r>
      <w:r>
        <w:t xml:space="preserve">satisfactory capital ratios that enhance the rating of senior liabilities.</w:t>
      </w:r>
      <w:r>
        <w:br/>
      </w:r>
      <w:r>
        <w:t xml:space="preserve">In total, small and mid-sized banks issued EUR 10.5 bn of subordinated debt (102</w:t>
      </w:r>
      <w:r>
        <w:t xml:space="preserve"> </w:t>
      </w:r>
      <w:r>
        <w:t xml:space="preserve">issuances) over the period.</w:t>
      </w:r>
      <w:r>
        <w:br/>
      </w:r>
      <w:r>
        <w:t xml:space="preserve">Table 48: Issued amounts (per type of instrument and balance sheet size, EUR m)</w:t>
      </w:r>
      <w:r>
        <w:t xml:space="preserve"> </w:t>
      </w:r>
      <w:r>
        <w:t xml:space="preserve">&lt;10</w:t>
      </w:r>
    </w:p>
    <w:p>
      <w:pPr>
        <w:pStyle w:val="BodyText"/>
      </w:pPr>
      <w:r>
        <w:t xml:space="preserve">[10-30[</w:t>
      </w:r>
    </w:p>
    <w:p>
      <w:pPr>
        <w:pStyle w:val="BodyText"/>
      </w:pPr>
      <w:r>
        <w:t xml:space="preserve">[30-50[</w:t>
      </w:r>
    </w:p>
    <w:p>
      <w:pPr>
        <w:pStyle w:val="BodyText"/>
      </w:pPr>
      <w:r>
        <w:t xml:space="preserve">[50-100[</w:t>
      </w:r>
      <w:r>
        <w:br/>
      </w:r>
      <w:r>
        <w:t xml:space="preserve">Total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AT</w:t>
      </w:r>
      <w:r>
        <w:t xml:space="preserve"> </w:t>
      </w:r>
      <w:r>
        <w:t xml:space="preserve">2.560 340.982</w:t>
      </w:r>
      <w:r>
        <w:t xml:space="preserve"> </w:t>
      </w:r>
      <w:r>
        <w:t xml:space="preserve">678</w:t>
      </w:r>
      <w:r>
        <w:t xml:space="preserve"> </w:t>
      </w:r>
      <w:r>
        <w:t xml:space="preserve">8.134</w:t>
      </w:r>
      <w:r>
        <w:t xml:space="preserve"> </w:t>
      </w:r>
      <w:r>
        <w:t xml:space="preserve">0</w:t>
      </w:r>
      <w:r>
        <w:t xml:space="preserve"> </w:t>
      </w:r>
      <w:r>
        <w:t xml:space="preserve">25.173</w:t>
      </w:r>
      <w:r>
        <w:t xml:space="preserve"> </w:t>
      </w:r>
      <w:r>
        <w:t xml:space="preserve">770</w:t>
      </w:r>
      <w:r>
        <w:t xml:space="preserve"> </w:t>
      </w:r>
      <w:r>
        <w:t xml:space="preserve">4.711</w:t>
      </w:r>
      <w:r>
        <w:t xml:space="preserve"> </w:t>
      </w:r>
      <w:r>
        <w:t xml:space="preserve">383,008</w:t>
      </w:r>
      <w:r>
        <w:t xml:space="preserve"> </w:t>
      </w:r>
      <w:r>
        <w:t xml:space="preserve">BE</w:t>
      </w:r>
      <w:r>
        <w:t xml:space="preserve"> </w:t>
      </w:r>
      <w:r>
        <w:t xml:space="preserve">0</w:t>
      </w:r>
      <w:r>
        <w:t xml:space="preserve"> </w:t>
      </w:r>
      <w:r>
        <w:t xml:space="preserve">40</w:t>
      </w:r>
      <w:r>
        <w:t xml:space="preserve"> </w:t>
      </w:r>
      <w:r>
        <w:t xml:space="preserve">0</w:t>
      </w:r>
      <w:r>
        <w:t xml:space="preserve"> </w:t>
      </w:r>
      <w:r>
        <w:t xml:space="preserve">650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0</w:t>
      </w:r>
      <w:r>
        <w:t xml:space="preserve"> </w:t>
      </w:r>
      <w:r>
        <w:t xml:space="preserve">300</w:t>
      </w:r>
      <w:r>
        <w:t xml:space="preserve"> </w:t>
      </w:r>
      <w:r>
        <w:t xml:space="preserve">2,990</w:t>
      </w:r>
      <w:r>
        <w:t xml:space="preserve"> </w:t>
      </w:r>
      <w:r>
        <w:t xml:space="preserve">BG</w:t>
      </w:r>
      <w:r>
        <w:t xml:space="preserve"> </w:t>
      </w:r>
      <w:r>
        <w:t xml:space="preserve">30</w:t>
      </w:r>
      <w:r>
        <w:t xml:space="preserve"> </w:t>
      </w:r>
      <w:r>
        <w:t xml:space="preserve">120</w:t>
      </w:r>
      <w:r>
        <w:t xml:space="preserve"> </w:t>
      </w:r>
      <w:r>
        <w:t xml:space="preserve">0</w:t>
      </w:r>
      <w:r>
        <w:t xml:space="preserve"> </w:t>
      </w:r>
      <w:r>
        <w:t xml:space="preserve">160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310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CZ</w:t>
      </w:r>
      <w:r>
        <w:t xml:space="preserve"> </w:t>
      </w:r>
      <w:r>
        <w:t xml:space="preserve">100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2.493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1.246</w:t>
      </w:r>
      <w:r>
        <w:t xml:space="preserve"> </w:t>
      </w:r>
      <w:r>
        <w:t xml:space="preserve">4,139</w:t>
      </w:r>
      <w:r>
        <w:t xml:space="preserve"> </w:t>
      </w:r>
      <w:r>
        <w:t xml:space="preserve">DE</w:t>
      </w:r>
      <w:r>
        <w:t xml:space="preserve"> </w:t>
      </w:r>
      <w:r>
        <w:t xml:space="preserve">145</w:t>
      </w:r>
      <w:r>
        <w:t xml:space="preserve"> </w:t>
      </w:r>
      <w:r>
        <w:t xml:space="preserve">3,190</w:t>
      </w:r>
      <w:r>
        <w:t xml:space="preserve"> </w:t>
      </w:r>
      <w:r>
        <w:t xml:space="preserve">0</w:t>
      </w:r>
      <w:r>
        <w:t xml:space="preserve"> </w:t>
      </w:r>
      <w:r>
        <w:t xml:space="preserve">22,565</w:t>
      </w:r>
      <w:r>
        <w:t xml:space="preserve"> </w:t>
      </w:r>
      <w:r>
        <w:t xml:space="preserve">377</w:t>
      </w:r>
      <w:r>
        <w:t xml:space="preserve"> </w:t>
      </w:r>
      <w:r>
        <w:t xml:space="preserve">35,246</w:t>
      </w:r>
      <w:r>
        <w:t xml:space="preserve"> </w:t>
      </w:r>
      <w:r>
        <w:t xml:space="preserve">2,028</w:t>
      </w:r>
      <w:r>
        <w:t xml:space="preserve"> </w:t>
      </w:r>
      <w:r>
        <w:t xml:space="preserve">66,474</w:t>
      </w:r>
      <w:r>
        <w:t xml:space="preserve"> </w:t>
      </w:r>
      <w:r>
        <w:t xml:space="preserve">130,024</w:t>
      </w:r>
      <w:r>
        <w:t xml:space="preserve"> </w:t>
      </w:r>
      <w:r>
        <w:t xml:space="preserve">DK</w:t>
      </w:r>
      <w:r>
        <w:t xml:space="preserve"> </w:t>
      </w:r>
      <w:r>
        <w:t xml:space="preserve">202</w:t>
      </w:r>
      <w:r>
        <w:t xml:space="preserve"> </w:t>
      </w:r>
      <w:r>
        <w:t xml:space="preserve">1,051</w:t>
      </w:r>
      <w:r>
        <w:t xml:space="preserve"> </w:t>
      </w:r>
      <w:r>
        <w:t xml:space="preserve">600</w:t>
      </w:r>
      <w:r>
        <w:t xml:space="preserve"> </w:t>
      </w:r>
      <w:r>
        <w:t xml:space="preserve">2,822</w:t>
      </w:r>
      <w:r>
        <w:t xml:space="preserve"> </w:t>
      </w:r>
      <w:r>
        <w:t xml:space="preserve">0</w:t>
      </w:r>
      <w:r>
        <w:t xml:space="preserve"> </w:t>
      </w:r>
      <w:r>
        <w:t xml:space="preserve">1,396</w:t>
      </w:r>
      <w:r>
        <w:t xml:space="preserve"> </w:t>
      </w:r>
      <w:r>
        <w:t xml:space="preserve">1,650</w:t>
      </w:r>
      <w:r>
        <w:t xml:space="preserve"> </w:t>
      </w:r>
      <w:r>
        <w:t xml:space="preserve">6,034</w:t>
      </w:r>
      <w:r>
        <w:t xml:space="preserve"> </w:t>
      </w:r>
      <w:r>
        <w:t xml:space="preserve">13,756</w:t>
      </w:r>
      <w:r>
        <w:t xml:space="preserve"> </w:t>
      </w:r>
      <w:r>
        <w:t xml:space="preserve">EE</w:t>
      </w:r>
      <w:r>
        <w:t xml:space="preserve"> </w:t>
      </w:r>
      <w:r>
        <w:t xml:space="preserve">200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EL</w:t>
      </w:r>
      <w:r>
        <w:t xml:space="preserve"> </w:t>
      </w:r>
      <w:r>
        <w:t xml:space="preserve">100</w:t>
      </w:r>
      <w:r>
        <w:t xml:space="preserve"> </w:t>
      </w:r>
      <w:r>
        <w:t xml:space="preserve">1,158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1,150</w:t>
      </w:r>
      <w:r>
        <w:t xml:space="preserve"> </w:t>
      </w:r>
      <w:r>
        <w:t xml:space="preserve">5,884</w:t>
      </w:r>
      <w:r>
        <w:t xml:space="preserve"> </w:t>
      </w:r>
      <w:r>
        <w:t xml:space="preserve">8,292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145</w:t>
      </w:r>
      <w:r>
        <w:t xml:space="preserve"> </w:t>
      </w:r>
      <w:r>
        <w:t xml:space="preserve">0</w:t>
      </w:r>
      <w:r>
        <w:t xml:space="preserve"> </w:t>
      </w:r>
      <w:r>
        <w:t xml:space="preserve">1,600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1,100</w:t>
      </w:r>
      <w:r>
        <w:t xml:space="preserve"> </w:t>
      </w:r>
      <w:r>
        <w:t xml:space="preserve">5,575</w:t>
      </w:r>
      <w:r>
        <w:t xml:space="preserve"> </w:t>
      </w:r>
      <w:r>
        <w:t xml:space="preserve">8,420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1,463</w:t>
      </w:r>
      <w:r>
        <w:t xml:space="preserve"> </w:t>
      </w:r>
      <w:r>
        <w:t xml:space="preserve">0</w:t>
      </w:r>
      <w:r>
        <w:t xml:space="preserve"> </w:t>
      </w:r>
      <w:r>
        <w:t xml:space="preserve">1,622</w:t>
      </w:r>
      <w:r>
        <w:t xml:space="preserve"> </w:t>
      </w:r>
      <w:r>
        <w:t xml:space="preserve">0</w:t>
      </w:r>
      <w:r>
        <w:t xml:space="preserve"> </w:t>
      </w:r>
      <w:r>
        <w:t xml:space="preserve">12,062</w:t>
      </w:r>
      <w:r>
        <w:t xml:space="preserve"> </w:t>
      </w:r>
      <w:r>
        <w:t xml:space="preserve">5,020</w:t>
      </w:r>
      <w:r>
        <w:t xml:space="preserve"> </w:t>
      </w:r>
      <w:r>
        <w:t xml:space="preserve">12,426</w:t>
      </w:r>
      <w:r>
        <w:t xml:space="preserve"> </w:t>
      </w:r>
      <w:r>
        <w:t xml:space="preserve">32,593</w:t>
      </w:r>
      <w:r>
        <w:t xml:space="preserve"> </w:t>
      </w:r>
      <w:r>
        <w:t xml:space="preserve">FR</w:t>
      </w:r>
      <w:r>
        <w:t xml:space="preserve"> </w:t>
      </w:r>
      <w:r>
        <w:t xml:space="preserve">0</w:t>
      </w:r>
      <w:r>
        <w:t xml:space="preserve"> </w:t>
      </w:r>
      <w:r>
        <w:t xml:space="preserve">24,590</w:t>
      </w:r>
      <w:r>
        <w:t xml:space="preserve"> </w:t>
      </w:r>
      <w:r>
        <w:t xml:space="preserve">0</w:t>
      </w:r>
      <w:r>
        <w:t xml:space="preserve"> </w:t>
      </w:r>
      <w:r>
        <w:t xml:space="preserve">30,423</w:t>
      </w:r>
      <w:r>
        <w:t xml:space="preserve"> </w:t>
      </w:r>
      <w:r>
        <w:t xml:space="preserve">0</w:t>
      </w:r>
      <w:r>
        <w:t xml:space="preserve"> </w:t>
      </w:r>
      <w:r>
        <w:t xml:space="preserve">426</w:t>
      </w:r>
      <w:r>
        <w:t xml:space="preserve"> </w:t>
      </w:r>
      <w:r>
        <w:t xml:space="preserve">0</w:t>
      </w:r>
      <w:r>
        <w:t xml:space="preserve"> </w:t>
      </w:r>
      <w:r>
        <w:t xml:space="preserve">88,777</w:t>
      </w:r>
      <w:r>
        <w:t xml:space="preserve"> </w:t>
      </w:r>
      <w:r>
        <w:t xml:space="preserve">144,217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393</w:t>
      </w:r>
      <w:r>
        <w:t xml:space="preserve"> </w:t>
      </w:r>
      <w:r>
        <w:t xml:space="preserve">0</w:t>
      </w:r>
      <w:r>
        <w:t xml:space="preserve"> </w:t>
      </w:r>
      <w:r>
        <w:t xml:space="preserve">636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1,029</w:t>
      </w:r>
      <w:r>
        <w:t xml:space="preserve"> </w:t>
      </w:r>
      <w:r>
        <w:t xml:space="preserve">HU</w:t>
      </w:r>
      <w:r>
        <w:t xml:space="preserve"> </w:t>
      </w:r>
      <w:r>
        <w:t xml:space="preserve">0</w:t>
      </w:r>
      <w:r>
        <w:t xml:space="preserve"> </w:t>
      </w:r>
      <w:r>
        <w:t xml:space="preserve">4,208</w:t>
      </w:r>
      <w:r>
        <w:t xml:space="preserve"> </w:t>
      </w:r>
      <w:r>
        <w:t xml:space="preserve">0</w:t>
      </w:r>
      <w:r>
        <w:t xml:space="preserve"> </w:t>
      </w:r>
      <w:r>
        <w:t xml:space="preserve">929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650</w:t>
      </w:r>
      <w:r>
        <w:t xml:space="preserve"> </w:t>
      </w:r>
      <w:r>
        <w:t xml:space="preserve">987</w:t>
      </w:r>
      <w:r>
        <w:t xml:space="preserve"> </w:t>
      </w:r>
      <w:r>
        <w:t xml:space="preserve">6,774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9,411</w:t>
      </w:r>
      <w:r>
        <w:t xml:space="preserve"> </w:t>
      </w:r>
      <w:r>
        <w:t xml:space="preserve">470</w:t>
      </w:r>
      <w:r>
        <w:t xml:space="preserve"> </w:t>
      </w:r>
      <w:r>
        <w:t xml:space="preserve">6,142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16,023</w:t>
      </w:r>
      <w:r>
        <w:t xml:space="preserve"> </w:t>
      </w:r>
      <w:r>
        <w:t xml:space="preserve">IT</w:t>
      </w:r>
      <w:r>
        <w:t xml:space="preserve"> </w:t>
      </w:r>
      <w:r>
        <w:t xml:space="preserve">264</w:t>
      </w:r>
      <w:r>
        <w:t xml:space="preserve"> </w:t>
      </w:r>
      <w:r>
        <w:t xml:space="preserve">6,865</w:t>
      </w:r>
      <w:r>
        <w:t xml:space="preserve"> </w:t>
      </w:r>
      <w:r>
        <w:t xml:space="preserve">115</w:t>
      </w:r>
      <w:r>
        <w:t xml:space="preserve"> </w:t>
      </w:r>
      <w:r>
        <w:t xml:space="preserve">5,360</w:t>
      </w:r>
      <w:r>
        <w:t xml:space="preserve"> </w:t>
      </w:r>
      <w:r>
        <w:t xml:space="preserve">300</w:t>
      </w:r>
      <w:r>
        <w:t xml:space="preserve"> </w:t>
      </w:r>
      <w:r>
        <w:t xml:space="preserve">600</w:t>
      </w:r>
      <w:r>
        <w:t xml:space="preserve"> </w:t>
      </w:r>
      <w:r>
        <w:t xml:space="preserve">2,684</w:t>
      </w:r>
      <w:r>
        <w:t xml:space="preserve"> </w:t>
      </w:r>
      <w:r>
        <w:t xml:space="preserve">19,329</w:t>
      </w:r>
      <w:r>
        <w:t xml:space="preserve"> </w:t>
      </w:r>
      <w:r>
        <w:t xml:space="preserve">35,516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3,583</w:t>
      </w:r>
      <w:r>
        <w:t xml:space="preserve"> </w:t>
      </w:r>
      <w:r>
        <w:t xml:space="preserve">125</w:t>
      </w:r>
      <w:r>
        <w:t xml:space="preserve"> </w:t>
      </w:r>
      <w:r>
        <w:t xml:space="preserve">1,578</w:t>
      </w:r>
      <w:r>
        <w:t xml:space="preserve"> </w:t>
      </w:r>
      <w:r>
        <w:t xml:space="preserve">577 122,802</w:t>
      </w:r>
      <w:r>
        <w:t xml:space="preserve"> </w:t>
      </w:r>
      <w:r>
        <w:t xml:space="preserve">0</w:t>
      </w:r>
      <w:r>
        <w:t xml:space="preserve"> </w:t>
      </w:r>
      <w:r>
        <w:t xml:space="preserve">10,250</w:t>
      </w:r>
      <w:r>
        <w:t xml:space="preserve"> </w:t>
      </w:r>
      <w:r>
        <w:t xml:space="preserve">138,916</w:t>
      </w:r>
      <w:r>
        <w:t xml:space="preserve"> </w:t>
      </w:r>
      <w:r>
        <w:t xml:space="preserve">LV</w:t>
      </w:r>
      <w:r>
        <w:t xml:space="preserve"> </w:t>
      </w:r>
      <w:r>
        <w:t xml:space="preserve">200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MT</w:t>
      </w:r>
      <w:r>
        <w:t xml:space="preserve"> </w:t>
      </w:r>
      <w:r>
        <w:t xml:space="preserve">55</w:t>
      </w:r>
      <w:r>
        <w:t xml:space="preserve"> </w:t>
      </w:r>
      <w:r>
        <w:t xml:space="preserve">0</w:t>
      </w:r>
      <w:r>
        <w:t xml:space="preserve"> </w:t>
      </w:r>
      <w:r>
        <w:t xml:space="preserve">400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455</w:t>
      </w:r>
      <w:r>
        <w:t xml:space="preserve"> </w:t>
      </w:r>
      <w:r>
        <w:t xml:space="preserve">NL</w:t>
      </w:r>
      <w:r>
        <w:t xml:space="preserve"> </w:t>
      </w:r>
      <w:r>
        <w:t xml:space="preserve">0 204,784</w:t>
      </w:r>
      <w:r>
        <w:t xml:space="preserve"> </w:t>
      </w:r>
      <w:r>
        <w:t xml:space="preserve">250</w:t>
      </w:r>
      <w:r>
        <w:t xml:space="preserve"> </w:t>
      </w:r>
      <w:r>
        <w:t xml:space="preserve">4,453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1,000</w:t>
      </w:r>
      <w:r>
        <w:t xml:space="preserve"> </w:t>
      </w:r>
      <w:r>
        <w:t xml:space="preserve">48,024</w:t>
      </w:r>
      <w:r>
        <w:t xml:space="preserve"> </w:t>
      </w:r>
      <w:r>
        <w:t xml:space="preserve">258,510</w:t>
      </w:r>
      <w:r>
        <w:t xml:space="preserve"> </w:t>
      </w:r>
      <w:r>
        <w:t xml:space="preserve">PL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194</w:t>
      </w:r>
      <w:r>
        <w:t xml:space="preserve"> </w:t>
      </w:r>
      <w:r>
        <w:t xml:space="preserve">52</w:t>
      </w:r>
      <w:r>
        <w:t xml:space="preserve"> </w:t>
      </w:r>
      <w:r>
        <w:t xml:space="preserve">0</w:t>
      </w:r>
      <w:r>
        <w:t xml:space="preserve"> </w:t>
      </w:r>
      <w:r>
        <w:t xml:space="preserve">23,327</w:t>
      </w:r>
      <w:r>
        <w:t xml:space="preserve"> </w:t>
      </w:r>
      <w:r>
        <w:t xml:space="preserve">175</w:t>
      </w:r>
      <w:r>
        <w:t xml:space="preserve"> </w:t>
      </w:r>
      <w:r>
        <w:t xml:space="preserve">2,664</w:t>
      </w:r>
      <w:r>
        <w:t xml:space="preserve"> </w:t>
      </w:r>
      <w:r>
        <w:t xml:space="preserve">26,412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400</w:t>
      </w:r>
      <w:r>
        <w:t xml:space="preserve"> </w:t>
      </w:r>
      <w:r>
        <w:t xml:space="preserve">425</w:t>
      </w:r>
      <w:r>
        <w:t xml:space="preserve"> </w:t>
      </w:r>
      <w:r>
        <w:t xml:space="preserve">2,225</w:t>
      </w:r>
      <w:r>
        <w:t xml:space="preserve"> </w:t>
      </w:r>
      <w:r>
        <w:t xml:space="preserve">134</w:t>
      </w:r>
      <w:r>
        <w:t xml:space="preserve"> </w:t>
      </w:r>
      <w:r>
        <w:t xml:space="preserve">3,670</w:t>
      </w:r>
      <w:r>
        <w:t xml:space="preserve"> </w:t>
      </w:r>
      <w:r>
        <w:t xml:space="preserve">6,954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250</w:t>
      </w:r>
      <w:r>
        <w:t xml:space="preserve"> </w:t>
      </w:r>
      <w:r>
        <w:t xml:space="preserve">2,131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2,381</w:t>
      </w:r>
      <w:r>
        <w:t xml:space="preserve"> </w:t>
      </w:r>
      <w:r>
        <w:t xml:space="preserve">SE</w:t>
      </w:r>
      <w:r>
        <w:t xml:space="preserve"> </w:t>
      </w:r>
      <w:r>
        <w:t xml:space="preserve">0</w:t>
      </w:r>
      <w:r>
        <w:t xml:space="preserve"> </w:t>
      </w:r>
      <w:r>
        <w:t xml:space="preserve">6,484</w:t>
      </w:r>
      <w:r>
        <w:t xml:space="preserve"> </w:t>
      </w:r>
      <w:r>
        <w:t xml:space="preserve">0</w:t>
      </w:r>
      <w:r>
        <w:t xml:space="preserve"> </w:t>
      </w:r>
      <w:r>
        <w:t xml:space="preserve">362</w:t>
      </w:r>
      <w:r>
        <w:t xml:space="preserve"> </w:t>
      </w:r>
      <w:r>
        <w:t xml:space="preserve">288</w:t>
      </w:r>
      <w:r>
        <w:t xml:space="preserve"> </w:t>
      </w:r>
      <w:r>
        <w:t xml:space="preserve">3,986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11,120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665</w:t>
      </w:r>
      <w:r>
        <w:t xml:space="preserve"> </w:t>
      </w:r>
      <w:r>
        <w:t xml:space="preserve">510</w:t>
      </w:r>
      <w:r>
        <w:t xml:space="preserve"> </w:t>
      </w:r>
      <w:r>
        <w:t xml:space="preserve">382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1,557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1,030</w:t>
      </w:r>
      <w:r>
        <w:t xml:space="preserve"> </w:t>
      </w:r>
      <w:r>
        <w:t xml:space="preserve">0</w:t>
      </w:r>
      <w:r>
        <w:t xml:space="preserve"> </w:t>
      </w:r>
      <w:r>
        <w:t xml:space="preserve">1,418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2,448</w:t>
      </w:r>
      <w:r>
        <w:t xml:space="preserve"> </w:t>
      </w:r>
      <w:r>
        <w:t xml:space="preserve">Total</w:t>
      </w:r>
      <w:r>
        <w:t xml:space="preserve"> </w:t>
      </w:r>
      <w:r>
        <w:t xml:space="preserve">3,856 610,460</w:t>
      </w:r>
      <w:r>
        <w:t xml:space="preserve"> </w:t>
      </w:r>
      <w:r>
        <w:t xml:space="preserve">3,692</w:t>
      </w:r>
      <w:r>
        <w:t xml:space="preserve"> </w:t>
      </w:r>
      <w:r>
        <w:t xml:space="preserve">94,411</w:t>
      </w:r>
      <w:r>
        <w:t xml:space="preserve"> </w:t>
      </w:r>
      <w:r>
        <w:t xml:space="preserve">2,967 228,244</w:t>
      </w:r>
      <w:r>
        <w:t xml:space="preserve"> </w:t>
      </w:r>
      <w:r>
        <w:t xml:space="preserve">16,360 276,352 1,236,342</w:t>
      </w:r>
      <w:r>
        <w:t xml:space="preserve"> </w:t>
      </w:r>
      <w:r>
        <w:t xml:space="preserve">Source: Commission services computations, based on S&amp;P data as of 19 January 2023.</w:t>
      </w:r>
    </w:p>
    <w:p>
      <w:pPr>
        <w:pStyle w:val="BodyText"/>
      </w:pPr>
      <w:r>
        <w:t xml:space="preserve">401</w:t>
      </w:r>
      <w:r>
        <w:t xml:space="preserve"> </w:t>
      </w:r>
      <w:r>
        <w:t xml:space="preserve">Table 49: Issued amounts (per type of instrument and balance sheet size, % total</w:t>
      </w:r>
      <w:r>
        <w:t xml:space="preserve"> </w:t>
      </w:r>
      <w:r>
        <w:t xml:space="preserve">assets, average)</w:t>
      </w:r>
      <w:r>
        <w:t xml:space="preserve"> </w:t>
      </w:r>
      <w:r>
        <w:t xml:space="preserve">&lt;10</w:t>
      </w:r>
    </w:p>
    <w:p>
      <w:pPr>
        <w:pStyle w:val="BodyText"/>
      </w:pPr>
      <w:r>
        <w:t xml:space="preserve">[10-30[</w:t>
      </w:r>
    </w:p>
    <w:p>
      <w:pPr>
        <w:pStyle w:val="BodyText"/>
      </w:pPr>
      <w:r>
        <w:t xml:space="preserve">[30-50[</w:t>
      </w:r>
    </w:p>
    <w:p>
      <w:pPr>
        <w:pStyle w:val="BodyText"/>
      </w:pPr>
      <w:r>
        <w:t xml:space="preserve">[50-100[</w:t>
      </w:r>
      <w:r>
        <w:br/>
      </w:r>
      <w:r>
        <w:t xml:space="preserve">Average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Sub</w:t>
      </w:r>
      <w:r>
        <w:t xml:space="preserve"> </w:t>
      </w:r>
      <w:r>
        <w:t xml:space="preserve">Senior</w:t>
      </w:r>
      <w:r>
        <w:t xml:space="preserve"> </w:t>
      </w:r>
      <w:r>
        <w:t xml:space="preserve">AT</w:t>
      </w:r>
      <w:r>
        <w:t xml:space="preserve"> </w:t>
      </w:r>
      <w:r>
        <w:t xml:space="preserve">0.05%</w:t>
      </w:r>
      <w:r>
        <w:t xml:space="preserve"> </w:t>
      </w:r>
      <w:r>
        <w:t xml:space="preserve">6.83%</w:t>
      </w:r>
      <w:r>
        <w:t xml:space="preserve"> </w:t>
      </w:r>
      <w:r>
        <w:t xml:space="preserve">0.03%</w:t>
      </w:r>
      <w:r>
        <w:t xml:space="preserve"> </w:t>
      </w:r>
      <w:r>
        <w:t xml:space="preserve">0.31%</w:t>
      </w:r>
      <w:r>
        <w:t xml:space="preserve"> </w:t>
      </w:r>
      <w:r>
        <w:t xml:space="preserve">0.00%</w:t>
      </w:r>
      <w:r>
        <w:t xml:space="preserve"> </w:t>
      </w:r>
      <w:r>
        <w:t xml:space="preserve">1.00%</w:t>
      </w:r>
      <w:r>
        <w:t xml:space="preserve"> </w:t>
      </w:r>
      <w:r>
        <w:t xml:space="preserve">0.02%</w:t>
      </w:r>
      <w:r>
        <w:t xml:space="preserve"> </w:t>
      </w:r>
      <w:r>
        <w:t xml:space="preserve">0.10%</w:t>
      </w:r>
      <w:r>
        <w:t xml:space="preserve"> </w:t>
      </w:r>
      <w:r>
        <w:t xml:space="preserve">2.56%</w:t>
      </w:r>
      <w:r>
        <w:t xml:space="preserve"> </w:t>
      </w:r>
      <w:r>
        <w:t xml:space="preserve">BE</w:t>
      </w:r>
      <w:r>
        <w:t xml:space="preserve"> </w:t>
      </w:r>
      <w:r>
        <w:t xml:space="preserve">0.00%</w:t>
      </w:r>
      <w:r>
        <w:t xml:space="preserve"> </w:t>
      </w:r>
      <w:r>
        <w:t xml:space="preserve">0.51%</w:t>
      </w:r>
      <w:r>
        <w:t xml:space="preserve"> </w:t>
      </w:r>
      <w:r>
        <w:t xml:space="preserve">0.00%</w:t>
      </w:r>
      <w:r>
        <w:t xml:space="preserve"> </w:t>
      </w:r>
      <w:r>
        <w:t xml:space="preserve">5.38%</w:t>
      </w:r>
      <w:r>
        <w:t xml:space="preserve"> </w:t>
      </w:r>
      <w:r>
        <w:t xml:space="preserve">0.51%</w:t>
      </w:r>
      <w:r>
        <w:t xml:space="preserve"> </w:t>
      </w:r>
      <w:r>
        <w:t xml:space="preserve">0.51%</w:t>
      </w:r>
      <w:r>
        <w:t xml:space="preserve"> </w:t>
      </w:r>
      <w:r>
        <w:t xml:space="preserve">0.00%</w:t>
      </w:r>
      <w:r>
        <w:t xml:space="preserve"> </w:t>
      </w:r>
      <w:r>
        <w:t xml:space="preserve">0.57%</w:t>
      </w:r>
      <w:r>
        <w:t xml:space="preserve"> </w:t>
      </w:r>
      <w:r>
        <w:t xml:space="preserve">1.12%</w:t>
      </w:r>
      <w:r>
        <w:t xml:space="preserve"> </w:t>
      </w:r>
      <w:r>
        <w:t xml:space="preserve">BG</w:t>
      </w:r>
      <w:r>
        <w:t xml:space="preserve"> </w:t>
      </w:r>
      <w:r>
        <w:t xml:space="preserve">0.26%</w:t>
      </w:r>
      <w:r>
        <w:t xml:space="preserve"> </w:t>
      </w:r>
      <w:r>
        <w:t xml:space="preserve">1.03%</w:t>
      </w:r>
      <w:r>
        <w:t xml:space="preserve"> </w:t>
      </w:r>
      <w:r>
        <w:t xml:space="preserve">0.00%</w:t>
      </w:r>
      <w:r>
        <w:t xml:space="preserve"> </w:t>
      </w:r>
      <w:r>
        <w:t xml:space="preserve">1.23%</w:t>
      </w:r>
    </w:p>
    <w:p>
      <w:pPr>
        <w:pStyle w:val="BodyText"/>
      </w:pPr>
      <w:r>
        <w:t xml:space="preserve">1.26%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0.00%</w:t>
      </w:r>
      <w:r>
        <w:t xml:space="preserve"> </w:t>
      </w:r>
      <w:r>
        <w:t xml:space="preserve">0.53%</w:t>
      </w:r>
    </w:p>
    <w:p>
      <w:pPr>
        <w:pStyle w:val="BodyText"/>
      </w:pPr>
      <w:r>
        <w:t xml:space="preserve">0.53%</w:t>
      </w:r>
      <w:r>
        <w:t xml:space="preserve"> </w:t>
      </w:r>
      <w:r>
        <w:t xml:space="preserve">CZ</w:t>
      </w:r>
      <w:r>
        <w:t xml:space="preserve"> </w:t>
      </w:r>
      <w:r>
        <w:t xml:space="preserve">0.80%</w:t>
      </w:r>
      <w:r>
        <w:t xml:space="preserve"> </w:t>
      </w:r>
      <w:r>
        <w:t xml:space="preserve">2.40%</w:t>
      </w:r>
      <w:r>
        <w:t xml:space="preserve"> </w:t>
      </w:r>
      <w:r>
        <w:t xml:space="preserve">0.00%</w:t>
      </w:r>
      <w:r>
        <w:t xml:space="preserve"> </w:t>
      </w:r>
      <w:r>
        <w:t xml:space="preserve">0.90%</w:t>
      </w:r>
    </w:p>
    <w:p>
      <w:pPr>
        <w:pStyle w:val="BodyText"/>
      </w:pPr>
      <w:r>
        <w:t xml:space="preserve">0.00%</w:t>
      </w:r>
      <w:r>
        <w:t xml:space="preserve"> </w:t>
      </w:r>
      <w:r>
        <w:t xml:space="preserve">0.63%</w:t>
      </w:r>
      <w:r>
        <w:t xml:space="preserve"> </w:t>
      </w:r>
      <w:r>
        <w:t xml:space="preserve">0.85%</w:t>
      </w:r>
      <w:r>
        <w:t xml:space="preserve"> </w:t>
      </w:r>
      <w:r>
        <w:t xml:space="preserve">DE</w:t>
      </w:r>
      <w:r>
        <w:t xml:space="preserve"> </w:t>
      </w:r>
      <w:r>
        <w:t xml:space="preserve">0.03%</w:t>
      </w:r>
      <w:r>
        <w:t xml:space="preserve"> </w:t>
      </w:r>
      <w:r>
        <w:t xml:space="preserve">0.63%</w:t>
      </w:r>
      <w:r>
        <w:t xml:space="preserve"> </w:t>
      </w:r>
      <w:r>
        <w:t xml:space="preserve">0.00%</w:t>
      </w:r>
      <w:r>
        <w:t xml:space="preserve"> </w:t>
      </w:r>
      <w:r>
        <w:t xml:space="preserve">0.59%</w:t>
      </w:r>
      <w:r>
        <w:t xml:space="preserve"> </w:t>
      </w:r>
      <w:r>
        <w:t xml:space="preserve">0.00%</w:t>
      </w:r>
      <w:r>
        <w:t xml:space="preserve"> </w:t>
      </w:r>
      <w:r>
        <w:t xml:space="preserve">0.11%</w:t>
      </w:r>
      <w:r>
        <w:t xml:space="preserve"> </w:t>
      </w:r>
      <w:r>
        <w:t xml:space="preserve">0.01%</w:t>
      </w:r>
      <w:r>
        <w:t xml:space="preserve"> </w:t>
      </w:r>
      <w:r>
        <w:t xml:space="preserve">0.38%</w:t>
      </w:r>
      <w:r>
        <w:t xml:space="preserve"> </w:t>
      </w:r>
      <w:r>
        <w:t xml:space="preserve">0.25%</w:t>
      </w:r>
      <w:r>
        <w:t xml:space="preserve"> </w:t>
      </w:r>
      <w:r>
        <w:t xml:space="preserve">DK</w:t>
      </w:r>
      <w:r>
        <w:t xml:space="preserve"> </w:t>
      </w:r>
      <w:r>
        <w:t xml:space="preserve">0.11%</w:t>
      </w:r>
      <w:r>
        <w:t xml:space="preserve"> </w:t>
      </w:r>
      <w:r>
        <w:t xml:space="preserve">0.58%</w:t>
      </w:r>
      <w:r>
        <w:t xml:space="preserve"> </w:t>
      </w:r>
      <w:r>
        <w:t xml:space="preserve">0.14%</w:t>
      </w:r>
      <w:r>
        <w:t xml:space="preserve"> </w:t>
      </w:r>
      <w:r>
        <w:t xml:space="preserve">0.68%</w:t>
      </w:r>
      <w:r>
        <w:t xml:space="preserve"> </w:t>
      </w:r>
      <w:r>
        <w:t xml:space="preserve">0.00%</w:t>
      </w:r>
      <w:r>
        <w:t xml:space="preserve"> </w:t>
      </w:r>
      <w:r>
        <w:t xml:space="preserve">1.41%</w:t>
      </w:r>
      <w:r>
        <w:t xml:space="preserve"> </w:t>
      </w:r>
      <w:r>
        <w:t xml:space="preserve">0.06%</w:t>
      </w:r>
      <w:r>
        <w:t xml:space="preserve"> </w:t>
      </w:r>
      <w:r>
        <w:t xml:space="preserve">0.22%</w:t>
      </w:r>
      <w:r>
        <w:t xml:space="preserve"> </w:t>
      </w:r>
      <w:r>
        <w:t xml:space="preserve">0.39%</w:t>
      </w:r>
      <w:r>
        <w:t xml:space="preserve"> </w:t>
      </w:r>
      <w:r>
        <w:t xml:space="preserve">EE</w:t>
      </w:r>
      <w:r>
        <w:t xml:space="preserve"> </w:t>
      </w:r>
      <w:r>
        <w:t xml:space="preserve">1.46%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1.46%</w:t>
      </w:r>
      <w:r>
        <w:t xml:space="preserve"> </w:t>
      </w:r>
      <w:r>
        <w:t xml:space="preserve">EL</w:t>
      </w:r>
      <w:r>
        <w:t xml:space="preserve"> </w:t>
      </w:r>
      <w:r>
        <w:t xml:space="preserve">0.33%</w:t>
      </w:r>
      <w:r>
        <w:t xml:space="preserve"> </w:t>
      </w:r>
      <w:r>
        <w:t xml:space="preserve">3.78%</w:t>
      </w:r>
    </w:p>
    <w:p>
      <w:pPr>
        <w:pStyle w:val="BodyText"/>
      </w:pPr>
      <w:r>
        <w:t xml:space="preserve">0.10%</w:t>
      </w:r>
      <w:r>
        <w:t xml:space="preserve"> </w:t>
      </w:r>
      <w:r>
        <w:t xml:space="preserve">0.53%</w:t>
      </w:r>
      <w:r>
        <w:t xml:space="preserve"> </w:t>
      </w:r>
      <w:r>
        <w:t xml:space="preserve">0.72%</w:t>
      </w:r>
      <w:r>
        <w:t xml:space="preserve"> </w:t>
      </w:r>
      <w:r>
        <w:t xml:space="preserve">ES</w:t>
      </w:r>
      <w:r>
        <w:t xml:space="preserve"> </w:t>
      </w:r>
      <w:r>
        <w:t xml:space="preserve">0.00%</w:t>
      </w:r>
      <w:r>
        <w:t xml:space="preserve"> </w:t>
      </w:r>
      <w:r>
        <w:t xml:space="preserve">11.96%</w:t>
      </w:r>
      <w:r>
        <w:t xml:space="preserve"> </w:t>
      </w:r>
      <w:r>
        <w:t xml:space="preserve">0.00%</w:t>
      </w:r>
      <w:r>
        <w:t xml:space="preserve"> </w:t>
      </w:r>
      <w:r>
        <w:t xml:space="preserve">1.65%</w:t>
      </w:r>
    </w:p>
    <w:p>
      <w:pPr>
        <w:pStyle w:val="BodyText"/>
      </w:pPr>
      <w:r>
        <w:t xml:space="preserve">0.10%</w:t>
      </w:r>
      <w:r>
        <w:t xml:space="preserve"> </w:t>
      </w:r>
      <w:r>
        <w:t xml:space="preserve">0.51%</w:t>
      </w:r>
      <w:r>
        <w:t xml:space="preserve"> </w:t>
      </w:r>
      <w:r>
        <w:t xml:space="preserve">0.71%</w:t>
      </w:r>
      <w:r>
        <w:t xml:space="preserve"> </w:t>
      </w:r>
      <w:r>
        <w:t xml:space="preserve">FI</w:t>
      </w:r>
      <w:r>
        <w:t xml:space="preserve"> </w:t>
      </w:r>
      <w:r>
        <w:t xml:space="preserve">0.00%</w:t>
      </w:r>
      <w:r>
        <w:t xml:space="preserve"> </w:t>
      </w:r>
      <w:r>
        <w:t xml:space="preserve">1.95%</w:t>
      </w:r>
      <w:r>
        <w:t xml:space="preserve"> </w:t>
      </w:r>
      <w:r>
        <w:t xml:space="preserve">0.00%</w:t>
      </w:r>
      <w:r>
        <w:t xml:space="preserve"> </w:t>
      </w:r>
      <w:r>
        <w:t xml:space="preserve">0.31%</w:t>
      </w:r>
      <w:r>
        <w:t xml:space="preserve"> </w:t>
      </w:r>
      <w:r>
        <w:t xml:space="preserve">0.00%</w:t>
      </w:r>
      <w:r>
        <w:t xml:space="preserve"> </w:t>
      </w:r>
      <w:r>
        <w:t xml:space="preserve">1.53%</w:t>
      </w:r>
      <w:r>
        <w:t xml:space="preserve"> </w:t>
      </w:r>
      <w:r>
        <w:t xml:space="preserve">0.08%</w:t>
      </w:r>
      <w:r>
        <w:t xml:space="preserve"> </w:t>
      </w:r>
      <w:r>
        <w:t xml:space="preserve">0.19%</w:t>
      </w:r>
      <w:r>
        <w:t xml:space="preserve"> </w:t>
      </w:r>
      <w:r>
        <w:t xml:space="preserve">0.42%</w:t>
      </w:r>
      <w:r>
        <w:t xml:space="preserve"> </w:t>
      </w:r>
      <w:r>
        <w:t xml:space="preserve">FR</w:t>
      </w:r>
      <w:r>
        <w:t xml:space="preserve"> </w:t>
      </w:r>
      <w:r>
        <w:t xml:space="preserve">0.00%</w:t>
      </w:r>
      <w:r>
        <w:t xml:space="preserve"> </w:t>
      </w:r>
      <w:r>
        <w:t xml:space="preserve">1.19%</w:t>
      </w:r>
      <w:r>
        <w:t xml:space="preserve"> </w:t>
      </w:r>
      <w:r>
        <w:t xml:space="preserve">0.00%</w:t>
      </w:r>
      <w:r>
        <w:t xml:space="preserve"> </w:t>
      </w:r>
      <w:r>
        <w:t xml:space="preserve">1.18%</w:t>
      </w:r>
      <w:r>
        <w:t xml:space="preserve"> </w:t>
      </w:r>
      <w:r>
        <w:t xml:space="preserve">0.00%</w:t>
      </w:r>
      <w:r>
        <w:t xml:space="preserve"> </w:t>
      </w:r>
      <w:r>
        <w:t xml:space="preserve">0.15%</w:t>
      </w:r>
      <w:r>
        <w:t xml:space="preserve"> </w:t>
      </w:r>
      <w:r>
        <w:t xml:space="preserve">0.00%</w:t>
      </w:r>
      <w:r>
        <w:t xml:space="preserve"> </w:t>
      </w:r>
      <w:r>
        <w:t xml:space="preserve">0.71%</w:t>
      </w:r>
      <w:r>
        <w:t xml:space="preserve"> </w:t>
      </w:r>
      <w:r>
        <w:t xml:space="preserve">0.83%</w:t>
      </w:r>
      <w:r>
        <w:t xml:space="preserve"> </w:t>
      </w:r>
      <w:r>
        <w:t xml:space="preserve">HR</w:t>
      </w:r>
      <w:r>
        <w:t xml:space="preserve"> </w:t>
      </w:r>
      <w:r>
        <w:t xml:space="preserve">0.00%</w:t>
      </w:r>
      <w:r>
        <w:t xml:space="preserve"> </w:t>
      </w:r>
      <w:r>
        <w:t xml:space="preserve">2.46%</w:t>
      </w:r>
      <w:r>
        <w:t xml:space="preserve"> </w:t>
      </w:r>
      <w:r>
        <w:t xml:space="preserve">0.00%</w:t>
      </w:r>
      <w:r>
        <w:t xml:space="preserve"> </w:t>
      </w:r>
      <w:r>
        <w:t xml:space="preserve">1.10%</w:t>
      </w:r>
    </w:p>
    <w:p>
      <w:pPr>
        <w:pStyle w:val="BodyText"/>
      </w:pPr>
      <w:r>
        <w:t xml:space="preserve">1.39%</w:t>
      </w:r>
      <w:r>
        <w:t xml:space="preserve"> </w:t>
      </w:r>
      <w:r>
        <w:t xml:space="preserve">HU</w:t>
      </w:r>
      <w:r>
        <w:t xml:space="preserve"> </w:t>
      </w:r>
      <w:r>
        <w:t xml:space="preserve">0.00%</w:t>
      </w:r>
      <w:r>
        <w:t xml:space="preserve"> </w:t>
      </w:r>
      <w:r>
        <w:t xml:space="preserve">2.18%</w:t>
      </w:r>
      <w:r>
        <w:t xml:space="preserve"> </w:t>
      </w:r>
      <w:r>
        <w:t xml:space="preserve">0.00%</w:t>
      </w:r>
      <w:r>
        <w:t xml:space="preserve"> </w:t>
      </w:r>
      <w:r>
        <w:t xml:space="preserve">1.26%</w:t>
      </w:r>
    </w:p>
    <w:p>
      <w:pPr>
        <w:pStyle w:val="BodyText"/>
      </w:pPr>
      <w:r>
        <w:t xml:space="preserve">0.17%</w:t>
      </w:r>
      <w:r>
        <w:t xml:space="preserve"> </w:t>
      </w:r>
      <w:r>
        <w:t xml:space="preserve">0.26%</w:t>
      </w:r>
      <w:r>
        <w:t xml:space="preserve"> </w:t>
      </w:r>
      <w:r>
        <w:t xml:space="preserve">1.06%</w:t>
      </w:r>
      <w:r>
        <w:t xml:space="preserve"> </w:t>
      </w:r>
      <w:r>
        <w:t xml:space="preserve">IE</w:t>
      </w:r>
      <w:r>
        <w:t xml:space="preserve"> </w:t>
      </w:r>
      <w:r>
        <w:t xml:space="preserve">0.00%</w:t>
      </w:r>
      <w:r>
        <w:t xml:space="preserve"> </w:t>
      </w:r>
      <w:r>
        <w:t xml:space="preserve">11.78%</w:t>
      </w:r>
      <w:r>
        <w:t xml:space="preserve"> </w:t>
      </w:r>
      <w:r>
        <w:t xml:space="preserve">0.14%</w:t>
      </w:r>
      <w:r>
        <w:t xml:space="preserve"> </w:t>
      </w:r>
      <w:r>
        <w:t xml:space="preserve">1.80%</w:t>
      </w:r>
    </w:p>
    <w:p>
      <w:pPr>
        <w:pStyle w:val="BodyText"/>
      </w:pPr>
      <w:r>
        <w:t xml:space="preserve">3.81%</w:t>
      </w:r>
      <w:r>
        <w:t xml:space="preserve"> </w:t>
      </w:r>
      <w:r>
        <w:t xml:space="preserve">IT</w:t>
      </w:r>
      <w:r>
        <w:t xml:space="preserve"> </w:t>
      </w:r>
      <w:r>
        <w:t xml:space="preserve">0.04%</w:t>
      </w:r>
      <w:r>
        <w:t xml:space="preserve"> </w:t>
      </w:r>
      <w:r>
        <w:t xml:space="preserve">1.07%</w:t>
      </w:r>
      <w:r>
        <w:t xml:space="preserve"> </w:t>
      </w:r>
      <w:r>
        <w:t xml:space="preserve">0.01%</w:t>
      </w:r>
      <w:r>
        <w:t xml:space="preserve"> </w:t>
      </w:r>
      <w:r>
        <w:t xml:space="preserve">0.40%</w:t>
      </w:r>
      <w:r>
        <w:t xml:space="preserve"> </w:t>
      </w:r>
      <w:r>
        <w:t xml:space="preserve">0.30%</w:t>
      </w:r>
      <w:r>
        <w:t xml:space="preserve"> </w:t>
      </w:r>
      <w:r>
        <w:t xml:space="preserve">0.60%</w:t>
      </w:r>
      <w:r>
        <w:t xml:space="preserve"> </w:t>
      </w:r>
      <w:r>
        <w:t xml:space="preserve">0.02%</w:t>
      </w:r>
      <w:r>
        <w:t xml:space="preserve"> </w:t>
      </w:r>
      <w:r>
        <w:t xml:space="preserve">0.17%</w:t>
      </w:r>
      <w:r>
        <w:t xml:space="preserve"> </w:t>
      </w:r>
      <w:r>
        <w:t xml:space="preserve">0.27%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LU</w:t>
      </w:r>
      <w:r>
        <w:t xml:space="preserve"> </w:t>
      </w:r>
      <w:r>
        <w:t xml:space="preserve">0.00%</w:t>
      </w:r>
      <w:r>
        <w:t xml:space="preserve"> </w:t>
      </w:r>
      <w:r>
        <w:t xml:space="preserve">1.54%</w:t>
      </w:r>
      <w:r>
        <w:t xml:space="preserve"> </w:t>
      </w:r>
      <w:r>
        <w:t xml:space="preserve">0.04%</w:t>
      </w:r>
      <w:r>
        <w:t xml:space="preserve"> </w:t>
      </w:r>
      <w:r>
        <w:t xml:space="preserve">0.47%</w:t>
      </w:r>
      <w:r>
        <w:t xml:space="preserve"> </w:t>
      </w:r>
      <w:r>
        <w:t xml:space="preserve">0.00%</w:t>
      </w:r>
      <w:r>
        <w:t xml:space="preserve"> </w:t>
      </w:r>
      <w:r>
        <w:t xml:space="preserve">0.10%</w:t>
      </w:r>
      <w:r>
        <w:t xml:space="preserve"> </w:t>
      </w:r>
      <w:r>
        <w:t xml:space="preserve">0.00%</w:t>
      </w:r>
      <w:r>
        <w:t xml:space="preserve"> </w:t>
      </w:r>
      <w:r>
        <w:t xml:space="preserve">0.17%</w:t>
      </w:r>
      <w:r>
        <w:t xml:space="preserve"> </w:t>
      </w:r>
      <w:r>
        <w:t xml:space="preserve">0.11%</w:t>
      </w:r>
      <w:r>
        <w:t xml:space="preserve"> </w:t>
      </w:r>
      <w:r>
        <w:t xml:space="preserve">LV</w:t>
      </w:r>
      <w:r>
        <w:t xml:space="preserve"> </w:t>
      </w:r>
      <w:r>
        <w:t xml:space="preserve">3.96%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3.96%</w:t>
      </w:r>
      <w:r>
        <w:t xml:space="preserve"> </w:t>
      </w:r>
      <w:r>
        <w:t xml:space="preserve">MT</w:t>
      </w:r>
      <w:r>
        <w:t xml:space="preserve"> </w:t>
      </w:r>
      <w:r>
        <w:t xml:space="preserve">1.97%</w:t>
      </w:r>
      <w:r>
        <w:t xml:space="preserve"> </w:t>
      </w:r>
      <w:r>
        <w:t xml:space="preserve">0.00%</w:t>
      </w:r>
      <w:r>
        <w:t xml:space="preserve"> </w:t>
      </w:r>
      <w:r>
        <w:t xml:space="preserve">1.39%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1.44%</w:t>
      </w:r>
      <w:r>
        <w:t xml:space="preserve"> </w:t>
      </w:r>
      <w:r>
        <w:t xml:space="preserve">NL</w:t>
      </w:r>
      <w:r>
        <w:t xml:space="preserve"> </w:t>
      </w:r>
      <w:r>
        <w:t xml:space="preserve">0.00%</w:t>
      </w:r>
      <w:r>
        <w:t xml:space="preserve"> </w:t>
      </w:r>
      <w:r>
        <w:t xml:space="preserve">46.10%</w:t>
      </w:r>
      <w:r>
        <w:t xml:space="preserve"> </w:t>
      </w:r>
      <w:r>
        <w:t xml:space="preserve">0.04%</w:t>
      </w:r>
      <w:r>
        <w:t xml:space="preserve"> </w:t>
      </w:r>
      <w:r>
        <w:t xml:space="preserve">0.68%</w:t>
      </w:r>
    </w:p>
    <w:p>
      <w:pPr>
        <w:pStyle w:val="BodyText"/>
      </w:pPr>
      <w:r>
        <w:t xml:space="preserve">0.01%</w:t>
      </w:r>
      <w:r>
        <w:t xml:space="preserve"> </w:t>
      </w:r>
      <w:r>
        <w:t xml:space="preserve">0.30%</w:t>
      </w:r>
      <w:r>
        <w:t xml:space="preserve"> </w:t>
      </w:r>
      <w:r>
        <w:t xml:space="preserve">1.53%</w:t>
      </w:r>
      <w:r>
        <w:t xml:space="preserve"> </w:t>
      </w:r>
      <w:r>
        <w:t xml:space="preserve">PL</w:t>
      </w:r>
    </w:p>
    <w:p>
      <w:pPr>
        <w:pStyle w:val="BodyText"/>
      </w:pPr>
      <w:r>
        <w:t xml:space="preserve">0.43%</w:t>
      </w:r>
      <w:r>
        <w:t xml:space="preserve"> </w:t>
      </w:r>
      <w:r>
        <w:t xml:space="preserve">0.11%</w:t>
      </w:r>
      <w:r>
        <w:t xml:space="preserve"> </w:t>
      </w:r>
      <w:r>
        <w:t xml:space="preserve">0.00%</w:t>
      </w:r>
      <w:r>
        <w:t xml:space="preserve"> </w:t>
      </w:r>
      <w:r>
        <w:t xml:space="preserve">1.75%</w:t>
      </w:r>
      <w:r>
        <w:t xml:space="preserve"> </w:t>
      </w:r>
      <w:r>
        <w:t xml:space="preserve">0.03%</w:t>
      </w:r>
      <w:r>
        <w:t xml:space="preserve"> </w:t>
      </w:r>
      <w:r>
        <w:t xml:space="preserve">0.42%</w:t>
      </w:r>
      <w:r>
        <w:t xml:space="preserve"> </w:t>
      </w:r>
      <w:r>
        <w:t xml:space="preserve">1.31%</w:t>
      </w:r>
      <w:r>
        <w:t xml:space="preserve"> </w:t>
      </w:r>
      <w:r>
        <w:t xml:space="preserve">PT</w:t>
      </w:r>
    </w:p>
    <w:p>
      <w:pPr>
        <w:pStyle w:val="BodyText"/>
      </w:pPr>
      <w:r>
        <w:t xml:space="preserve">0.12%</w:t>
      </w:r>
      <w:r>
        <w:t xml:space="preserve"> </w:t>
      </w:r>
      <w:r>
        <w:t xml:space="preserve">0.47%</w:t>
      </w:r>
      <w:r>
        <w:t xml:space="preserve"> </w:t>
      </w:r>
      <w:r>
        <w:t xml:space="preserve">0.14%</w:t>
      </w:r>
      <w:r>
        <w:t xml:space="preserve"> </w:t>
      </w:r>
      <w:r>
        <w:t xml:space="preserve">0.74%</w:t>
      </w:r>
      <w:r>
        <w:t xml:space="preserve"> </w:t>
      </w:r>
      <w:r>
        <w:t xml:space="preserve">0.01%</w:t>
      </w:r>
      <w:r>
        <w:t xml:space="preserve"> </w:t>
      </w:r>
      <w:r>
        <w:t xml:space="preserve">0.26%</w:t>
      </w:r>
      <w:r>
        <w:t xml:space="preserve"> </w:t>
      </w:r>
      <w:r>
        <w:t xml:space="preserve">0.39%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0.09%</w:t>
      </w:r>
      <w:r>
        <w:t xml:space="preserve"> </w:t>
      </w:r>
      <w:r>
        <w:t xml:space="preserve">0.76%</w:t>
      </w:r>
    </w:p>
    <w:p>
      <w:pPr>
        <w:pStyle w:val="BodyText"/>
      </w:pPr>
      <w:r>
        <w:t xml:space="preserve">0.85%</w:t>
      </w:r>
      <w:r>
        <w:t xml:space="preserve"> </w:t>
      </w:r>
      <w:r>
        <w:t xml:space="preserve">SE</w:t>
      </w:r>
      <w:r>
        <w:t xml:space="preserve"> </w:t>
      </w:r>
      <w:r>
        <w:t xml:space="preserve">0.00%</w:t>
      </w:r>
      <w:r>
        <w:t xml:space="preserve"> </w:t>
      </w:r>
      <w:r>
        <w:t xml:space="preserve">0.98%</w:t>
      </w:r>
      <w:r>
        <w:t xml:space="preserve"> </w:t>
      </w:r>
      <w:r>
        <w:t xml:space="preserve">0.00%</w:t>
      </w:r>
      <w:r>
        <w:t xml:space="preserve"> </w:t>
      </w:r>
      <w:r>
        <w:t xml:space="preserve">0.56%</w:t>
      </w:r>
      <w:r>
        <w:t xml:space="preserve"> </w:t>
      </w:r>
      <w:r>
        <w:t xml:space="preserve">0.02%</w:t>
      </w:r>
      <w:r>
        <w:t xml:space="preserve"> </w:t>
      </w:r>
      <w:r>
        <w:t xml:space="preserve">0.22%</w:t>
      </w:r>
      <w:r>
        <w:t xml:space="preserve"> </w:t>
      </w:r>
      <w:r>
        <w:t xml:space="preserve">0.43%</w:t>
      </w:r>
      <w:r>
        <w:t xml:space="preserve"> </w:t>
      </w:r>
      <w:r>
        <w:t xml:space="preserve">SI</w:t>
      </w:r>
      <w:r>
        <w:t xml:space="preserve"> </w:t>
      </w:r>
      <w:r>
        <w:t xml:space="preserve">0.00%</w:t>
      </w:r>
      <w:r>
        <w:t xml:space="preserve"> </w:t>
      </w:r>
      <w:r>
        <w:t xml:space="preserve">2.60%</w:t>
      </w:r>
      <w:r>
        <w:t xml:space="preserve"> </w:t>
      </w:r>
      <w:r>
        <w:t xml:space="preserve">0.39%</w:t>
      </w:r>
      <w:r>
        <w:t xml:space="preserve"> </w:t>
      </w:r>
      <w:r>
        <w:t xml:space="preserve">0.30%</w:t>
      </w:r>
    </w:p>
    <w:p>
      <w:pPr>
        <w:pStyle w:val="BodyText"/>
      </w:pPr>
      <w:r>
        <w:t xml:space="preserve">1.00%</w:t>
      </w:r>
      <w:r>
        <w:t xml:space="preserve"> </w:t>
      </w:r>
      <w:r>
        <w:t xml:space="preserve">SK</w:t>
      </w:r>
      <w:r>
        <w:t xml:space="preserve"> </w:t>
      </w:r>
      <w:r>
        <w:t xml:space="preserve">0.00%</w:t>
      </w:r>
      <w:r>
        <w:t xml:space="preserve"> </w:t>
      </w:r>
      <w:r>
        <w:t xml:space="preserve">15.76%</w:t>
      </w:r>
      <w:r>
        <w:t xml:space="preserve"> </w:t>
      </w:r>
      <w:r>
        <w:t xml:space="preserve">0.00%</w:t>
      </w:r>
      <w:r>
        <w:t xml:space="preserve"> </w:t>
      </w:r>
      <w:r>
        <w:t xml:space="preserve">0.36%</w:t>
      </w:r>
    </w:p>
    <w:p>
      <w:pPr>
        <w:pStyle w:val="BodyText"/>
      </w:pPr>
      <w:r>
        <w:t xml:space="preserve">0.61%</w:t>
      </w:r>
      <w:r>
        <w:t xml:space="preserve"> </w:t>
      </w:r>
      <w:r>
        <w:t xml:space="preserve">Average</w:t>
      </w:r>
      <w:r>
        <w:t xml:space="preserve"> </w:t>
      </w:r>
      <w:r>
        <w:t xml:space="preserve">0.04%</w:t>
      </w:r>
      <w:r>
        <w:t xml:space="preserve"> </w:t>
      </w:r>
      <w:r>
        <w:t xml:space="preserve">5.98%</w:t>
      </w:r>
      <w:r>
        <w:t xml:space="preserve"> </w:t>
      </w:r>
      <w:r>
        <w:t xml:space="preserve">0.03%</w:t>
      </w:r>
      <w:r>
        <w:t xml:space="preserve"> </w:t>
      </w:r>
      <w:r>
        <w:t xml:space="preserve">0.66%</w:t>
      </w:r>
      <w:r>
        <w:t xml:space="preserve"> </w:t>
      </w:r>
      <w:r>
        <w:t xml:space="preserve">0.00%</w:t>
      </w:r>
      <w:r>
        <w:t xml:space="preserve"> </w:t>
      </w:r>
      <w:r>
        <w:t xml:space="preserve">0.15%</w:t>
      </w:r>
      <w:r>
        <w:t xml:space="preserve"> </w:t>
      </w:r>
      <w:r>
        <w:t xml:space="preserve">0.02%</w:t>
      </w:r>
      <w:r>
        <w:t xml:space="preserve"> </w:t>
      </w:r>
      <w:r>
        <w:t xml:space="preserve">0.34%</w:t>
      </w:r>
      <w:r>
        <w:t xml:space="preserve"> </w:t>
      </w:r>
      <w:r>
        <w:t xml:space="preserve">Source: Commission services computations, based on S&amp;P data as of 19 January 2023.</w:t>
      </w:r>
    </w:p>
    <w:p>
      <w:pPr>
        <w:pStyle w:val="BodyText"/>
      </w:pPr>
      <w:r>
        <w:t xml:space="preserve">5.3.4. Holdings of own funds and eligible liabilities</w:t>
      </w:r>
      <w:r>
        <w:t xml:space="preserve"> </w:t>
      </w:r>
      <w:r>
        <w:t xml:space="preserve">The objective of this section is to provide quantitative elements related to the holdings of</w:t>
      </w:r>
      <w:r>
        <w:t xml:space="preserve"> </w:t>
      </w:r>
      <w:r>
        <w:t xml:space="preserve">own funds and eligible liabilities to support the assessment of the ability of institutions to</w:t>
      </w:r>
      <w:r>
        <w:t xml:space="preserve"> </w:t>
      </w:r>
      <w:r>
        <w:t xml:space="preserve">meet their MREL requirements. Beyond the capacity to issue specific types of</w:t>
      </w:r>
      <w:r>
        <w:t xml:space="preserve"> </w:t>
      </w:r>
      <w:r>
        <w:t xml:space="preserve">instruments, that may partly be due to operational or structural constraints, a key</w:t>
      </w:r>
      <w:r>
        <w:t xml:space="preserve"> </w:t>
      </w:r>
      <w:r>
        <w:t xml:space="preserve">determinant of the assessment remains the nature of the investors ready to subscribe to</w:t>
      </w:r>
      <w:r>
        <w:t xml:space="preserve"> </w:t>
      </w:r>
      <w:r>
        <w:t xml:space="preserve">these instruments.</w:t>
      </w:r>
      <w:r>
        <w:br/>
      </w:r>
      <w:r>
        <w:t xml:space="preserve">This analysis is particularly relevant to single out certain types of banks, in particular</w:t>
      </w:r>
      <w:r>
        <w:t xml:space="preserve"> </w:t>
      </w:r>
      <w:r>
        <w:t xml:space="preserve">small and medium-sized institutions or certain jurisdictions where financial markets may</w:t>
      </w:r>
      <w:r>
        <w:t xml:space="preserve"> </w:t>
      </w:r>
      <w:r>
        <w:t xml:space="preserve">have varying levels of developments.</w:t>
      </w:r>
    </w:p>
    <w:p>
      <w:pPr>
        <w:pStyle w:val="BodyText"/>
      </w:pPr>
      <w:r>
        <w:t xml:space="preserve">402</w:t>
      </w:r>
      <w:r>
        <w:t xml:space="preserve"> </w:t>
      </w:r>
      <w:r>
        <w:t xml:space="preserve">Based on ECB data covering issuers in the Banking Union and using a combination of</w:t>
      </w:r>
      <w:r>
        <w:t xml:space="preserve"> </w:t>
      </w:r>
      <w:r>
        <w:t xml:space="preserve">several datasets subject to specific confidentiality rules, this section provides information</w:t>
      </w:r>
      <w:r>
        <w:t xml:space="preserve"> </w:t>
      </w:r>
      <w:r>
        <w:t xml:space="preserve">on the holdings of instruments as of Q4 2021 by certain types of holders, broken down</w:t>
      </w:r>
      <w:r>
        <w:t xml:space="preserve"> </w:t>
      </w:r>
      <w:r>
        <w:t xml:space="preserve">by type of issuers according to their size and geographical location:</w:t>
      </w:r>
      <w:r>
        <w:t xml:space="preserve"> </w:t>
      </w:r>
      <w:r>
        <w:t xml:space="preserve">-</w:t>
      </w:r>
      <w:r>
        <w:t xml:space="preserve"> </w:t>
      </w:r>
      <w:r>
        <w:t xml:space="preserve">Own funds and eligible instruments:</w:t>
      </w:r>
      <w:r>
        <w:t xml:space="preserve"> </w:t>
      </w:r>
      <w:r>
        <w:t xml:space="preserve">o CET1 and AT1</w:t>
      </w:r>
      <w:r>
        <w:t xml:space="preserve"> </w:t>
      </w:r>
      <w:r>
        <w:t xml:space="preserve">o Tier 2</w:t>
      </w:r>
      <w:r>
        <w:t xml:space="preserve"> </w:t>
      </w:r>
      <w:r>
        <w:t xml:space="preserve">o Other subordinated securities</w:t>
      </w:r>
      <w:r>
        <w:t xml:space="preserve"> </w:t>
      </w:r>
      <w:r>
        <w:t xml:space="preserve">o Senior non-preferred securities</w:t>
      </w:r>
      <w:r>
        <w:t xml:space="preserve"> </w:t>
      </w:r>
      <w:r>
        <w:t xml:space="preserve">o Senior unsecured securities</w:t>
      </w:r>
    </w:p>
    <w:p>
      <w:pPr>
        <w:numPr>
          <w:ilvl w:val="0"/>
          <w:numId w:val="1061"/>
        </w:numPr>
      </w:pPr>
      <w:r>
        <w:t xml:space="preserve">Types of holders:</w:t>
      </w:r>
      <w:r>
        <w:t xml:space="preserve"> </w:t>
      </w:r>
      <w:r>
        <w:t xml:space="preserve">o Financial institutions629, of which banks, insurance companies and</w:t>
      </w:r>
      <w:r>
        <w:t xml:space="preserve"> </w:t>
      </w:r>
      <w:r>
        <w:t xml:space="preserve">pension funds</w:t>
      </w:r>
      <w:r>
        <w:t xml:space="preserve"> </w:t>
      </w:r>
      <w:r>
        <w:t xml:space="preserve">o Public authorities and central banks</w:t>
      </w:r>
      <w:r>
        <w:t xml:space="preserve"> </w:t>
      </w:r>
      <w:r>
        <w:t xml:space="preserve">o Households and non-profit institutions</w:t>
      </w:r>
      <w:r>
        <w:t xml:space="preserve"> </w:t>
      </w:r>
      <w:r>
        <w:t xml:space="preserve">o Other, non-financial institutions630</w:t>
      </w:r>
    </w:p>
    <w:p>
      <w:pPr>
        <w:numPr>
          <w:ilvl w:val="0"/>
          <w:numId w:val="1061"/>
        </w:numPr>
      </w:pPr>
      <w:r>
        <w:t xml:space="preserve">Size of banks (total assets):</w:t>
      </w:r>
      <w:r>
        <w:t xml:space="preserve"> </w:t>
      </w:r>
      <w:r>
        <w:t xml:space="preserve">o Below EUR 10 bn</w:t>
      </w:r>
      <w:r>
        <w:t xml:space="preserve"> </w:t>
      </w:r>
      <w:r>
        <w:t xml:space="preserve">o EUR 30-10 bn</w:t>
      </w:r>
      <w:r>
        <w:t xml:space="preserve"> </w:t>
      </w:r>
      <w:r>
        <w:t xml:space="preserve">o EUR 50-30 bn</w:t>
      </w:r>
      <w:r>
        <w:t xml:space="preserve"> </w:t>
      </w:r>
      <w:r>
        <w:t xml:space="preserve">o EUR 100-50 bn</w:t>
      </w:r>
      <w:r>
        <w:t xml:space="preserve"> </w:t>
      </w:r>
      <w:r>
        <w:t xml:space="preserve">o EUR 300-100 bn</w:t>
      </w:r>
      <w:r>
        <w:t xml:space="preserve"> </w:t>
      </w:r>
      <w:r>
        <w:t xml:space="preserve">o Above EUR 300 bn</w:t>
      </w:r>
    </w:p>
    <w:p>
      <w:pPr>
        <w:numPr>
          <w:ilvl w:val="0"/>
          <w:numId w:val="1061"/>
        </w:numPr>
      </w:pPr>
      <w:r>
        <w:t xml:space="preserve">Geographical location (clusters631):</w:t>
      </w:r>
      <w:r>
        <w:t xml:space="preserve"> </w:t>
      </w:r>
      <w:r>
        <w:t xml:space="preserve">o AT/FI/DE</w:t>
      </w:r>
      <w:r>
        <w:t xml:space="preserve"> </w:t>
      </w:r>
      <w:r>
        <w:t xml:space="preserve">o FR/IT</w:t>
      </w:r>
      <w:r>
        <w:t xml:space="preserve"> </w:t>
      </w:r>
      <w:r>
        <w:t xml:space="preserve">o BE/IE/LU/NL</w:t>
      </w:r>
      <w:r>
        <w:t xml:space="preserve"> </w:t>
      </w:r>
      <w:r>
        <w:t xml:space="preserve">o PT/ES</w:t>
      </w:r>
      <w:r>
        <w:t xml:space="preserve"> </w:t>
      </w:r>
      <w:r>
        <w:t xml:space="preserve">o CY/GR/MT</w:t>
      </w:r>
      <w:r>
        <w:t xml:space="preserve"> </w:t>
      </w:r>
      <w:r>
        <w:t xml:space="preserve">o BG/HR/SK/SI</w:t>
      </w:r>
      <w:r>
        <w:t xml:space="preserve"> </w:t>
      </w:r>
      <w:r>
        <w:t xml:space="preserve">o EE/LV/LT</w:t>
      </w:r>
      <w:r>
        <w:t xml:space="preserve"> </w:t>
      </w:r>
      <w:r>
        <w:t xml:space="preserve">The data is based on specific methodological assumptions that are listed in section 6 of</w:t>
      </w:r>
      <w:r>
        <w:t xml:space="preserve"> </w:t>
      </w:r>
      <w:r>
        <w:t xml:space="preserve">this Annex.</w:t>
      </w:r>
      <w:r>
        <w:t xml:space="preserve"> </w:t>
      </w:r>
      <w:r>
        <w:t xml:space="preserve">5.3.4.1.Overview of the distribution of holdings for Banking Union issuers</w:t>
      </w:r>
    </w:p>
    <w:p>
      <w:pPr>
        <w:pStyle w:val="FirstParagraph"/>
      </w:pPr>
      <w:r>
        <w:t xml:space="preserve">629 Category comprising: deposit taking corporations, money market funds, investment funds, other</w:t>
      </w:r>
      <w:r>
        <w:t xml:space="preserve"> </w:t>
      </w:r>
      <w:r>
        <w:t xml:space="preserve">financial corporations, financial vehicle corporations, insurance corporations, pension funds, monetary</w:t>
      </w:r>
      <w:r>
        <w:t xml:space="preserve"> </w:t>
      </w:r>
      <w:r>
        <w:t xml:space="preserve">financial institutions and other insurance and pension funds.</w:t>
      </w:r>
      <w:r>
        <w:t xml:space="preserve"> </w:t>
      </w:r>
      <w:r>
        <w:t xml:space="preserve">630 Category comprising: non-financial corporations, non-financial investors (third party holdings),</w:t>
      </w:r>
      <w:r>
        <w:t xml:space="preserve"> </w:t>
      </w:r>
      <w:r>
        <w:t xml:space="preserve">investors from non-euro area countries other than central banks and general governments, and unallocated</w:t>
      </w:r>
      <w:r>
        <w:t xml:space="preserve"> </w:t>
      </w:r>
      <w:r>
        <w:t xml:space="preserve">holders.</w:t>
      </w:r>
      <w:r>
        <w:t xml:space="preserve"> </w:t>
      </w:r>
      <w:r>
        <w:t xml:space="preserve">631 Groupings were necessary to prevent confidentiality issues.</w:t>
      </w:r>
    </w:p>
    <w:p>
      <w:pPr>
        <w:pStyle w:val="BodyText"/>
      </w:pPr>
      <w:r>
        <w:t xml:space="preserve">403</w:t>
      </w:r>
      <w:r>
        <w:t xml:space="preserve"> </w:t>
      </w:r>
      <w:r>
        <w:t xml:space="preserve">On aggregate, financial institutions represent the majority of holders for all forms of</w:t>
      </w:r>
      <w:r>
        <w:t xml:space="preserve"> </w:t>
      </w:r>
      <w:r>
        <w:t xml:space="preserve">instruments. In particular, 58% of the reported holdings of CET1 and AT1 and up to 71%</w:t>
      </w:r>
      <w:r>
        <w:t xml:space="preserve"> </w:t>
      </w:r>
      <w:r>
        <w:t xml:space="preserve">of senior non-preferred instruments are held by financial institutions. Banks, insurance</w:t>
      </w:r>
      <w:r>
        <w:t xml:space="preserve"> </w:t>
      </w:r>
      <w:r>
        <w:t xml:space="preserve">and pension funds often represent a large proportion of this category, in particular for</w:t>
      </w:r>
      <w:r>
        <w:t xml:space="preserve"> </w:t>
      </w:r>
      <w:r>
        <w:t xml:space="preserve">Tier 2 and senior instruments, but relatively less for CET1 and AT1 where they only</w:t>
      </w:r>
      <w:r>
        <w:t xml:space="preserve"> </w:t>
      </w:r>
      <w:r>
        <w:t xml:space="preserve">account for 28%, the rest being held by other types of holders such as asset management</w:t>
      </w:r>
      <w:r>
        <w:t xml:space="preserve"> </w:t>
      </w:r>
      <w:r>
        <w:t xml:space="preserve">funds.</w:t>
      </w:r>
      <w:r>
        <w:br/>
      </w:r>
      <w:r>
        <w:t xml:space="preserve">Other non-financial holders also represent a large share of holders for all categories of</w:t>
      </w:r>
      <w:r>
        <w:t xml:space="preserve"> </w:t>
      </w:r>
      <w:r>
        <w:t xml:space="preserve">instruments, while holdings by public authorities and central banks mostly relate to</w:t>
      </w:r>
      <w:r>
        <w:t xml:space="preserve"> </w:t>
      </w:r>
      <w:r>
        <w:t xml:space="preserve">senior instruments. Importantly, households and non-profit institutions represent a large</w:t>
      </w:r>
      <w:r>
        <w:t xml:space="preserve"> </w:t>
      </w:r>
      <w:r>
        <w:t xml:space="preserve">proportion of the holders of CET1 and AT1 instruments (6% of the holdings) and</w:t>
      </w:r>
      <w:r>
        <w:t xml:space="preserve"> </w:t>
      </w:r>
      <w:r>
        <w:t xml:space="preserve">particularly for other subordinated liabilities (18% of the holdings).</w:t>
      </w:r>
      <w:r>
        <w:br/>
      </w:r>
      <w:r>
        <w:t xml:space="preserve">Table 50: Holdings of instruments per type of holder (% of the instrument type)632</w:t>
      </w:r>
      <w:r>
        <w:t xml:space="preserve"> </w:t>
      </w:r>
      <w:r>
        <w:t xml:space="preserve">Financial institutions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 central</w:t>
      </w:r>
      <w:r>
        <w:t xml:space="preserve"> </w:t>
      </w:r>
      <w:r>
        <w:t xml:space="preserve">banks</w:t>
      </w:r>
      <w:r>
        <w:t xml:space="preserve"> </w:t>
      </w:r>
      <w:r>
        <w:t xml:space="preserve">Households</w:t>
      </w:r>
      <w:r>
        <w:t xml:space="preserve"> </w:t>
      </w:r>
      <w:r>
        <w:t xml:space="preserve">and non-</w:t>
      </w:r>
      <w:r>
        <w:t xml:space="preserve"> </w:t>
      </w:r>
      <w:r>
        <w:t xml:space="preserve">profit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Other, non-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</w:t>
      </w:r>
    </w:p>
    <w:p>
      <w:pPr>
        <w:pStyle w:val="BodyText"/>
      </w:pPr>
      <w:r>
        <w:t xml:space="preserve">Of which:</w:t>
      </w:r>
      <w:r>
        <w:t xml:space="preserve"> </w:t>
      </w:r>
      <w:r>
        <w:t xml:space="preserve">banks</w:t>
      </w:r>
      <w:r>
        <w:t xml:space="preserve"> </w:t>
      </w:r>
      <w:r>
        <w:t xml:space="preserve">Of which:</w:t>
      </w:r>
      <w:r>
        <w:t xml:space="preserve"> </w:t>
      </w:r>
      <w:r>
        <w:t xml:space="preserve">insurance and</w:t>
      </w:r>
      <w:r>
        <w:t xml:space="preserve"> </w:t>
      </w:r>
      <w:r>
        <w:t xml:space="preserve">pensions funds</w:t>
      </w:r>
      <w:r>
        <w:t xml:space="preserve"> </w:t>
      </w:r>
      <w:r>
        <w:t xml:space="preserve">CET1 and AT1</w:t>
      </w:r>
      <w:r>
        <w:t xml:space="preserve"> </w:t>
      </w:r>
      <w:r>
        <w:t xml:space="preserve">58%</w:t>
      </w:r>
      <w:r>
        <w:t xml:space="preserve"> </w:t>
      </w:r>
      <w:r>
        <w:t xml:space="preserve">19%</w:t>
      </w:r>
      <w:r>
        <w:t xml:space="preserve"> </w:t>
      </w:r>
      <w:r>
        <w:t xml:space="preserve">9%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34%</w:t>
      </w:r>
      <w:r>
        <w:t xml:space="preserve"> </w:t>
      </w:r>
      <w:r>
        <w:t xml:space="preserve">Tier 2</w:t>
      </w:r>
      <w:r>
        <w:t xml:space="preserve"> </w:t>
      </w:r>
      <w:r>
        <w:t xml:space="preserve">66%</w:t>
      </w:r>
      <w:r>
        <w:t xml:space="preserve"> </w:t>
      </w:r>
      <w:r>
        <w:t xml:space="preserve">13%</w:t>
      </w:r>
      <w:r>
        <w:t xml:space="preserve"> </w:t>
      </w:r>
      <w:r>
        <w:t xml:space="preserve">38%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30%</w:t>
      </w:r>
      <w:r>
        <w:t xml:space="preserve"> </w:t>
      </w:r>
      <w:r>
        <w:t xml:space="preserve">Subordinated debt</w:t>
      </w:r>
      <w:r>
        <w:t xml:space="preserve"> </w:t>
      </w:r>
      <w:r>
        <w:t xml:space="preserve">55%</w:t>
      </w:r>
      <w:r>
        <w:t xml:space="preserve"> </w:t>
      </w:r>
      <w:r>
        <w:t xml:space="preserve">31%</w:t>
      </w:r>
      <w:r>
        <w:t xml:space="preserve"> </w:t>
      </w:r>
      <w:r>
        <w:t xml:space="preserve">27%</w:t>
      </w:r>
      <w:r>
        <w:t xml:space="preserve"> </w:t>
      </w:r>
      <w:r>
        <w:t xml:space="preserve">1%</w:t>
      </w:r>
      <w:r>
        <w:t xml:space="preserve"> </w:t>
      </w:r>
      <w:r>
        <w:t xml:space="preserve">18%</w:t>
      </w:r>
      <w:r>
        <w:t xml:space="preserve"> </w:t>
      </w:r>
      <w:r>
        <w:t xml:space="preserve">26%</w:t>
      </w:r>
      <w:r>
        <w:t xml:space="preserve"> </w:t>
      </w:r>
      <w:r>
        <w:t xml:space="preserve">Senior non-preferred</w:t>
      </w:r>
      <w:r>
        <w:t xml:space="preserve"> </w:t>
      </w:r>
      <w:r>
        <w:t xml:space="preserve">71%</w:t>
      </w:r>
      <w:r>
        <w:t xml:space="preserve"> </w:t>
      </w:r>
      <w:r>
        <w:t xml:space="preserve">25%</w:t>
      </w:r>
      <w:r>
        <w:t xml:space="preserve"> </w:t>
      </w:r>
      <w:r>
        <w:t xml:space="preserve">33%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26%</w:t>
      </w:r>
      <w:r>
        <w:t xml:space="preserve"> </w:t>
      </w:r>
      <w:r>
        <w:t xml:space="preserve">Senior</w:t>
      </w:r>
      <w:r>
        <w:t xml:space="preserve"> </w:t>
      </w:r>
      <w:r>
        <w:t xml:space="preserve">59%</w:t>
      </w:r>
      <w:r>
        <w:t xml:space="preserve"> </w:t>
      </w:r>
      <w:r>
        <w:t xml:space="preserve">47%</w:t>
      </w:r>
      <w:r>
        <w:t xml:space="preserve"> </w:t>
      </w:r>
      <w:r>
        <w:t xml:space="preserve">17%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23%</w:t>
      </w:r>
      <w:r>
        <w:t xml:space="preserve"> </w:t>
      </w:r>
      <w:r>
        <w:t xml:space="preserve">Source: ECB data as of Q4 2021.</w:t>
      </w:r>
    </w:p>
    <w:p>
      <w:pPr>
        <w:pStyle w:val="BodyText"/>
      </w:pPr>
      <w:r>
        <w:t xml:space="preserve">5.3.4.2.Focus on small and medium-sized banks</w:t>
      </w:r>
      <w:r>
        <w:t xml:space="preserve"> </w:t>
      </w:r>
      <w:r>
        <w:t xml:space="preserve">The following tables provide a granular breakdown of the holdings, for each instruments,</w:t>
      </w:r>
      <w:r>
        <w:t xml:space="preserve"> </w:t>
      </w:r>
      <w:r>
        <w:t xml:space="preserve">per nature of holders by type of issuers according to their size and geographical location.</w:t>
      </w:r>
      <w:r>
        <w:t xml:space="preserve"> </w:t>
      </w:r>
      <w:r>
        <w:t xml:space="preserve">They include figures for small and medium-sized institutions, as well as for largest</w:t>
      </w:r>
      <w:r>
        <w:t xml:space="preserve"> </w:t>
      </w:r>
      <w:r>
        <w:t xml:space="preserve">entities to enhance the comparability of the results.</w:t>
      </w:r>
      <w:r>
        <w:t xml:space="preserve"> </w:t>
      </w:r>
      <w:r>
        <w:t xml:space="preserve">In general, figures highlight the prevalence of holdings by financial institutions, although</w:t>
      </w:r>
      <w:r>
        <w:t xml:space="preserve"> </w:t>
      </w:r>
      <w:r>
        <w:t xml:space="preserve">not necessarily banks and insurance or pension funds, across all types of instruments, but</w:t>
      </w:r>
      <w:r>
        <w:t xml:space="preserve"> </w:t>
      </w:r>
      <w:r>
        <w:t xml:space="preserve">point at specific features in some Member States or for specific categories of banks</w:t>
      </w:r>
      <w:r>
        <w:t xml:space="preserve"> </w:t>
      </w:r>
      <w:r>
        <w:t xml:space="preserve">where public authorities and central banks, or households, represent an important</w:t>
      </w:r>
      <w:r>
        <w:t xml:space="preserve"> </w:t>
      </w:r>
      <w:r>
        <w:t xml:space="preserve">proportion of the holders. This is particularly relevant for CET1, AT1 and subordinated</w:t>
      </w:r>
      <w:r>
        <w:t xml:space="preserve"> </w:t>
      </w:r>
      <w:r>
        <w:t xml:space="preserve">debt held by households in certain Member States, or the absence of reported holdings of</w:t>
      </w:r>
      <w:r>
        <w:t xml:space="preserve"> </w:t>
      </w:r>
      <w:r>
        <w:t xml:space="preserve">Tier 2 and senior non-preferred for many types of institutions in several jurisdictions.</w:t>
      </w:r>
    </w:p>
    <w:p>
      <w:pPr>
        <w:pStyle w:val="BodyText"/>
      </w:pPr>
      <w:r>
        <w:t xml:space="preserve">632 Example: 58% of the reported holdings of CET1 and AT1 instruments are held by financials. Banks</w:t>
      </w:r>
      <w:r>
        <w:t xml:space="preserve"> </w:t>
      </w:r>
      <w:r>
        <w:t xml:space="preserve">represent 19% of the holders of CET1 and AT1 instruments classified as financials. The sum of the</w:t>
      </w:r>
      <w:r>
        <w:t xml:space="preserve"> </w:t>
      </w:r>
      <w:r>
        <w:t xml:space="preserve">columns financials, public authorities and central banks, households and non-profit institutions, and other</w:t>
      </w:r>
      <w:r>
        <w:t xml:space="preserve"> </w:t>
      </w:r>
      <w:r>
        <w:t xml:space="preserve">non-financial holders is equal to 100%, covering the entire amount of reported holdings of each instrument.</w:t>
      </w:r>
    </w:p>
    <w:p>
      <w:pPr>
        <w:pStyle w:val="BodyText"/>
      </w:pPr>
      <w:r>
        <w:t xml:space="preserve">404</w:t>
      </w:r>
      <w:r>
        <w:t xml:space="preserve"> </w:t>
      </w:r>
      <w:r>
        <w:t xml:space="preserve">The outcome of the assessment suggests that the access to a wide investor base able to</w:t>
      </w:r>
      <w:r>
        <w:t xml:space="preserve"> </w:t>
      </w:r>
      <w:r>
        <w:t xml:space="preserve">absorb different types of liabilities to meet MREL requirements is uneven across</w:t>
      </w:r>
      <w:r>
        <w:t xml:space="preserve"> </w:t>
      </w:r>
      <w:r>
        <w:t xml:space="preserve">Member States and varies across banks.</w:t>
      </w:r>
      <w:r>
        <w:t xml:space="preserve"> </w:t>
      </w:r>
      <w:r>
        <w:t xml:space="preserve">CET1 and AT1:</w:t>
      </w:r>
      <w:r>
        <w:br/>
      </w:r>
      <w:r>
        <w:t xml:space="preserve">-</w:t>
      </w:r>
      <w:r>
        <w:t xml:space="preserve"> </w:t>
      </w:r>
      <w:r>
        <w:t xml:space="preserve">Financial institutions represent a large proportion of holders of CET1 and AT1</w:t>
      </w:r>
      <w:r>
        <w:t xml:space="preserve"> </w:t>
      </w:r>
      <w:r>
        <w:t xml:space="preserve">instruments for many issuers in all jurisdictions. The distribution remains</w:t>
      </w:r>
      <w:r>
        <w:t xml:space="preserve"> </w:t>
      </w:r>
      <w:r>
        <w:t xml:space="preserve">heterogeneous in particular for small institutions with balance sheet lower than</w:t>
      </w:r>
      <w:r>
        <w:t xml:space="preserve"> </w:t>
      </w:r>
      <w:r>
        <w:t xml:space="preserve">EUR 10 bn where the proportion of financials move from less than 20% to up to</w:t>
      </w:r>
      <w:r>
        <w:t xml:space="preserve"> </w:t>
      </w:r>
      <w:r>
        <w:t xml:space="preserve">99% of the holdings.</w:t>
      </w:r>
      <w:r>
        <w:br/>
      </w:r>
      <w:r>
        <w:t xml:space="preserve">-</w:t>
      </w:r>
      <w:r>
        <w:t xml:space="preserve"> </w:t>
      </w:r>
      <w:r>
        <w:t xml:space="preserve">Public authorities and central banks generally represent a small proportion of</w:t>
      </w:r>
      <w:r>
        <w:t xml:space="preserve"> </w:t>
      </w:r>
      <w:r>
        <w:t xml:space="preserve">holdings of CET1 and AT1 instruments except in limited cases (e.g. publicly-</w:t>
      </w:r>
      <w:r>
        <w:t xml:space="preserve"> </w:t>
      </w:r>
      <w:r>
        <w:t xml:space="preserve">owned institutions).</w:t>
      </w:r>
      <w:r>
        <w:t xml:space="preserve"> </w:t>
      </w:r>
      <w:r>
        <w:t xml:space="preserve">-</w:t>
      </w:r>
      <w:r>
        <w:t xml:space="preserve"> </w:t>
      </w:r>
      <w:r>
        <w:t xml:space="preserve">Households represent an important proportion of holders of CET1 and AT1</w:t>
      </w:r>
      <w:r>
        <w:t xml:space="preserve"> </w:t>
      </w:r>
      <w:r>
        <w:t xml:space="preserve">instruments, in particular for the smallest banks with a balance sheet below</w:t>
      </w:r>
      <w:r>
        <w:t xml:space="preserve"> </w:t>
      </w:r>
      <w:r>
        <w:t xml:space="preserve">EUR 10 bn, in several groups of Member States: 59% in ES/PT, 35% in</w:t>
      </w:r>
      <w:r>
        <w:t xml:space="preserve"> </w:t>
      </w:r>
      <w:r>
        <w:t xml:space="preserve">EE/LV/LT, 37% in DE/AT/FI and 28% in FR/IT where this proportion remains</w:t>
      </w:r>
      <w:r>
        <w:t xml:space="preserve"> </w:t>
      </w:r>
      <w:r>
        <w:t xml:space="preserve">high also for larger institutions.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Table 51: Holdings of CET1 and AT1 instruments (% of holdings)</w:t>
      </w:r>
    </w:p>
    <w:p>
      <w:pPr>
        <w:pStyle w:val="BodyText"/>
      </w:pPr>
      <w:r>
        <w:t xml:space="preserve">Financials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central banks</w:t>
      </w:r>
      <w:r>
        <w:t xml:space="preserve"> </w:t>
      </w:r>
      <w:r>
        <w:t xml:space="preserve">Households</w:t>
      </w:r>
      <w:r>
        <w:t xml:space="preserve"> </w:t>
      </w:r>
      <w:r>
        <w:t xml:space="preserve">and non-</w:t>
      </w:r>
      <w:r>
        <w:t xml:space="preserve"> </w:t>
      </w:r>
      <w:r>
        <w:t xml:space="preserve">profit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Other,</w:t>
      </w:r>
      <w:r>
        <w:t xml:space="preserve"> </w:t>
      </w:r>
      <w:r>
        <w:t xml:space="preserve">non-</w:t>
      </w:r>
      <w:r>
        <w:t xml:space="preserve"> </w:t>
      </w:r>
      <w:r>
        <w:t xml:space="preserve">financial</w:t>
      </w:r>
    </w:p>
    <w:p>
      <w:pPr>
        <w:pStyle w:val="BodyText"/>
      </w:pPr>
      <w:r>
        <w:t xml:space="preserve">CET1 and AT1</w:t>
      </w:r>
    </w:p>
    <w:p>
      <w:pPr>
        <w:pStyle w:val="BodyText"/>
      </w:pPr>
      <w:r>
        <w:t xml:space="preserve">Of which:</w:t>
      </w:r>
      <w:r>
        <w:t xml:space="preserve"> </w:t>
      </w:r>
      <w:r>
        <w:t xml:space="preserve">banks</w:t>
      </w:r>
      <w:r>
        <w:t xml:space="preserve"> </w:t>
      </w:r>
      <w:r>
        <w:t xml:space="preserve">Of which:</w:t>
      </w:r>
      <w:r>
        <w:t xml:space="preserve"> </w:t>
      </w:r>
      <w:r>
        <w:t xml:space="preserve">insurance and</w:t>
      </w:r>
      <w:r>
        <w:t xml:space="preserve"> </w:t>
      </w:r>
      <w:r>
        <w:t xml:space="preserve">pensions funds</w:t>
      </w:r>
      <w:r>
        <w:t xml:space="preserve"> </w:t>
      </w:r>
      <w:r>
        <w:t xml:space="preserve">DE_AT_FI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35%</w:t>
      </w:r>
      <w:r>
        <w:t xml:space="preserve"> </w:t>
      </w:r>
      <w:r>
        <w:t xml:space="preserve">20%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37%</w:t>
      </w:r>
      <w:r>
        <w:t xml:space="preserve"> </w:t>
      </w:r>
      <w:r>
        <w:t xml:space="preserve">26%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60%</w:t>
      </w:r>
      <w:r>
        <w:t xml:space="preserve"> </w:t>
      </w:r>
      <w:r>
        <w:t xml:space="preserve">26%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36%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60%</w:t>
      </w:r>
      <w:r>
        <w:t xml:space="preserve"> </w:t>
      </w:r>
      <w:r>
        <w:t xml:space="preserve">11%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12%</w:t>
      </w:r>
      <w:r>
        <w:t xml:space="preserve"> </w:t>
      </w:r>
      <w:r>
        <w:t xml:space="preserve">27%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58%</w:t>
      </w:r>
      <w:r>
        <w:t xml:space="preserve"> </w:t>
      </w:r>
      <w:r>
        <w:t xml:space="preserve">25%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13%</w:t>
      </w:r>
      <w:r>
        <w:t xml:space="preserve"> </w:t>
      </w:r>
      <w:r>
        <w:t xml:space="preserve">29%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63%</w:t>
      </w:r>
      <w:r>
        <w:t xml:space="preserve"> </w:t>
      </w:r>
      <w:r>
        <w:t xml:space="preserve">30%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32%</w:t>
      </w:r>
      <w:r>
        <w:t xml:space="preserve"> </w:t>
      </w:r>
      <w:r>
        <w:t xml:space="preserve">Above EUR 300 billion 54%</w:t>
      </w:r>
      <w:r>
        <w:t xml:space="preserve"> </w:t>
      </w:r>
      <w:r>
        <w:t xml:space="preserve">31%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39%</w:t>
      </w:r>
      <w:r>
        <w:t xml:space="preserve"> </w:t>
      </w:r>
      <w:r>
        <w:t xml:space="preserve">IT_FR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16%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55%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54%</w:t>
      </w:r>
      <w:r>
        <w:t xml:space="preserve"> </w:t>
      </w:r>
      <w:r>
        <w:t xml:space="preserve">24%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37%</w:t>
      </w:r>
      <w:r>
        <w:t xml:space="preserve"> </w:t>
      </w:r>
      <w:r>
        <w:t xml:space="preserve">10%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63%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27%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46%</w:t>
      </w:r>
      <w:r>
        <w:t xml:space="preserve"> </w:t>
      </w:r>
      <w:r>
        <w:t xml:space="preserve">-1%</w:t>
      </w:r>
      <w:r>
        <w:t xml:space="preserve"> </w:t>
      </w:r>
      <w:r>
        <w:t xml:space="preserve">17%</w:t>
      </w:r>
      <w:r>
        <w:t xml:space="preserve"> </w:t>
      </w:r>
      <w:r>
        <w:t xml:space="preserve">1%</w:t>
      </w:r>
      <w:r>
        <w:t xml:space="preserve"> </w:t>
      </w:r>
      <w:r>
        <w:t xml:space="preserve">38%</w:t>
      </w:r>
      <w:r>
        <w:t xml:space="preserve"> </w:t>
      </w:r>
      <w:r>
        <w:t xml:space="preserve">16%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55%</w:t>
      </w:r>
      <w:r>
        <w:t xml:space="preserve"> </w:t>
      </w:r>
      <w:r>
        <w:t xml:space="preserve">13%</w:t>
      </w:r>
      <w:r>
        <w:t xml:space="preserve"> </w:t>
      </w:r>
      <w:r>
        <w:t xml:space="preserve">8%</w:t>
      </w:r>
      <w:r>
        <w:t xml:space="preserve"> </w:t>
      </w:r>
      <w:r>
        <w:t xml:space="preserve">1%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Above EUR 300 billion 60%</w:t>
      </w:r>
      <w:r>
        <w:t xml:space="preserve"> </w:t>
      </w:r>
      <w:r>
        <w:t xml:space="preserve">17%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34%</w:t>
      </w:r>
      <w:r>
        <w:t xml:space="preserve"> </w:t>
      </w:r>
      <w:r>
        <w:t xml:space="preserve">NL_BE_LU_IE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39%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56%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49%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35%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65%</w:t>
      </w:r>
      <w:r>
        <w:t xml:space="preserve"> </w:t>
      </w:r>
      <w:r>
        <w:t xml:space="preserve">22%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29%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72%</w:t>
      </w:r>
      <w:r>
        <w:t xml:space="preserve"> </w:t>
      </w:r>
      <w:r>
        <w:t xml:space="preserve">22%</w:t>
      </w:r>
      <w:r>
        <w:t xml:space="preserve"> </w:t>
      </w:r>
      <w:r>
        <w:t xml:space="preserve">19%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23%</w:t>
      </w:r>
      <w:r>
        <w:t xml:space="preserve"> </w:t>
      </w:r>
      <w:r>
        <w:t xml:space="preserve">Above EUR 300 billion 63%</w:t>
      </w:r>
      <w:r>
        <w:t xml:space="preserve"> </w:t>
      </w:r>
      <w:r>
        <w:t xml:space="preserve">17%</w:t>
      </w:r>
      <w:r>
        <w:t xml:space="preserve"> </w:t>
      </w:r>
      <w:r>
        <w:t xml:space="preserve">23%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35%</w:t>
      </w:r>
      <w:r>
        <w:t xml:space="preserve"> </w:t>
      </w:r>
      <w:r>
        <w:t xml:space="preserve">ES_PT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55%</w:t>
      </w:r>
      <w:r>
        <w:t xml:space="preserve"> </w:t>
      </w:r>
      <w:r>
        <w:t xml:space="preserve">0%</w:t>
      </w:r>
      <w:r>
        <w:t xml:space="preserve"> </w:t>
      </w:r>
      <w:r>
        <w:t xml:space="preserve">59%</w:t>
      </w:r>
      <w:r>
        <w:t xml:space="preserve"> </w:t>
      </w:r>
      <w:r>
        <w:t xml:space="preserve">28%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55%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32%</w:t>
      </w:r>
      <w:r>
        <w:t xml:space="preserve"> </w:t>
      </w:r>
      <w:r>
        <w:t xml:space="preserve">Above 100 billion</w:t>
      </w:r>
      <w:r>
        <w:t xml:space="preserve"> </w:t>
      </w:r>
      <w:r>
        <w:t xml:space="preserve">59%</w:t>
      </w:r>
      <w:r>
        <w:t xml:space="preserve"> </w:t>
      </w:r>
      <w:r>
        <w:t xml:space="preserve">14%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34%</w:t>
      </w:r>
    </w:p>
    <w:p>
      <w:pPr>
        <w:pStyle w:val="BodyText"/>
      </w:pPr>
      <w:r>
        <w:t xml:space="preserve">405</w:t>
      </w:r>
      <w:r>
        <w:t xml:space="preserve"> </w:t>
      </w:r>
      <w:r>
        <w:t xml:space="preserve">GR_CY_MT</w:t>
      </w:r>
      <w:r>
        <w:t xml:space="preserve"> </w:t>
      </w:r>
      <w:r>
        <w:t xml:space="preserve">Below EUR 30 billion</w:t>
      </w:r>
      <w:r>
        <w:t xml:space="preserve"> </w:t>
      </w:r>
      <w:r>
        <w:t xml:space="preserve">54%</w:t>
      </w:r>
      <w:r>
        <w:t xml:space="preserve"> </w:t>
      </w:r>
      <w:r>
        <w:t xml:space="preserve">59%</w:t>
      </w:r>
      <w:r>
        <w:t xml:space="preserve"> </w:t>
      </w:r>
      <w:r>
        <w:t xml:space="preserve">13%</w:t>
      </w:r>
      <w:r>
        <w:t xml:space="preserve"> </w:t>
      </w:r>
      <w:r>
        <w:t xml:space="preserve">82%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44%</w:t>
      </w:r>
      <w:r>
        <w:t xml:space="preserve"> </w:t>
      </w:r>
      <w:r>
        <w:t xml:space="preserve">53%</w:t>
      </w:r>
      <w:r>
        <w:t xml:space="preserve"> </w:t>
      </w:r>
      <w:r>
        <w:t xml:space="preserve">2%</w:t>
      </w:r>
      <w:r>
        <w:t xml:space="preserve"> </w:t>
      </w:r>
      <w:r>
        <w:t xml:space="preserve">45%</w:t>
      </w:r>
      <w:r>
        <w:t xml:space="preserve"> </w:t>
      </w:r>
      <w:r>
        <w:t xml:space="preserve">9%</w:t>
      </w:r>
      <w:r>
        <w:t xml:space="preserve"> </w:t>
      </w:r>
      <w:r>
        <w:t xml:space="preserve">3%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BG_SI_SK_HR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98%</w:t>
      </w:r>
      <w:r>
        <w:t xml:space="preserve"> </w:t>
      </w:r>
      <w:r>
        <w:t xml:space="preserve">0%</w:t>
      </w:r>
      <w:r>
        <w:t xml:space="preserve"> </w:t>
      </w:r>
      <w:r>
        <w:t xml:space="preserve">89%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99%</w:t>
      </w:r>
      <w:r>
        <w:t xml:space="preserve"> </w:t>
      </w:r>
      <w:r>
        <w:t xml:space="preserve">82%</w:t>
      </w:r>
      <w:r>
        <w:t xml:space="preserve"> </w:t>
      </w:r>
      <w:r>
        <w:t xml:space="preserve">11%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EE_LV_LT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24%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35%</w:t>
      </w:r>
      <w:r>
        <w:t xml:space="preserve"> </w:t>
      </w:r>
      <w:r>
        <w:t xml:space="preserve">41%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Source: ECB data as of Q4 2021.</w:t>
      </w:r>
      <w:r>
        <w:t xml:space="preserve"> </w:t>
      </w:r>
      <w:r>
        <w:t xml:space="preserve">Tier 2:</w:t>
      </w:r>
      <w:r>
        <w:t xml:space="preserve"> </w:t>
      </w:r>
      <w:r>
        <w:t xml:space="preserve">-</w:t>
      </w:r>
      <w:r>
        <w:t xml:space="preserve"> </w:t>
      </w:r>
      <w:r>
        <w:t xml:space="preserve">Financial institutions represent a large proportion of holders of Tier 2 instruments</w:t>
      </w:r>
      <w:r>
        <w:t xml:space="preserve"> </w:t>
      </w:r>
      <w:r>
        <w:t xml:space="preserve">together with other non-financial holders, across all jurisdictions.</w:t>
      </w:r>
      <w:r>
        <w:br/>
      </w:r>
      <w:r>
        <w:t xml:space="preserve">-</w:t>
      </w:r>
      <w:r>
        <w:t xml:space="preserve"> </w:t>
      </w:r>
      <w:r>
        <w:t xml:space="preserve">Holdings of Tier 2 instruments are mostly relevant for institutions with a balance</w:t>
      </w:r>
      <w:r>
        <w:t xml:space="preserve"> </w:t>
      </w:r>
      <w:r>
        <w:t xml:space="preserve">sheet size of at least EUR 50 bn. In several Member States, no holdings are</w:t>
      </w:r>
      <w:r>
        <w:t xml:space="preserve"> </w:t>
      </w:r>
      <w:r>
        <w:t xml:space="preserve">reported.</w:t>
      </w:r>
    </w:p>
    <w:p>
      <w:pPr>
        <w:pStyle w:val="BodyText"/>
      </w:pPr>
      <w:r>
        <w:t xml:space="preserve">Table 52: Holdings of Tier 2 instruments (% of holdings)</w:t>
      </w:r>
    </w:p>
    <w:p>
      <w:pPr>
        <w:pStyle w:val="BodyText"/>
      </w:pPr>
      <w:r>
        <w:t xml:space="preserve">Financials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 central</w:t>
      </w:r>
      <w:r>
        <w:t xml:space="preserve"> </w:t>
      </w:r>
      <w:r>
        <w:t xml:space="preserve">banks</w:t>
      </w:r>
      <w:r>
        <w:t xml:space="preserve"> </w:t>
      </w:r>
      <w:r>
        <w:t xml:space="preserve">Households</w:t>
      </w:r>
      <w:r>
        <w:t xml:space="preserve"> </w:t>
      </w:r>
      <w:r>
        <w:t xml:space="preserve">and non-</w:t>
      </w:r>
      <w:r>
        <w:t xml:space="preserve"> </w:t>
      </w:r>
      <w:r>
        <w:t xml:space="preserve">profit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Other, non-</w:t>
      </w:r>
      <w:r>
        <w:t xml:space="preserve"> </w:t>
      </w:r>
      <w:r>
        <w:t xml:space="preserve">financial</w:t>
      </w:r>
    </w:p>
    <w:p>
      <w:pPr>
        <w:pStyle w:val="BodyText"/>
      </w:pPr>
      <w:r>
        <w:t xml:space="preserve">Tier 2</w:t>
      </w:r>
    </w:p>
    <w:p>
      <w:pPr>
        <w:pStyle w:val="BodyText"/>
      </w:pPr>
      <w:r>
        <w:t xml:space="preserve">Of which:</w:t>
      </w:r>
      <w:r>
        <w:t xml:space="preserve"> </w:t>
      </w:r>
      <w:r>
        <w:t xml:space="preserve">banks</w:t>
      </w:r>
      <w:r>
        <w:t xml:space="preserve"> </w:t>
      </w:r>
      <w:r>
        <w:t xml:space="preserve">Of which:</w:t>
      </w:r>
      <w:r>
        <w:t xml:space="preserve"> </w:t>
      </w:r>
      <w:r>
        <w:t xml:space="preserve">insurance and</w:t>
      </w:r>
      <w:r>
        <w:t xml:space="preserve"> </w:t>
      </w:r>
      <w:r>
        <w:t xml:space="preserve">pensions funds</w:t>
      </w:r>
      <w:r>
        <w:t xml:space="preserve"> </w:t>
      </w:r>
      <w:r>
        <w:t xml:space="preserve">DE_AT_FI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64%</w:t>
      </w:r>
      <w:r>
        <w:t xml:space="preserve"> </w:t>
      </w:r>
      <w:r>
        <w:t xml:space="preserve">15%</w:t>
      </w:r>
      <w:r>
        <w:t xml:space="preserve"> </w:t>
      </w:r>
      <w:r>
        <w:t xml:space="preserve">41%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72%</w:t>
      </w:r>
      <w:r>
        <w:t xml:space="preserve"> </w:t>
      </w:r>
      <w:r>
        <w:t xml:space="preserve">18%</w:t>
      </w:r>
      <w:r>
        <w:t xml:space="preserve"> </w:t>
      </w:r>
      <w:r>
        <w:t xml:space="preserve">24%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19%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57%</w:t>
      </w:r>
      <w:r>
        <w:t xml:space="preserve"> </w:t>
      </w:r>
      <w:r>
        <w:t xml:space="preserve">11%</w:t>
      </w:r>
      <w:r>
        <w:t xml:space="preserve"> </w:t>
      </w:r>
      <w:r>
        <w:t xml:space="preserve">28%</w:t>
      </w:r>
      <w:r>
        <w:t xml:space="preserve"> </w:t>
      </w:r>
      <w:r>
        <w:t xml:space="preserve">1%</w:t>
      </w:r>
      <w:r>
        <w:t xml:space="preserve"> </w:t>
      </w:r>
      <w:r>
        <w:t xml:space="preserve">10%</w:t>
      </w:r>
      <w:r>
        <w:t xml:space="preserve"> </w:t>
      </w:r>
      <w:r>
        <w:t xml:space="preserve">32%</w:t>
      </w:r>
      <w:r>
        <w:t xml:space="preserve"> </w:t>
      </w:r>
      <w:r>
        <w:t xml:space="preserve">IT_FR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63%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24%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53%</w:t>
      </w:r>
      <w:r>
        <w:t xml:space="preserve"> </w:t>
      </w:r>
      <w:r>
        <w:t xml:space="preserve">15%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34%</w:t>
      </w:r>
      <w:r>
        <w:t xml:space="preserve"> </w:t>
      </w:r>
      <w:r>
        <w:t xml:space="preserve">13%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70%</w:t>
      </w:r>
      <w:r>
        <w:t xml:space="preserve"> </w:t>
      </w:r>
      <w:r>
        <w:t xml:space="preserve">14%</w:t>
      </w:r>
      <w:r>
        <w:t xml:space="preserve"> </w:t>
      </w:r>
      <w:r>
        <w:t xml:space="preserve">30%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24%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65%</w:t>
      </w:r>
      <w:r>
        <w:t xml:space="preserve"> </w:t>
      </w:r>
      <w:r>
        <w:t xml:space="preserve">14%</w:t>
      </w:r>
      <w:r>
        <w:t xml:space="preserve"> </w:t>
      </w:r>
      <w:r>
        <w:t xml:space="preserve">42%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31%</w:t>
      </w:r>
      <w:r>
        <w:t xml:space="preserve"> </w:t>
      </w:r>
      <w:r>
        <w:t xml:space="preserve">NL_BE_LU_IE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47%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52%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65%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35%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79%</w:t>
      </w:r>
      <w:r>
        <w:t xml:space="preserve"> </w:t>
      </w:r>
      <w:r>
        <w:t xml:space="preserve">17%</w:t>
      </w:r>
      <w:r>
        <w:t xml:space="preserve"> </w:t>
      </w:r>
      <w:r>
        <w:t xml:space="preserve">30%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21%</w:t>
      </w:r>
    </w:p>
    <w:p>
      <w:pPr>
        <w:pStyle w:val="BodyText"/>
      </w:pPr>
      <w:r>
        <w:t xml:space="preserve">406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45%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53%</w:t>
      </w:r>
      <w:r>
        <w:t xml:space="preserve"> </w:t>
      </w:r>
      <w:r>
        <w:t xml:space="preserve">ES_PT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66%</w:t>
      </w:r>
      <w:r>
        <w:t xml:space="preserve"> </w:t>
      </w:r>
      <w:r>
        <w:t xml:space="preserve">8%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33%</w:t>
      </w:r>
      <w:r>
        <w:t xml:space="preserve"> </w:t>
      </w:r>
      <w:r>
        <w:t xml:space="preserve">Above 100 billion</w:t>
      </w:r>
      <w:r>
        <w:t xml:space="preserve"> </w:t>
      </w:r>
      <w:r>
        <w:t xml:space="preserve">72%</w:t>
      </w:r>
      <w:r>
        <w:t xml:space="preserve"> </w:t>
      </w:r>
      <w:r>
        <w:t xml:space="preserve">10%</w:t>
      </w:r>
      <w:r>
        <w:t xml:space="preserve"> </w:t>
      </w:r>
      <w:r>
        <w:t xml:space="preserve">41%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26%</w:t>
      </w:r>
      <w:r>
        <w:t xml:space="preserve"> </w:t>
      </w:r>
      <w:r>
        <w:t xml:space="preserve">GR_CY_MT</w:t>
      </w:r>
      <w:r>
        <w:t xml:space="preserve"> </w:t>
      </w:r>
      <w:r>
        <w:t xml:space="preserve">Below EUR 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60%</w:t>
      </w:r>
      <w:r>
        <w:t xml:space="preserve"> </w:t>
      </w:r>
      <w:r>
        <w:t xml:space="preserve">39%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37%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BG_SI_SK_HR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EE_LV_LT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Source: ECB data as of Q4 2021.</w:t>
      </w:r>
      <w:r>
        <w:t xml:space="preserve"> </w:t>
      </w:r>
      <w:r>
        <w:t xml:space="preserve">Other subordinated securities:</w:t>
      </w:r>
      <w:r>
        <w:t xml:space="preserve"> </w:t>
      </w:r>
      <w:r>
        <w:t xml:space="preserve">-</w:t>
      </w:r>
      <w:r>
        <w:t xml:space="preserve"> </w:t>
      </w:r>
      <w:r>
        <w:t xml:space="preserve">Financial institutions represent a large proportion of holders of subordinated</w:t>
      </w:r>
      <w:r>
        <w:t xml:space="preserve"> </w:t>
      </w:r>
      <w:r>
        <w:t xml:space="preserve">instruments, sometimes together with other non-financial holders in certain</w:t>
      </w:r>
      <w:r>
        <w:t xml:space="preserve"> </w:t>
      </w:r>
      <w:r>
        <w:t xml:space="preserve">jurisdictions.</w:t>
      </w:r>
      <w:r>
        <w:t xml:space="preserve"> </w:t>
      </w:r>
      <w:r>
        <w:t xml:space="preserve">-</w:t>
      </w:r>
      <w:r>
        <w:t xml:space="preserve"> </w:t>
      </w:r>
      <w:r>
        <w:t xml:space="preserve">Similarly to own funds instruments, public authorities and central banks often</w:t>
      </w:r>
      <w:r>
        <w:t xml:space="preserve"> </w:t>
      </w:r>
      <w:r>
        <w:t xml:space="preserve">represent a limited proportion of holders, and are largely outweighed by</w:t>
      </w:r>
      <w:r>
        <w:t xml:space="preserve"> </w:t>
      </w:r>
      <w:r>
        <w:t xml:space="preserve">households and non-profit institutions which may represent up to 40% of the</w:t>
      </w:r>
      <w:r>
        <w:t xml:space="preserve"> </w:t>
      </w:r>
      <w:r>
        <w:t xml:space="preserve">holders of subordinated instruments.</w:t>
      </w:r>
      <w:r>
        <w:br/>
      </w:r>
      <w:r>
        <w:t xml:space="preserve">-</w:t>
      </w:r>
      <w:r>
        <w:t xml:space="preserve"> </w:t>
      </w:r>
      <w:r>
        <w:t xml:space="preserve">In general, holdings by households and non-profit institutions seem to remain high</w:t>
      </w:r>
      <w:r>
        <w:t xml:space="preserve"> </w:t>
      </w:r>
      <w:r>
        <w:t xml:space="preserve">irrespective of the size of the institutions, although slightly more important for</w:t>
      </w:r>
      <w:r>
        <w:t xml:space="preserve"> </w:t>
      </w:r>
      <w:r>
        <w:t xml:space="preserve">banks with balance sheet up to EUR 50 bn, in those jurisdictions where they</w:t>
      </w:r>
      <w:r>
        <w:t xml:space="preserve"> </w:t>
      </w:r>
      <w:r>
        <w:t xml:space="preserve">account for a large proportion of the issuers.</w:t>
      </w:r>
    </w:p>
    <w:p>
      <w:pPr>
        <w:pStyle w:val="BodyText"/>
      </w:pPr>
      <w:r>
        <w:t xml:space="preserve">407</w:t>
      </w:r>
      <w:r>
        <w:t xml:space="preserve"> </w:t>
      </w:r>
      <w:r>
        <w:t xml:space="preserve">Table 53: Holdings of other subordinated instruments (% of holdings)</w:t>
      </w:r>
    </w:p>
    <w:p>
      <w:pPr>
        <w:pStyle w:val="BodyText"/>
      </w:pPr>
      <w:r>
        <w:t xml:space="preserve">Financials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 central</w:t>
      </w:r>
      <w:r>
        <w:t xml:space="preserve"> </w:t>
      </w:r>
      <w:r>
        <w:t xml:space="preserve">banks</w:t>
      </w:r>
      <w:r>
        <w:t xml:space="preserve"> </w:t>
      </w:r>
      <w:r>
        <w:t xml:space="preserve">Households</w:t>
      </w:r>
      <w:r>
        <w:t xml:space="preserve"> </w:t>
      </w:r>
      <w:r>
        <w:t xml:space="preserve">and non-</w:t>
      </w:r>
      <w:r>
        <w:t xml:space="preserve"> </w:t>
      </w:r>
      <w:r>
        <w:t xml:space="preserve">profit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Other, non-</w:t>
      </w:r>
      <w:r>
        <w:t xml:space="preserve"> </w:t>
      </w:r>
      <w:r>
        <w:t xml:space="preserve">financial</w:t>
      </w:r>
    </w:p>
    <w:p>
      <w:pPr>
        <w:pStyle w:val="BodyText"/>
      </w:pPr>
      <w:r>
        <w:t xml:space="preserve">Other subordinated</w:t>
      </w:r>
    </w:p>
    <w:p>
      <w:pPr>
        <w:pStyle w:val="BodyText"/>
      </w:pPr>
      <w:r>
        <w:t xml:space="preserve">Of which:</w:t>
      </w:r>
      <w:r>
        <w:t xml:space="preserve"> </w:t>
      </w:r>
      <w:r>
        <w:t xml:space="preserve">banks</w:t>
      </w:r>
      <w:r>
        <w:t xml:space="preserve"> </w:t>
      </w:r>
      <w:r>
        <w:t xml:space="preserve">Of which:</w:t>
      </w:r>
      <w:r>
        <w:t xml:space="preserve"> </w:t>
      </w:r>
      <w:r>
        <w:t xml:space="preserve">insurance and</w:t>
      </w:r>
      <w:r>
        <w:t xml:space="preserve"> </w:t>
      </w:r>
      <w:r>
        <w:t xml:space="preserve">pensions funds</w:t>
      </w:r>
      <w:r>
        <w:t xml:space="preserve"> </w:t>
      </w:r>
      <w:r>
        <w:t xml:space="preserve">DE_AT_FI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54%</w:t>
      </w:r>
      <w:r>
        <w:t xml:space="preserve"> </w:t>
      </w:r>
      <w:r>
        <w:t xml:space="preserve">53%</w:t>
      </w:r>
      <w:r>
        <w:t xml:space="preserve"> </w:t>
      </w:r>
      <w:r>
        <w:t xml:space="preserve">15%</w:t>
      </w:r>
      <w:r>
        <w:t xml:space="preserve"> </w:t>
      </w:r>
      <w:r>
        <w:t xml:space="preserve">3%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34%</w:t>
      </w:r>
      <w:r>
        <w:t xml:space="preserve"> </w:t>
      </w:r>
      <w:r>
        <w:t xml:space="preserve">20%</w:t>
      </w:r>
      <w:r>
        <w:t xml:space="preserve"> </w:t>
      </w:r>
      <w:r>
        <w:t xml:space="preserve">17%</w:t>
      </w:r>
      <w:r>
        <w:t xml:space="preserve"> </w:t>
      </w:r>
      <w:r>
        <w:t xml:space="preserve">2%</w:t>
      </w:r>
      <w:r>
        <w:t xml:space="preserve"> </w:t>
      </w:r>
      <w:r>
        <w:t xml:space="preserve">40%</w:t>
      </w:r>
      <w:r>
        <w:t xml:space="preserve"> </w:t>
      </w:r>
      <w:r>
        <w:t xml:space="preserve">23%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42%</w:t>
      </w:r>
      <w:r>
        <w:t xml:space="preserve"> </w:t>
      </w:r>
      <w:r>
        <w:t xml:space="preserve">13%</w:t>
      </w:r>
      <w:r>
        <w:t xml:space="preserve"> </w:t>
      </w:r>
      <w:r>
        <w:t xml:space="preserve">48%</w:t>
      </w:r>
      <w:r>
        <w:t xml:space="preserve"> </w:t>
      </w:r>
      <w:r>
        <w:t xml:space="preserve">5%</w:t>
      </w:r>
      <w:r>
        <w:t xml:space="preserve"> </w:t>
      </w:r>
      <w:r>
        <w:t xml:space="preserve">17%</w:t>
      </w:r>
      <w:r>
        <w:t xml:space="preserve"> </w:t>
      </w:r>
      <w:r>
        <w:t xml:space="preserve">37%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74%</w:t>
      </w:r>
      <w:r>
        <w:t xml:space="preserve"> </w:t>
      </w:r>
      <w:r>
        <w:t xml:space="preserve">35%</w:t>
      </w:r>
      <w:r>
        <w:t xml:space="preserve"> </w:t>
      </w:r>
      <w:r>
        <w:t xml:space="preserve">21%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20%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53%</w:t>
      </w:r>
      <w:r>
        <w:t xml:space="preserve"> </w:t>
      </w:r>
      <w:r>
        <w:t xml:space="preserve">32%</w:t>
      </w:r>
      <w:r>
        <w:t xml:space="preserve"> </w:t>
      </w:r>
      <w:r>
        <w:t xml:space="preserve">34%</w:t>
      </w:r>
      <w:r>
        <w:t xml:space="preserve"> </w:t>
      </w:r>
      <w:r>
        <w:t xml:space="preserve">1%</w:t>
      </w:r>
      <w:r>
        <w:t xml:space="preserve"> </w:t>
      </w:r>
      <w:r>
        <w:t xml:space="preserve">14%</w:t>
      </w:r>
      <w:r>
        <w:t xml:space="preserve"> </w:t>
      </w:r>
      <w:r>
        <w:t xml:space="preserve">33%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63%</w:t>
      </w:r>
      <w:r>
        <w:t xml:space="preserve"> </w:t>
      </w:r>
      <w:r>
        <w:t xml:space="preserve">70%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12%</w:t>
      </w:r>
      <w:r>
        <w:t xml:space="preserve"> </w:t>
      </w:r>
      <w:r>
        <w:t xml:space="preserve">24%</w:t>
      </w:r>
      <w:r>
        <w:t xml:space="preserve"> </w:t>
      </w:r>
      <w:r>
        <w:t xml:space="preserve">IT_FR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70%</w:t>
      </w:r>
      <w:r>
        <w:t xml:space="preserve"> </w:t>
      </w:r>
      <w:r>
        <w:t xml:space="preserve">79%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11%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68%</w:t>
      </w:r>
      <w:r>
        <w:t xml:space="preserve"> </w:t>
      </w:r>
      <w:r>
        <w:t xml:space="preserve">63%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22%</w:t>
      </w:r>
      <w:r>
        <w:t xml:space="preserve"> </w:t>
      </w:r>
      <w:r>
        <w:t xml:space="preserve">10%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50%</w:t>
      </w:r>
      <w:r>
        <w:t xml:space="preserve"> </w:t>
      </w:r>
      <w:r>
        <w:t xml:space="preserve">5%</w:t>
      </w:r>
      <w:r>
        <w:t xml:space="preserve"> </w:t>
      </w:r>
      <w:r>
        <w:t xml:space="preserve">19%</w:t>
      </w:r>
      <w:r>
        <w:t xml:space="preserve"> </w:t>
      </w:r>
      <w:r>
        <w:t xml:space="preserve">2%</w:t>
      </w:r>
      <w:r>
        <w:t xml:space="preserve"> </w:t>
      </w:r>
      <w:r>
        <w:t xml:space="preserve">32%</w:t>
      </w:r>
      <w:r>
        <w:t xml:space="preserve"> </w:t>
      </w:r>
      <w:r>
        <w:t xml:space="preserve">16%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64%</w:t>
      </w:r>
      <w:r>
        <w:t xml:space="preserve"> </w:t>
      </w:r>
      <w:r>
        <w:t xml:space="preserve">28%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26%</w:t>
      </w:r>
      <w:r>
        <w:t xml:space="preserve"> </w:t>
      </w:r>
      <w:r>
        <w:t xml:space="preserve">10%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51%</w:t>
      </w:r>
      <w:r>
        <w:t xml:space="preserve"> </w:t>
      </w:r>
      <w:r>
        <w:t xml:space="preserve">17%</w:t>
      </w:r>
      <w:r>
        <w:t xml:space="preserve"> </w:t>
      </w:r>
      <w:r>
        <w:t xml:space="preserve">35%</w:t>
      </w:r>
      <w:r>
        <w:t xml:space="preserve"> </w:t>
      </w:r>
      <w:r>
        <w:t xml:space="preserve">1%</w:t>
      </w:r>
      <w:r>
        <w:t xml:space="preserve"> </w:t>
      </w:r>
      <w:r>
        <w:t xml:space="preserve">23%</w:t>
      </w:r>
      <w:r>
        <w:t xml:space="preserve"> </w:t>
      </w:r>
      <w:r>
        <w:t xml:space="preserve">25%</w:t>
      </w:r>
      <w:r>
        <w:t xml:space="preserve"> </w:t>
      </w:r>
      <w:r>
        <w:t xml:space="preserve">NL_BE_LU_IE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51%</w:t>
      </w:r>
      <w:r>
        <w:t xml:space="preserve"> </w:t>
      </w:r>
      <w:r>
        <w:t xml:space="preserve">32%</w:t>
      </w:r>
      <w:r>
        <w:t xml:space="preserve"> </w:t>
      </w:r>
      <w:r>
        <w:t xml:space="preserve">39%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48%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51%</w:t>
      </w:r>
      <w:r>
        <w:t xml:space="preserve"> </w:t>
      </w:r>
      <w:r>
        <w:t xml:space="preserve">13%</w:t>
      </w:r>
      <w:r>
        <w:t xml:space="preserve"> </w:t>
      </w:r>
      <w:r>
        <w:t xml:space="preserve">17%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39%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75%</w:t>
      </w:r>
      <w:r>
        <w:t xml:space="preserve"> </w:t>
      </w:r>
      <w:r>
        <w:t xml:space="preserve">1%</w:t>
      </w:r>
      <w:r>
        <w:t xml:space="preserve"> </w:t>
      </w:r>
      <w:r>
        <w:t xml:space="preserve">62%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22%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70%</w:t>
      </w:r>
      <w:r>
        <w:t xml:space="preserve"> </w:t>
      </w:r>
      <w:r>
        <w:t xml:space="preserve">7%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30%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44%</w:t>
      </w:r>
      <w:r>
        <w:t xml:space="preserve"> </w:t>
      </w:r>
      <w:r>
        <w:t xml:space="preserve">12%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31%</w:t>
      </w:r>
      <w:r>
        <w:t xml:space="preserve"> </w:t>
      </w:r>
      <w:r>
        <w:t xml:space="preserve">ES_PT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96%</w:t>
      </w:r>
      <w:r>
        <w:t xml:space="preserve"> </w:t>
      </w:r>
      <w:r>
        <w:t xml:space="preserve">4%</w:t>
      </w:r>
      <w:r>
        <w:t xml:space="preserve"> </w:t>
      </w:r>
      <w:r>
        <w:t xml:space="preserve">94%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91%</w:t>
      </w:r>
      <w:r>
        <w:t xml:space="preserve"> </w:t>
      </w:r>
      <w:r>
        <w:t xml:space="preserve">97%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32%</w:t>
      </w:r>
      <w:r>
        <w:t xml:space="preserve"> </w:t>
      </w:r>
      <w:r>
        <w:t xml:space="preserve">27%</w:t>
      </w:r>
      <w:r>
        <w:t xml:space="preserve"> </w:t>
      </w:r>
      <w:r>
        <w:t xml:space="preserve">Above 100 billion</w:t>
      </w:r>
      <w:r>
        <w:t xml:space="preserve"> </w:t>
      </w:r>
      <w:r>
        <w:t xml:space="preserve">63%</w:t>
      </w:r>
      <w:r>
        <w:t xml:space="preserve"> </w:t>
      </w:r>
      <w:r>
        <w:t xml:space="preserve">18%</w:t>
      </w:r>
      <w:r>
        <w:t xml:space="preserve"> </w:t>
      </w:r>
      <w:r>
        <w:t xml:space="preserve">44%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32%</w:t>
      </w:r>
      <w:r>
        <w:t xml:space="preserve"> </w:t>
      </w:r>
      <w:r>
        <w:t xml:space="preserve">GR_CY_MT</w:t>
      </w:r>
      <w:r>
        <w:t xml:space="preserve"> </w:t>
      </w:r>
      <w:r>
        <w:t xml:space="preserve">Below EUR 30 billion</w:t>
      </w:r>
      <w:r>
        <w:t xml:space="preserve"> </w:t>
      </w:r>
      <w:r>
        <w:t xml:space="preserve">43%</w:t>
      </w:r>
      <w:r>
        <w:t xml:space="preserve"> </w:t>
      </w:r>
      <w:r>
        <w:t xml:space="preserve">37%</w:t>
      </w:r>
      <w:r>
        <w:t xml:space="preserve"> </w:t>
      </w:r>
      <w:r>
        <w:t xml:space="preserve">16%</w:t>
      </w:r>
      <w:r>
        <w:t xml:space="preserve"> </w:t>
      </w:r>
      <w:r>
        <w:t xml:space="preserve">34%</w:t>
      </w:r>
      <w:r>
        <w:t xml:space="preserve"> </w:t>
      </w:r>
      <w:r>
        <w:t xml:space="preserve">18%</w:t>
      </w:r>
      <w:r>
        <w:t xml:space="preserve"> </w:t>
      </w:r>
      <w:r>
        <w:t xml:space="preserve">4%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BG_SI_SK_HR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68%</w:t>
      </w:r>
      <w:r>
        <w:t xml:space="preserve"> </w:t>
      </w:r>
      <w:r>
        <w:t xml:space="preserve">69%</w:t>
      </w:r>
      <w:r>
        <w:t xml:space="preserve"> </w:t>
      </w:r>
      <w:r>
        <w:t xml:space="preserve">26%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30%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81%</w:t>
      </w:r>
      <w:r>
        <w:t xml:space="preserve"> </w:t>
      </w:r>
      <w:r>
        <w:t xml:space="preserve">75%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EE_LV_LT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57%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15%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Source: ECB data as of Q4 2021.</w:t>
      </w:r>
    </w:p>
    <w:p>
      <w:pPr>
        <w:pStyle w:val="BodyText"/>
      </w:pPr>
      <w:r>
        <w:t xml:space="preserve">408</w:t>
      </w:r>
      <w:r>
        <w:t xml:space="preserve"> </w:t>
      </w:r>
      <w:r>
        <w:t xml:space="preserve">Senior non-preferred securities:</w:t>
      </w:r>
      <w:r>
        <w:t xml:space="preserve"> </w:t>
      </w:r>
      <w:r>
        <w:t xml:space="preserve">-</w:t>
      </w:r>
      <w:r>
        <w:t xml:space="preserve"> </w:t>
      </w:r>
      <w:r>
        <w:t xml:space="preserve">Holdings of non-senior preferred instruments are not reported for institutions</w:t>
      </w:r>
      <w:r>
        <w:t xml:space="preserve"> </w:t>
      </w:r>
      <w:r>
        <w:t xml:space="preserve">below EUR 30 bn in assets, except in a few Member States.</w:t>
      </w:r>
      <w:r>
        <w:t xml:space="preserve"> </w:t>
      </w:r>
      <w:r>
        <w:t xml:space="preserve">-</w:t>
      </w:r>
      <w:r>
        <w:t xml:space="preserve"> </w:t>
      </w:r>
      <w:r>
        <w:t xml:space="preserve">Financials remain the most important category of holders of these instruments,</w:t>
      </w:r>
      <w:r>
        <w:t xml:space="preserve"> </w:t>
      </w:r>
      <w:r>
        <w:t xml:space="preserve">sometimes with other non-financial holders in certain jurisdictions. Contrary to</w:t>
      </w:r>
      <w:r>
        <w:t xml:space="preserve"> </w:t>
      </w:r>
      <w:r>
        <w:t xml:space="preserve">subordinated instruments, households and non-profit institutions only represent a</w:t>
      </w:r>
      <w:r>
        <w:t xml:space="preserve"> </w:t>
      </w:r>
      <w:r>
        <w:t xml:space="preserve">marginal proportion of holders of senior non-preferred instruments.</w:t>
      </w:r>
      <w:r>
        <w:t xml:space="preserve"> </w:t>
      </w:r>
      <w:r>
        <w:t xml:space="preserve">-</w:t>
      </w:r>
      <w:r>
        <w:t xml:space="preserve"> </w:t>
      </w:r>
      <w:r>
        <w:t xml:space="preserve">Similarly to Tier 2 instruments, no holdings are reported in several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Table 54: Holdings of senior non-preferred instruments (% of holdings)</w:t>
      </w:r>
    </w:p>
    <w:p>
      <w:pPr>
        <w:pStyle w:val="BodyText"/>
      </w:pPr>
      <w:r>
        <w:t xml:space="preserve">Financials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 central</w:t>
      </w:r>
      <w:r>
        <w:t xml:space="preserve"> </w:t>
      </w:r>
      <w:r>
        <w:t xml:space="preserve">banks</w:t>
      </w:r>
      <w:r>
        <w:t xml:space="preserve"> </w:t>
      </w:r>
      <w:r>
        <w:t xml:space="preserve">Households</w:t>
      </w:r>
      <w:r>
        <w:t xml:space="preserve"> </w:t>
      </w:r>
      <w:r>
        <w:t xml:space="preserve">and non-</w:t>
      </w:r>
      <w:r>
        <w:t xml:space="preserve"> </w:t>
      </w:r>
      <w:r>
        <w:t xml:space="preserve">profit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Other,</w:t>
      </w:r>
      <w:r>
        <w:t xml:space="preserve"> </w:t>
      </w:r>
      <w:r>
        <w:t xml:space="preserve">non-</w:t>
      </w:r>
      <w:r>
        <w:t xml:space="preserve"> </w:t>
      </w:r>
      <w:r>
        <w:t xml:space="preserve">financial</w:t>
      </w:r>
    </w:p>
    <w:p>
      <w:pPr>
        <w:pStyle w:val="BodyText"/>
      </w:pPr>
      <w:r>
        <w:t xml:space="preserve">Senior non-preferred</w:t>
      </w:r>
    </w:p>
    <w:p>
      <w:pPr>
        <w:pStyle w:val="BodyText"/>
      </w:pPr>
      <w:r>
        <w:t xml:space="preserve">Of which:</w:t>
      </w:r>
      <w:r>
        <w:t xml:space="preserve"> </w:t>
      </w:r>
      <w:r>
        <w:t xml:space="preserve">banks</w:t>
      </w:r>
      <w:r>
        <w:t xml:space="preserve"> </w:t>
      </w:r>
      <w:r>
        <w:t xml:space="preserve">Of which:</w:t>
      </w:r>
      <w:r>
        <w:t xml:space="preserve"> </w:t>
      </w:r>
      <w:r>
        <w:t xml:space="preserve">insurance and</w:t>
      </w:r>
      <w:r>
        <w:t xml:space="preserve"> </w:t>
      </w:r>
      <w:r>
        <w:t xml:space="preserve">pensions funds</w:t>
      </w:r>
      <w:r>
        <w:t xml:space="preserve"> </w:t>
      </w:r>
      <w:r>
        <w:t xml:space="preserve">DE_AT_FI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59%</w:t>
      </w:r>
      <w:r>
        <w:t xml:space="preserve"> </w:t>
      </w:r>
      <w:r>
        <w:t xml:space="preserve">32%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39%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81%</w:t>
      </w:r>
      <w:r>
        <w:t xml:space="preserve"> </w:t>
      </w:r>
      <w:r>
        <w:t xml:space="preserve">67%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13%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63%</w:t>
      </w:r>
      <w:r>
        <w:t xml:space="preserve"> </w:t>
      </w:r>
      <w:r>
        <w:t xml:space="preserve">35%</w:t>
      </w:r>
      <w:r>
        <w:t xml:space="preserve"> </w:t>
      </w:r>
      <w:r>
        <w:t xml:space="preserve">31%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34%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76%</w:t>
      </w:r>
      <w:r>
        <w:t xml:space="preserve"> </w:t>
      </w:r>
      <w:r>
        <w:t xml:space="preserve">55%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20%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62%</w:t>
      </w:r>
      <w:r>
        <w:t xml:space="preserve"> </w:t>
      </w:r>
      <w:r>
        <w:t xml:space="preserve">30%</w:t>
      </w:r>
      <w:r>
        <w:t xml:space="preserve"> </w:t>
      </w:r>
      <w:r>
        <w:t xml:space="preserve">21%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35%</w:t>
      </w:r>
      <w:r>
        <w:t xml:space="preserve"> </w:t>
      </w:r>
      <w:r>
        <w:t xml:space="preserve">IT_FR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88%</w:t>
      </w:r>
      <w:r>
        <w:t xml:space="preserve"> </w:t>
      </w:r>
      <w:r>
        <w:t xml:space="preserve">29%</w:t>
      </w:r>
      <w:r>
        <w:t xml:space="preserve"> </w:t>
      </w:r>
      <w:r>
        <w:t xml:space="preserve">24%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11%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82%</w:t>
      </w:r>
      <w:r>
        <w:t xml:space="preserve"> </w:t>
      </w:r>
      <w:r>
        <w:t xml:space="preserve">18%</w:t>
      </w:r>
      <w:r>
        <w:t xml:space="preserve"> </w:t>
      </w:r>
      <w:r>
        <w:t xml:space="preserve">42%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16%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72%</w:t>
      </w:r>
      <w:r>
        <w:t xml:space="preserve"> </w:t>
      </w:r>
      <w:r>
        <w:t xml:space="preserve">22%</w:t>
      </w:r>
      <w:r>
        <w:t xml:space="preserve"> </w:t>
      </w:r>
      <w:r>
        <w:t xml:space="preserve">38%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NL_BE_LU_IE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74%</w:t>
      </w:r>
      <w:r>
        <w:t xml:space="preserve"> </w:t>
      </w:r>
      <w:r>
        <w:t xml:space="preserve">15%</w:t>
      </w:r>
      <w:r>
        <w:t xml:space="preserve"> </w:t>
      </w:r>
      <w:r>
        <w:t xml:space="preserve">28%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23%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63%</w:t>
      </w:r>
      <w:r>
        <w:t xml:space="preserve"> </w:t>
      </w:r>
      <w:r>
        <w:t xml:space="preserve">19%</w:t>
      </w:r>
      <w:r>
        <w:t xml:space="preserve"> </w:t>
      </w:r>
      <w:r>
        <w:t xml:space="preserve">29%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36%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68%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71%</w:t>
      </w:r>
      <w:r>
        <w:t xml:space="preserve"> </w:t>
      </w:r>
      <w:r>
        <w:t xml:space="preserve">22%</w:t>
      </w:r>
      <w:r>
        <w:t xml:space="preserve"> </w:t>
      </w:r>
      <w:r>
        <w:t xml:space="preserve">42%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26%</w:t>
      </w:r>
      <w:r>
        <w:t xml:space="preserve"> </w:t>
      </w:r>
      <w:r>
        <w:t xml:space="preserve">ES_PT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79%</w:t>
      </w:r>
      <w:r>
        <w:t xml:space="preserve"> </w:t>
      </w:r>
      <w:r>
        <w:t xml:space="preserve">25%</w:t>
      </w:r>
      <w:r>
        <w:t xml:space="preserve"> </w:t>
      </w:r>
      <w:r>
        <w:t xml:space="preserve">27%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Above 100 billion</w:t>
      </w:r>
      <w:r>
        <w:t xml:space="preserve"> </w:t>
      </w:r>
      <w:r>
        <w:t xml:space="preserve">73%</w:t>
      </w:r>
      <w:r>
        <w:t xml:space="preserve"> </w:t>
      </w:r>
      <w:r>
        <w:t xml:space="preserve">18%</w:t>
      </w:r>
      <w:r>
        <w:t xml:space="preserve"> </w:t>
      </w:r>
      <w:r>
        <w:t xml:space="preserve">35%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24%</w:t>
      </w:r>
      <w:r>
        <w:t xml:space="preserve"> </w:t>
      </w:r>
      <w:r>
        <w:t xml:space="preserve">GR_CY_MT</w:t>
      </w:r>
      <w:r>
        <w:t xml:space="preserve"> </w:t>
      </w:r>
      <w:r>
        <w:t xml:space="preserve">Below EUR 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BG_SI_SK_HR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409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EE_LV_LT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Source: ECB data as of Q4 2021.</w:t>
      </w:r>
    </w:p>
    <w:bookmarkEnd w:id="23"/>
    <w:bookmarkStart w:id="24" w:name="senior-unsecured-securities"/>
    <w:p>
      <w:pPr>
        <w:pStyle w:val="Heading2"/>
      </w:pPr>
      <w:r>
        <w:t xml:space="preserve">Senior unsecured securities:</w:t>
      </w:r>
    </w:p>
    <w:p>
      <w:pPr>
        <w:pStyle w:val="FirstParagraph"/>
      </w:pPr>
      <w:r>
        <w:t xml:space="preserve">Financials also represent the largest proportion of holders of senior unsecured</w:t>
      </w:r>
      <w:r>
        <w:t xml:space="preserve"> </w:t>
      </w:r>
      <w:r>
        <w:t xml:space="preserve">instruments, with a relatively high share for banks, insurance and pension funds</w:t>
      </w:r>
      <w:r>
        <w:t xml:space="preserve"> </w:t>
      </w:r>
      <w:r>
        <w:t xml:space="preserve">compared to other forms of instruments.</w:t>
      </w:r>
      <w:r>
        <w:br/>
      </w:r>
      <w:r>
        <w:t xml:space="preserve">-</w:t>
      </w:r>
      <w:r>
        <w:t xml:space="preserve"> </w:t>
      </w:r>
      <w:r>
        <w:t xml:space="preserve">On average, public authorities and central banks represent a larger share of</w:t>
      </w:r>
      <w:r>
        <w:t xml:space="preserve"> </w:t>
      </w:r>
      <w:r>
        <w:t xml:space="preserve">holders of senior unsecured instruments compared to other, more subordinated,</w:t>
      </w:r>
      <w:r>
        <w:t xml:space="preserve"> </w:t>
      </w:r>
      <w:r>
        <w:t xml:space="preserve">instruments. For certain categories of banks, they may represent up to 27% of the</w:t>
      </w:r>
      <w:r>
        <w:t xml:space="preserve"> </w:t>
      </w:r>
      <w:r>
        <w:t xml:space="preserve">holders, without specific trend with respect to the size of the issuers.</w:t>
      </w:r>
      <w:r>
        <w:t xml:space="preserve"> </w:t>
      </w:r>
      <w:r>
        <w:t xml:space="preserve">-</w:t>
      </w:r>
      <w:r>
        <w:t xml:space="preserve"> </w:t>
      </w:r>
      <w:r>
        <w:t xml:space="preserve">Households and non-profit institutions generally represent a large proportion of</w:t>
      </w:r>
      <w:r>
        <w:t xml:space="preserve"> </w:t>
      </w:r>
      <w:r>
        <w:t xml:space="preserve">the holders of senior unsecured instruments in many jurisdictions, and in</w:t>
      </w:r>
      <w:r>
        <w:t xml:space="preserve"> </w:t>
      </w:r>
      <w:r>
        <w:t xml:space="preserve">particular for small and medium-sized institutions where the share can represent</w:t>
      </w:r>
      <w:r>
        <w:t xml:space="preserve"> </w:t>
      </w:r>
      <w:r>
        <w:t xml:space="preserve">up to 52% of the holdings for the smallest banks below EUR 10 bn in assets.</w:t>
      </w:r>
    </w:p>
    <w:p>
      <w:pPr>
        <w:pStyle w:val="BodyText"/>
      </w:pPr>
      <w:r>
        <w:t xml:space="preserve">Table 55: Holdings of senior unsecured instruments (% of holdings)</w:t>
      </w:r>
    </w:p>
    <w:p>
      <w:pPr>
        <w:pStyle w:val="BodyText"/>
      </w:pPr>
      <w:r>
        <w:t xml:space="preserve">Financials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 central</w:t>
      </w:r>
      <w:r>
        <w:t xml:space="preserve"> </w:t>
      </w:r>
      <w:r>
        <w:t xml:space="preserve">banks</w:t>
      </w:r>
      <w:r>
        <w:t xml:space="preserve"> </w:t>
      </w:r>
      <w:r>
        <w:t xml:space="preserve">Households</w:t>
      </w:r>
      <w:r>
        <w:t xml:space="preserve"> </w:t>
      </w:r>
      <w:r>
        <w:t xml:space="preserve">and non-</w:t>
      </w:r>
      <w:r>
        <w:t xml:space="preserve"> </w:t>
      </w:r>
      <w:r>
        <w:t xml:space="preserve">profit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Other, non-</w:t>
      </w:r>
      <w:r>
        <w:t xml:space="preserve"> </w:t>
      </w:r>
      <w:r>
        <w:t xml:space="preserve">financial</w:t>
      </w:r>
    </w:p>
    <w:p>
      <w:pPr>
        <w:pStyle w:val="BodyText"/>
      </w:pPr>
      <w:r>
        <w:t xml:space="preserve">Senior unsecured</w:t>
      </w:r>
    </w:p>
    <w:p>
      <w:pPr>
        <w:pStyle w:val="BodyText"/>
      </w:pPr>
      <w:r>
        <w:t xml:space="preserve">Of which:</w:t>
      </w:r>
      <w:r>
        <w:t xml:space="preserve"> </w:t>
      </w:r>
      <w:r>
        <w:t xml:space="preserve">banks</w:t>
      </w:r>
      <w:r>
        <w:t xml:space="preserve"> </w:t>
      </w:r>
      <w:r>
        <w:t xml:space="preserve">Of which:</w:t>
      </w:r>
      <w:r>
        <w:t xml:space="preserve"> </w:t>
      </w:r>
      <w:r>
        <w:t xml:space="preserve">insurance and</w:t>
      </w:r>
      <w:r>
        <w:t xml:space="preserve"> </w:t>
      </w:r>
      <w:r>
        <w:t xml:space="preserve">pensions funds</w:t>
      </w:r>
      <w:r>
        <w:t xml:space="preserve"> </w:t>
      </w:r>
      <w:r>
        <w:t xml:space="preserve">DE_AT_FI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51%</w:t>
      </w:r>
      <w:r>
        <w:t xml:space="preserve"> </w:t>
      </w:r>
      <w:r>
        <w:t xml:space="preserve">59%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70%</w:t>
      </w:r>
      <w:r>
        <w:t xml:space="preserve"> </w:t>
      </w:r>
      <w:r>
        <w:t xml:space="preserve">75%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51%</w:t>
      </w:r>
      <w:r>
        <w:t xml:space="preserve"> </w:t>
      </w:r>
      <w:r>
        <w:t xml:space="preserve">56%</w:t>
      </w:r>
      <w:r>
        <w:t xml:space="preserve"> </w:t>
      </w:r>
      <w:r>
        <w:t xml:space="preserve">18%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22%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54%</w:t>
      </w:r>
      <w:r>
        <w:t xml:space="preserve"> </w:t>
      </w:r>
      <w:r>
        <w:t xml:space="preserve">43%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24%</w:t>
      </w:r>
      <w:r>
        <w:t xml:space="preserve"> </w:t>
      </w:r>
      <w:r>
        <w:t xml:space="preserve">20%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68%</w:t>
      </w:r>
      <w:r>
        <w:t xml:space="preserve"> </w:t>
      </w:r>
      <w:r>
        <w:t xml:space="preserve">83%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20%</w:t>
      </w:r>
      <w:r>
        <w:t xml:space="preserve"> </w:t>
      </w:r>
      <w:r>
        <w:t xml:space="preserve">8%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69%</w:t>
      </w:r>
      <w:r>
        <w:t xml:space="preserve"> </w:t>
      </w:r>
      <w:r>
        <w:t xml:space="preserve">58%</w:t>
      </w:r>
      <w:r>
        <w:t xml:space="preserve"> </w:t>
      </w:r>
      <w:r>
        <w:t xml:space="preserve">9%</w:t>
      </w:r>
      <w:r>
        <w:t xml:space="preserve"> </w:t>
      </w:r>
      <w:r>
        <w:t xml:space="preserve">1%</w:t>
      </w:r>
      <w:r>
        <w:t xml:space="preserve"> </w:t>
      </w:r>
      <w:r>
        <w:t xml:space="preserve">16%</w:t>
      </w:r>
      <w:r>
        <w:t xml:space="preserve"> </w:t>
      </w:r>
      <w:r>
        <w:t xml:space="preserve">14%</w:t>
      </w:r>
      <w:r>
        <w:t xml:space="preserve"> </w:t>
      </w:r>
      <w:r>
        <w:t xml:space="preserve">IT_FR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42%</w:t>
      </w:r>
      <w:r>
        <w:t xml:space="preserve"> </w:t>
      </w:r>
      <w:r>
        <w:t xml:space="preserve">52%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52%</w:t>
      </w:r>
      <w:r>
        <w:t xml:space="preserve"> </w:t>
      </w:r>
      <w:r>
        <w:t xml:space="preserve">6%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76%</w:t>
      </w:r>
      <w:r>
        <w:t xml:space="preserve"> </w:t>
      </w:r>
      <w:r>
        <w:t xml:space="preserve">38%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95%</w:t>
      </w:r>
      <w:r>
        <w:t xml:space="preserve"> </w:t>
      </w:r>
      <w:r>
        <w:t xml:space="preserve">24%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60%</w:t>
      </w:r>
      <w:r>
        <w:t xml:space="preserve"> </w:t>
      </w:r>
      <w:r>
        <w:t xml:space="preserve">42%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4%</w:t>
      </w:r>
      <w:r>
        <w:t xml:space="preserve"> </w:t>
      </w:r>
      <w:r>
        <w:t xml:space="preserve">24%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78%</w:t>
      </w:r>
      <w:r>
        <w:t xml:space="preserve"> </w:t>
      </w:r>
      <w:r>
        <w:t xml:space="preserve">42%</w:t>
      </w:r>
      <w:r>
        <w:t xml:space="preserve"> </w:t>
      </w:r>
      <w:r>
        <w:t xml:space="preserve">22%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12%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74%</w:t>
      </w:r>
      <w:r>
        <w:t xml:space="preserve"> </w:t>
      </w:r>
      <w:r>
        <w:t xml:space="preserve">47%</w:t>
      </w:r>
      <w:r>
        <w:t xml:space="preserve"> </w:t>
      </w:r>
      <w:r>
        <w:t xml:space="preserve">18%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19%</w:t>
      </w:r>
      <w:r>
        <w:t xml:space="preserve"> </w:t>
      </w:r>
      <w:r>
        <w:t xml:space="preserve">NL_BE_LU_IE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59%</w:t>
      </w:r>
      <w:r>
        <w:t xml:space="preserve"> </w:t>
      </w:r>
      <w:r>
        <w:t xml:space="preserve">38%</w:t>
      </w:r>
      <w:r>
        <w:t xml:space="preserve"> </w:t>
      </w:r>
      <w:r>
        <w:t xml:space="preserve">6%</w:t>
      </w:r>
      <w:r>
        <w:t xml:space="preserve"> </w:t>
      </w:r>
      <w:r>
        <w:t xml:space="preserve">16%</w:t>
      </w:r>
      <w:r>
        <w:t xml:space="preserve"> </w:t>
      </w:r>
      <w:r>
        <w:t xml:space="preserve">1%</w:t>
      </w:r>
      <w:r>
        <w:t xml:space="preserve"> </w:t>
      </w:r>
      <w:r>
        <w:t xml:space="preserve">24%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70%</w:t>
      </w:r>
      <w:r>
        <w:t xml:space="preserve"> </w:t>
      </w:r>
      <w:r>
        <w:t xml:space="preserve">28%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29%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52%</w:t>
      </w:r>
      <w:r>
        <w:t xml:space="preserve"> </w:t>
      </w:r>
      <w:r>
        <w:t xml:space="preserve">36%</w:t>
      </w:r>
      <w:r>
        <w:t xml:space="preserve"> </w:t>
      </w:r>
      <w:r>
        <w:t xml:space="preserve">38%</w:t>
      </w:r>
      <w:r>
        <w:t xml:space="preserve"> </w:t>
      </w:r>
      <w:r>
        <w:t xml:space="preserve">23%</w:t>
      </w:r>
      <w:r>
        <w:t xml:space="preserve"> </w:t>
      </w:r>
      <w:r>
        <w:t xml:space="preserve">1%</w:t>
      </w:r>
      <w:r>
        <w:t xml:space="preserve"> </w:t>
      </w:r>
      <w:r>
        <w:t xml:space="preserve">24%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29%</w:t>
      </w:r>
      <w:r>
        <w:t xml:space="preserve"> </w:t>
      </w:r>
      <w:r>
        <w:t xml:space="preserve">27%</w:t>
      </w:r>
      <w:r>
        <w:t xml:space="preserve"> </w:t>
      </w:r>
      <w:r>
        <w:t xml:space="preserve">0%</w:t>
      </w:r>
      <w:r>
        <w:t xml:space="preserve"> </w:t>
      </w:r>
      <w:r>
        <w:t xml:space="preserve">27%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69%</w:t>
      </w:r>
      <w:r>
        <w:t xml:space="preserve"> </w:t>
      </w:r>
      <w:r>
        <w:t xml:space="preserve">48%</w:t>
      </w:r>
      <w:r>
        <w:t xml:space="preserve"> </w:t>
      </w:r>
      <w:r>
        <w:t xml:space="preserve">18%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28%</w:t>
      </w:r>
      <w:r>
        <w:t xml:space="preserve"> </w:t>
      </w:r>
      <w:r>
        <w:t xml:space="preserve">ES_PT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88%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81%</w:t>
      </w:r>
      <w:r>
        <w:t xml:space="preserve"> </w:t>
      </w:r>
      <w:r>
        <w:t xml:space="preserve">22%</w:t>
      </w:r>
      <w:r>
        <w:t xml:space="preserve"> </w:t>
      </w:r>
      <w:r>
        <w:t xml:space="preserve">32%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18%</w:t>
      </w:r>
    </w:p>
    <w:p>
      <w:pPr>
        <w:pStyle w:val="BodyText"/>
      </w:pPr>
      <w:r>
        <w:t xml:space="preserve">410</w:t>
      </w:r>
      <w:r>
        <w:t xml:space="preserve"> </w:t>
      </w:r>
      <w:r>
        <w:t xml:space="preserve">EUR 100-30 billion</w:t>
      </w:r>
      <w:r>
        <w:t xml:space="preserve"> </w:t>
      </w:r>
      <w:r>
        <w:t xml:space="preserve">84%</w:t>
      </w:r>
      <w:r>
        <w:t xml:space="preserve"> </w:t>
      </w:r>
      <w:r>
        <w:t xml:space="preserve">67%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16%</w:t>
      </w:r>
      <w:r>
        <w:t xml:space="preserve"> </w:t>
      </w:r>
      <w:r>
        <w:t xml:space="preserve">Above 100 billion</w:t>
      </w:r>
      <w:r>
        <w:t xml:space="preserve"> </w:t>
      </w:r>
      <w:r>
        <w:t xml:space="preserve">75%</w:t>
      </w:r>
      <w:r>
        <w:t xml:space="preserve"> </w:t>
      </w:r>
      <w:r>
        <w:t xml:space="preserve">24%</w:t>
      </w:r>
      <w:r>
        <w:t xml:space="preserve"> </w:t>
      </w:r>
      <w:r>
        <w:t xml:space="preserve">25%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21%</w:t>
      </w:r>
      <w:r>
        <w:t xml:space="preserve"> </w:t>
      </w:r>
      <w:r>
        <w:t xml:space="preserve">GR_CY_MT</w:t>
      </w:r>
      <w:r>
        <w:t xml:space="preserve"> </w:t>
      </w:r>
      <w:r>
        <w:t xml:space="preserve">Below EUR 30 billion</w:t>
      </w:r>
      <w:r>
        <w:t xml:space="preserve"> </w:t>
      </w:r>
      <w:r>
        <w:t xml:space="preserve">68%</w:t>
      </w:r>
      <w:r>
        <w:t xml:space="preserve"> </w:t>
      </w:r>
      <w:r>
        <w:t xml:space="preserve">49%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32%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81%</w:t>
      </w:r>
      <w:r>
        <w:t xml:space="preserve"> </w:t>
      </w:r>
      <w:r>
        <w:t xml:space="preserve">48%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16%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BG_SI_SK_HR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91%</w:t>
      </w:r>
      <w:r>
        <w:t xml:space="preserve"> </w:t>
      </w:r>
      <w:r>
        <w:t xml:space="preserve">58%</w:t>
      </w:r>
      <w:r>
        <w:t xml:space="preserve"> </w:t>
      </w:r>
      <w:r>
        <w:t xml:space="preserve">36%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74%</w:t>
      </w:r>
      <w:r>
        <w:t xml:space="preserve"> </w:t>
      </w:r>
      <w:r>
        <w:t xml:space="preserve">22%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EE_LV_LT</w:t>
      </w:r>
      <w:r>
        <w:t xml:space="preserve"> </w:t>
      </w:r>
      <w:r>
        <w:t xml:space="preserve">Below EUR 10 billion</w:t>
      </w:r>
      <w:r>
        <w:t xml:space="preserve"> </w:t>
      </w:r>
      <w:r>
        <w:t xml:space="preserve">69%</w:t>
      </w:r>
      <w:r>
        <w:t xml:space="preserve"> </w:t>
      </w:r>
      <w:r>
        <w:t xml:space="preserve">15%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EUR 30-10 billion</w:t>
      </w:r>
      <w:r>
        <w:t xml:space="preserve"> </w:t>
      </w:r>
      <w:r>
        <w:t xml:space="preserve">61%</w:t>
      </w:r>
      <w:r>
        <w:t xml:space="preserve"> </w:t>
      </w:r>
      <w:r>
        <w:t xml:space="preserve">13%</w:t>
      </w:r>
      <w:r>
        <w:t xml:space="preserve"> </w:t>
      </w:r>
      <w:r>
        <w:t xml:space="preserve">37%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38%</w:t>
      </w:r>
      <w:r>
        <w:t xml:space="preserve"> </w:t>
      </w:r>
      <w:r>
        <w:t xml:space="preserve">EUR 50-30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100-50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 300-100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EUR 300 billion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Source: ECB data as of Q4 2021.</w:t>
      </w:r>
    </w:p>
    <w:p>
      <w:pPr>
        <w:pStyle w:val="Compact"/>
        <w:numPr>
          <w:ilvl w:val="0"/>
          <w:numId w:val="1062"/>
        </w:numPr>
      </w:pPr>
      <w:r>
        <w:t xml:space="preserve">OTHER METHODOLOGICAL CONSIDERATIONS</w:t>
      </w:r>
      <w:r>
        <w:t xml:space="preserve"> </w:t>
      </w:r>
      <w:r>
        <w:t xml:space="preserve">The analyses conducted in this Annex rely on different samples of banks, depending on</w:t>
      </w:r>
      <w:r>
        <w:t xml:space="preserve"> </w:t>
      </w:r>
      <w:r>
        <w:t xml:space="preserve">the source of information. Although not directly comparable due to the heterogeneity of</w:t>
      </w:r>
      <w:r>
        <w:t xml:space="preserve"> </w:t>
      </w:r>
      <w:r>
        <w:t xml:space="preserve">the data sources used, these samples allow for robust analyses on a standalone basis in</w:t>
      </w:r>
      <w:r>
        <w:t xml:space="preserve"> </w:t>
      </w:r>
      <w:r>
        <w:t xml:space="preserve">order to support the assessment of the policy options. All samples have been subject to</w:t>
      </w:r>
      <w:r>
        <w:t xml:space="preserve"> </w:t>
      </w:r>
      <w:r>
        <w:t xml:space="preserve">data quality checks that resulted in exclusions of certain observations.</w:t>
      </w:r>
    </w:p>
    <w:p>
      <w:pPr>
        <w:pStyle w:val="Compact"/>
        <w:numPr>
          <w:ilvl w:val="0"/>
          <w:numId w:val="1063"/>
        </w:numPr>
      </w:pPr>
      <w:r>
        <w:t xml:space="preserve">Overview of the application of the PIA</w:t>
      </w:r>
      <w:r>
        <w:t xml:space="preserve"> </w:t>
      </w:r>
      <w:r>
        <w:t xml:space="preserve">The analysis pertaining to the application of the PIA is based on the information from the</w:t>
      </w:r>
      <w:r>
        <w:t xml:space="preserve"> </w:t>
      </w:r>
      <w:r>
        <w:t xml:space="preserve">EBA CfA report. The analysis in the EBA CfA report is based on a sample of 343 banks,</w:t>
      </w:r>
      <w:r>
        <w:t xml:space="preserve"> </w:t>
      </w:r>
      <w:r>
        <w:t xml:space="preserve">out of which 165 entities with resolution strategy, according to Q4 2019 data. This is the</w:t>
      </w:r>
      <w:r>
        <w:t xml:space="preserve"> </w:t>
      </w:r>
      <w:r>
        <w:t xml:space="preserve">same sample of banks underpinning the analyses presented in Annex 7.</w:t>
      </w:r>
      <w:r>
        <w:br/>
      </w:r>
      <w:r>
        <w:t xml:space="preserve">The classification of banks into large, medium and small banks as well as the split by</w:t>
      </w:r>
      <w:r>
        <w:t xml:space="preserve"> </w:t>
      </w:r>
      <w:r>
        <w:t xml:space="preserve">deposit prevalence (i.e. share of deposits in the total amount of liabilities and own funds)</w:t>
      </w:r>
      <w:r>
        <w:t xml:space="preserve"> </w:t>
      </w:r>
      <w:r>
        <w:t xml:space="preserve">follows the same methodology as described in the EBA CfA report and Annex 7.</w:t>
      </w:r>
      <w:r>
        <w:br/>
      </w:r>
    </w:p>
    <w:p>
      <w:pPr>
        <w:pStyle w:val="Compact"/>
        <w:numPr>
          <w:ilvl w:val="0"/>
          <w:numId w:val="1063"/>
        </w:numPr>
      </w:pPr>
      <w:r>
        <w:t xml:space="preserve">Overview of the operationalisation of transfer strategies</w:t>
      </w:r>
      <w:r>
        <w:t xml:space="preserve"> </w:t>
      </w:r>
      <w:r>
        <w:t xml:space="preserve">The analysis regarding the allocation of banks by resolution strategies is based on the</w:t>
      </w:r>
      <w:r>
        <w:t xml:space="preserve"> </w:t>
      </w:r>
      <w:r>
        <w:t xml:space="preserve">EBA’s 2020 and 2021 quantitative MREL reports (based on Q4 2019 and Q4 2020 data,</w:t>
      </w:r>
      <w:r>
        <w:t xml:space="preserve"> </w:t>
      </w:r>
      <w:r>
        <w:t xml:space="preserve">respectively)633. These reports are based on the MREL decisions for a scope of 238 and</w:t>
      </w:r>
      <w:r>
        <w:t xml:space="preserve"> </w:t>
      </w:r>
      <w:r>
        <w:t xml:space="preserve">260 resolution groups and individual resolution entities, respectively covering the EU-27.</w:t>
      </w:r>
    </w:p>
    <w:p>
      <w:pPr>
        <w:pStyle w:val="FirstParagraph"/>
      </w:pPr>
      <w:r>
        <w:t xml:space="preserve">633 EBA (June 2021), EBA quantitative MREL report, as of 31 December 2019.</w:t>
      </w:r>
    </w:p>
    <w:bookmarkEnd w:id="24"/>
    <w:bookmarkStart w:id="25" w:name="section-4"/>
    <w:p>
      <w:pPr>
        <w:pStyle w:val="Heading2"/>
      </w:pPr>
      <w:r>
        <w:t xml:space="preserve">411</w:t>
      </w:r>
    </w:p>
    <w:p>
      <w:pPr>
        <w:pStyle w:val="FirstParagraph"/>
      </w:pPr>
      <w:r>
        <w:t xml:space="preserve">MREL</w:t>
      </w:r>
      <w:r>
        <w:t xml:space="preserve"> </w:t>
      </w:r>
      <w:r>
        <w:t xml:space="preserve">The analyses pertaining to the MREL build-up are based on the following sources of</w:t>
      </w:r>
      <w:r>
        <w:t xml:space="preserve"> </w:t>
      </w:r>
      <w:r>
        <w:t xml:space="preserve">data, each featuring specificities in terms of sample size and composition:</w:t>
      </w:r>
      <w:r>
        <w:br/>
      </w:r>
      <w:r>
        <w:t xml:space="preserve">o EBA quantitative 2020 MREL report: sample of 238 resolution groups</w:t>
      </w:r>
      <w:r>
        <w:t xml:space="preserve"> </w:t>
      </w:r>
      <w:r>
        <w:t xml:space="preserve">and individual resolution entities, consisting of 10 G-SIIs, 83 O-SIIs split</w:t>
      </w:r>
      <w:r>
        <w:t xml:space="preserve"> </w:t>
      </w:r>
      <w:r>
        <w:t xml:space="preserve">into four categories according to their size and 145 other banks also split</w:t>
      </w:r>
      <w:r>
        <w:t xml:space="preserve"> </w:t>
      </w:r>
      <w:r>
        <w:t xml:space="preserve">into four categories of size. Figures on MREL requirements, eligible</w:t>
      </w:r>
      <w:r>
        <w:t xml:space="preserve"> </w:t>
      </w:r>
      <w:r>
        <w:t xml:space="preserve">liabilities and shortfalls are weighted by TREA. The EBA’s quantitative</w:t>
      </w:r>
      <w:r>
        <w:t xml:space="preserve"> </w:t>
      </w:r>
      <w:r>
        <w:t xml:space="preserve">MREL 2020 report based on Q 2019 data reflects the implementation of</w:t>
      </w:r>
      <w:r>
        <w:t xml:space="preserve"> </w:t>
      </w:r>
      <w:r>
        <w:t xml:space="preserve">BRRD I. Internal MREL targets and statistics not considered in the report.</w:t>
      </w:r>
      <w:r>
        <w:t xml:space="preserve"> </w:t>
      </w:r>
      <w:r>
        <w:t xml:space="preserve">o EBA quantitative 2021 MREL report: sample of 260 resolution groups</w:t>
      </w:r>
      <w:r>
        <w:t xml:space="preserve"> </w:t>
      </w:r>
      <w:r>
        <w:t xml:space="preserve">and individual resolution entities, consisting of 10 G-SIIs, 88 O-SIIs split</w:t>
      </w:r>
      <w:r>
        <w:t xml:space="preserve"> </w:t>
      </w:r>
      <w:r>
        <w:t xml:space="preserve">into five categories according to their size and 162 other banks also split</w:t>
      </w:r>
      <w:r>
        <w:t xml:space="preserve"> </w:t>
      </w:r>
      <w:r>
        <w:t xml:space="preserve">into four categories of size. Figures on MREL requirements, eligible</w:t>
      </w:r>
      <w:r>
        <w:t xml:space="preserve"> </w:t>
      </w:r>
      <w:r>
        <w:t xml:space="preserve">liabilities and shortfalls are weighted by TREA. The EBA’s quantitative</w:t>
      </w:r>
      <w:r>
        <w:t xml:space="preserve"> </w:t>
      </w:r>
      <w:r>
        <w:t xml:space="preserve">MREL 2021 report based on Q4 2020 data reflects the implementation of</w:t>
      </w:r>
      <w:r>
        <w:t xml:space="preserve"> </w:t>
      </w:r>
      <w:r>
        <w:t xml:space="preserve">BRRD II. Internal MREL targets are also considered in the report.</w:t>
      </w:r>
      <w:r>
        <w:t xml:space="preserve"> </w:t>
      </w:r>
      <w:r>
        <w:t xml:space="preserve">o SRB MREL dashboards (presented in section 5.2 of this Annex): the most</w:t>
      </w:r>
      <w:r>
        <w:t xml:space="preserve"> </w:t>
      </w:r>
      <w:r>
        <w:t xml:space="preserve">recent SRB MREL dashboard presented MREL-related information and</w:t>
      </w:r>
      <w:r>
        <w:t xml:space="preserve"> </w:t>
      </w:r>
      <w:r>
        <w:t xml:space="preserve">data as of Q1 2022 for a sample of 82 resolution groups and individual</w:t>
      </w:r>
      <w:r>
        <w:t xml:space="preserve"> </w:t>
      </w:r>
      <w:r>
        <w:t xml:space="preserve">resolution entities, reflecting the BRRD II MREL policy. The MREL</w:t>
      </w:r>
      <w:r>
        <w:t xml:space="preserve"> </w:t>
      </w:r>
      <w:r>
        <w:t xml:space="preserve">issuances-related information is based on a sample of 82 resolution</w:t>
      </w:r>
      <w:r>
        <w:t xml:space="preserve"> </w:t>
      </w:r>
      <w:r>
        <w:t xml:space="preserve">groups. The aggregated MREL targets (% TREA) are the weighted</w:t>
      </w:r>
      <w:r>
        <w:t xml:space="preserve"> </w:t>
      </w:r>
      <w:r>
        <w:t xml:space="preserve">average of targets of resolution entities per Member State.</w:t>
      </w:r>
      <w:r>
        <w:br/>
      </w:r>
      <w:r>
        <w:t xml:space="preserve">o European Commission, ECB and SRB joint Risk Reduction Monitoring</w:t>
      </w:r>
      <w:r>
        <w:t xml:space="preserve"> </w:t>
      </w:r>
      <w:r>
        <w:t xml:space="preserve">Reports of May and November 2021: the overview of MREL targets,</w:t>
      </w:r>
      <w:r>
        <w:t xml:space="preserve"> </w:t>
      </w:r>
      <w:r>
        <w:t xml:space="preserve">outstanding stock of eligible liabilities and shortfalls as of Q4 2019 and</w:t>
      </w:r>
      <w:r>
        <w:t xml:space="preserve"> </w:t>
      </w:r>
      <w:r>
        <w:t xml:space="preserve">Q4 2020 is based on a sample of 101 and 98 resolution groups,</w:t>
      </w:r>
      <w:r>
        <w:t xml:space="preserve"> </w:t>
      </w:r>
      <w:r>
        <w:t xml:space="preserve">respectively.. These samples included nine G-SII and G-SII entities in the</w:t>
      </w:r>
      <w:r>
        <w:t xml:space="preserve"> </w:t>
      </w:r>
      <w:r>
        <w:t xml:space="preserve">Banking Union. The report reflects BRRD II MREL policies, however</w:t>
      </w:r>
      <w:r>
        <w:t xml:space="preserve"> </w:t>
      </w:r>
      <w:r>
        <w:t xml:space="preserve">internal MREL targets and statistics are not considered in the report.</w:t>
      </w:r>
      <w:r>
        <w:br/>
      </w:r>
      <w:r>
        <w:t xml:space="preserve">o ECB data on holdings: sample of Banking Union issuers of own funds and</w:t>
      </w:r>
      <w:r>
        <w:t xml:space="preserve"> </w:t>
      </w:r>
      <w:r>
        <w:t xml:space="preserve">eligible liabilities as of Q4 2011, based on the combination of several</w:t>
      </w:r>
      <w:r>
        <w:t xml:space="preserve"> </w:t>
      </w:r>
      <w:r>
        <w:t xml:space="preserve">ECB data sets. The information focuses on the buy-side (investors) of</w:t>
      </w:r>
      <w:r>
        <w:t xml:space="preserve"> </w:t>
      </w:r>
      <w:r>
        <w:t xml:space="preserve">these instruments. The classification of the banks in the sample according</w:t>
      </w:r>
      <w:r>
        <w:t xml:space="preserve"> </w:t>
      </w:r>
      <w:r>
        <w:t xml:space="preserve">to size was done in function of six thresholds of total assets. In order to</w:t>
      </w:r>
      <w:r>
        <w:t xml:space="preserve"> </w:t>
      </w:r>
      <w:r>
        <w:t xml:space="preserve">prevent confidentiality concerns, the presentation of the issuances</w:t>
      </w:r>
      <w:r>
        <w:t xml:space="preserve"> </w:t>
      </w:r>
      <w:r>
        <w:t xml:space="preserve">according to their geographical location follows seven clusters of Member</w:t>
      </w:r>
      <w:r>
        <w:t xml:space="preserve"> </w:t>
      </w:r>
      <w:r>
        <w:t xml:space="preserve">States. In addition, individual observations where key data fields were</w:t>
      </w:r>
      <w:r>
        <w:t xml:space="preserve"> </w:t>
      </w:r>
      <w:r>
        <w:t xml:space="preserve">missing (such as the absence of values related to the issuer’s total assets or</w:t>
      </w:r>
      <w:r>
        <w:t xml:space="preserve"> </w:t>
      </w:r>
      <w:r>
        <w:t xml:space="preserve">values or the indication whether senior liability were secured or not) were</w:t>
      </w:r>
      <w:r>
        <w:t xml:space="preserve"> </w:t>
      </w:r>
      <w:r>
        <w:t xml:space="preserve">excluded from the analysis. Finally, the sample of issuances might not</w:t>
      </w:r>
      <w:r>
        <w:t xml:space="preserve"> </w:t>
      </w:r>
      <w:r>
        <w:t xml:space="preserve">systematically capture liabilities that comply with all criteria set out in</w:t>
      </w:r>
      <w:r>
        <w:t xml:space="preserve"> </w:t>
      </w:r>
      <w:r>
        <w:t xml:space="preserve">CRR to qualify as MREL eligible. The data extracted from the relevant</w:t>
      </w:r>
      <w:r>
        <w:t xml:space="preserve"> </w:t>
      </w:r>
      <w:r>
        <w:t xml:space="preserve">ECB data sets is based on a proxy of MREL eligibility.</w:t>
      </w:r>
    </w:p>
    <w:p>
      <w:pPr>
        <w:pStyle w:val="BodyText"/>
      </w:pPr>
      <w:r>
        <w:t xml:space="preserve">412</w:t>
      </w:r>
      <w:r>
        <w:t xml:space="preserve"> </w:t>
      </w:r>
      <w:r>
        <w:t xml:space="preserve">o S&amp;P data extracted as of 19 January 2023: sample covering 7 721</w:t>
      </w:r>
      <w:r>
        <w:t xml:space="preserve"> </w:t>
      </w:r>
      <w:r>
        <w:t xml:space="preserve">issuances by 298 issuers with a balance sheet below EUR 100 bn.</w:t>
      </w:r>
      <w:r>
        <w:t xml:space="preserve"> </w:t>
      </w:r>
      <w:r>
        <w:t xml:space="preserve">Individual observations where key data fields were missing were also</w:t>
      </w:r>
      <w:r>
        <w:t xml:space="preserve"> </w:t>
      </w:r>
      <w:r>
        <w:t xml:space="preserve">excluded from the analysis. The sample of issuances does not provide</w:t>
      </w:r>
      <w:r>
        <w:t xml:space="preserve"> </w:t>
      </w:r>
      <w:r>
        <w:t xml:space="preserve">clear delineation to identify MREL eligibility.</w:t>
      </w:r>
    </w:p>
    <w:p>
      <w:pPr>
        <w:pStyle w:val="BodyText"/>
      </w:pPr>
      <w:r>
        <w:t xml:space="preserve">413</w:t>
      </w:r>
      <w:r>
        <w:t xml:space="preserve"> </w:t>
      </w:r>
      <w:r>
        <w:t xml:space="preserve">ANNEX 14: OPTIONS DISCARDED AT AN EARLY STAGE</w:t>
      </w:r>
    </w:p>
    <w:p>
      <w:pPr>
        <w:pStyle w:val="BodyText"/>
      </w:pPr>
      <w:r>
        <w:t xml:space="preserve">Additional policy options were analysed and discarded at an early stage: (i) resolution as</w:t>
      </w:r>
      <w:r>
        <w:t xml:space="preserve"> </w:t>
      </w:r>
      <w:r>
        <w:t xml:space="preserve">the sole procedure for banks needing restructuring, (ii) set-up of a parallel harmonised</w:t>
      </w:r>
      <w:r>
        <w:t xml:space="preserve"> </w:t>
      </w:r>
      <w:r>
        <w:t xml:space="preserve">national regime in insolvency – an orderly liquidation tool, (iii) withdrawal of the 2015</w:t>
      </w:r>
      <w:r>
        <w:t xml:space="preserve"> </w:t>
      </w:r>
      <w:r>
        <w:t xml:space="preserve">Commission EDIS proposal without replacement and (iv) incompatible permutations</w:t>
      </w:r>
      <w:r>
        <w:t xml:space="preserve"> </w:t>
      </w:r>
      <w:r>
        <w:t xml:space="preserve">between elements in the option packages presented in Chapter 6.</w:t>
      </w:r>
      <w:r>
        <w:br/>
      </w:r>
      <w:r>
        <w:t xml:space="preserve">Under the first discarded option, the existing European resolution framework for</w:t>
      </w:r>
      <w:r>
        <w:t xml:space="preserve"> </w:t>
      </w:r>
      <w:r>
        <w:t xml:space="preserve">dealing with failing banks would become the sole procedure for banks that need</w:t>
      </w:r>
      <w:r>
        <w:t xml:space="preserve"> </w:t>
      </w:r>
      <w:r>
        <w:t xml:space="preserve">restructuring634. Alternative national insolvency procedures that may involve the</w:t>
      </w:r>
      <w:r>
        <w:t xml:space="preserve"> </w:t>
      </w:r>
      <w:r>
        <w:t xml:space="preserve">possibility of granting liquidation aid under State aid rules, would need to be eliminated</w:t>
      </w:r>
      <w:r>
        <w:t xml:space="preserve"> </w:t>
      </w:r>
      <w:r>
        <w:t xml:space="preserve">to leave only what is known as “atomistic” piecemeal liquidation in insolvency as</w:t>
      </w:r>
      <w:r>
        <w:t xml:space="preserve"> </w:t>
      </w:r>
      <w:r>
        <w:t xml:space="preserve">alternative to resolution. This option would eliminate any potential alternative measures</w:t>
      </w:r>
      <w:r>
        <w:t xml:space="preserve"> </w:t>
      </w:r>
      <w:r>
        <w:t xml:space="preserve">outside resolution to manage a bank failure other than piecemeal liquidation, while the</w:t>
      </w:r>
      <w:r>
        <w:t xml:space="preserve"> </w:t>
      </w:r>
      <w:r>
        <w:t xml:space="preserve">latter could be difficult to implement outside a minor portion of very small banks.</w:t>
      </w:r>
      <w:r>
        <w:t xml:space="preserve"> </w:t>
      </w:r>
      <w:r>
        <w:t xml:space="preserve">Accordingly, if certain banks cannot be put in atomistic liquidation, it must be possible to</w:t>
      </w:r>
      <w:r>
        <w:t xml:space="preserve"> </w:t>
      </w:r>
      <w:r>
        <w:t xml:space="preserve">manage them in resolution. This entails certainty in the ability to access the resolution</w:t>
      </w:r>
      <w:r>
        <w:t xml:space="preserve"> </w:t>
      </w:r>
      <w:r>
        <w:t xml:space="preserve">fund, as there would be no flexibility to find other solution. The feasibility to resolve a</w:t>
      </w:r>
      <w:r>
        <w:t xml:space="preserve"> </w:t>
      </w:r>
      <w:r>
        <w:t xml:space="preserve">very large number of banks would therefore become entirely dependent on the</w:t>
      </w:r>
      <w:r>
        <w:t xml:space="preserve"> </w:t>
      </w:r>
      <w:r>
        <w:t xml:space="preserve">availability of robust funding solutions in resolution. Such an approach would require</w:t>
      </w:r>
      <w:r>
        <w:t xml:space="preserve"> </w:t>
      </w:r>
      <w:r>
        <w:t xml:space="preserve">considerable certainty that the current rules could be amended in a way that may</w:t>
      </w:r>
      <w:r>
        <w:t xml:space="preserve"> </w:t>
      </w:r>
      <w:r>
        <w:t xml:space="preserve">accommodate access to resolution funding for also very small institutions, which in turn</w:t>
      </w:r>
      <w:r>
        <w:t xml:space="preserve"> </w:t>
      </w:r>
      <w:r>
        <w:t xml:space="preserve">require substantial flexibility by Member States on certain key principles, such as</w:t>
      </w:r>
      <w:r>
        <w:t xml:space="preserve"> </w:t>
      </w:r>
      <w:r>
        <w:t xml:space="preserve">deviating from the current minimum bail-in requirement (8% TLOF) to access the</w:t>
      </w:r>
      <w:r>
        <w:t xml:space="preserve"> </w:t>
      </w:r>
      <w:r>
        <w:t xml:space="preserve">RF/SRF635, in addition to accessing the DGS. This level of certainty or flexibility is not</w:t>
      </w:r>
      <w:r>
        <w:t xml:space="preserve"> </w:t>
      </w:r>
      <w:r>
        <w:t xml:space="preserve">presently considered politically realistic.</w:t>
      </w:r>
      <w:r>
        <w:t xml:space="preserve"> </w:t>
      </w:r>
      <w:r>
        <w:t xml:space="preserve">Stakeholder views: Discussions carried out in the Commission’s expert group and the</w:t>
      </w:r>
      <w:r>
        <w:t xml:space="preserve"> </w:t>
      </w:r>
      <w:r>
        <w:t xml:space="preserve">replies to the targeted and public consultations636 showed that several Member States are</w:t>
      </w:r>
      <w:r>
        <w:t xml:space="preserve"> </w:t>
      </w:r>
      <w:r>
        <w:t xml:space="preserve">not favourable to this option. Some object to important and intrusive modifications in</w:t>
      </w:r>
      <w:r>
        <w:t xml:space="preserve"> </w:t>
      </w:r>
      <w:r>
        <w:t xml:space="preserve">their national insolvency laws to eliminate alternative measures (i.e. transfer tools). Other</w:t>
      </w:r>
      <w:r>
        <w:t xml:space="preserve"> </w:t>
      </w:r>
      <w:r>
        <w:t xml:space="preserve">Member States, which do not have such alternative measures in their national laws, also</w:t>
      </w:r>
      <w:r>
        <w:t xml:space="preserve"> </w:t>
      </w:r>
      <w:r>
        <w:t xml:space="preserve">see this option as too rigid. Some degree of flexibility in the framework is required to</w:t>
      </w:r>
      <w:r>
        <w:t xml:space="preserve"> </w:t>
      </w:r>
      <w:r>
        <w:t xml:space="preserve">deal with various cases of bank failure. Also, the above mentioned required flexibility on</w:t>
      </w:r>
      <w:r>
        <w:t xml:space="preserve"> </w:t>
      </w:r>
      <w:r>
        <w:t xml:space="preserve">key principles to access the RF/SRF is not supported by some Member States.</w:t>
      </w:r>
      <w:r>
        <w:t xml:space="preserve"> </w:t>
      </w:r>
      <w:r>
        <w:t xml:space="preserve">Under the second discarded option, resolution would be reserved for the largest,</w:t>
      </w:r>
      <w:r>
        <w:t xml:space="preserve"> </w:t>
      </w:r>
      <w:r>
        <w:t xml:space="preserve">systemic banks and a parallel harmonised regime in insolvency would be set up for the</w:t>
      </w:r>
    </w:p>
    <w:p>
      <w:pPr>
        <w:pStyle w:val="BodyText"/>
      </w:pPr>
      <w:r>
        <w:t xml:space="preserve">634 Under the watch of the SRB for the banks under its remit in the Banking Union and under the watch of</w:t>
      </w:r>
      <w:r>
        <w:t xml:space="preserve"> </w:t>
      </w:r>
      <w:r>
        <w:t xml:space="preserve">NRAs for all the other ones.</w:t>
      </w:r>
      <w:r>
        <w:t xml:space="preserve"> </w:t>
      </w:r>
      <w:r>
        <w:t xml:space="preserve">635 Flexibility regarding the 8% TLOF minimum bail-in rule to access RF/SRF would be required for those</w:t>
      </w:r>
      <w:r>
        <w:t xml:space="preserve"> </w:t>
      </w:r>
      <w:r>
        <w:t xml:space="preserve">banks lacking sufficient bail-inable liabilities to reach 8% TLOF. In a scenario where resolution were</w:t>
      </w:r>
      <w:r>
        <w:t xml:space="preserve"> </w:t>
      </w:r>
      <w:r>
        <w:t xml:space="preserve">applied to a very large number of EU banks as the only alternative to piecemeal liquidation, the shortfalls</w:t>
      </w:r>
      <w:r>
        <w:t xml:space="preserve"> </w:t>
      </w:r>
      <w:r>
        <w:t xml:space="preserve">towards 8% TLOF are likely to be affecting many banks.</w:t>
      </w:r>
      <w:r>
        <w:t xml:space="preserve"> </w:t>
      </w:r>
      <w:r>
        <w:t xml:space="preserve">636 See Annex 2.</w:t>
      </w:r>
    </w:p>
    <w:p>
      <w:pPr>
        <w:pStyle w:val="BodyText"/>
      </w:pPr>
      <w:r>
        <w:t xml:space="preserve">414</w:t>
      </w:r>
      <w:r>
        <w:t xml:space="preserve"> </w:t>
      </w:r>
      <w:r>
        <w:t xml:space="preserve">vast majority of banks, which would not meet the narrower public interest to go into</w:t>
      </w:r>
      <w:r>
        <w:t xml:space="preserve"> </w:t>
      </w:r>
      <w:r>
        <w:t xml:space="preserve">resolution – a so-called harmonised national administrative liquidation procedure.</w:t>
      </w:r>
      <w:r>
        <w:t xml:space="preserve"> </w:t>
      </w:r>
      <w:r>
        <w:t xml:space="preserve">Creating such a new alternative regime would require harmonisation of certain important</w:t>
      </w:r>
      <w:r>
        <w:t xml:space="preserve"> </w:t>
      </w:r>
      <w:r>
        <w:t xml:space="preserve">elements of national bank insolvency laws, which would present significant legal and</w:t>
      </w:r>
      <w:r>
        <w:t xml:space="preserve"> </w:t>
      </w:r>
      <w:r>
        <w:t xml:space="preserve">political challenges. This procedure would be conducted under national governance,</w:t>
      </w:r>
      <w:r>
        <w:t xml:space="preserve"> </w:t>
      </w:r>
      <w:r>
        <w:t xml:space="preserve">financed with DGS funds at national level with a risk of shortfalls637. This would mean</w:t>
      </w:r>
      <w:r>
        <w:t xml:space="preserve"> </w:t>
      </w:r>
      <w:r>
        <w:t xml:space="preserve">that the funds collected from all banks for the RF/SRF would remain earmarked for a</w:t>
      </w:r>
      <w:r>
        <w:t xml:space="preserve"> </w:t>
      </w:r>
      <w:r>
        <w:t xml:space="preserve">smaller scope of large banks, which could create asymmetries in terms of who pays and</w:t>
      </w:r>
      <w:r>
        <w:t xml:space="preserve"> </w:t>
      </w:r>
      <w:r>
        <w:t xml:space="preserve">who has potential access to the fund, with possible effects on level playing field,</w:t>
      </w:r>
      <w:r>
        <w:t xml:space="preserve"> </w:t>
      </w:r>
      <w:r>
        <w:t xml:space="preserve">competitiveness and single market in banking638, potentially opening the possibility to</w:t>
      </w:r>
      <w:r>
        <w:t xml:space="preserve"> </w:t>
      </w:r>
      <w:r>
        <w:t xml:space="preserve">narrow down the contributors to such funds. By bringing procedures and their funding</w:t>
      </w:r>
      <w:r>
        <w:t xml:space="preserve"> </w:t>
      </w:r>
      <w:r>
        <w:t xml:space="preserve">back to the national level, this option would backtrack on the progress achieved in the</w:t>
      </w:r>
      <w:r>
        <w:t xml:space="preserve"> </w:t>
      </w:r>
      <w:r>
        <w:t xml:space="preserve">Banking Union and the original intention of creating a European resolution framework. It</w:t>
      </w:r>
      <w:r>
        <w:t xml:space="preserve"> </w:t>
      </w:r>
      <w:r>
        <w:t xml:space="preserve">would also create overlaps and duplications between existing restructuring tools available</w:t>
      </w:r>
      <w:r>
        <w:t xml:space="preserve"> </w:t>
      </w:r>
      <w:r>
        <w:t xml:space="preserve">in the resolution framework and new national restructuring tools available through the</w:t>
      </w:r>
      <w:r>
        <w:t xml:space="preserve"> </w:t>
      </w:r>
      <w:r>
        <w:t xml:space="preserve">administrative liquidation procedure, further exacerbating the problems related to</w:t>
      </w:r>
      <w:r>
        <w:t xml:space="preserve"> </w:t>
      </w:r>
      <w:r>
        <w:t xml:space="preserve">misaligned incentives to apply tools and the legal uncertainty and predictability of</w:t>
      </w:r>
      <w:r>
        <w:t xml:space="preserve"> </w:t>
      </w:r>
      <w:r>
        <w:t xml:space="preserve">outcome.</w:t>
      </w:r>
      <w:r>
        <w:br/>
      </w:r>
      <w:r>
        <w:t xml:space="preserve">Stakeholder views: Discussions in the Commission’s Expert Group, the Council’s</w:t>
      </w:r>
      <w:r>
        <w:t xml:space="preserve"> </w:t>
      </w:r>
      <w:r>
        <w:t xml:space="preserve">Working Party and the replies to the targeted and public consultations639 revealed that a</w:t>
      </w:r>
      <w:r>
        <w:t xml:space="preserve"> </w:t>
      </w:r>
      <w:r>
        <w:t xml:space="preserve">majority of Member States do not support this option because it would create overlaps</w:t>
      </w:r>
      <w:r>
        <w:t xml:space="preserve"> </w:t>
      </w:r>
      <w:r>
        <w:t xml:space="preserve">with the resolution toolkit, as well as significant legal, technical and implementation</w:t>
      </w:r>
      <w:r>
        <w:t xml:space="preserve"> </w:t>
      </w:r>
      <w:r>
        <w:t xml:space="preserve">challenges. A few stakeholders are favourable to such an option, however without</w:t>
      </w:r>
      <w:r>
        <w:t xml:space="preserve"> </w:t>
      </w:r>
      <w:r>
        <w:t xml:space="preserve">offering a solution to the overlap issue.</w:t>
      </w:r>
      <w:r>
        <w:br/>
      </w:r>
      <w:r>
        <w:t xml:space="preserve">Under a third discarded option, the 2015 EDIS legislative proposal would be</w:t>
      </w:r>
      <w:r>
        <w:t xml:space="preserve"> </w:t>
      </w:r>
      <w:r>
        <w:t xml:space="preserve">withdrawn without replacing it by a new EDIS proposal. Such an action would be</w:t>
      </w:r>
      <w:r>
        <w:t xml:space="preserve"> </w:t>
      </w:r>
      <w:r>
        <w:t xml:space="preserve">inconsistent with the framework’s objective of achieving greater depositor protection and</w:t>
      </w:r>
      <w:r>
        <w:t xml:space="preserve"> </w:t>
      </w:r>
      <w:r>
        <w:t xml:space="preserve">the Commission’s priorities to complete and strengthen the Banking Union with its third</w:t>
      </w:r>
      <w:r>
        <w:t xml:space="preserve"> </w:t>
      </w:r>
      <w:r>
        <w:t xml:space="preserve">pillar640. This is primarily because the risks that EDIS is meant to address would continue</w:t>
      </w:r>
      <w:r>
        <w:t xml:space="preserve"> </w:t>
      </w:r>
      <w:r>
        <w:t xml:space="preserve">to exist, as explained in the problem definition. A withdrawal of EDIS would also</w:t>
      </w:r>
      <w:r>
        <w:t xml:space="preserve"> </w:t>
      </w:r>
      <w:r>
        <w:t xml:space="preserve">jeopardise the technical explorations achieved over the past years in the High-Level</w:t>
      </w:r>
      <w:r>
        <w:t xml:space="preserve"> </w:t>
      </w:r>
      <w:r>
        <w:t xml:space="preserve">Working Group on EDIS, the Commission’s Expert Group and the Council’s working</w:t>
      </w:r>
      <w:r>
        <w:t xml:space="preserve"> </w:t>
      </w:r>
      <w:r>
        <w:t xml:space="preserve">party641. Consequently, this option would represent a step backwards in the post-crisis</w:t>
      </w:r>
      <w:r>
        <w:t xml:space="preserve"> </w:t>
      </w:r>
      <w:r>
        <w:t xml:space="preserve">regulatory reforms.</w:t>
      </w:r>
    </w:p>
    <w:p>
      <w:pPr>
        <w:pStyle w:val="BodyText"/>
      </w:pPr>
      <w:r>
        <w:t xml:space="preserve">637 The option of an orderly liquidation tool financed by national DGS funds but governed centrally in the</w:t>
      </w:r>
      <w:r>
        <w:t xml:space="preserve"> </w:t>
      </w:r>
      <w:r>
        <w:t xml:space="preserve">Banking Union was also discussed and discarded by most Member States who insisted that the governance</w:t>
      </w:r>
      <w:r>
        <w:t xml:space="preserve"> </w:t>
      </w:r>
      <w:r>
        <w:t xml:space="preserve">should be aligned with the funding.</w:t>
      </w:r>
      <w:r>
        <w:br/>
      </w:r>
      <w:r>
        <w:t xml:space="preserve">638 Retaining the broad contribution basis for the SRF is justified nevertheless on the ground of financial</w:t>
      </w:r>
      <w:r>
        <w:t xml:space="preserve"> </w:t>
      </w:r>
      <w:r>
        <w:t xml:space="preserve">stability preservation, which is a common public good and efficiency gains through better risk</w:t>
      </w:r>
      <w:r>
        <w:t xml:space="preserve"> </w:t>
      </w:r>
      <w:r>
        <w:t xml:space="preserve">diversification across the whole population of banks. It however creates the need for another</w:t>
      </w:r>
      <w:r>
        <w:t xml:space="preserve"> </w:t>
      </w:r>
      <w:r>
        <w:t xml:space="preserve">complementing safety net, especially in case of a parallel regime.</w:t>
      </w:r>
      <w:r>
        <w:t xml:space="preserve"> </w:t>
      </w:r>
      <w:r>
        <w:t xml:space="preserve">639 See Annex 2.</w:t>
      </w:r>
      <w:r>
        <w:t xml:space="preserve"> </w:t>
      </w:r>
      <w:r>
        <w:t xml:space="preserve">640 European Commission (16 September 2020), State of the Union address by President von der Leyen at</w:t>
      </w:r>
      <w:r>
        <w:t xml:space="preserve"> </w:t>
      </w:r>
      <w:r>
        <w:t xml:space="preserve">the European Parliament plenary.</w:t>
      </w:r>
      <w:r>
        <w:t xml:space="preserve"> </w:t>
      </w:r>
      <w:r>
        <w:t xml:space="preserve">641 See Annex 5 (evaluation), section 6 on the status quo of EDIS.</w:t>
      </w:r>
    </w:p>
    <w:p>
      <w:pPr>
        <w:pStyle w:val="BodyText"/>
      </w:pPr>
      <w:r>
        <w:t xml:space="preserve">415</w:t>
      </w:r>
      <w:r>
        <w:t xml:space="preserve"> </w:t>
      </w:r>
      <w:r>
        <w:t xml:space="preserve">Stakeholder views: With few exceptions, the majority of Member States shares the</w:t>
      </w:r>
      <w:r>
        <w:t xml:space="preserve"> </w:t>
      </w:r>
      <w:r>
        <w:t xml:space="preserve">ambition to complete the Banking Union with a fully-fledged EDIS, subject to</w:t>
      </w:r>
      <w:r>
        <w:t xml:space="preserve"> </w:t>
      </w:r>
      <w:r>
        <w:t xml:space="preserve">conditions, and would be expected to disagree with this option. The banking industry</w:t>
      </w:r>
      <w:r>
        <w:t xml:space="preserve"> </w:t>
      </w:r>
      <w:r>
        <w:t xml:space="preserve">(smaller and larger banks equally) mostly supported a fully-fledged EDIS and</w:t>
      </w:r>
      <w:r>
        <w:t xml:space="preserve"> </w:t>
      </w:r>
      <w:r>
        <w:t xml:space="preserve">acknowledged the opportunity for reduced costs in terms of yearly contributions, and,</w:t>
      </w:r>
      <w:r>
        <w:t xml:space="preserve"> </w:t>
      </w:r>
      <w:r>
        <w:t xml:space="preserve">hence, would also disagree with this avenue. One notable exception are the banks</w:t>
      </w:r>
      <w:r>
        <w:t xml:space="preserve"> </w:t>
      </w:r>
      <w:r>
        <w:t xml:space="preserve">participating in IPSs located in a few Member States, which advocated for their exclusion</w:t>
      </w:r>
      <w:r>
        <w:t xml:space="preserve"> </w:t>
      </w:r>
      <w:r>
        <w:t xml:space="preserve">from EDIS642. Also consumer associations cite EDIS as a key element to ensure a</w:t>
      </w:r>
      <w:r>
        <w:t xml:space="preserve"> </w:t>
      </w:r>
      <w:r>
        <w:t xml:space="preserve">uniform level of depositor protection and to increase consumer confidence across the EU</w:t>
      </w:r>
      <w:r>
        <w:t xml:space="preserve"> </w:t>
      </w:r>
      <w:r>
        <w:t xml:space="preserve">and would consequently be expected to disagree with this option643.</w:t>
      </w:r>
      <w:r>
        <w:br/>
      </w:r>
      <w:r>
        <w:t xml:space="preserve">Finally, several incompatible combinations of elements across the option packages were</w:t>
      </w:r>
      <w:r>
        <w:t xml:space="preserve"> </w:t>
      </w:r>
      <w:r>
        <w:t xml:space="preserve">also discarded such as considering an ambitious CMDI review with broad application of</w:t>
      </w:r>
      <w:r>
        <w:t xml:space="preserve"> </w:t>
      </w:r>
      <w:r>
        <w:t xml:space="preserve">resolution (via legal amendments to the PIA) without the necessary changes to make</w:t>
      </w:r>
      <w:r>
        <w:t xml:space="preserve"> </w:t>
      </w:r>
      <w:r>
        <w:t xml:space="preserve">funding available. Failing to secure an effective access to common safety nets to all</w:t>
      </w:r>
      <w:r>
        <w:t xml:space="preserve"> </w:t>
      </w:r>
      <w:r>
        <w:t xml:space="preserve">banks would continue to expose taxpayers to (possibly increased) risks. The mere</w:t>
      </w:r>
      <w:r>
        <w:t xml:space="preserve"> </w:t>
      </w:r>
      <w:r>
        <w:t xml:space="preserve">extension of resolution would deliver a dysfunctional and asymmetric framework, where</w:t>
      </w:r>
      <w:r>
        <w:t xml:space="preserve"> </w:t>
      </w:r>
      <w:r>
        <w:t xml:space="preserve">the funding solutions fail to match the scope, putting the credibility and effectiveness of</w:t>
      </w:r>
      <w:r>
        <w:t xml:space="preserve"> </w:t>
      </w:r>
      <w:r>
        <w:t xml:space="preserve">the EU resolution regime in doubt. Similarly, theoretical alternatives such as more</w:t>
      </w:r>
      <w:r>
        <w:t xml:space="preserve"> </w:t>
      </w:r>
      <w:r>
        <w:t xml:space="preserve">resolution funding through an increase in the size of the RF/SRF (higher industry</w:t>
      </w:r>
      <w:r>
        <w:t xml:space="preserve"> </w:t>
      </w:r>
      <w:r>
        <w:t xml:space="preserve">contributions) and/or increasing the flexibility to access it (i.e. loosening the minimum</w:t>
      </w:r>
      <w:r>
        <w:t xml:space="preserve"> </w:t>
      </w:r>
      <w:r>
        <w:t xml:space="preserve">bail-in condition of 8% TLOF) are possible though likely not realistic, economically</w:t>
      </w:r>
      <w:r>
        <w:t xml:space="preserve"> </w:t>
      </w:r>
      <w:r>
        <w:t xml:space="preserve">efficient or politically palatable. To the contrary, some industry participants are</w:t>
      </w:r>
      <w:r>
        <w:t xml:space="preserve"> </w:t>
      </w:r>
      <w:r>
        <w:t xml:space="preserve">supporting a reduction of contributions to the SRF, which has never been used yet in</w:t>
      </w:r>
      <w:r>
        <w:t xml:space="preserve"> </w:t>
      </w:r>
      <w:r>
        <w:t xml:space="preserve">practice. Similarly, reducing the minimum bail-in condition of 8% TLOF would also</w:t>
      </w:r>
      <w:r>
        <w:t xml:space="preserve"> </w:t>
      </w:r>
      <w:r>
        <w:t xml:space="preserve">encounter political opposition from other Member States seeking to protect the fund</w:t>
      </w:r>
      <w:r>
        <w:t xml:space="preserve"> </w:t>
      </w:r>
      <w:r>
        <w:t xml:space="preserve">against depletion and moral hazard. Overall, these combinations would lack cost-</w:t>
      </w:r>
      <w:r>
        <w:t xml:space="preserve"> </w:t>
      </w:r>
      <w:r>
        <w:t xml:space="preserve">effectiveness by reducing the synergies in the safety nets and increasing costs for the</w:t>
      </w:r>
      <w:r>
        <w:t xml:space="preserve"> </w:t>
      </w:r>
      <w:r>
        <w:t xml:space="preserve">industry (no mitigation in terms of lower contributions to DGS) without attaining the</w:t>
      </w:r>
      <w:r>
        <w:t xml:space="preserve"> </w:t>
      </w:r>
      <w:r>
        <w:t xml:space="preserve">same robustness of the safety nets. It would weaken the capacity to achieve several</w:t>
      </w:r>
      <w:r>
        <w:t xml:space="preserve"> </w:t>
      </w:r>
      <w:r>
        <w:t xml:space="preserve">objectives such as limiting the recourse to public funds, weakening the bank-sovereign</w:t>
      </w:r>
      <w:r>
        <w:t xml:space="preserve"> </w:t>
      </w:r>
      <w:r>
        <w:t xml:space="preserve">link, level playing field and robust depositor protection.</w:t>
      </w:r>
      <w:r>
        <w:br/>
      </w:r>
      <w:r>
        <w:t xml:space="preserve">Stakeholder views: The EU banking industry and several Member States voiced strongly</w:t>
      </w:r>
      <w:r>
        <w:t xml:space="preserve"> </w:t>
      </w:r>
      <w:r>
        <w:t xml:space="preserve">the principle of cost neutrality (or possibly a cost reducing impact) of this package.</w:t>
      </w:r>
    </w:p>
    <w:p>
      <w:pPr>
        <w:pStyle w:val="BodyText"/>
      </w:pPr>
      <w:r>
        <w:t xml:space="preserve">642 German savings banks association (DSGV) (August, 2020), This is not the time to centralise deposit</w:t>
      </w:r>
      <w:r>
        <w:t xml:space="preserve"> </w:t>
      </w:r>
      <w:r>
        <w:t xml:space="preserve">guarantee schemes in Europe and certain IPSs (April 2021), Institutional protection schemes in Europe</w:t>
      </w:r>
      <w:r>
        <w:t xml:space="preserve"> </w:t>
      </w:r>
      <w:r>
        <w:t xml:space="preserve">publish joint declaration in support of a strong Banking Union and responses to the consultation.</w:t>
      </w:r>
      <w:r>
        <w:t xml:space="preserve"> </w:t>
      </w:r>
      <w:r>
        <w:t xml:space="preserve">643 See responses to the public and targeted consultations.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521">
    <w:nsid w:val="00A99521"/>
    <w:multiLevelType w:val="multilevel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99522">
    <w:nsid w:val="00A99522"/>
    <w:multiLevelType w:val="multilevel"/>
    <w:lvl w:ilvl="0">
      <w:start w:val="2"/>
      <w:numFmt w:val="lowerRoman"/>
      <w:lvlText w:val="%1)"/>
      <w:lvlJc w:val="left"/>
      <w:pPr>
        <w:ind w:left="720" w:hanging="360"/>
      </w:pPr>
    </w:lvl>
    <w:lvl w:ilvl="1">
      <w:start w:val="2"/>
      <w:numFmt w:val="lowerRoman"/>
      <w:lvlText w:val="%2)"/>
      <w:lvlJc w:val="left"/>
      <w:pPr>
        <w:ind w:left="1440" w:hanging="360"/>
      </w:pPr>
    </w:lvl>
    <w:lvl w:ilvl="2">
      <w:start w:val="2"/>
      <w:numFmt w:val="lowerRoman"/>
      <w:lvlText w:val="%3)"/>
      <w:lvlJc w:val="left"/>
      <w:pPr>
        <w:ind w:left="2160" w:hanging="360"/>
      </w:pPr>
    </w:lvl>
    <w:lvl w:ilvl="3">
      <w:start w:val="2"/>
      <w:numFmt w:val="lowerRoman"/>
      <w:lvlText w:val="%4)"/>
      <w:lvlJc w:val="left"/>
      <w:pPr>
        <w:ind w:left="2880" w:hanging="360"/>
      </w:pPr>
    </w:lvl>
    <w:lvl w:ilvl="4">
      <w:start w:val="2"/>
      <w:numFmt w:val="lowerRoman"/>
      <w:lvlText w:val="%5)"/>
      <w:lvlJc w:val="left"/>
      <w:pPr>
        <w:ind w:left="3600" w:hanging="360"/>
      </w:pPr>
    </w:lvl>
    <w:lvl w:ilvl="5">
      <w:start w:val="2"/>
      <w:numFmt w:val="lowerRoman"/>
      <w:lvlText w:val="%6)"/>
      <w:lvlJc w:val="left"/>
      <w:pPr>
        <w:ind w:left="4320" w:hanging="360"/>
      </w:pPr>
    </w:lvl>
    <w:lvl w:ilvl="6">
      <w:start w:val="2"/>
      <w:numFmt w:val="lowerRoman"/>
      <w:lvlText w:val="%7)"/>
      <w:lvlJc w:val="left"/>
      <w:pPr>
        <w:ind w:left="5040" w:hanging="360"/>
      </w:pPr>
    </w:lvl>
    <w:lvl w:ilvl="7">
      <w:start w:val="2"/>
      <w:numFmt w:val="lowerRoman"/>
      <w:lvlText w:val="%8)"/>
      <w:lvlJc w:val="left"/>
      <w:pPr>
        <w:ind w:left="5760" w:hanging="360"/>
      </w:pPr>
    </w:lvl>
    <w:lvl w:ilvl="8">
      <w:start w:val="2"/>
      <w:numFmt w:val="lowerRoman"/>
      <w:lvlText w:val="%9)"/>
      <w:lvlJc w:val="left"/>
      <w:pPr>
        <w:ind w:left="6480" w:hanging="360"/>
      </w:pPr>
    </w:lvl>
  </w:abstractNum>
  <w:abstractNum w:abstractNumId="99523">
    <w:nsid w:val="00A99523"/>
    <w:multiLevelType w:val="multilevel"/>
    <w:lvl w:ilvl="0">
      <w:start w:val="3"/>
      <w:numFmt w:val="lowerRoman"/>
      <w:lvlText w:val="%1)"/>
      <w:lvlJc w:val="left"/>
      <w:pPr>
        <w:ind w:left="720" w:hanging="360"/>
      </w:pPr>
    </w:lvl>
    <w:lvl w:ilvl="1">
      <w:start w:val="3"/>
      <w:numFmt w:val="lowerRoman"/>
      <w:lvlText w:val="%2)"/>
      <w:lvlJc w:val="left"/>
      <w:pPr>
        <w:ind w:left="1440" w:hanging="360"/>
      </w:pPr>
    </w:lvl>
    <w:lvl w:ilvl="2">
      <w:start w:val="3"/>
      <w:numFmt w:val="lowerRoman"/>
      <w:lvlText w:val="%3)"/>
      <w:lvlJc w:val="left"/>
      <w:pPr>
        <w:ind w:left="2160" w:hanging="360"/>
      </w:pPr>
    </w:lvl>
    <w:lvl w:ilvl="3">
      <w:start w:val="3"/>
      <w:numFmt w:val="lowerRoman"/>
      <w:lvlText w:val="%4)"/>
      <w:lvlJc w:val="left"/>
      <w:pPr>
        <w:ind w:left="2880" w:hanging="360"/>
      </w:pPr>
    </w:lvl>
    <w:lvl w:ilvl="4">
      <w:start w:val="3"/>
      <w:numFmt w:val="lowerRoman"/>
      <w:lvlText w:val="%5)"/>
      <w:lvlJc w:val="left"/>
      <w:pPr>
        <w:ind w:left="3600" w:hanging="360"/>
      </w:pPr>
    </w:lvl>
    <w:lvl w:ilvl="5">
      <w:start w:val="3"/>
      <w:numFmt w:val="lowerRoman"/>
      <w:lvlText w:val="%6)"/>
      <w:lvlJc w:val="left"/>
      <w:pPr>
        <w:ind w:left="4320" w:hanging="360"/>
      </w:pPr>
    </w:lvl>
    <w:lvl w:ilvl="6">
      <w:start w:val="3"/>
      <w:numFmt w:val="lowerRoman"/>
      <w:lvlText w:val="%7)"/>
      <w:lvlJc w:val="left"/>
      <w:pPr>
        <w:ind w:left="5040" w:hanging="360"/>
      </w:pPr>
    </w:lvl>
    <w:lvl w:ilvl="7">
      <w:start w:val="3"/>
      <w:numFmt w:val="lowerRoman"/>
      <w:lvlText w:val="%8)"/>
      <w:lvlJc w:val="left"/>
      <w:pPr>
        <w:ind w:left="5760" w:hanging="360"/>
      </w:pPr>
    </w:lvl>
    <w:lvl w:ilvl="8">
      <w:start w:val="3"/>
      <w:numFmt w:val="lowerRoman"/>
      <w:lvlText w:val="%9)"/>
      <w:lvlJc w:val="left"/>
      <w:pPr>
        <w:ind w:left="6480" w:hanging="360"/>
      </w:pPr>
    </w:lvl>
  </w:abstractNum>
  <w:abstractNum w:abstractNumId="998114">
    <w:nsid w:val="0A998114"/>
    <w:multiLevelType w:val="multilevel"/>
    <w:lvl w:ilvl="0">
      <w:start w:val="14"/>
      <w:numFmt w:val="upperLetter"/>
      <w:lvlText w:val="%1."/>
      <w:lvlJc w:val="left"/>
      <w:pPr>
        <w:ind w:left="720" w:hanging="360"/>
      </w:pPr>
    </w:lvl>
    <w:lvl w:ilvl="1">
      <w:start w:val="14"/>
      <w:numFmt w:val="upperLetter"/>
      <w:lvlText w:val="%2."/>
      <w:lvlJc w:val="left"/>
      <w:pPr>
        <w:ind w:left="1440" w:hanging="360"/>
      </w:pPr>
    </w:lvl>
    <w:lvl w:ilvl="2">
      <w:start w:val="14"/>
      <w:numFmt w:val="upperLetter"/>
      <w:lvlText w:val="%3."/>
      <w:lvlJc w:val="left"/>
      <w:pPr>
        <w:ind w:left="2160" w:hanging="360"/>
      </w:pPr>
    </w:lvl>
    <w:lvl w:ilvl="3">
      <w:start w:val="14"/>
      <w:numFmt w:val="upperLetter"/>
      <w:lvlText w:val="%4."/>
      <w:lvlJc w:val="left"/>
      <w:pPr>
        <w:ind w:left="2880" w:hanging="360"/>
      </w:pPr>
    </w:lvl>
    <w:lvl w:ilvl="4">
      <w:start w:val="14"/>
      <w:numFmt w:val="upperLetter"/>
      <w:lvlText w:val="%5."/>
      <w:lvlJc w:val="left"/>
      <w:pPr>
        <w:ind w:left="3600" w:hanging="360"/>
      </w:pPr>
    </w:lvl>
    <w:lvl w:ilvl="5">
      <w:start w:val="14"/>
      <w:numFmt w:val="upperLetter"/>
      <w:lvlText w:val="%6."/>
      <w:lvlJc w:val="left"/>
      <w:pPr>
        <w:ind w:left="4320" w:hanging="360"/>
      </w:pPr>
    </w:lvl>
    <w:lvl w:ilvl="6">
      <w:start w:val="14"/>
      <w:numFmt w:val="upperLetter"/>
      <w:lvlText w:val="%7."/>
      <w:lvlJc w:val="left"/>
      <w:pPr>
        <w:ind w:left="5040" w:hanging="360"/>
      </w:pPr>
    </w:lvl>
    <w:lvl w:ilvl="7">
      <w:start w:val="14"/>
      <w:numFmt w:val="upperLetter"/>
      <w:lvlText w:val="%8."/>
      <w:lvlJc w:val="left"/>
      <w:pPr>
        <w:ind w:left="5760" w:hanging="360"/>
      </w:pPr>
    </w:lvl>
    <w:lvl w:ilvl="8">
      <w:start w:val="14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2017">
    <w:nsid w:val="A99432017"/>
    <w:multiLevelType w:val="multilevel"/>
    <w:lvl w:ilvl="0">
      <w:start w:val="2017"/>
      <w:numFmt w:val="decimal"/>
      <w:lvlText w:val="(%1)"/>
      <w:lvlJc w:val="left"/>
      <w:pPr>
        <w:ind w:left="720" w:hanging="360"/>
      </w:pPr>
    </w:lvl>
    <w:lvl w:ilvl="1">
      <w:start w:val="2017"/>
      <w:numFmt w:val="decimal"/>
      <w:lvlText w:val="(%2)"/>
      <w:lvlJc w:val="left"/>
      <w:pPr>
        <w:ind w:left="1440" w:hanging="360"/>
      </w:pPr>
    </w:lvl>
    <w:lvl w:ilvl="2">
      <w:start w:val="2017"/>
      <w:numFmt w:val="decimal"/>
      <w:lvlText w:val="(%3)"/>
      <w:lvlJc w:val="left"/>
      <w:pPr>
        <w:ind w:left="2160" w:hanging="360"/>
      </w:pPr>
    </w:lvl>
    <w:lvl w:ilvl="3">
      <w:start w:val="2017"/>
      <w:numFmt w:val="decimal"/>
      <w:lvlText w:val="(%4)"/>
      <w:lvlJc w:val="left"/>
      <w:pPr>
        <w:ind w:left="2880" w:hanging="360"/>
      </w:pPr>
    </w:lvl>
    <w:lvl w:ilvl="4">
      <w:start w:val="2017"/>
      <w:numFmt w:val="decimal"/>
      <w:lvlText w:val="(%5)"/>
      <w:lvlJc w:val="left"/>
      <w:pPr>
        <w:ind w:left="3600" w:hanging="360"/>
      </w:pPr>
    </w:lvl>
    <w:lvl w:ilvl="5">
      <w:start w:val="2017"/>
      <w:numFmt w:val="decimal"/>
      <w:lvlText w:val="(%6)"/>
      <w:lvlJc w:val="left"/>
      <w:pPr>
        <w:ind w:left="4320" w:hanging="360"/>
      </w:pPr>
    </w:lvl>
    <w:lvl w:ilvl="6">
      <w:start w:val="2017"/>
      <w:numFmt w:val="decimal"/>
      <w:lvlText w:val="(%7)"/>
      <w:lvlJc w:val="left"/>
      <w:pPr>
        <w:ind w:left="5040" w:hanging="360"/>
      </w:pPr>
    </w:lvl>
    <w:lvl w:ilvl="7">
      <w:start w:val="2017"/>
      <w:numFmt w:val="decimal"/>
      <w:lvlText w:val="(%8)"/>
      <w:lvlJc w:val="left"/>
      <w:pPr>
        <w:ind w:left="5760" w:hanging="360"/>
      </w:pPr>
    </w:lvl>
    <w:lvl w:ilvl="8">
      <w:start w:val="2017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5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5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2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3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4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5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6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7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8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9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0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1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2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3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4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5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6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7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8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9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432017"/>
    <w:lvlOverride w:ilvl="0">
      <w:startOverride w:val="2017"/>
    </w:lvlOverride>
    <w:lvlOverride w:ilvl="1">
      <w:startOverride w:val="2017"/>
    </w:lvlOverride>
    <w:lvlOverride w:ilvl="2">
      <w:startOverride w:val="2017"/>
    </w:lvlOverride>
    <w:lvlOverride w:ilvl="3">
      <w:startOverride w:val="2017"/>
    </w:lvlOverride>
    <w:lvlOverride w:ilvl="4">
      <w:startOverride w:val="2017"/>
    </w:lvlOverride>
    <w:lvlOverride w:ilvl="5">
      <w:startOverride w:val="2017"/>
    </w:lvlOverride>
    <w:lvlOverride w:ilvl="6">
      <w:startOverride w:val="2017"/>
    </w:lvlOverride>
    <w:lvlOverride w:ilvl="7">
      <w:startOverride w:val="2017"/>
    </w:lvlOverride>
    <w:lvlOverride w:ilvl="8">
      <w:startOverride w:val="2017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1"/>
  </w:num>
  <w:num w:numId="1059">
    <w:abstractNumId w:val="998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6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1">
    <w:abstractNumId w:val="991"/>
  </w:num>
  <w:num w:numId="106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2026-07-31T16:47:59Z</dcterms:created>
  <dcterms:modified xsi:type="dcterms:W3CDTF">2026-07-31T16:47:59Z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