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28.6.2023</w:t>
      </w:r>
      <w:r>
        <w:br/>
      </w:r>
      <w:r>
        <w:t xml:space="preserve">SWD(2023) 231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</w:t>
      </w:r>
      <w:r>
        <w:t xml:space="preserve"> </w:t>
      </w:r>
      <w:r>
        <w:t xml:space="preserve">REGULATION OF THE EUROPEAN PARLIAMENT AND OF THE COUNCIL</w:t>
      </w:r>
      <w:r>
        <w:br/>
      </w:r>
      <w:r>
        <w:t xml:space="preserve">on payment services in the internal market and amending Regulation (EU) No</w:t>
      </w:r>
      <w:r>
        <w:t xml:space="preserve"> </w:t>
      </w:r>
      <w:r>
        <w:t xml:space="preserve">1093/2010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Proposal for a</w:t>
      </w:r>
      <w:r>
        <w:t xml:space="preserve"> </w:t>
      </w:r>
      <w:r>
        <w:t xml:space="preserve">DIRECTIVE OF THE EUROPEAN PARLIAMENT AND OF THE COUNCIL</w:t>
      </w:r>
      <w:r>
        <w:br/>
      </w:r>
      <w:r>
        <w:t xml:space="preserve">on payment services and electronic money services in the Internal Market amending</w:t>
      </w:r>
      <w:r>
        <w:t xml:space="preserve"> </w:t>
      </w:r>
      <w:r>
        <w:t xml:space="preserve">Directive 98/26/EC and repealing Directives 2015/2366/EU and 2009/110/EC</w:t>
      </w:r>
      <w:r>
        <w:t xml:space="preserve"> </w:t>
      </w:r>
      <w:r>
        <w:t xml:space="preserve">{COM(2023) 366 final} - {COM(2023) 367 final} - {SEC(2023) 256 final} -</w:t>
      </w:r>
      <w:r>
        <w:t xml:space="preserve"> </w:t>
      </w:r>
      <w:r>
        <w:t xml:space="preserve">{SWD(2023) 232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……………………………….1</w:t>
      </w:r>
      <w:r>
        <w:t xml:space="preserve"> </w:t>
      </w:r>
      <w:r>
        <w:t xml:space="preserve">1.1</w:t>
      </w:r>
      <w:r>
        <w:t xml:space="preserve"> </w:t>
      </w:r>
      <w:r>
        <w:t xml:space="preserve">Retail payments in the EU ………………………………………………………………………1</w:t>
      </w:r>
      <w:r>
        <w:t xml:space="preserve"> </w:t>
      </w:r>
      <w:r>
        <w:t xml:space="preserve">1.2</w:t>
      </w:r>
      <w:r>
        <w:t xml:space="preserve"> </w:t>
      </w:r>
      <w:r>
        <w:t xml:space="preserve">Legal context …………………………………………………………………………………………4</w:t>
      </w:r>
      <w:r>
        <w:t xml:space="preserve"> </w:t>
      </w:r>
      <w:r>
        <w:t xml:space="preserve">1.3</w:t>
      </w:r>
      <w:r>
        <w:t xml:space="preserve"> </w:t>
      </w:r>
      <w:r>
        <w:t xml:space="preserve">Political context …………………………………………………………………………………….6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 ……………………………………………………………………………….7</w:t>
      </w:r>
      <w:r>
        <w:t xml:space="preserve"> </w:t>
      </w:r>
      <w:r>
        <w:t xml:space="preserve">2.1</w:t>
      </w:r>
      <w:r>
        <w:t xml:space="preserve"> </w:t>
      </w:r>
      <w:r>
        <w:t xml:space="preserve">What is/are the problems and the problem drivers? …………………………………….7</w:t>
      </w:r>
      <w:r>
        <w:t xml:space="preserve"> </w:t>
      </w:r>
      <w:r>
        <w:t xml:space="preserve">2.1.1 Consumers at risk of fraud and lacking confidence in payments………………8</w:t>
      </w:r>
      <w:r>
        <w:t xml:space="preserve"> </w:t>
      </w:r>
      <w:r>
        <w:t xml:space="preserve">2.1.2. Imperfect functioning of Open Banking………………………………………12</w:t>
      </w:r>
      <w:r>
        <w:t xml:space="preserve"> </w:t>
      </w:r>
      <w:r>
        <w:t xml:space="preserve">2.1.3. Inconsistent powers and obligations of supervisors…………………………16</w:t>
      </w:r>
      <w:r>
        <w:t xml:space="preserve"> </w:t>
      </w:r>
      <w:r>
        <w:t xml:space="preserve">2.1.4. Unlevel playing field between banks and non-bank PSPs …………………..18</w:t>
      </w:r>
      <w:r>
        <w:t xml:space="preserve"> </w:t>
      </w:r>
      <w:r>
        <w:t xml:space="preserve">2.2. What are the consequences of the problems? …………………………………………..19</w:t>
      </w:r>
      <w:r>
        <w:t xml:space="preserve"> </w:t>
      </w:r>
      <w:r>
        <w:t xml:space="preserve">2.3. How likely is the problem to persist? ……………………………………………………..21</w:t>
      </w:r>
      <w:r>
        <w:t xml:space="preserve"> </w:t>
      </w:r>
      <w:r>
        <w:t xml:space="preserve">2.4. Problem Tree ……………………………………………………………………………………….22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…………………………………………………………………….23</w:t>
      </w:r>
      <w:r>
        <w:t xml:space="preserve"> </w:t>
      </w:r>
      <w:r>
        <w:t xml:space="preserve">3.1. Legal basis ………………………………………………………………………………………….23</w:t>
      </w:r>
      <w:r>
        <w:t xml:space="preserve"> </w:t>
      </w:r>
      <w:r>
        <w:t xml:space="preserve">3.2. Subsidiarity: Necessity of EU action ………………………………………………………23</w:t>
      </w:r>
      <w:r>
        <w:t xml:space="preserve"> </w:t>
      </w:r>
      <w:r>
        <w:t xml:space="preserve">3.3. Subsidiarity: Added value of EU action ………………………………………………….23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………………………………………………24</w:t>
      </w:r>
      <w:r>
        <w:t xml:space="preserve"> </w:t>
      </w:r>
      <w:r>
        <w:t xml:space="preserve">4.1. General objectives ………………………………………………………………………………..24</w:t>
      </w:r>
      <w:r>
        <w:t xml:space="preserve"> </w:t>
      </w:r>
      <w:r>
        <w:t xml:space="preserve">4.2. Specific objectives ……………………………………………………………………………….24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…………………………………….25</w:t>
      </w:r>
      <w:r>
        <w:t xml:space="preserve"> </w:t>
      </w:r>
      <w:r>
        <w:t xml:space="preserve">5.1. What is the baseline from which options are assessed? ……………………………..25</w:t>
      </w:r>
      <w:r>
        <w:t xml:space="preserve"> </w:t>
      </w:r>
      <w:r>
        <w:t xml:space="preserve">5.2. Description of the policy options ……………………………………………………………26</w:t>
      </w:r>
      <w:r>
        <w:t xml:space="preserve"> </w:t>
      </w:r>
      <w:r>
        <w:t xml:space="preserve">5.2.1. Strengthen user protection against fraud and abuses………………………… 26</w:t>
      </w:r>
      <w:r>
        <w:t xml:space="preserve"> </w:t>
      </w:r>
      <w:r>
        <w:t xml:space="preserve">5.2.2. Improve the competitiveness of Open Banking services……………………..29</w:t>
      </w:r>
      <w:r>
        <w:t xml:space="preserve"> </w:t>
      </w:r>
      <w:r>
        <w:t xml:space="preserve">5.2.3. Improve enforcement and implementation in Member States………………..32</w:t>
      </w:r>
      <w:r>
        <w:t xml:space="preserve"> </w:t>
      </w:r>
      <w:r>
        <w:t xml:space="preserve">5.2.4. Improve (direct or indirect) access to payment systems and bank accounts for non-</w:t>
      </w:r>
      <w:r>
        <w:t xml:space="preserve"> </w:t>
      </w:r>
      <w:r>
        <w:t xml:space="preserve">bank PSPs……………………………………………………………………………33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 AND HOW DO</w:t>
      </w:r>
      <w:r>
        <w:t xml:space="preserve"> </w:t>
      </w:r>
      <w:r>
        <w:t xml:space="preserve">THEY COMPARE? ………………………………………………………………………………………35</w:t>
      </w:r>
      <w:r>
        <w:t xml:space="preserve"> </w:t>
      </w:r>
      <w:r>
        <w:t xml:space="preserve">6.1. Strengthen user rights and protection against fraud …………………………………..35</w:t>
      </w:r>
      <w:r>
        <w:t xml:space="preserve"> </w:t>
      </w:r>
      <w:r>
        <w:t xml:space="preserve">6.2. Improve the competitiveness of Open Banking services ……………………………40</w:t>
      </w:r>
      <w:r>
        <w:t xml:space="preserve"> </w:t>
      </w:r>
      <w:r>
        <w:t xml:space="preserve">6.3. Improve enforcement and implementation in Member States …………………….48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6.4. Improve (direct or indirect) access to payment systems and bank accounts</w:t>
      </w:r>
      <w:r>
        <w:t xml:space="preserve"> </w:t>
      </w:r>
      <w:r>
        <w:t xml:space="preserve">for non-bank PSPs ………………………………………………………………………………..50</w:t>
      </w:r>
      <w:r>
        <w:t xml:space="preserve"> </w:t>
      </w:r>
      <w:r>
        <w:t xml:space="preserve">7.</w:t>
      </w:r>
      <w:r>
        <w:t xml:space="preserve"> </w:t>
      </w:r>
      <w:r>
        <w:t xml:space="preserve">PREFERRED OPTIONS ……………………………………………………………………………….52</w:t>
      </w:r>
      <w:r>
        <w:t xml:space="preserve"> </w:t>
      </w:r>
      <w:r>
        <w:t xml:space="preserve">7.1. Effectiveness ……………………………………………………………………………………….53</w:t>
      </w:r>
      <w:r>
        <w:t xml:space="preserve"> </w:t>
      </w:r>
      <w:r>
        <w:t xml:space="preserve">7.2. Efficiency ……………………………………………………………………………………………54</w:t>
      </w:r>
      <w:r>
        <w:t xml:space="preserve"> </w:t>
      </w:r>
      <w:r>
        <w:t xml:space="preserve">7.3. Coherence …………………………………………………………………………………………..56</w:t>
      </w:r>
      <w:r>
        <w:t xml:space="preserve"> </w:t>
      </w:r>
      <w:r>
        <w:t xml:space="preserve">7.4. Summary of preferred options ……………………………………………………………….58</w:t>
      </w:r>
      <w:r>
        <w:t xml:space="preserve"> </w:t>
      </w:r>
      <w:r>
        <w:t xml:space="preserve">7.5. Other relevant impacts ………………………………………………………………………….58</w:t>
      </w:r>
      <w:r>
        <w:t xml:space="preserve"> </w:t>
      </w:r>
      <w:r>
        <w:t xml:space="preserve">7.6. Application of the ‘one in, one out’ approach ………………………………………….59</w:t>
      </w:r>
      <w:r>
        <w:t xml:space="preserve"> </w:t>
      </w:r>
      <w:r>
        <w:t xml:space="preserve">7.7. Climate and sustainability ……………………………………………………………………..59</w:t>
      </w:r>
      <w:r>
        <w:t xml:space="preserve"> </w:t>
      </w:r>
      <w:r>
        <w:t xml:space="preserve">7.8. Fundamental rights ……………………………………………………………………………….59</w:t>
      </w:r>
      <w:r>
        <w:t xml:space="preserve"> </w:t>
      </w:r>
      <w:r>
        <w:t xml:space="preserve">7.9. REFIT (simplification and improved efficiency) ……………………………………..59</w:t>
      </w:r>
      <w:r>
        <w:t xml:space="preserve"> </w:t>
      </w:r>
      <w:r>
        <w:t xml:space="preserve">8.</w:t>
      </w:r>
      <w:r>
        <w:t xml:space="preserve"> </w:t>
      </w:r>
      <w:r>
        <w:t xml:space="preserve">HOW WILL ACTUAL IMPACTS BE MONITORED AND EVALUATED? ……..60</w:t>
      </w:r>
      <w:r>
        <w:t xml:space="preserve"> </w:t>
      </w:r>
      <w:r>
        <w:t xml:space="preserve">ANNEX 1: PROCEDURAL INFORMATION ………………………………………………………..61</w:t>
      </w:r>
      <w:r>
        <w:t xml:space="preserve"> </w:t>
      </w:r>
      <w:r>
        <w:t xml:space="preserve">ANNEX 2: STAKEHOLDER CONSULTATION …………………………………………………..63</w:t>
      </w:r>
      <w:r>
        <w:t xml:space="preserve"> </w:t>
      </w:r>
      <w:r>
        <w:t xml:space="preserve">ANNEX 3: WHO IS AFFECTED AND HOW? ………………………………………………………83</w:t>
      </w:r>
      <w:r>
        <w:t xml:space="preserve"> </w:t>
      </w:r>
      <w:r>
        <w:t xml:space="preserve">ANNEX 4: ANALYTICAL METHODS ………………………………………………………………..92</w:t>
      </w:r>
      <w:r>
        <w:t xml:space="preserve"> </w:t>
      </w:r>
      <w:r>
        <w:t xml:space="preserve">ANNEX 5: EVALUATION REPORT ……………………………………………………………………98</w:t>
      </w:r>
      <w:r>
        <w:t xml:space="preserve"> </w:t>
      </w:r>
      <w:r>
        <w:t xml:space="preserve">ANNEX 6: SCOPE OF PSD2………………………………………………………………………………161</w:t>
      </w:r>
      <w:r>
        <w:t xml:space="preserve"> </w:t>
      </w:r>
      <w:r>
        <w:t xml:space="preserve">ANNEX 7: TECHNICAL CLARIFICATIONS AND OTHER CHANGES ………………167</w:t>
      </w:r>
      <w:r>
        <w:t xml:space="preserve"> </w:t>
      </w:r>
      <w:r>
        <w:t xml:space="preserve">ANNEX 8: INTEGRATION OF THE E-MONEY DIRECTIVE 2 INTO PSD2 ………..175</w:t>
      </w:r>
      <w:r>
        <w:t xml:space="preserve"> </w:t>
      </w:r>
      <w:r>
        <w:t xml:space="preserve">ANNEX 9: ACCESS TO CASH ………………………………………………………………………….179</w:t>
      </w:r>
      <w:r>
        <w:t xml:space="preserve"> </w:t>
      </w:r>
      <w:r>
        <w:t xml:space="preserve">ANNEX 10: USER RIGHTS MEASURES …………………………………………………………..182</w:t>
      </w:r>
      <w:r>
        <w:t xml:space="preserve"> </w:t>
      </w:r>
      <w:r>
        <w:t xml:space="preserve">ANNEX 11: EXPLANATORY NOTE ON OPEN BANKING ………………………………..188</w:t>
      </w:r>
      <w:r>
        <w:t xml:space="preserve"> </w:t>
      </w:r>
      <w:r>
        <w:t xml:space="preserve">ANNEX 12: COHERENCE WITH OTHER COMMISSION ACTS AND</w:t>
      </w:r>
      <w:r>
        <w:t xml:space="preserve"> </w:t>
      </w:r>
      <w:r>
        <w:t xml:space="preserve">INITIATIVES …………………………………………………………………………………………….197</w:t>
      </w:r>
      <w:r>
        <w:t xml:space="preserve"> </w:t>
      </w:r>
      <w:r>
        <w:t xml:space="preserve">ANNEX 13: SME TEST ……………………………………………………………………………………..202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</w:t>
      </w:r>
      <w:r>
        <w:t xml:space="preserve"> </w:t>
      </w:r>
      <w:r>
        <w:t xml:space="preserve">Definition</w:t>
      </w:r>
      <w:r>
        <w:t xml:space="preserve"> </w:t>
      </w:r>
      <w:r>
        <w:t xml:space="preserve">Account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 (AIS)</w:t>
      </w:r>
      <w:r>
        <w:t xml:space="preserve"> </w:t>
      </w:r>
      <w:r>
        <w:t xml:space="preserve">In Open Banking, an online service to provide consolidated information on</w:t>
      </w:r>
      <w:r>
        <w:t xml:space="preserve"> </w:t>
      </w:r>
      <w:r>
        <w:t xml:space="preserve">one or more payment accounts held by a payment service user with one or</w:t>
      </w:r>
      <w:r>
        <w:t xml:space="preserve"> </w:t>
      </w:r>
      <w:r>
        <w:t xml:space="preserve">more payment service providers.</w:t>
      </w:r>
      <w:r>
        <w:t xml:space="preserve"> </w:t>
      </w:r>
      <w:r>
        <w:t xml:space="preserve">Account</w:t>
      </w:r>
      <w:r>
        <w:t xml:space="preserve"> </w:t>
      </w:r>
      <w:r>
        <w:t xml:space="preserve">Information</w:t>
      </w:r>
      <w:r>
        <w:t xml:space="preserve"> </w:t>
      </w:r>
      <w:r>
        <w:t xml:space="preserve">Service Provider (AISP)</w:t>
      </w:r>
      <w:r>
        <w:t xml:space="preserve"> </w:t>
      </w:r>
      <w:r>
        <w:t xml:space="preserve">A PSP which is authorised to access a user’s account data at several account</w:t>
      </w:r>
      <w:r>
        <w:t xml:space="preserve"> </w:t>
      </w:r>
      <w:r>
        <w:t xml:space="preserve">servicing PSPs and centralise it for the user in order to provider account</w:t>
      </w:r>
      <w:r>
        <w:t xml:space="preserve"> </w:t>
      </w:r>
      <w:r>
        <w:t xml:space="preserve">information services.</w:t>
      </w:r>
      <w:r>
        <w:t xml:space="preserve"> </w:t>
      </w:r>
      <w:r>
        <w:t xml:space="preserve">Application</w:t>
      </w:r>
      <w:r>
        <w:t xml:space="preserve"> </w:t>
      </w:r>
      <w:r>
        <w:t xml:space="preserve">Programming</w:t>
      </w:r>
      <w:r>
        <w:t xml:space="preserve"> </w:t>
      </w:r>
      <w:r>
        <w:t xml:space="preserve">Interface</w:t>
      </w:r>
      <w:r>
        <w:t xml:space="preserve"> </w:t>
      </w:r>
      <w:r>
        <w:t xml:space="preserve">(API)</w:t>
      </w:r>
      <w:r>
        <w:t xml:space="preserve"> </w:t>
      </w:r>
      <w:r>
        <w:t xml:space="preserve">A collection of software functions and procedures that allows different</w:t>
      </w:r>
      <w:r>
        <w:t xml:space="preserve"> </w:t>
      </w:r>
      <w:r>
        <w:t xml:space="preserve">applications to communicate and exchange data, e.g. when a TPP requests</w:t>
      </w:r>
      <w:r>
        <w:t xml:space="preserve"> </w:t>
      </w:r>
      <w:r>
        <w:t xml:space="preserve">account information of a user at an Account Servicing Payment Service</w:t>
      </w:r>
      <w:r>
        <w:t xml:space="preserve"> </w:t>
      </w:r>
      <w:r>
        <w:t xml:space="preserve">Provider (ASPSP). Commonly used in Open Banking.</w:t>
      </w:r>
      <w:r>
        <w:br/>
      </w:r>
      <w:r>
        <w:t xml:space="preserve">Account</w:t>
      </w:r>
      <w:r>
        <w:t xml:space="preserve"> </w:t>
      </w:r>
      <w:r>
        <w:t xml:space="preserve">Servicing</w:t>
      </w:r>
      <w:r>
        <w:t xml:space="preserve"> </w:t>
      </w:r>
      <w:r>
        <w:t xml:space="preserve">Payment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 (ASPSP)</w:t>
      </w:r>
      <w:r>
        <w:t xml:space="preserve"> </w:t>
      </w:r>
      <w:r>
        <w:t xml:space="preserve">A PSP (for example a bank) which offers customers payment accounts and</w:t>
      </w:r>
      <w:r>
        <w:t xml:space="preserve"> </w:t>
      </w:r>
      <w:r>
        <w:t xml:space="preserve">payment services (not a PSP which only carries out Open Banking services</w:t>
      </w:r>
      <w:r>
        <w:t xml:space="preserve"> </w:t>
      </w:r>
      <w:r>
        <w:t xml:space="preserve">nor a PSP which only executes payments for its own account, not for</w:t>
      </w:r>
      <w:r>
        <w:t xml:space="preserve"> </w:t>
      </w:r>
      <w:r>
        <w:t xml:space="preserve">customers). An ASPSP is a data holder in Open Banking terms.</w:t>
      </w:r>
      <w:r>
        <w:t xml:space="preserve"> </w:t>
      </w:r>
      <w:r>
        <w:t xml:space="preserve">Authorisation</w:t>
      </w:r>
      <w:r>
        <w:t xml:space="preserve"> </w:t>
      </w:r>
      <w:r>
        <w:t xml:space="preserve">The consent given by a participant (or a third party acting on behalf of that</w:t>
      </w:r>
      <w:r>
        <w:t xml:space="preserve"> </w:t>
      </w:r>
      <w:r>
        <w:t xml:space="preserve">participant) in order to transfer funds or securities.</w:t>
      </w:r>
      <w:r>
        <w:t xml:space="preserve"> </w:t>
      </w:r>
      <w:r>
        <w:t xml:space="preserve">Automated teller machine</w:t>
      </w:r>
      <w:r>
        <w:t xml:space="preserve"> </w:t>
      </w:r>
      <w:r>
        <w:t xml:space="preserve">(ATM)</w:t>
      </w:r>
      <w:r>
        <w:t xml:space="preserve"> </w:t>
      </w:r>
      <w:r>
        <w:t xml:space="preserve">An electromechanical device that allows authorised users, typically using</w:t>
      </w:r>
      <w:r>
        <w:t xml:space="preserve"> </w:t>
      </w:r>
      <w:r>
        <w:t xml:space="preserve">machine-readable plastic cards, to withdraw cash from their accounts and/or</w:t>
      </w:r>
      <w:r>
        <w:t xml:space="preserve"> </w:t>
      </w:r>
      <w:r>
        <w:t xml:space="preserve">access other services (allowing them, for example, to make balance enquiries,</w:t>
      </w:r>
      <w:r>
        <w:t xml:space="preserve"> </w:t>
      </w:r>
      <w:r>
        <w:t xml:space="preserve">transfer funds or deposit money).</w:t>
      </w:r>
      <w:r>
        <w:t xml:space="preserve"> </w:t>
      </w:r>
      <w:r>
        <w:t xml:space="preserve">Card (payment card)</w:t>
      </w:r>
      <w:r>
        <w:t xml:space="preserve"> </w:t>
      </w:r>
      <w:r>
        <w:t xml:space="preserve">A category of physical portable payment instrument, with a magnetic stripe</w:t>
      </w:r>
      <w:r>
        <w:t xml:space="preserve"> </w:t>
      </w:r>
      <w:r>
        <w:t xml:space="preserve">and usually a microchip, that enables the payer to initiate a debit or credit</w:t>
      </w:r>
      <w:r>
        <w:t xml:space="preserve"> </w:t>
      </w:r>
      <w:r>
        <w:t xml:space="preserve">card transaction. Types of payment card include credit cards and debit cards.</w:t>
      </w:r>
      <w:r>
        <w:t xml:space="preserve"> </w:t>
      </w:r>
      <w:r>
        <w:t xml:space="preserve">Cardholder</w:t>
      </w:r>
      <w:r>
        <w:t xml:space="preserve"> </w:t>
      </w:r>
      <w:r>
        <w:t xml:space="preserve">A person to whom a payment card is issued and who is authorised to use that</w:t>
      </w:r>
      <w:r>
        <w:t xml:space="preserve"> </w:t>
      </w:r>
      <w:r>
        <w:t xml:space="preserve">card.</w:t>
      </w:r>
      <w:r>
        <w:t xml:space="preserve"> </w:t>
      </w:r>
      <w:r>
        <w:t xml:space="preserve">Card issuer</w:t>
      </w:r>
      <w:r>
        <w:t xml:space="preserve"> </w:t>
      </w:r>
      <w:r>
        <w:t xml:space="preserve">A PSP contracting to provide a payer with a card payment instrument to</w:t>
      </w:r>
      <w:r>
        <w:t xml:space="preserve"> </w:t>
      </w:r>
      <w:r>
        <w:t xml:space="preserve">initiate and process the payer’s card-based payment transactions.</w:t>
      </w:r>
      <w:r>
        <w:t xml:space="preserve"> </w:t>
      </w:r>
      <w:r>
        <w:t xml:space="preserve">Card scheme</w:t>
      </w:r>
      <w:r>
        <w:t xml:space="preserve"> </w:t>
      </w:r>
      <w:r>
        <w:t xml:space="preserve">A technical and commercial arrangement set up to serve one or more brands</w:t>
      </w:r>
      <w:r>
        <w:t xml:space="preserve"> </w:t>
      </w:r>
      <w:r>
        <w:t xml:space="preserve">of card which provides the organisational, legal and operational framework</w:t>
      </w:r>
      <w:r>
        <w:t xml:space="preserve"> </w:t>
      </w:r>
      <w:r>
        <w:t xml:space="preserve">necessary for the functioning of the services marketed by those brands.</w:t>
      </w:r>
      <w:r>
        <w:t xml:space="preserve"> </w:t>
      </w:r>
      <w:r>
        <w:t xml:space="preserve">Cheque</w:t>
      </w:r>
      <w:r>
        <w:t xml:space="preserve"> </w:t>
      </w:r>
      <w:r>
        <w:t xml:space="preserve">A written order from one party (the drawer) to another (the drawee; normally</w:t>
      </w:r>
      <w:r>
        <w:t xml:space="preserve"> </w:t>
      </w:r>
      <w:r>
        <w:t xml:space="preserve">a bank) requiring the drawee to pay a specified sum on demand to the drawer</w:t>
      </w:r>
      <w:r>
        <w:t xml:space="preserve"> </w:t>
      </w:r>
      <w:r>
        <w:t xml:space="preserve">or a third party specified by the drawer.</w:t>
      </w:r>
      <w:r>
        <w:t xml:space="preserve"> </w:t>
      </w:r>
      <w:r>
        <w:t xml:space="preserve">Consumer (of payment</w:t>
      </w:r>
      <w:r>
        <w:t xml:space="preserve"> </w:t>
      </w:r>
      <w:r>
        <w:t xml:space="preserve">services)</w:t>
      </w:r>
      <w:r>
        <w:t xml:space="preserve"> </w:t>
      </w:r>
      <w:r>
        <w:t xml:space="preserve">Any natural person who requests and makes use of a payment account for</w:t>
      </w:r>
      <w:r>
        <w:t xml:space="preserve"> </w:t>
      </w:r>
      <w:r>
        <w:t xml:space="preserve">purposes other than his trade, business, craft or profession.</w:t>
      </w:r>
      <w:r>
        <w:t xml:space="preserve"> </w:t>
      </w:r>
      <w:r>
        <w:t xml:space="preserve">Contingency mechanism</w:t>
      </w:r>
      <w:r>
        <w:t xml:space="preserve"> </w:t>
      </w:r>
      <w:r>
        <w:t xml:space="preserve">In Open Banking, the online direct customer interface between PSUs and</w:t>
      </w:r>
      <w:r>
        <w:t xml:space="preserve"> </w:t>
      </w:r>
      <w:r>
        <w:t xml:space="preserve">their ASPSPs, when made available to TPPs when the dedicated interface is</w:t>
      </w:r>
      <w:r>
        <w:t xml:space="preserve"> </w:t>
      </w:r>
      <w:r>
        <w:t xml:space="preserve">not performing. Also known as “fallback”.</w:t>
      </w:r>
      <w:r>
        <w:br/>
      </w:r>
      <w:r>
        <w:t xml:space="preserve">Credit institution/ bank</w:t>
      </w:r>
      <w:r>
        <w:t xml:space="preserve"> </w:t>
      </w:r>
      <w:r>
        <w:t xml:space="preserve">A category of PSP authorised to carry out all banking transactions (i.e. to</w:t>
      </w:r>
      <w:r>
        <w:t xml:space="preserve"> </w:t>
      </w:r>
      <w:r>
        <w:t xml:space="preserve">receive deposits from the public, carry out credit transactions, make funds</w:t>
      </w:r>
      <w:r>
        <w:t xml:space="preserve"> </w:t>
      </w:r>
      <w:r>
        <w:t xml:space="preserve">available on loan and manage means of payment).</w:t>
      </w:r>
      <w:r>
        <w:t xml:space="preserve"> </w:t>
      </w:r>
      <w:r>
        <w:t xml:space="preserve">Credit transfer</w:t>
      </w:r>
      <w:r>
        <w:t xml:space="preserve"> </w:t>
      </w:r>
      <w:r>
        <w:t xml:space="preserve">A payment service for crediting a payee’s payment account with a payment</w:t>
      </w:r>
      <w:r>
        <w:t xml:space="preserve"> </w:t>
      </w:r>
      <w:r>
        <w:t xml:space="preserve">transaction or a series of payment transactions from a payer’s payment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account by the payment service provider which holds the payer’s payment</w:t>
      </w:r>
      <w:r>
        <w:t xml:space="preserve"> </w:t>
      </w:r>
      <w:r>
        <w:t xml:space="preserve">account, based on an instruction given by the payer.</w:t>
      </w:r>
      <w:r>
        <w:t xml:space="preserve"> </w:t>
      </w:r>
      <w:r>
        <w:t xml:space="preserve">Cross-border</w:t>
      </w:r>
      <w:r>
        <w:t xml:space="preserve"> </w:t>
      </w:r>
      <w:r>
        <w:t xml:space="preserve">payment</w:t>
      </w:r>
      <w:r>
        <w:t xml:space="preserve"> </w:t>
      </w:r>
      <w:r>
        <w:t xml:space="preserve">(transaction)</w:t>
      </w:r>
      <w:r>
        <w:t xml:space="preserve"> </w:t>
      </w:r>
      <w:r>
        <w:t xml:space="preserve">A payment transaction initiated by a payer or by a payee where the payer’s</w:t>
      </w:r>
      <w:r>
        <w:t xml:space="preserve"> </w:t>
      </w:r>
      <w:r>
        <w:t xml:space="preserve">PSP and the payee’s PSP are located in different Member States or third</w:t>
      </w:r>
      <w:r>
        <w:t xml:space="preserve"> </w:t>
      </w:r>
      <w:r>
        <w:t xml:space="preserve">countries</w:t>
      </w:r>
      <w:r>
        <w:t xml:space="preserve"> </w:t>
      </w:r>
      <w:r>
        <w:t xml:space="preserve">Cross-border</w:t>
      </w:r>
      <w:r>
        <w:t xml:space="preserve"> </w:t>
      </w:r>
      <w:r>
        <w:t xml:space="preserve">payments</w:t>
      </w:r>
      <w:r>
        <w:t xml:space="preserve"> </w:t>
      </w:r>
      <w:r>
        <w:t xml:space="preserve">Regulation (CBPR)</w:t>
      </w:r>
      <w:r>
        <w:t xml:space="preserve"> </w:t>
      </w:r>
      <w:r>
        <w:t xml:space="preserve">Regulation (EU) 2021/1230 of the European Parliament and of the Council of</w:t>
      </w:r>
      <w:r>
        <w:t xml:space="preserve"> </w:t>
      </w:r>
      <w:r>
        <w:t xml:space="preserve">14 July 2021 on cross-border payments in the Union</w:t>
      </w:r>
      <w:r>
        <w:t xml:space="preserve"> </w:t>
      </w:r>
      <w:r>
        <w:t xml:space="preserve">Digital</w:t>
      </w:r>
      <w:r>
        <w:t xml:space="preserve"> </w:t>
      </w:r>
      <w:r>
        <w:t xml:space="preserve">Operational</w:t>
      </w:r>
      <w:r>
        <w:t xml:space="preserve"> </w:t>
      </w:r>
      <w:r>
        <w:t xml:space="preserve">Resilience Act</w:t>
      </w:r>
      <w:r>
        <w:t xml:space="preserve"> </w:t>
      </w:r>
      <w:r>
        <w:t xml:space="preserve">Regulation (EU) 2022/2554 of the European Parliament and of the Council of</w:t>
      </w:r>
      <w:r>
        <w:t xml:space="preserve"> </w:t>
      </w:r>
      <w:r>
        <w:t xml:space="preserve">14 December 2022 on digital operational resilience for the financial sector</w:t>
      </w:r>
      <w:r>
        <w:t xml:space="preserve"> </w:t>
      </w:r>
      <w:r>
        <w:t xml:space="preserve">Direct debit</w:t>
      </w:r>
      <w:r>
        <w:t xml:space="preserve"> </w:t>
      </w:r>
      <w:r>
        <w:t xml:space="preserve">A payment service for debiting a payer’s payment account, where a payment</w:t>
      </w:r>
      <w:r>
        <w:t xml:space="preserve"> </w:t>
      </w:r>
      <w:r>
        <w:t xml:space="preserve">transaction is initiated by the payee on the basis of the consent given by the</w:t>
      </w:r>
      <w:r>
        <w:t xml:space="preserve"> </w:t>
      </w:r>
      <w:r>
        <w:t xml:space="preserve">payer to the payee, to the payee’s payment service provider or to the payer’s</w:t>
      </w:r>
      <w:r>
        <w:t xml:space="preserve"> </w:t>
      </w:r>
      <w:r>
        <w:t xml:space="preserve">own payment service provider</w:t>
      </w:r>
      <w:r>
        <w:t xml:space="preserve"> </w:t>
      </w:r>
      <w:r>
        <w:t xml:space="preserve">Electronic</w:t>
      </w:r>
      <w:r>
        <w:t xml:space="preserve"> </w:t>
      </w:r>
      <w:r>
        <w:t xml:space="preserve">money</w:t>
      </w:r>
      <w:r>
        <w:t xml:space="preserve"> </w:t>
      </w:r>
      <w:r>
        <w:t xml:space="preserve">(e-</w:t>
      </w:r>
      <w:r>
        <w:t xml:space="preserve"> </w:t>
      </w:r>
      <w:r>
        <w:t xml:space="preserve">money)</w:t>
      </w:r>
      <w:r>
        <w:t xml:space="preserve"> </w:t>
      </w:r>
      <w:r>
        <w:t xml:space="preserve">A monetary value, represented by a claim on the issuer, which is:</w:t>
      </w:r>
      <w:r>
        <w:t xml:space="preserve"> </w:t>
      </w:r>
      <w:r>
        <w:t xml:space="preserve">1) stored on an electronic device (e.g. a card or computer);</w:t>
      </w:r>
      <w:r>
        <w:t xml:space="preserve"> </w:t>
      </w:r>
      <w:r>
        <w:t xml:space="preserve">2) issued upon receipt of funds in an amount not less in value than the</w:t>
      </w:r>
      <w:r>
        <w:t xml:space="preserve"> </w:t>
      </w:r>
      <w:r>
        <w:t xml:space="preserve">monetary value received; and</w:t>
      </w:r>
      <w:r>
        <w:t xml:space="preserve"> </w:t>
      </w:r>
      <w:r>
        <w:t xml:space="preserve">3) accepted as a means of payment by undertakings other than the issuer</w:t>
      </w:r>
      <w:r>
        <w:t xml:space="preserve"> </w:t>
      </w:r>
      <w:r>
        <w:t xml:space="preserve">Electronic</w:t>
      </w:r>
      <w:r>
        <w:t xml:space="preserve"> </w:t>
      </w:r>
      <w:r>
        <w:t xml:space="preserve">Money</w:t>
      </w:r>
      <w:r>
        <w:t xml:space="preserve"> </w:t>
      </w:r>
      <w:r>
        <w:t xml:space="preserve">Directive (EMD)</w:t>
      </w:r>
      <w:r>
        <w:t xml:space="preserve"> </w:t>
      </w:r>
      <w:r>
        <w:t xml:space="preserve">Directive 2009/110/EC of the European Parliament and of the Council of 16</w:t>
      </w:r>
      <w:r>
        <w:t xml:space="preserve"> </w:t>
      </w:r>
      <w:r>
        <w:t xml:space="preserve">September 2009 on the taking up, pursuit and prudential supervision of the</w:t>
      </w:r>
      <w:r>
        <w:t xml:space="preserve"> </w:t>
      </w:r>
      <w:r>
        <w:t xml:space="preserve">business of E-Money Institutions</w:t>
      </w:r>
      <w:r>
        <w:t xml:space="preserve"> </w:t>
      </w:r>
      <w:r>
        <w:t xml:space="preserve">Electronic</w:t>
      </w:r>
      <w:r>
        <w:t xml:space="preserve"> </w:t>
      </w:r>
      <w:r>
        <w:t xml:space="preserve">money</w:t>
      </w:r>
      <w:r>
        <w:t xml:space="preserve"> </w:t>
      </w:r>
      <w:r>
        <w:t xml:space="preserve">institution (EMI)</w:t>
      </w:r>
      <w:r>
        <w:t xml:space="preserve"> </w:t>
      </w:r>
      <w:r>
        <w:t xml:space="preserve">A type of PSP which is not a bank, authorised and supervised under the</w:t>
      </w:r>
      <w:r>
        <w:t xml:space="preserve"> </w:t>
      </w:r>
      <w:r>
        <w:t xml:space="preserve">Electronic Money Directive, whose activity is limited to the issuance of</w:t>
      </w:r>
      <w:r>
        <w:t xml:space="preserve"> </w:t>
      </w:r>
      <w:r>
        <w:t xml:space="preserve">electronic money and the provision of financial and non-financial services</w:t>
      </w:r>
      <w:r>
        <w:t xml:space="preserve"> </w:t>
      </w:r>
      <w:r>
        <w:t xml:space="preserve">closely related to the issuance of electronic money, including payments.</w:t>
      </w:r>
      <w:r>
        <w:t xml:space="preserve"> </w:t>
      </w:r>
      <w:r>
        <w:t xml:space="preserve">European</w:t>
      </w:r>
      <w:r>
        <w:t xml:space="preserve"> </w:t>
      </w:r>
      <w:r>
        <w:t xml:space="preserve">Payments</w:t>
      </w:r>
      <w:r>
        <w:t xml:space="preserve"> </w:t>
      </w:r>
      <w:r>
        <w:t xml:space="preserve">Council (EPC)</w:t>
      </w:r>
      <w:r>
        <w:t xml:space="preserve"> </w:t>
      </w:r>
      <w:r>
        <w:t xml:space="preserve">A private law association of banks and other payment service providers,</w:t>
      </w:r>
      <w:r>
        <w:t xml:space="preserve"> </w:t>
      </w:r>
      <w:r>
        <w:t xml:space="preserve">founded in 2002 with the main task of the development of the Single Euro</w:t>
      </w:r>
      <w:r>
        <w:t xml:space="preserve"> </w:t>
      </w:r>
      <w:r>
        <w:t xml:space="preserve">Payments Area, and which manages schemes for credit transfers and direct</w:t>
      </w:r>
      <w:r>
        <w:t xml:space="preserve"> </w:t>
      </w:r>
      <w:r>
        <w:t xml:space="preserve">debits in euro, SCT and SDD.</w:t>
      </w:r>
      <w:r>
        <w:t xml:space="preserve"> </w:t>
      </w:r>
      <w:r>
        <w:t xml:space="preserve">Impersonation fraud</w:t>
      </w:r>
      <w:r>
        <w:t xml:space="preserve"> </w:t>
      </w:r>
      <w:r>
        <w:t xml:space="preserve">A type of fraud where a payment services user who is a consumer was</w:t>
      </w:r>
      <w:r>
        <w:t xml:space="preserve"> </w:t>
      </w:r>
      <w:r>
        <w:t xml:space="preserve">manipulated by a third party pretending to be an employee of the consumer’s</w:t>
      </w:r>
      <w:r>
        <w:t xml:space="preserve"> </w:t>
      </w:r>
      <w:r>
        <w:t xml:space="preserve">payment service provider using lies or deception such as the bank‘s name</w:t>
      </w:r>
      <w:r>
        <w:t xml:space="preserve"> </w:t>
      </w:r>
      <w:r>
        <w:t xml:space="preserve">and/or telephone number and this manipulation gave rise to subsequent</w:t>
      </w:r>
      <w:r>
        <w:t xml:space="preserve"> </w:t>
      </w:r>
      <w:r>
        <w:t xml:space="preserve">fraudulent payment transactions.</w:t>
      </w:r>
      <w:r>
        <w:t xml:space="preserve"> </w:t>
      </w:r>
      <w:r>
        <w:t xml:space="preserve">Interchange fee</w:t>
      </w:r>
      <w:r>
        <w:t xml:space="preserve"> </w:t>
      </w:r>
      <w:r>
        <w:t xml:space="preserve">A fee paid for a transaction directly or indirectly (i.e. through a third party)</w:t>
      </w:r>
      <w:r>
        <w:t xml:space="preserve"> </w:t>
      </w:r>
      <w:r>
        <w:t xml:space="preserve">between the issuer and the acquirer involved in a card-based payment</w:t>
      </w:r>
      <w:r>
        <w:t xml:space="preserve"> </w:t>
      </w:r>
      <w:r>
        <w:t xml:space="preserve">transaction. The net compensation or other agreed remuneration is considered</w:t>
      </w:r>
      <w:r>
        <w:t xml:space="preserve"> </w:t>
      </w:r>
      <w:r>
        <w:t xml:space="preserve">to be part of the interchange fee.</w:t>
      </w:r>
      <w:r>
        <w:t xml:space="preserve"> </w:t>
      </w:r>
      <w:r>
        <w:t xml:space="preserve">General Data Protection</w:t>
      </w:r>
      <w:r>
        <w:t xml:space="preserve"> </w:t>
      </w:r>
      <w:r>
        <w:t xml:space="preserve">Regulation</w:t>
      </w:r>
      <w:r>
        <w:t xml:space="preserve"> </w:t>
      </w:r>
      <w:r>
        <w:t xml:space="preserve">Regulation (EU) 2016/679 of the European Parliament and of the Council of</w:t>
      </w:r>
      <w:r>
        <w:t xml:space="preserve"> </w:t>
      </w:r>
      <w:r>
        <w:t xml:space="preserve">27 April 2016 on the protection of natural persons with regard to the</w:t>
      </w:r>
      <w:r>
        <w:t xml:space="preserve"> </w:t>
      </w:r>
      <w:r>
        <w:t xml:space="preserve">processing of personal data and on the free movement of such data</w:t>
      </w:r>
      <w:r>
        <w:t xml:space="preserve"> </w:t>
      </w:r>
      <w:r>
        <w:t xml:space="preserve">International</w:t>
      </w:r>
      <w:r>
        <w:t xml:space="preserve"> </w:t>
      </w:r>
      <w:r>
        <w:t xml:space="preserve">Bank</w:t>
      </w:r>
      <w:r>
        <w:t xml:space="preserve"> </w:t>
      </w:r>
      <w:r>
        <w:t xml:space="preserve">Account Number (IBAN)</w:t>
      </w:r>
      <w:r>
        <w:t xml:space="preserve"> </w:t>
      </w:r>
      <w:r>
        <w:t xml:space="preserve">The standard governing European bank account numbers, compliant with</w:t>
      </w:r>
      <w:r>
        <w:t xml:space="preserve"> </w:t>
      </w:r>
      <w:r>
        <w:t xml:space="preserve">ISO-13616, considered to be a “unique identifier” of a payment account</w:t>
      </w:r>
      <w:r>
        <w:t xml:space="preserve"> </w:t>
      </w:r>
      <w:r>
        <w:t xml:space="preserve">Interoperability</w:t>
      </w:r>
      <w:r>
        <w:t xml:space="preserve"> </w:t>
      </w:r>
      <w:r>
        <w:t xml:space="preserve">A set of arrangements/procedures that allows participants in different systems</w:t>
      </w:r>
      <w:r>
        <w:t xml:space="preserve"> </w:t>
      </w:r>
      <w:r>
        <w:t xml:space="preserve">to conduct and settle payments or securities transactions across systems while</w:t>
      </w:r>
      <w:r>
        <w:t xml:space="preserve"> </w:t>
      </w:r>
      <w:r>
        <w:t xml:space="preserve">continuing to operate only in their own respective systems.</w:t>
      </w:r>
      <w:r>
        <w:t xml:space="preserve"> </w:t>
      </w:r>
      <w:r>
        <w:t xml:space="preserve">Means of payment</w:t>
      </w:r>
      <w:r>
        <w:t xml:space="preserve"> </w:t>
      </w:r>
      <w:r>
        <w:t xml:space="preserve">Assets or claims on assets that are accepted by a payee as discharging a</w:t>
      </w:r>
      <w:r>
        <w:t xml:space="preserve"> </w:t>
      </w:r>
      <w:r>
        <w:t xml:space="preserve">payment obligation on the part of a payer vis-à-vis the payee.</w:t>
      </w:r>
      <w:r>
        <w:t xml:space="preserve"> </w:t>
      </w:r>
      <w:r>
        <w:t xml:space="preserve">Markets</w:t>
      </w:r>
      <w:r>
        <w:t xml:space="preserve"> </w:t>
      </w:r>
      <w:r>
        <w:t xml:space="preserve">in</w:t>
      </w:r>
      <w:r>
        <w:t xml:space="preserve"> </w:t>
      </w:r>
      <w:r>
        <w:t xml:space="preserve">Financial</w:t>
      </w:r>
      <w:r>
        <w:t xml:space="preserve"> </w:t>
      </w:r>
      <w:r>
        <w:t xml:space="preserve">Instruments Directive</w:t>
      </w:r>
      <w:r>
        <w:t xml:space="preserve"> </w:t>
      </w:r>
      <w:r>
        <w:t xml:space="preserve">Directive 2014/65/EU of the European Parliament and of the Council of 15</w:t>
      </w:r>
      <w:r>
        <w:t xml:space="preserve"> </w:t>
      </w:r>
      <w:r>
        <w:t xml:space="preserve">May 2014 on markets in financial instruments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Mobile payment</w:t>
      </w:r>
      <w:r>
        <w:t xml:space="preserve"> </w:t>
      </w:r>
      <w:r>
        <w:t xml:space="preserve">A payment where a mobile device is used at least for the initiation of the</w:t>
      </w:r>
      <w:r>
        <w:t xml:space="preserve"> </w:t>
      </w:r>
      <w:r>
        <w:t xml:space="preserve">payment order and potentially also for the transfer of funds.</w:t>
      </w:r>
      <w:r>
        <w:t xml:space="preserve"> </w:t>
      </w:r>
      <w:r>
        <w:t xml:space="preserve">Money remitter</w:t>
      </w:r>
      <w:r>
        <w:t xml:space="preserve"> </w:t>
      </w:r>
      <w:r>
        <w:t xml:space="preserve">A payment service provider that accepts funds from a payer for the purpose of</w:t>
      </w:r>
      <w:r>
        <w:t xml:space="preserve"> </w:t>
      </w:r>
      <w:r>
        <w:t xml:space="preserve">making them available to a payee, without necessarily maintaining a payment</w:t>
      </w:r>
      <w:r>
        <w:t xml:space="preserve"> </w:t>
      </w:r>
      <w:r>
        <w:t xml:space="preserve">account for the payer or payee.</w:t>
      </w:r>
      <w:r>
        <w:t xml:space="preserve"> </w:t>
      </w:r>
      <w:r>
        <w:t xml:space="preserve">Open Banking</w:t>
      </w:r>
      <w:r>
        <w:t xml:space="preserve"> </w:t>
      </w:r>
      <w:r>
        <w:t xml:space="preserve">A framework for allowing payment service users to share their account data</w:t>
      </w:r>
      <w:r>
        <w:t xml:space="preserve"> </w:t>
      </w:r>
      <w:r>
        <w:t xml:space="preserve">with Third Party Providers of payment-related services such as AISPs and</w:t>
      </w:r>
      <w:r>
        <w:t xml:space="preserve"> </w:t>
      </w:r>
      <w:r>
        <w:t xml:space="preserve">PISPs</w:t>
      </w:r>
      <w:r>
        <w:t xml:space="preserve"> </w:t>
      </w:r>
      <w:r>
        <w:t xml:space="preserve">Open</w:t>
      </w:r>
      <w:r>
        <w:t xml:space="preserve"> </w:t>
      </w:r>
      <w:r>
        <w:t xml:space="preserve">Banking</w:t>
      </w:r>
      <w:r>
        <w:t xml:space="preserve"> </w:t>
      </w:r>
      <w:r>
        <w:t xml:space="preserve">permissions dashboard</w:t>
      </w:r>
      <w:r>
        <w:t xml:space="preserve"> </w:t>
      </w:r>
      <w:r>
        <w:t xml:space="preserve">A graphic interface which provides a customer with an overview of active</w:t>
      </w:r>
      <w:r>
        <w:t xml:space="preserve"> </w:t>
      </w:r>
      <w:r>
        <w:t xml:space="preserve">data sharing permissions and to which parties, and which allows the customer</w:t>
      </w:r>
      <w:r>
        <w:t xml:space="preserve"> </w:t>
      </w:r>
      <w:r>
        <w:t xml:space="preserve">to manage the permissions for data sharing.</w:t>
      </w:r>
      <w:r>
        <w:t xml:space="preserve"> </w:t>
      </w:r>
      <w:r>
        <w:t xml:space="preserve">Payer</w:t>
      </w:r>
      <w:r>
        <w:t xml:space="preserve"> </w:t>
      </w:r>
      <w:r>
        <w:t xml:space="preserve">A natural or legal person who holds a payment account and allows a payment</w:t>
      </w:r>
      <w:r>
        <w:t xml:space="preserve"> </w:t>
      </w:r>
      <w:r>
        <w:t xml:space="preserve">order from that payment account, or, where there is no payment account, a</w:t>
      </w:r>
      <w:r>
        <w:t xml:space="preserve"> </w:t>
      </w:r>
      <w:r>
        <w:t xml:space="preserve">natural or legal person who gives a payment order.</w:t>
      </w:r>
      <w:r>
        <w:t xml:space="preserve"> </w:t>
      </w:r>
      <w:r>
        <w:t xml:space="preserve">Payee</w:t>
      </w:r>
      <w:r>
        <w:t xml:space="preserve"> </w:t>
      </w:r>
      <w:r>
        <w:t xml:space="preserve">A natural or legal person who is the intended recipient of funds which have</w:t>
      </w:r>
      <w:r>
        <w:t xml:space="preserve"> </w:t>
      </w:r>
      <w:r>
        <w:t xml:space="preserve">been the object of a payment transaction.</w:t>
      </w:r>
      <w:r>
        <w:t xml:space="preserve"> </w:t>
      </w:r>
      <w:r>
        <w:t xml:space="preserve">Payment</w:t>
      </w:r>
      <w:r>
        <w:t xml:space="preserve"> </w:t>
      </w:r>
      <w:r>
        <w:t xml:space="preserve">Initiation</w:t>
      </w:r>
      <w:r>
        <w:t xml:space="preserve"> </w:t>
      </w:r>
      <w:r>
        <w:t xml:space="preserve">Services (PIS)</w:t>
      </w:r>
      <w:r>
        <w:t xml:space="preserve"> </w:t>
      </w:r>
      <w:r>
        <w:t xml:space="preserve">In Open Banking, a service offered by a PISP to initiate a payment order at</w:t>
      </w:r>
      <w:r>
        <w:t xml:space="preserve"> </w:t>
      </w:r>
      <w:r>
        <w:t xml:space="preserve">the request of a payment service user with respect to a payment account held</w:t>
      </w:r>
      <w:r>
        <w:t xml:space="preserve"> </w:t>
      </w:r>
      <w:r>
        <w:t xml:space="preserve">at another account servicing payment service provider</w:t>
      </w:r>
      <w:r>
        <w:t xml:space="preserve"> </w:t>
      </w:r>
      <w:r>
        <w:t xml:space="preserve">Payment</w:t>
      </w:r>
      <w:r>
        <w:t xml:space="preserve"> </w:t>
      </w:r>
      <w:r>
        <w:t xml:space="preserve">Initiation</w:t>
      </w:r>
      <w:r>
        <w:t xml:space="preserve"> </w:t>
      </w:r>
      <w:r>
        <w:t xml:space="preserve">Services Provider</w:t>
      </w:r>
      <w:r>
        <w:t xml:space="preserve"> </w:t>
      </w:r>
      <w:r>
        <w:t xml:space="preserve">In Open Banking, a category of PSP which is authorised to access a PSU’s</w:t>
      </w:r>
      <w:r>
        <w:t xml:space="preserve"> </w:t>
      </w:r>
      <w:r>
        <w:t xml:space="preserve">payment account at an ASPSP to initiate an account-to-account payment</w:t>
      </w:r>
      <w:r>
        <w:t xml:space="preserve"> </w:t>
      </w:r>
      <w:r>
        <w:t xml:space="preserve">order.</w:t>
      </w:r>
      <w:r>
        <w:t xml:space="preserve"> </w:t>
      </w:r>
      <w:r>
        <w:t xml:space="preserve">Payment institution</w:t>
      </w:r>
      <w:r>
        <w:t xml:space="preserve"> </w:t>
      </w:r>
      <w:r>
        <w:t xml:space="preserve">A type of PSP which is not a bank, authorised and supervised under Title II of</w:t>
      </w:r>
      <w:r>
        <w:t xml:space="preserve"> </w:t>
      </w:r>
      <w:r>
        <w:t xml:space="preserve">PSD2, to provide and execute payment services throughout the Union.</w:t>
      </w:r>
      <w:r>
        <w:t xml:space="preserve"> </w:t>
      </w:r>
      <w:r>
        <w:t xml:space="preserve">Payment instrument</w:t>
      </w:r>
      <w:r>
        <w:t xml:space="preserve"> </w:t>
      </w:r>
      <w:r>
        <w:t xml:space="preserve">A tool or a set of procedures enabling the transfer of funds from a payer to a</w:t>
      </w:r>
      <w:r>
        <w:t xml:space="preserve"> </w:t>
      </w:r>
      <w:r>
        <w:t xml:space="preserve">payee. The payer and the payee can be one and the same person.</w:t>
      </w:r>
      <w:r>
        <w:t xml:space="preserve"> </w:t>
      </w:r>
      <w:r>
        <w:t xml:space="preserve">Payment scheme</w:t>
      </w:r>
      <w:r>
        <w:t xml:space="preserve"> </w:t>
      </w:r>
      <w:r>
        <w:t xml:space="preserve">A single set of rules, practices, standards and/or implementation guidelines</w:t>
      </w:r>
      <w:r>
        <w:t xml:space="preserve"> </w:t>
      </w:r>
      <w:r>
        <w:t xml:space="preserve">agreed between PSPs for the execution of payment transactions across the</w:t>
      </w:r>
      <w:r>
        <w:t xml:space="preserve"> </w:t>
      </w:r>
      <w:r>
        <w:t xml:space="preserve">Union and within Member States, and which is separated from any</w:t>
      </w:r>
      <w:r>
        <w:t xml:space="preserve"> </w:t>
      </w:r>
      <w:r>
        <w:t xml:space="preserve">infrastructure or payment system that supports its operation.</w:t>
      </w:r>
      <w:r>
        <w:t xml:space="preserve"> </w:t>
      </w:r>
      <w:r>
        <w:t xml:space="preserve">Payment service</w:t>
      </w:r>
      <w:r>
        <w:t xml:space="preserve"> </w:t>
      </w:r>
      <w:r>
        <w:t xml:space="preserve">Any of the categories of payment services listed in Annex 1 of PSD2:</w:t>
      </w:r>
      <w:r>
        <w:br/>
      </w:r>
      <w:r>
        <w:t xml:space="preserve">1. Services enabling cash to be placed on a payment account as well as all the</w:t>
      </w:r>
      <w:r>
        <w:t xml:space="preserve"> </w:t>
      </w:r>
      <w:r>
        <w:t xml:space="preserve">operations required for operating a payment account.</w:t>
      </w:r>
      <w:r>
        <w:br/>
      </w:r>
      <w:r>
        <w:t xml:space="preserve">2. Services enabling cash withdrawals from a payment account as well as all</w:t>
      </w:r>
      <w:r>
        <w:t xml:space="preserve"> </w:t>
      </w:r>
      <w:r>
        <w:t xml:space="preserve">the operations required for operating a payment account.</w:t>
      </w:r>
      <w:r>
        <w:br/>
      </w:r>
      <w:r>
        <w:t xml:space="preserve">3. Execution of payment transactions, including transfers of funds on a</w:t>
      </w:r>
      <w:r>
        <w:t xml:space="preserve"> </w:t>
      </w:r>
      <w:r>
        <w:t xml:space="preserve">payment account with the user’s payment service provider or with another</w:t>
      </w:r>
      <w:r>
        <w:t xml:space="preserve"> </w:t>
      </w:r>
      <w:r>
        <w:t xml:space="preserve">payment service provider:</w:t>
      </w:r>
      <w:r>
        <w:br/>
      </w:r>
      <w:r>
        <w:t xml:space="preserve">4. Execution of payment transactions where the funds are covered by a credit</w:t>
      </w:r>
      <w:r>
        <w:t xml:space="preserve"> </w:t>
      </w:r>
      <w:r>
        <w:t xml:space="preserve">line for a payment service user:</w:t>
      </w:r>
      <w:r>
        <w:br/>
      </w:r>
      <w:r>
        <w:t xml:space="preserve">5. Issuing of payment instruments and/or acquiring of payment transactions.</w:t>
      </w:r>
      <w:r>
        <w:t xml:space="preserve"> </w:t>
      </w:r>
      <w:r>
        <w:t xml:space="preserve">6. Money remittance.</w:t>
      </w:r>
      <w:r>
        <w:br/>
      </w:r>
      <w:r>
        <w:t xml:space="preserve">7. Payment initiation services.</w:t>
      </w:r>
      <w:r>
        <w:br/>
      </w:r>
      <w:r>
        <w:t xml:space="preserve">8. Account information services.</w:t>
      </w:r>
      <w:r>
        <w:t xml:space="preserve"> </w:t>
      </w:r>
      <w:r>
        <w:t xml:space="preserve">Payment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 (PSP)</w:t>
      </w:r>
      <w:r>
        <w:t xml:space="preserve"> </w:t>
      </w:r>
      <w:r>
        <w:t xml:space="preserve">An entity registered to provide payment services. Generally, PSPs can be:</w:t>
      </w:r>
      <w:r>
        <w:br/>
      </w:r>
      <w:r>
        <w:t xml:space="preserve">– credit institutions;</w:t>
      </w:r>
      <w:r>
        <w:t xml:space="preserve"> </w:t>
      </w:r>
      <w:r>
        <w:t xml:space="preserve">– payment institutions;</w:t>
      </w:r>
      <w:r>
        <w:t xml:space="preserve"> </w:t>
      </w:r>
      <w:r>
        <w:t xml:space="preserve">– E-Money Institutions;</w:t>
      </w:r>
      <w:r>
        <w:t xml:space="preserve"> </w:t>
      </w:r>
      <w:r>
        <w:t xml:space="preserve">– post office giro institutions;</w:t>
      </w:r>
      <w:r>
        <w:t xml:space="preserve"> </w:t>
      </w:r>
      <w:r>
        <w:t xml:space="preserve">– others, e.g. public authorities or national central banks (in some cases).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Payment</w:t>
      </w:r>
      <w:r>
        <w:t xml:space="preserve"> </w:t>
      </w:r>
      <w:r>
        <w:t xml:space="preserve">service</w:t>
      </w:r>
      <w:r>
        <w:t xml:space="preserve"> </w:t>
      </w:r>
      <w:r>
        <w:t xml:space="preserve">user</w:t>
      </w:r>
      <w:r>
        <w:t xml:space="preserve"> </w:t>
      </w:r>
      <w:r>
        <w:t xml:space="preserve">(PSU)</w:t>
      </w:r>
      <w:r>
        <w:t xml:space="preserve"> </w:t>
      </w:r>
      <w:r>
        <w:t xml:space="preserve">A natural or legal person making use of a payment service in the capacity of</w:t>
      </w:r>
      <w:r>
        <w:t xml:space="preserve"> </w:t>
      </w:r>
      <w:r>
        <w:t xml:space="preserve">payer, payee, or both.</w:t>
      </w:r>
      <w:r>
        <w:t xml:space="preserve"> </w:t>
      </w:r>
      <w:r>
        <w:t xml:space="preserve">Payment transaction</w:t>
      </w:r>
      <w:r>
        <w:t xml:space="preserve"> </w:t>
      </w:r>
      <w:r>
        <w:t xml:space="preserve">An act, initiated by the payer or by the payee of transferring funds,</w:t>
      </w:r>
      <w:r>
        <w:t xml:space="preserve"> </w:t>
      </w:r>
      <w:r>
        <w:t xml:space="preserve">irrespective of any underlying obligations between the payer and the payee.</w:t>
      </w:r>
      <w:r>
        <w:t xml:space="preserve"> </w:t>
      </w:r>
      <w:r>
        <w:t xml:space="preserve">Payment system</w:t>
      </w:r>
    </w:p>
    <w:p>
      <w:pPr>
        <w:pStyle w:val="BodyText"/>
      </w:pPr>
      <w:r>
        <w:t xml:space="preserve">A funds transfer system with formal and standardised arrangements and</w:t>
      </w:r>
      <w:r>
        <w:t xml:space="preserve"> </w:t>
      </w:r>
      <w:r>
        <w:t xml:space="preserve">common rules for the processing, clearing or settlement of payment</w:t>
      </w:r>
      <w:r>
        <w:t xml:space="preserve"> </w:t>
      </w:r>
      <w:r>
        <w:t xml:space="preserve">transactions.</w:t>
      </w:r>
      <w:r>
        <w:t xml:space="preserve"> </w:t>
      </w:r>
      <w:r>
        <w:t xml:space="preserve">PIN</w:t>
      </w:r>
      <w:r>
        <w:t xml:space="preserve"> </w:t>
      </w:r>
      <w:r>
        <w:t xml:space="preserve">(Personal</w:t>
      </w:r>
      <w:r>
        <w:t xml:space="preserve"> </w:t>
      </w:r>
      <w:r>
        <w:t xml:space="preserve">Identification Number)</w:t>
      </w:r>
      <w:r>
        <w:t xml:space="preserve"> </w:t>
      </w:r>
      <w:r>
        <w:t xml:space="preserve">A personal and confidential numerical code which the user of a payment</w:t>
      </w:r>
      <w:r>
        <w:t xml:space="preserve"> </w:t>
      </w:r>
      <w:r>
        <w:t xml:space="preserve">instrument may need to use in order to verify his/her identity.</w:t>
      </w:r>
      <w:r>
        <w:br/>
      </w:r>
      <w:r>
        <w:t xml:space="preserve">POND principle</w:t>
      </w:r>
      <w:r>
        <w:t xml:space="preserve"> </w:t>
      </w:r>
      <w:r>
        <w:t xml:space="preserve">The principle, laid down for example in article 35.1 of PSD2, that rules must</w:t>
      </w:r>
      <w:r>
        <w:t xml:space="preserve"> </w:t>
      </w:r>
      <w:r>
        <w:t xml:space="preserve">be Proportionate Objective and Non-Discriminatory</w:t>
      </w:r>
      <w:r>
        <w:t xml:space="preserve"> </w:t>
      </w:r>
      <w:r>
        <w:t xml:space="preserve">Second Payment Services</w:t>
      </w:r>
      <w:r>
        <w:t xml:space="preserve"> </w:t>
      </w:r>
      <w:r>
        <w:t xml:space="preserve">Directive (PSD2)</w:t>
      </w:r>
      <w:r>
        <w:t xml:space="preserve"> </w:t>
      </w:r>
      <w:r>
        <w:t xml:space="preserve">Directive 2015/2366 of 25 November 2015 on payment services in the</w:t>
      </w:r>
      <w:r>
        <w:t xml:space="preserve"> </w:t>
      </w:r>
      <w:r>
        <w:t xml:space="preserve">internal market</w:t>
      </w:r>
      <w:r>
        <w:t xml:space="preserve"> </w:t>
      </w:r>
      <w:r>
        <w:t xml:space="preserve">PSD2</w:t>
      </w:r>
      <w:r>
        <w:t xml:space="preserve"> </w:t>
      </w:r>
      <w:r>
        <w:t xml:space="preserve">Regulatory</w:t>
      </w:r>
      <w:r>
        <w:t xml:space="preserve"> </w:t>
      </w:r>
      <w:r>
        <w:t xml:space="preserve">Technical</w:t>
      </w:r>
      <w:r>
        <w:t xml:space="preserve"> </w:t>
      </w:r>
      <w:r>
        <w:t xml:space="preserve">Standard</w:t>
      </w:r>
      <w:r>
        <w:t xml:space="preserve"> </w:t>
      </w:r>
      <w:r>
        <w:t xml:space="preserve">(RTS)</w:t>
      </w:r>
      <w:r>
        <w:t xml:space="preserve"> </w:t>
      </w:r>
      <w:r>
        <w:t xml:space="preserve">Commission Delegated Regulation (EU) 2018/389 of 27 November 2017</w:t>
      </w:r>
      <w:r>
        <w:t xml:space="preserve"> </w:t>
      </w:r>
      <w:r>
        <w:t xml:space="preserve">supplementing Directive (EU) 2015/2366 of the European Parliament and of</w:t>
      </w:r>
      <w:r>
        <w:t xml:space="preserve"> </w:t>
      </w:r>
      <w:r>
        <w:t xml:space="preserve">the Council with regard to regulatory technical standards for strong customer</w:t>
      </w:r>
      <w:r>
        <w:t xml:space="preserve"> </w:t>
      </w:r>
      <w:r>
        <w:t xml:space="preserve">authentication and common and secure open standards of communication1</w:t>
      </w:r>
      <w:r>
        <w:t xml:space="preserve"> </w:t>
      </w:r>
      <w:r>
        <w:t xml:space="preserve">Remote payment</w:t>
      </w:r>
      <w:r>
        <w:t xml:space="preserve"> </w:t>
      </w:r>
      <w:r>
        <w:t xml:space="preserve">Defined in PSD2 (art. 4(6)) as “a payment transaction initiated via internet or</w:t>
      </w:r>
      <w:r>
        <w:t xml:space="preserve"> </w:t>
      </w:r>
      <w:r>
        <w:t xml:space="preserve">through a device that can be used for distance communication”</w:t>
      </w:r>
      <w:r>
        <w:t xml:space="preserve"> </w:t>
      </w:r>
      <w:r>
        <w:t xml:space="preserve">Retail payment</w:t>
      </w:r>
      <w:r>
        <w:t xml:space="preserve"> </w:t>
      </w:r>
      <w:r>
        <w:t xml:space="preserve">Payments both initiated by and made to individuals or non-financial</w:t>
      </w:r>
      <w:r>
        <w:t xml:space="preserve"> </w:t>
      </w:r>
      <w:r>
        <w:t xml:space="preserve">companies.</w:t>
      </w:r>
      <w:r>
        <w:t xml:space="preserve"> </w:t>
      </w:r>
      <w:r>
        <w:t xml:space="preserve">Settlement</w:t>
      </w:r>
      <w:r>
        <w:t xml:space="preserve"> </w:t>
      </w:r>
      <w:r>
        <w:t xml:space="preserve">Finality</w:t>
      </w:r>
      <w:r>
        <w:t xml:space="preserve"> </w:t>
      </w:r>
      <w:r>
        <w:t xml:space="preserve">Directive (SFD)</w:t>
      </w:r>
      <w:r>
        <w:t xml:space="preserve"> </w:t>
      </w:r>
      <w:r>
        <w:t xml:space="preserve">Directive 98/26/EC of 19 May 1998 on settlement finality in payment and</w:t>
      </w:r>
      <w:r>
        <w:t xml:space="preserve"> </w:t>
      </w:r>
      <w:r>
        <w:t xml:space="preserve">securities settlement systems</w:t>
      </w:r>
      <w:r>
        <w:t xml:space="preserve"> </w:t>
      </w:r>
      <w:r>
        <w:t xml:space="preserve">Single Euro Payments</w:t>
      </w:r>
      <w:r>
        <w:t xml:space="preserve"> </w:t>
      </w:r>
      <w:r>
        <w:t xml:space="preserve">Area (SEPA)</w:t>
      </w:r>
      <w:r>
        <w:t xml:space="preserve"> </w:t>
      </w:r>
      <w:r>
        <w:t xml:space="preserve">An initiative of European banks and the Eurosystem and European</w:t>
      </w:r>
      <w:r>
        <w:t xml:space="preserve"> </w:t>
      </w:r>
      <w:r>
        <w:t xml:space="preserve">Commission with a view to integrating retail payment systems and</w:t>
      </w:r>
      <w:r>
        <w:t xml:space="preserve"> </w:t>
      </w:r>
      <w:r>
        <w:t xml:space="preserve">transforming the euro area into a true domestic market for the payment</w:t>
      </w:r>
      <w:r>
        <w:t xml:space="preserve"> </w:t>
      </w:r>
      <w:r>
        <w:t xml:space="preserve">industry.</w:t>
      </w:r>
      <w:r>
        <w:t xml:space="preserve"> </w:t>
      </w:r>
      <w:r>
        <w:t xml:space="preserve">Strong</w:t>
      </w:r>
      <w:r>
        <w:t xml:space="preserve"> </w:t>
      </w:r>
      <w:r>
        <w:t xml:space="preserve">Customer</w:t>
      </w:r>
      <w:r>
        <w:t xml:space="preserve"> </w:t>
      </w:r>
      <w:r>
        <w:t xml:space="preserve">Authentication (SCA)</w:t>
      </w:r>
      <w:r>
        <w:t xml:space="preserve"> </w:t>
      </w:r>
      <w:r>
        <w:t xml:space="preserve">Authentication of an operation using at least two of the following three</w:t>
      </w:r>
      <w:r>
        <w:t xml:space="preserve"> </w:t>
      </w:r>
      <w:r>
        <w:t xml:space="preserve">elements: something the user knows (e.g. password or PIN), something the</w:t>
      </w:r>
      <w:r>
        <w:t xml:space="preserve"> </w:t>
      </w:r>
      <w:r>
        <w:t xml:space="preserve">user has (e.g. mobile phone or hardware token), something the user is (e.g. </w:t>
      </w:r>
      <w:r>
        <w:t xml:space="preserve"> </w:t>
      </w:r>
      <w:r>
        <w:t xml:space="preserve">fingerprint or face recognition).</w:t>
      </w:r>
      <w:r>
        <w:t xml:space="preserve"> </w:t>
      </w:r>
      <w:r>
        <w:t xml:space="preserve">Third Party Provider of</w:t>
      </w:r>
      <w:r>
        <w:t xml:space="preserve"> </w:t>
      </w:r>
      <w:r>
        <w:t xml:space="preserve">payment services (TPP)</w:t>
      </w:r>
      <w:r>
        <w:t xml:space="preserve"> </w:t>
      </w:r>
      <w:r>
        <w:t xml:space="preserve">A non-account-servicing PSP carrying out Open Banking services, either</w:t>
      </w:r>
      <w:r>
        <w:t xml:space="preserve"> </w:t>
      </w:r>
      <w:r>
        <w:t xml:space="preserve">payment initiation services or account information services (an AISP or a</w:t>
      </w:r>
      <w:r>
        <w:t xml:space="preserve"> </w:t>
      </w:r>
      <w:r>
        <w:t xml:space="preserve">PISP). A TPP is a data user in Open Banking terms.</w:t>
      </w:r>
    </w:p>
    <w:p>
      <w:pPr>
        <w:pStyle w:val="BodyText"/>
      </w:pPr>
      <w:r>
        <w:t xml:space="preserve">1 While this is not the only Regulatory Technical Standard under PSD2, it is the only one discussed in this</w:t>
      </w:r>
      <w:r>
        <w:t xml:space="preserve"> </w:t>
      </w:r>
      <w:r>
        <w:t xml:space="preserve">impact assessment.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Table of Abbreviations</w:t>
      </w:r>
    </w:p>
    <w:p>
      <w:pPr>
        <w:pStyle w:val="BodyText"/>
      </w:pPr>
      <w:r>
        <w:t xml:space="preserve">ADR</w:t>
      </w:r>
      <w:r>
        <w:t xml:space="preserve"> </w:t>
      </w:r>
      <w:r>
        <w:t xml:space="preserve">Alternative Dispute Resolution</w:t>
      </w:r>
      <w:r>
        <w:t xml:space="preserve"> </w:t>
      </w:r>
      <w:r>
        <w:t xml:space="preserve">AIS</w:t>
      </w:r>
      <w:r>
        <w:t xml:space="preserve"> </w:t>
      </w:r>
      <w:r>
        <w:t xml:space="preserve">Account Information Service</w:t>
      </w:r>
      <w:r>
        <w:t xml:space="preserve"> </w:t>
      </w:r>
      <w:r>
        <w:t xml:space="preserve">AISP</w:t>
      </w:r>
      <w:r>
        <w:t xml:space="preserve"> </w:t>
      </w:r>
      <w:r>
        <w:t xml:space="preserve">Account Information Services Provider</w:t>
      </w:r>
      <w:r>
        <w:t xml:space="preserve"> </w:t>
      </w:r>
      <w:r>
        <w:t xml:space="preserve">AML</w:t>
      </w:r>
      <w:r>
        <w:t xml:space="preserve"> </w:t>
      </w:r>
      <w:r>
        <w:t xml:space="preserve">Anti-Money Laundering</w:t>
      </w:r>
      <w:r>
        <w:t xml:space="preserve"> </w:t>
      </w:r>
      <w:r>
        <w:t xml:space="preserve">APP</w:t>
      </w:r>
      <w:r>
        <w:t xml:space="preserve"> </w:t>
      </w:r>
      <w:r>
        <w:t xml:space="preserve">Authorised Push Payment</w:t>
      </w:r>
      <w:r>
        <w:br/>
      </w:r>
      <w:r>
        <w:t xml:space="preserve">ART</w:t>
      </w:r>
      <w:r>
        <w:t xml:space="preserve"> </w:t>
      </w:r>
      <w:r>
        <w:t xml:space="preserve">Asset-referenced token</w:t>
      </w:r>
      <w:r>
        <w:t xml:space="preserve"> </w:t>
      </w:r>
      <w:r>
        <w:t xml:space="preserve">ASPSP</w:t>
      </w:r>
      <w:r>
        <w:t xml:space="preserve"> </w:t>
      </w:r>
      <w:r>
        <w:t xml:space="preserve">Account Servicing Payment Service Provider</w:t>
      </w:r>
      <w:r>
        <w:br/>
      </w:r>
      <w:r>
        <w:t xml:space="preserve">ATM</w:t>
      </w:r>
      <w:r>
        <w:t xml:space="preserve"> </w:t>
      </w:r>
      <w:r>
        <w:t xml:space="preserve">Automatic Teller Machine</w:t>
      </w:r>
      <w:r>
        <w:t xml:space="preserve"> </w:t>
      </w:r>
      <w:r>
        <w:t xml:space="preserve">CASP</w:t>
      </w:r>
      <w:r>
        <w:t xml:space="preserve"> </w:t>
      </w:r>
      <w:r>
        <w:t xml:space="preserve">Crypto-assets service provider</w:t>
      </w:r>
      <w:r>
        <w:t xml:space="preserve"> </w:t>
      </w:r>
      <w:r>
        <w:t xml:space="preserve">CJEU</w:t>
      </w:r>
      <w:r>
        <w:t xml:space="preserve"> </w:t>
      </w:r>
      <w:r>
        <w:t xml:space="preserve">Court of Justice of the European Union</w:t>
      </w:r>
      <w:r>
        <w:t xml:space="preserve"> </w:t>
      </w:r>
      <w:r>
        <w:t xml:space="preserve">CSC</w:t>
      </w:r>
      <w:r>
        <w:t xml:space="preserve"> </w:t>
      </w:r>
      <w:r>
        <w:t xml:space="preserve">Common and Secure Communication</w:t>
      </w:r>
      <w:r>
        <w:t xml:space="preserve"> </w:t>
      </w:r>
      <w:r>
        <w:t xml:space="preserve">DORA</w:t>
      </w:r>
      <w:r>
        <w:t xml:space="preserve"> </w:t>
      </w:r>
      <w:r>
        <w:t xml:space="preserve">Digital Operational Resilience Act</w:t>
      </w:r>
      <w:r>
        <w:t xml:space="preserve"> </w:t>
      </w:r>
      <w:r>
        <w:t xml:space="preserve">EBA</w:t>
      </w:r>
      <w:r>
        <w:t xml:space="preserve"> </w:t>
      </w:r>
      <w:r>
        <w:t xml:space="preserve">European Banking Authority</w:t>
      </w:r>
      <w:r>
        <w:t xml:space="preserve"> </w:t>
      </w:r>
      <w:r>
        <w:t xml:space="preserve">EDIW</w:t>
      </w:r>
      <w:r>
        <w:t xml:space="preserve"> </w:t>
      </w:r>
      <w:r>
        <w:t xml:space="preserve">European Digital Identity Wallet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ECB</w:t>
      </w:r>
      <w:r>
        <w:t xml:space="preserve"> </w:t>
      </w:r>
      <w:r>
        <w:t xml:space="preserve">European Central Bank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EMD</w:t>
      </w:r>
      <w:r>
        <w:t xml:space="preserve"> </w:t>
      </w:r>
      <w:r>
        <w:t xml:space="preserve">Electronic Money Directive</w:t>
      </w:r>
      <w:r>
        <w:t xml:space="preserve"> </w:t>
      </w:r>
      <w:r>
        <w:t xml:space="preserve">EMI</w:t>
      </w:r>
      <w:r>
        <w:t xml:space="preserve"> </w:t>
      </w:r>
      <w:r>
        <w:t xml:space="preserve">Electronic Money Institution</w:t>
      </w:r>
      <w:r>
        <w:t xml:space="preserve"> </w:t>
      </w:r>
      <w:r>
        <w:t xml:space="preserve">EMT</w:t>
      </w:r>
      <w:r>
        <w:t xml:space="preserve"> </w:t>
      </w:r>
      <w:r>
        <w:t xml:space="preserve">Electronic Money Token</w:t>
      </w:r>
      <w:r>
        <w:t xml:space="preserve"> </w:t>
      </w:r>
      <w:r>
        <w:t xml:space="preserve">ERPB</w:t>
      </w:r>
      <w:r>
        <w:t xml:space="preserve"> </w:t>
      </w:r>
      <w:r>
        <w:t xml:space="preserve">Euro Retail Payments Board</w:t>
      </w:r>
      <w:r>
        <w:t xml:space="preserve"> </w:t>
      </w:r>
      <w:r>
        <w:t xml:space="preserve">EPC</w:t>
      </w:r>
      <w:r>
        <w:t xml:space="preserve"> </w:t>
      </w:r>
      <w:r>
        <w:t xml:space="preserve">European Payments Council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</w:t>
      </w:r>
      <w:r>
        <w:br/>
      </w:r>
      <w:r>
        <w:t xml:space="preserve">IBAN</w:t>
      </w:r>
      <w:r>
        <w:t xml:space="preserve"> </w:t>
      </w:r>
      <w:r>
        <w:t xml:space="preserve">International Bank Account Number</w:t>
      </w:r>
      <w:r>
        <w:t xml:space="preserve"> </w:t>
      </w:r>
      <w:r>
        <w:t xml:space="preserve">ICT</w:t>
      </w:r>
      <w:r>
        <w:t xml:space="preserve"> </w:t>
      </w:r>
      <w:r>
        <w:t xml:space="preserve">Information and Communication Technology</w:t>
      </w:r>
      <w:r>
        <w:t xml:space="preserve"> </w:t>
      </w:r>
      <w:r>
        <w:t xml:space="preserve">IFR</w:t>
      </w:r>
      <w:r>
        <w:t xml:space="preserve"> </w:t>
      </w:r>
      <w:r>
        <w:t xml:space="preserve">Interchange Fee Regulation (Regulation (EU) 2015/751)</w:t>
      </w:r>
      <w:r>
        <w:t xml:space="preserve"> </w:t>
      </w:r>
      <w:r>
        <w:t xml:space="preserve">IP</w:t>
      </w:r>
      <w:r>
        <w:t xml:space="preserve"> </w:t>
      </w:r>
      <w:r>
        <w:t xml:space="preserve">Instant Payment</w:t>
      </w:r>
      <w:r>
        <w:t xml:space="preserve"> </w:t>
      </w:r>
      <w:r>
        <w:t xml:space="preserve">IT</w:t>
      </w:r>
      <w:r>
        <w:t xml:space="preserve"> </w:t>
      </w:r>
      <w:r>
        <w:t xml:space="preserve">Information Technology</w:t>
      </w:r>
      <w:r>
        <w:br/>
      </w:r>
      <w:r>
        <w:t xml:space="preserve">MFI</w:t>
      </w:r>
      <w:r>
        <w:t xml:space="preserve"> </w:t>
      </w:r>
      <w:r>
        <w:t xml:space="preserve">Monetary Financial Institution</w:t>
      </w:r>
      <w:r>
        <w:t xml:space="preserve"> </w:t>
      </w:r>
      <w:r>
        <w:t xml:space="preserve">MiCA</w:t>
      </w:r>
      <w:r>
        <w:t xml:space="preserve"> </w:t>
      </w:r>
      <w:r>
        <w:t xml:space="preserve">Markets in Crypto Assets Regulation</w:t>
      </w:r>
      <w:r>
        <w:t xml:space="preserve"> </w:t>
      </w:r>
      <w:r>
        <w:t xml:space="preserve">MiFID</w:t>
      </w:r>
      <w:r>
        <w:t xml:space="preserve"> </w:t>
      </w:r>
      <w:r>
        <w:t xml:space="preserve">Markets in Financial Instruments Directive</w:t>
      </w:r>
      <w:r>
        <w:t xml:space="preserve"> </w:t>
      </w:r>
      <w:r>
        <w:t xml:space="preserve">MIT</w:t>
      </w:r>
      <w:r>
        <w:t xml:space="preserve"> </w:t>
      </w:r>
      <w:r>
        <w:t xml:space="preserve">Merchant Initiated Transaction</w:t>
      </w:r>
      <w:r>
        <w:t xml:space="preserve"> </w:t>
      </w:r>
      <w:r>
        <w:t xml:space="preserve">MOTO</w:t>
      </w:r>
      <w:r>
        <w:t xml:space="preserve"> </w:t>
      </w:r>
      <w:r>
        <w:t xml:space="preserve">Mail Order or Telephone Order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NCA</w:t>
      </w:r>
      <w:r>
        <w:t xml:space="preserve"> </w:t>
      </w:r>
      <w:r>
        <w:t xml:space="preserve">National Competent Authority</w:t>
      </w:r>
      <w:r>
        <w:t xml:space="preserve"> </w:t>
      </w:r>
      <w:r>
        <w:t xml:space="preserve">NFC</w:t>
      </w:r>
      <w:r>
        <w:t xml:space="preserve"> </w:t>
      </w:r>
      <w:r>
        <w:t xml:space="preserve">Near Field Communication</w:t>
      </w:r>
      <w:r>
        <w:t xml:space="preserve"> </w:t>
      </w:r>
      <w:r>
        <w:t xml:space="preserve">OBIE</w:t>
      </w:r>
      <w:r>
        <w:t xml:space="preserve"> </w:t>
      </w:r>
      <w:r>
        <w:t xml:space="preserve">Open Banking Implementation Entity (in the UK)</w:t>
      </w:r>
      <w:r>
        <w:t xml:space="preserve"> </w:t>
      </w:r>
      <w:r>
        <w:t xml:space="preserve">P2P</w:t>
      </w:r>
      <w:r>
        <w:t xml:space="preserve"> </w:t>
      </w:r>
      <w:r>
        <w:t xml:space="preserve">Peer to peer</w:t>
      </w:r>
      <w:r>
        <w:t xml:space="preserve"> </w:t>
      </w:r>
      <w:r>
        <w:t xml:space="preserve">PI</w:t>
      </w:r>
      <w:r>
        <w:t xml:space="preserve"> </w:t>
      </w:r>
      <w:r>
        <w:t xml:space="preserve">Payment Institution</w:t>
      </w:r>
      <w:r>
        <w:t xml:space="preserve"> </w:t>
      </w:r>
      <w:r>
        <w:t xml:space="preserve">POI</w:t>
      </w:r>
      <w:r>
        <w:t xml:space="preserve"> </w:t>
      </w:r>
      <w:r>
        <w:t xml:space="preserve">Point of Interaction</w:t>
      </w:r>
      <w:r>
        <w:t xml:space="preserve"> </w:t>
      </w:r>
      <w:r>
        <w:t xml:space="preserve">POS</w:t>
      </w:r>
      <w:r>
        <w:t xml:space="preserve"> </w:t>
      </w:r>
      <w:r>
        <w:t xml:space="preserve">Point of Sale</w:t>
      </w:r>
      <w:r>
        <w:t xml:space="preserve"> </w:t>
      </w:r>
      <w:r>
        <w:t xml:space="preserve">PSD2</w:t>
      </w:r>
      <w:r>
        <w:t xml:space="preserve"> </w:t>
      </w:r>
      <w:r>
        <w:t xml:space="preserve">Second Payment Services Directive</w:t>
      </w:r>
      <w:r>
        <w:t xml:space="preserve"> </w:t>
      </w:r>
      <w:r>
        <w:t xml:space="preserve">PSMEG</w:t>
      </w:r>
      <w:r>
        <w:t xml:space="preserve"> </w:t>
      </w:r>
      <w:r>
        <w:t xml:space="preserve">Payment Systems Market Expert Group</w:t>
      </w:r>
      <w:r>
        <w:t xml:space="preserve"> </w:t>
      </w:r>
      <w:r>
        <w:t xml:space="preserve">PSP</w:t>
      </w:r>
      <w:r>
        <w:t xml:space="preserve"> </w:t>
      </w:r>
      <w:r>
        <w:t xml:space="preserve">Payment Service Provider</w:t>
      </w:r>
      <w:r>
        <w:t xml:space="preserve"> </w:t>
      </w:r>
      <w:r>
        <w:t xml:space="preserve">PSU</w:t>
      </w:r>
      <w:r>
        <w:t xml:space="preserve"> </w:t>
      </w:r>
      <w:r>
        <w:t xml:space="preserve">Payment Service User</w:t>
      </w:r>
      <w:r>
        <w:t xml:space="preserve"> </w:t>
      </w:r>
      <w:r>
        <w:t xml:space="preserve">QR</w:t>
      </w:r>
      <w:r>
        <w:t xml:space="preserve"> </w:t>
      </w:r>
      <w:r>
        <w:t xml:space="preserve">Quick Response</w:t>
      </w:r>
      <w:r>
        <w:t xml:space="preserve"> </w:t>
      </w:r>
      <w:r>
        <w:t xml:space="preserve">RPS</w:t>
      </w:r>
      <w:r>
        <w:t xml:space="preserve"> </w:t>
      </w:r>
      <w:r>
        <w:t xml:space="preserve">Retail Payments Strategy</w:t>
      </w:r>
      <w:r>
        <w:t xml:space="preserve"> </w:t>
      </w:r>
      <w:r>
        <w:t xml:space="preserve">RTS</w:t>
      </w:r>
      <w:r>
        <w:t xml:space="preserve"> </w:t>
      </w:r>
      <w:r>
        <w:t xml:space="preserve">Regulatory Technical Standard(s)</w:t>
      </w:r>
      <w:r>
        <w:t xml:space="preserve"> </w:t>
      </w:r>
      <w:r>
        <w:t xml:space="preserve">SCA</w:t>
      </w:r>
      <w:r>
        <w:t xml:space="preserve"> </w:t>
      </w:r>
      <w:r>
        <w:t xml:space="preserve">Strong Customer Authentication</w:t>
      </w:r>
      <w:r>
        <w:t xml:space="preserve"> </w:t>
      </w:r>
      <w:r>
        <w:t xml:space="preserve">SCT</w:t>
      </w:r>
      <w:r>
        <w:t xml:space="preserve"> </w:t>
      </w:r>
      <w:r>
        <w:t xml:space="preserve">SEPA Credit Transfer</w:t>
      </w:r>
      <w:r>
        <w:t xml:space="preserve"> </w:t>
      </w:r>
      <w:r>
        <w:t xml:space="preserve">SDD</w:t>
      </w:r>
      <w:r>
        <w:t xml:space="preserve"> </w:t>
      </w:r>
      <w:r>
        <w:t xml:space="preserve">SEPA Direct Debit</w:t>
      </w:r>
      <w:r>
        <w:t xml:space="preserve"> </w:t>
      </w:r>
      <w:r>
        <w:t xml:space="preserve">SEPA</w:t>
      </w:r>
      <w:r>
        <w:t xml:space="preserve"> </w:t>
      </w:r>
      <w:r>
        <w:t xml:space="preserve">Single Euro Payments Area</w:t>
      </w:r>
      <w:r>
        <w:t xml:space="preserve"> </w:t>
      </w:r>
      <w:r>
        <w:t xml:space="preserve">SFD</w:t>
      </w:r>
      <w:r>
        <w:t xml:space="preserve"> </w:t>
      </w:r>
      <w:r>
        <w:t xml:space="preserve">Settlement Finality Directive</w:t>
      </w:r>
      <w:r>
        <w:t xml:space="preserve"> </w:t>
      </w:r>
      <w:r>
        <w:t xml:space="preserve">TMM</w:t>
      </w:r>
      <w:r>
        <w:t xml:space="preserve"> </w:t>
      </w:r>
      <w:r>
        <w:t xml:space="preserve">Transaction Monitoring Mechanism(s)</w:t>
      </w:r>
      <w:r>
        <w:t xml:space="preserve"> </w:t>
      </w:r>
      <w:r>
        <w:t xml:space="preserve">TPP</w:t>
      </w:r>
      <w:r>
        <w:t xml:space="preserve"> </w:t>
      </w:r>
      <w:r>
        <w:t xml:space="preserve">Third Party Provider</w:t>
      </w:r>
      <w:r>
        <w:t xml:space="preserve"> </w:t>
      </w:r>
      <w:r>
        <w:t xml:space="preserve">TRA</w:t>
      </w:r>
      <w:r>
        <w:t xml:space="preserve"> </w:t>
      </w:r>
      <w:r>
        <w:t xml:space="preserve">Transaction Risk Analysis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</w:t>
      </w:r>
      <w:r>
        <w:t xml:space="preserve"> </w:t>
      </w:r>
      <w:r>
        <w:t xml:space="preserve">1.1</w:t>
      </w:r>
      <w:r>
        <w:t xml:space="preserve"> </w:t>
      </w:r>
      <w:r>
        <w:t xml:space="preserve">Retail payments in the EU</w:t>
      </w:r>
      <w:r>
        <w:t xml:space="preserve"> </w:t>
      </w:r>
      <w:r>
        <w:t xml:space="preserve">Retail payments are the lifeblood of the European economy. Effective and efficient retail</w:t>
      </w:r>
      <w:r>
        <w:t xml:space="preserve"> </w:t>
      </w:r>
      <w:r>
        <w:t xml:space="preserve">payment systems are essential for the smooth running of multiple sectors, the retail sales</w:t>
      </w:r>
      <w:r>
        <w:t xml:space="preserve"> </w:t>
      </w:r>
      <w:r>
        <w:t xml:space="preserve">sector, payments for utilities and rent, and many others, as well as payments between</w:t>
      </w:r>
      <w:r>
        <w:t xml:space="preserve"> </w:t>
      </w:r>
      <w:r>
        <w:t xml:space="preserve">individuals and between businesses. The second Payment Services Directive (PSD2) entered</w:t>
      </w:r>
      <w:r>
        <w:t xml:space="preserve"> </w:t>
      </w:r>
      <w:r>
        <w:t xml:space="preserve">into force in 2018 (replacing PSD1 which dated from 2007) and lays down the EU legal</w:t>
      </w:r>
      <w:r>
        <w:t xml:space="preserve"> </w:t>
      </w:r>
      <w:r>
        <w:t xml:space="preserve">framework for retail payments2; since 2018, the retail payment services market has been</w:t>
      </w:r>
      <w:r>
        <w:t xml:space="preserve"> </w:t>
      </w:r>
      <w:r>
        <w:t xml:space="preserve">undergoing key changes largely related to the increasing use of cards and other digital means</w:t>
      </w:r>
      <w:r>
        <w:t xml:space="preserve"> </w:t>
      </w:r>
      <w:r>
        <w:t xml:space="preserve">of payment, and the growing presence of new players and services. The Covid-19 pandemic</w:t>
      </w:r>
      <w:r>
        <w:t xml:space="preserve"> </w:t>
      </w:r>
      <w:r>
        <w:t xml:space="preserve">and the transformations it brought to consumption and payment practices has heightened the</w:t>
      </w:r>
      <w:r>
        <w:t xml:space="preserve"> </w:t>
      </w:r>
      <w:r>
        <w:t xml:space="preserve">importance of secure, efficient digital payments.</w:t>
      </w:r>
      <w:r>
        <w:br/>
      </w:r>
      <w:r>
        <w:t xml:space="preserve">Payment Service Users (PSUs, consumers and businesses), receive payment services from</w:t>
      </w:r>
      <w:r>
        <w:t xml:space="preserve"> </w:t>
      </w:r>
      <w:r>
        <w:t xml:space="preserve">Payment Service Providers (PSPs, mostly banks, but increasingly Payment Institutions and E-</w:t>
      </w:r>
      <w:r>
        <w:t xml:space="preserve"> </w:t>
      </w:r>
      <w:r>
        <w:t xml:space="preserve">Money Institutions, neither of which is allowed to lend money, unlike banks, and also</w:t>
      </w:r>
      <w:r>
        <w:t xml:space="preserve"> </w:t>
      </w:r>
      <w:r>
        <w:t xml:space="preserve">international remittance specialists). Some PSPs provide payment accounts (these are known</w:t>
      </w:r>
      <w:r>
        <w:t xml:space="preserve"> </w:t>
      </w:r>
      <w:r>
        <w:t xml:space="preserve">as ASPSPs, Account Servicing PSPs), while others provide payment services without the</w:t>
      </w:r>
      <w:r>
        <w:t xml:space="preserve"> </w:t>
      </w:r>
      <w:r>
        <w:t xml:space="preserve">need for an account (these include Open Banking providers, Account Information Service</w:t>
      </w:r>
      <w:r>
        <w:t xml:space="preserve"> </w:t>
      </w:r>
      <w:r>
        <w:t xml:space="preserve">Providers and Payment Initiation Service Providers, collectively known as Third Party</w:t>
      </w:r>
      <w:r>
        <w:t xml:space="preserve"> </w:t>
      </w:r>
      <w:r>
        <w:t xml:space="preserve">Providers or TPPs). Digital means of payment include credit transfers, direct debits, card-</w:t>
      </w:r>
      <w:r>
        <w:t xml:space="preserve"> </w:t>
      </w:r>
      <w:r>
        <w:t xml:space="preserve">based payments, e-money stored in digital wallets, and newer innovative means of payment,</w:t>
      </w:r>
      <w:r>
        <w:t xml:space="preserve"> </w:t>
      </w:r>
      <w:r>
        <w:t xml:space="preserve">such as using crypto-currencies. All digital payments require IT infrastructures in order to</w:t>
      </w:r>
      <w:r>
        <w:t xml:space="preserve"> </w:t>
      </w:r>
      <w:r>
        <w:t xml:space="preserve">operate, including different phases of a digital payment, such as authorisation, initiation,</w:t>
      </w:r>
      <w:r>
        <w:t xml:space="preserve"> </w:t>
      </w:r>
      <w:r>
        <w:t xml:space="preserve">execution and settlement. Some payment systems are entirely private, while public sector</w:t>
      </w:r>
      <w:r>
        <w:t xml:space="preserve"> </w:t>
      </w:r>
      <w:r>
        <w:t xml:space="preserve">bodies such as the Eurosystem operate certain key infrastructures. While cash itself is not a</w:t>
      </w:r>
      <w:r>
        <w:t xml:space="preserve"> </w:t>
      </w:r>
      <w:r>
        <w:t xml:space="preserve">digital means of payment, obtaining cash, for example from an ATM, is a digital payment</w:t>
      </w:r>
      <w:r>
        <w:t xml:space="preserve"> </w:t>
      </w:r>
      <w:r>
        <w:t xml:space="preserve">service requiring an IT network. Non-digital means of payment, such as cheques, still persist</w:t>
      </w:r>
      <w:r>
        <w:t xml:space="preserve"> </w:t>
      </w:r>
      <w:r>
        <w:t xml:space="preserve">in some Member States, despite high costs and inefficiencies.</w:t>
      </w:r>
      <w:r>
        <w:t xml:space="preserve"> </w:t>
      </w:r>
      <w:r>
        <w:t xml:space="preserve">Reaching €240 trillion in 2021 (compared with €184.2 tn in 2017), cashless payments in the</w:t>
      </w:r>
      <w:r>
        <w:t xml:space="preserve"> </w:t>
      </w:r>
      <w:r>
        <w:t xml:space="preserve">EU have been in constant growth, both in number and value of transactions (see Figure 1).</w:t>
      </w:r>
      <w:r>
        <w:t xml:space="preserve"> </w:t>
      </w:r>
      <w:r>
        <w:t xml:space="preserve">They are also increasing as a percentage of all payments, as shown in an ECB study3.</w:t>
      </w:r>
      <w:r>
        <w:t xml:space="preserve"> </w:t>
      </w:r>
      <w:r>
        <w:t xml:space="preserve">According to this study, in 2022, cash was used in 59% of Point Of Sale (POS) transactions</w:t>
      </w:r>
      <w:r>
        <w:t xml:space="preserve"> </w:t>
      </w:r>
      <w:r>
        <w:t xml:space="preserve">in the euro area, down from 79% in 20164. While cards represented 34% of POS transactions</w:t>
      </w:r>
      <w:r>
        <w:t xml:space="preserve"> </w:t>
      </w:r>
      <w:r>
        <w:t xml:space="preserve">(up from 19% in 2016), in terms of value, they accounted for a higher share of transactions</w:t>
      </w:r>
    </w:p>
    <w:p>
      <w:pPr>
        <w:pStyle w:val="FirstParagraph"/>
      </w:pPr>
      <w:r>
        <w:t xml:space="preserve">2 “Retail payments” designates the use of non-cash payment instruments by consumers and non-financial</w:t>
      </w:r>
      <w:r>
        <w:t xml:space="preserve"> </w:t>
      </w:r>
      <w:r>
        <w:t xml:space="preserve">businesses, including cards, credit transfers, direct debits, e-money and cheques.</w:t>
      </w:r>
      <w:r>
        <w:br/>
      </w:r>
      <w:r>
        <w:t xml:space="preserve">3 ECB 2022 Study on the payment attitudes of consumers in the euro area (SPACE) builds on data collected</w:t>
      </w:r>
      <w:r>
        <w:t xml:space="preserve"> </w:t>
      </w:r>
      <w:r>
        <w:t xml:space="preserve">through a survey of a random sample of the population in all euro area countries. It follows an identical SPACE</w:t>
      </w:r>
      <w:r>
        <w:t xml:space="preserve"> </w:t>
      </w:r>
      <w:r>
        <w:t xml:space="preserve">from 2020 and 2016 study on the use of cash by households in the euro area (SUCH).</w:t>
      </w:r>
      <w:r>
        <w:t xml:space="preserve"> </w:t>
      </w:r>
      <w:r>
        <w:t xml:space="preserve">4 Esselink, H. and Hernández, L., The use of cash by households in the euro area, ECB Occasional Paper Series,</w:t>
      </w:r>
      <w:r>
        <w:t xml:space="preserve"> </w:t>
      </w:r>
      <w:r>
        <w:t xml:space="preserve">No 201, November 2017.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than cash (46% compared to 42%), a change from 2019, when cash accounted for a higher</w:t>
      </w:r>
      <w:r>
        <w:t xml:space="preserve"> </w:t>
      </w:r>
      <w:r>
        <w:t xml:space="preserve">share of value of payments than cards (47% compared to 43%).</w:t>
      </w:r>
      <w:r>
        <w:t xml:space="preserve"> </w:t>
      </w:r>
      <w:r>
        <w:t xml:space="preserve">Figure 1: Cashless payments in the EU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Total</w:t>
      </w:r>
      <w:r>
        <w:t xml:space="preserve"> </w:t>
      </w:r>
      <w:r>
        <w:t xml:space="preserve">number (bn)</w:t>
      </w:r>
      <w:r>
        <w:t xml:space="preserve"> </w:t>
      </w:r>
      <w:r>
        <w:t xml:space="preserve">114.3</w:t>
      </w:r>
      <w:r>
        <w:t xml:space="preserve"> </w:t>
      </w:r>
      <w:r>
        <w:t xml:space="preserve">123.2</w:t>
      </w:r>
      <w:r>
        <w:t xml:space="preserve"> </w:t>
      </w:r>
      <w:r>
        <w:t xml:space="preserve">128.1</w:t>
      </w:r>
      <w:r>
        <w:t xml:space="preserve"> </w:t>
      </w:r>
      <w:r>
        <w:t xml:space="preserve">139.7</w:t>
      </w:r>
      <w:r>
        <w:t xml:space="preserve"> </w:t>
      </w:r>
      <w:r>
        <w:t xml:space="preserve">152.0</w:t>
      </w:r>
      <w:r>
        <w:t xml:space="preserve"> </w:t>
      </w:r>
      <w:r>
        <w:t xml:space="preserve">126.9</w:t>
      </w:r>
      <w:r>
        <w:br/>
      </w:r>
      <w:r>
        <w:t xml:space="preserve">143.2</w:t>
      </w:r>
      <w:r>
        <w:t xml:space="preserve"> </w:t>
      </w:r>
      <w:r>
        <w:t xml:space="preserve">Total</w:t>
      </w:r>
      <w:r>
        <w:t xml:space="preserve"> </w:t>
      </w:r>
      <w:r>
        <w:t xml:space="preserve">value</w:t>
      </w:r>
      <w:r>
        <w:t xml:space="preserve"> </w:t>
      </w:r>
      <w:r>
        <w:t xml:space="preserve">(€ tn)</w:t>
      </w:r>
      <w:r>
        <w:t xml:space="preserve"> </w:t>
      </w:r>
      <w:r>
        <w:t xml:space="preserve">276.7</w:t>
      </w:r>
      <w:r>
        <w:t xml:space="preserve"> </w:t>
      </w:r>
      <w:r>
        <w:t xml:space="preserve">281.4</w:t>
      </w:r>
      <w:r>
        <w:t xml:space="preserve"> </w:t>
      </w:r>
      <w:r>
        <w:t xml:space="preserve">289.3</w:t>
      </w:r>
      <w:r>
        <w:t xml:space="preserve"> </w:t>
      </w:r>
      <w:r>
        <w:t xml:space="preserve">282.8</w:t>
      </w:r>
      <w:r>
        <w:t xml:space="preserve"> </w:t>
      </w:r>
      <w:r>
        <w:t xml:space="preserve">290.3</w:t>
      </w:r>
      <w:r>
        <w:t xml:space="preserve"> </w:t>
      </w:r>
      <w:r>
        <w:t xml:space="preserve">202.0</w:t>
      </w:r>
      <w:r>
        <w:t xml:space="preserve"> </w:t>
      </w:r>
      <w:r>
        <w:t xml:space="preserve">239.9</w:t>
      </w:r>
      <w:r>
        <w:t xml:space="preserve"> </w:t>
      </w:r>
      <w:r>
        <w:t xml:space="preserve">Source: ECB Statistical Data Warehouse; figures for EU (changing composition), all currencies combined</w:t>
      </w:r>
      <w:r>
        <w:br/>
      </w:r>
      <w:r>
        <w:t xml:space="preserve">Amongst cashless payments, a number of important trends have occurred in recent years,</w:t>
      </w:r>
      <w:r>
        <w:t xml:space="preserve"> </w:t>
      </w:r>
      <w:r>
        <w:t xml:space="preserve">resulting from digitisation of the economy, diversification in the supply of means of payment,</w:t>
      </w:r>
      <w:r>
        <w:t xml:space="preserve"> </w:t>
      </w:r>
      <w:r>
        <w:t xml:space="preserve">changes in payment habits, etc. As illustrated below (Figure 2), despite the increase in both</w:t>
      </w:r>
      <w:r>
        <w:t xml:space="preserve"> </w:t>
      </w:r>
      <w:r>
        <w:t xml:space="preserve">credit transfers and direct debits, the most noteworthy trends are the increasing use of cards</w:t>
      </w:r>
      <w:r>
        <w:t xml:space="preserve"> </w:t>
      </w:r>
      <w:r>
        <w:t xml:space="preserve">(with a 55% increase in 2021 compared to 2017) and e-money (120% increase in 2021</w:t>
      </w:r>
      <w:r>
        <w:t xml:space="preserve"> </w:t>
      </w:r>
      <w:r>
        <w:t xml:space="preserve">compared to 2017).</w:t>
      </w:r>
      <w:r>
        <w:br/>
      </w:r>
      <w:r>
        <w:t xml:space="preserve">Figure 2: Number of cashless payments in the EU 2017 - 2021 (in billions)</w:t>
      </w:r>
    </w:p>
    <w:p>
      <w:pPr>
        <w:pStyle w:val="BodyText"/>
      </w:pPr>
      <w:r>
        <w:t xml:space="preserve">Source: ECB Statistical Data Warehouse; Payment Statistics 2021</w:t>
      </w:r>
      <w:r>
        <w:t xml:space="preserve"> </w:t>
      </w:r>
      <w:r>
        <w:t xml:space="preserve">In percentage terms, cards rose to 52% of total number of transactions (compared to 46.8% in</w:t>
      </w:r>
      <w:r>
        <w:t xml:space="preserve"> </w:t>
      </w:r>
      <w:r>
        <w:t xml:space="preserve">2017), and e-money payments to 5.2% (up from 3.3% in 2017), whereas the share of other</w:t>
      </w:r>
      <w:r>
        <w:t xml:space="preserve"> </w:t>
      </w:r>
      <w:r>
        <w:t xml:space="preserve">payment instruments has fallen (see Figure 3)5. However, there are variations between</w:t>
      </w:r>
      <w:r>
        <w:t xml:space="preserve"> </w:t>
      </w:r>
      <w:r>
        <w:t xml:space="preserve">Member States. Thus, for instance, the share of card payments stood well above 52% in</w:t>
      </w:r>
      <w:r>
        <w:t xml:space="preserve"> </w:t>
      </w:r>
      <w:r>
        <w:t xml:space="preserve">Portugal (72,2%) and Romania (71,8%), where it has not changed significantly compared to</w:t>
      </w:r>
      <w:r>
        <w:t xml:space="preserve"> </w:t>
      </w:r>
      <w:r>
        <w:t xml:space="preserve">2017. The use of cards was also below the EU average in Germany (30,3%) and Bulgaria</w:t>
      </w:r>
    </w:p>
    <w:p>
      <w:pPr>
        <w:pStyle w:val="BodyText"/>
      </w:pPr>
      <w:r>
        <w:t xml:space="preserve">5 ECB, Statistical Data Warehouse, Payments Statistics Report, July 2022.</w:t>
      </w:r>
      <w:r>
        <w:t xml:space="preserve"> </w:t>
      </w:r>
      <w:r>
        <w:t xml:space="preserve">0,0</w:t>
      </w:r>
      <w:r>
        <w:t xml:space="preserve"> </w:t>
      </w:r>
      <w:r>
        <w:t xml:space="preserve">10,0</w:t>
      </w:r>
      <w:r>
        <w:t xml:space="preserve"> </w:t>
      </w:r>
      <w:r>
        <w:t xml:space="preserve">20,0</w:t>
      </w:r>
      <w:r>
        <w:t xml:space="preserve"> </w:t>
      </w:r>
      <w:r>
        <w:t xml:space="preserve">30,0</w:t>
      </w:r>
      <w:r>
        <w:t xml:space="preserve"> </w:t>
      </w:r>
      <w:r>
        <w:t xml:space="preserve">40,0</w:t>
      </w:r>
      <w:r>
        <w:t xml:space="preserve"> </w:t>
      </w:r>
      <w:r>
        <w:t xml:space="preserve">50,0</w:t>
      </w:r>
      <w:r>
        <w:t xml:space="preserve"> </w:t>
      </w:r>
      <w:r>
        <w:t xml:space="preserve">60,0</w:t>
      </w:r>
      <w:r>
        <w:t xml:space="preserve"> </w:t>
      </w:r>
      <w:r>
        <w:t xml:space="preserve">70,0</w:t>
      </w:r>
      <w:r>
        <w:t xml:space="preserve"> </w:t>
      </w:r>
      <w:r>
        <w:t xml:space="preserve">80,0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Direct debits</w:t>
      </w:r>
      <w:r>
        <w:t xml:space="preserve"> </w:t>
      </w:r>
      <w:r>
        <w:t xml:space="preserve">E-money</w:t>
      </w:r>
      <w:r>
        <w:t xml:space="preserve"> </w:t>
      </w:r>
      <w:r>
        <w:t xml:space="preserve">Card payments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(35%), although in both cases these figures represent an increase of about 10 percentage</w:t>
      </w:r>
      <w:r>
        <w:t xml:space="preserve"> </w:t>
      </w:r>
      <w:r>
        <w:t xml:space="preserve">points. when compared to 2017.</w:t>
      </w:r>
      <w:r>
        <w:br/>
      </w:r>
      <w:r>
        <w:t xml:space="preserve">Figure 3: Relative importance of various payment instruments (as percentage of the</w:t>
      </w:r>
      <w:r>
        <w:t xml:space="preserve"> </w:t>
      </w:r>
      <w:r>
        <w:t xml:space="preserve">total number of payments) 2017 and 2021</w:t>
      </w:r>
    </w:p>
    <w:p>
      <w:pPr>
        <w:pStyle w:val="BodyText"/>
      </w:pPr>
      <w:r>
        <w:t xml:space="preserve">Source: ECB Statistical Data Warehouse; Payment Statistics 2021</w:t>
      </w:r>
      <w:r>
        <w:t xml:space="preserve"> </w:t>
      </w:r>
      <w:r>
        <w:t xml:space="preserve">These trends have been influenced by changes in behaviour, but also by a growing diversity</w:t>
      </w:r>
      <w:r>
        <w:t xml:space="preserve"> </w:t>
      </w:r>
      <w:r>
        <w:t xml:space="preserve">of providers of payments as well as technical services. COVID-19 accelerated the rise of e-</w:t>
      </w:r>
      <w:r>
        <w:t xml:space="preserve"> </w:t>
      </w:r>
      <w:r>
        <w:t xml:space="preserve">commerce. In 2020, 22% of EU companies had e-commerce sales, with 19% of them</w:t>
      </w:r>
      <w:r>
        <w:t xml:space="preserve"> </w:t>
      </w:r>
      <w:r>
        <w:t xml:space="preserve">reporting that online sales reached at least 1% of their total turnover, a 1 percentage point</w:t>
      </w:r>
      <w:r>
        <w:t xml:space="preserve"> </w:t>
      </w:r>
      <w:r>
        <w:t xml:space="preserve">(pp) increase compared with 2019 and 6 pp up from 13% in 20106. In 2021, card payments</w:t>
      </w:r>
      <w:r>
        <w:t xml:space="preserve"> </w:t>
      </w:r>
      <w:r>
        <w:t xml:space="preserve">were the most used payment method in e-commerce: credit cards accounted for 25% and</w:t>
      </w:r>
      <w:r>
        <w:t xml:space="preserve"> </w:t>
      </w:r>
      <w:r>
        <w:t xml:space="preserve">debit cards for 17% of the total e-commerce transaction value in the EU7. Card payments</w:t>
      </w:r>
      <w:r>
        <w:t xml:space="preserve"> </w:t>
      </w:r>
      <w:r>
        <w:t xml:space="preserve">were followed by mobile wallets, which represented 27% of the transaction value in 2021.</w:t>
      </w:r>
      <w:r>
        <w:t xml:space="preserve"> </w:t>
      </w:r>
      <w:r>
        <w:t xml:space="preserve">New players enabled by digital technologies have become more widely available to</w:t>
      </w:r>
      <w:r>
        <w:t xml:space="preserve"> </w:t>
      </w:r>
      <w:r>
        <w:t xml:space="preserve">consumers. For example, non-bank Payment Service Providers (PSPs) such as Payment</w:t>
      </w:r>
      <w:r>
        <w:t xml:space="preserve"> </w:t>
      </w:r>
      <w:r>
        <w:t xml:space="preserve">Institutions (PIs) and E-Money Institutions (EMIs) are now widely present in the market,</w:t>
      </w:r>
      <w:r>
        <w:t xml:space="preserve"> </w:t>
      </w:r>
      <w:r>
        <w:t xml:space="preserve">with the EBA’s register of payment and E-Money Institutions under PSD2 presenting 724 PIs</w:t>
      </w:r>
      <w:r>
        <w:t xml:space="preserve"> </w:t>
      </w:r>
      <w:r>
        <w:t xml:space="preserve">and 275 EMIs in 20228. In addition, more efficient payment systems have recently been</w:t>
      </w:r>
      <w:r>
        <w:t xml:space="preserve"> </w:t>
      </w:r>
      <w:r>
        <w:t xml:space="preserve">developed, notably permitting instant credit transfers, taking place within seconds. According</w:t>
      </w:r>
      <w:r>
        <w:t xml:space="preserve"> </w:t>
      </w:r>
      <w:r>
        <w:t xml:space="preserve">to data from the European Payments Council for Q3 2022, instant payments (IPs) account for</w:t>
      </w:r>
      <w:r>
        <w:t xml:space="preserve"> </w:t>
      </w:r>
      <w:r>
        <w:t xml:space="preserve">about 13% of total volume of euro credit transfers in the EU.9</w:t>
      </w:r>
      <w:r>
        <w:br/>
      </w:r>
      <w:r>
        <w:t xml:space="preserve">Finally, related to the growing use of mobile phones for payments, large technology</w:t>
      </w:r>
      <w:r>
        <w:t xml:space="preserve"> </w:t>
      </w:r>
      <w:r>
        <w:t xml:space="preserve">companies (‘BigTechs’) have become more prominent in the payments sector as technology</w:t>
      </w:r>
    </w:p>
    <w:p>
      <w:pPr>
        <w:pStyle w:val="BodyText"/>
      </w:pPr>
      <w:r>
        <w:t xml:space="preserve">6 Eurostat, Online sales continue to grow among EU enterprises, December 2021.</w:t>
      </w:r>
      <w:r>
        <w:t xml:space="preserve"> </w:t>
      </w:r>
      <w:r>
        <w:t xml:space="preserve">7 Ibid.</w:t>
      </w:r>
      <w:r>
        <w:t xml:space="preserve"> </w:t>
      </w:r>
      <w:r>
        <w:t xml:space="preserve">8 European Banking Authority, Register of payment and E-Money Institutions under PSD2.</w:t>
      </w:r>
      <w:r>
        <w:t xml:space="preserve"> </w:t>
      </w:r>
      <w:r>
        <w:t xml:space="preserve">9 European Payments Council, SCT Inst scheme – where are we now and where are we heading?</w:t>
      </w:r>
      <w:r>
        <w:br/>
      </w:r>
      <w:r>
        <w:t xml:space="preserve">26,1%</w:t>
      </w:r>
      <w:r>
        <w:t xml:space="preserve"> </w:t>
      </w:r>
      <w:r>
        <w:t xml:space="preserve">20,1%</w:t>
      </w:r>
      <w:r>
        <w:t xml:space="preserve"> </w:t>
      </w:r>
      <w:r>
        <w:t xml:space="preserve">2,2%</w:t>
      </w:r>
      <w:r>
        <w:t xml:space="preserve"> </w:t>
      </w:r>
      <w:r>
        <w:t xml:space="preserve">3,3%</w:t>
      </w:r>
      <w:r>
        <w:t xml:space="preserve"> </w:t>
      </w:r>
      <w:r>
        <w:t xml:space="preserve">46,8%</w:t>
      </w:r>
      <w:r>
        <w:t xml:space="preserve"> </w:t>
      </w:r>
      <w:r>
        <w:t xml:space="preserve">1,7%</w:t>
      </w:r>
      <w:r>
        <w:t xml:space="preserve"> </w:t>
      </w:r>
      <w:r>
        <w:t xml:space="preserve">24,3%</w:t>
      </w:r>
      <w:r>
        <w:t xml:space="preserve"> </w:t>
      </w:r>
      <w:r>
        <w:t xml:space="preserve">16,8%</w:t>
      </w:r>
      <w:r>
        <w:t xml:space="preserve"> </w:t>
      </w:r>
      <w:r>
        <w:t xml:space="preserve">0,9%</w:t>
      </w:r>
      <w:r>
        <w:t xml:space="preserve"> </w:t>
      </w:r>
      <w:r>
        <w:t xml:space="preserve">5,2%</w:t>
      </w:r>
      <w:r>
        <w:t xml:space="preserve"> </w:t>
      </w:r>
      <w:r>
        <w:t xml:space="preserve">52,1%</w:t>
      </w:r>
      <w:r>
        <w:t xml:space="preserve"> </w:t>
      </w:r>
      <w:r>
        <w:t xml:space="preserve">0,9%</w:t>
      </w:r>
      <w:r>
        <w:t xml:space="preserve"> </w:t>
      </w:r>
      <w:r>
        <w:t xml:space="preserve">Credit transfers</w:t>
      </w:r>
      <w:r>
        <w:t xml:space="preserve"> </w:t>
      </w:r>
      <w:r>
        <w:t xml:space="preserve">Direct debits</w:t>
      </w:r>
      <w:r>
        <w:t xml:space="preserve"> </w:t>
      </w:r>
      <w:r>
        <w:t xml:space="preserve">Cheques</w:t>
      </w:r>
      <w:r>
        <w:t xml:space="preserve"> </w:t>
      </w:r>
      <w:r>
        <w:t xml:space="preserve">E-money</w:t>
      </w:r>
      <w:r>
        <w:t xml:space="preserve"> </w:t>
      </w:r>
      <w:r>
        <w:t xml:space="preserve">Card payments</w:t>
      </w:r>
      <w:r>
        <w:t xml:space="preserve"> </w:t>
      </w:r>
      <w:r>
        <w:t xml:space="preserve">Other payment services</w:t>
      </w:r>
      <w:r>
        <w:t xml:space="preserve"> </w:t>
      </w:r>
      <w:r>
        <w:t xml:space="preserve">2021</w:t>
      </w:r>
      <w:r>
        <w:t xml:space="preserve"> </w:t>
      </w:r>
      <w:r>
        <w:t xml:space="preserve">2017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or payment service providers, particularly via pass-through digital wallets enabling access to</w:t>
      </w:r>
      <w:r>
        <w:t xml:space="preserve"> </w:t>
      </w:r>
      <w:r>
        <w:t xml:space="preserve">tokenised versions of payment cards allowing contactless payments. Benefitting from</w:t>
      </w:r>
      <w:r>
        <w:t xml:space="preserve"> </w:t>
      </w:r>
      <w:r>
        <w:t xml:space="preserve">significant network economies and from their large access to non-payments data, they can</w:t>
      </w:r>
      <w:r>
        <w:t xml:space="preserve"> </w:t>
      </w:r>
      <w:r>
        <w:t xml:space="preserve">challenge established providers. Crypto-assets (including so-called ‘stablecoins’) may in</w:t>
      </w:r>
      <w:r>
        <w:t xml:space="preserve"> </w:t>
      </w:r>
      <w:r>
        <w:t xml:space="preserve">future increase their role in retail payments by offering new payment solutions based on</w:t>
      </w:r>
      <w:r>
        <w:t xml:space="preserve"> </w:t>
      </w:r>
      <w:r>
        <w:t xml:space="preserve">encryption and distributed ledger technology (DLT), although crypto-assets are not currently</w:t>
      </w:r>
      <w:r>
        <w:t xml:space="preserve"> </w:t>
      </w:r>
      <w:r>
        <w:t xml:space="preserve">used on any significant scale for retail payments.</w:t>
      </w:r>
      <w:r>
        <w:br/>
      </w:r>
      <w:r>
        <w:t xml:space="preserve">1.2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The second Payment Services Directive (PSD2) since 2018 provides a framework for all</w:t>
      </w:r>
      <w:r>
        <w:t xml:space="preserve"> </w:t>
      </w:r>
      <w:r>
        <w:t xml:space="preserve">retail payments in the EU, Euro and non-Euro, domestic and cross-border. The first Payment</w:t>
      </w:r>
      <w:r>
        <w:t xml:space="preserve"> </w:t>
      </w:r>
      <w:r>
        <w:t xml:space="preserve">Services Directive (PSD1), adopted in 200710, aimed at establishing a harmonised legal</w:t>
      </w:r>
      <w:r>
        <w:t xml:space="preserve"> </w:t>
      </w:r>
      <w:r>
        <w:t xml:space="preserve">framework for the creation of an integrated EU payments market. By removing the legal and</w:t>
      </w:r>
      <w:r>
        <w:t xml:space="preserve"> </w:t>
      </w:r>
      <w:r>
        <w:t xml:space="preserve">technical obstacles to a single payments market as well as by promoting market entry by a</w:t>
      </w:r>
      <w:r>
        <w:t xml:space="preserve"> </w:t>
      </w:r>
      <w:r>
        <w:t xml:space="preserve">new class of financial institutions, namely payment institutions, PSD1 aimed at introducing</w:t>
      </w:r>
      <w:r>
        <w:t xml:space="preserve"> </w:t>
      </w:r>
      <w:r>
        <w:t xml:space="preserve">more competition in payment systems and facilitating economies of scale. PSD1 also</w:t>
      </w:r>
      <w:r>
        <w:t xml:space="preserve"> </w:t>
      </w:r>
      <w:r>
        <w:t xml:space="preserve">provided a set of rules with regard to information requirements and reinforced the rights and</w:t>
      </w:r>
      <w:r>
        <w:t xml:space="preserve"> </w:t>
      </w:r>
      <w:r>
        <w:t xml:space="preserve">obligations linked to payment services.</w:t>
      </w:r>
      <w:r>
        <w:t xml:space="preserve"> </w:t>
      </w:r>
      <w:r>
        <w:t xml:space="preserve">The second Payment Services Directive (PSD2), adopted in 2015 and replacing PSD1, aimed</w:t>
      </w:r>
      <w:r>
        <w:t xml:space="preserve"> </w:t>
      </w:r>
      <w:r>
        <w:t xml:space="preserve">to address barriers to new types of payment services and improve the level of consumer</w:t>
      </w:r>
      <w:r>
        <w:t xml:space="preserve"> </w:t>
      </w:r>
      <w:r>
        <w:t xml:space="preserve">protection and security11. Most of the rules in PSD2 have been applicable since January 2018,</w:t>
      </w:r>
      <w:r>
        <w:t xml:space="preserve"> </w:t>
      </w:r>
      <w:r>
        <w:t xml:space="preserve">but some rules on SCA and access to payment accounts data have applied only since</w:t>
      </w:r>
      <w:r>
        <w:t xml:space="preserve"> </w:t>
      </w:r>
      <w:r>
        <w:t xml:space="preserve">September 2019. In particular, PSD2 aimed to:</w:t>
      </w:r>
      <w:r>
        <w:t xml:space="preserve"> </w:t>
      </w:r>
      <w:r>
        <w:t xml:space="preserve"> ensure a level playing field between incumbent and new providers of card, internet</w:t>
      </w:r>
      <w:r>
        <w:t xml:space="preserve"> </w:t>
      </w:r>
      <w:r>
        <w:t xml:space="preserve">and mobile payments;</w:t>
      </w:r>
      <w:r>
        <w:t xml:space="preserve"> </w:t>
      </w:r>
      <w:r>
        <w:t xml:space="preserve"> increase the efficiency, transparency and choice of payment instruments for payment</w:t>
      </w:r>
      <w:r>
        <w:t xml:space="preserve"> </w:t>
      </w:r>
      <w:r>
        <w:t xml:space="preserve">service users (consumers and merchants);</w:t>
      </w:r>
      <w:r>
        <w:t xml:space="preserve"> </w:t>
      </w:r>
      <w:r>
        <w:t xml:space="preserve"> facilitate the provision of card, internet and mobile payment services across borders</w:t>
      </w:r>
      <w:r>
        <w:t xml:space="preserve"> </w:t>
      </w:r>
      <w:r>
        <w:t xml:space="preserve">within the EU by ensuring a Single Market for payments;</w:t>
      </w:r>
      <w:r>
        <w:br/>
      </w:r>
      <w:r>
        <w:t xml:space="preserve"> create an environment which helps innovative payment services to reach a broader</w:t>
      </w:r>
      <w:r>
        <w:t xml:space="preserve"> </w:t>
      </w:r>
      <w:r>
        <w:t xml:space="preserve">market;</w:t>
      </w:r>
      <w:r>
        <w:t xml:space="preserve"> </w:t>
      </w:r>
      <w:r>
        <w:t xml:space="preserve"> ensure a high-level protection for PSUs across all Member States of the EU.</w:t>
      </w:r>
      <w:r>
        <w:t xml:space="preserve"> </w:t>
      </w:r>
      <w:r>
        <w:t xml:space="preserve">The review clause of PSD2 (Article 108) required the Commission to report on the</w:t>
      </w:r>
      <w:r>
        <w:t xml:space="preserve"> </w:t>
      </w:r>
      <w:r>
        <w:t xml:space="preserve">application and impact of the Directive by 13 January 2021, in particular on charges, scope,</w:t>
      </w:r>
      <w:r>
        <w:t xml:space="preserve"> </w:t>
      </w:r>
      <w:r>
        <w:t xml:space="preserve">thresholds and access to payment systems. The review could not take place by the date</w:t>
      </w:r>
      <w:r>
        <w:t xml:space="preserve"> </w:t>
      </w:r>
      <w:r>
        <w:t xml:space="preserve">provided for in the Directive due to its late transposition by some Member States and the</w:t>
      </w:r>
      <w:r>
        <w:t xml:space="preserve"> </w:t>
      </w:r>
      <w:r>
        <w:t xml:space="preserve">delay in applying some of its rules, such as on Strong Customer Authentication. The PSD2</w:t>
      </w:r>
      <w:r>
        <w:t xml:space="preserve"> </w:t>
      </w:r>
      <w:r>
        <w:t xml:space="preserve">evaluation therefore took place in 2022, including a call for advice to the EBA (hereafter the</w:t>
      </w:r>
    </w:p>
    <w:p>
      <w:pPr>
        <w:pStyle w:val="BodyText"/>
      </w:pPr>
      <w:r>
        <w:t xml:space="preserve">10 Directive 2007/64/EC of 13 November 2007 on payment services in the internal market .</w:t>
      </w:r>
      <w:r>
        <w:t xml:space="preserve"> </w:t>
      </w:r>
      <w:r>
        <w:t xml:space="preserve">11 Directive (EU) 2015/2366 of 25 November 2015 on payment services in the internal market 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‘EBA Advice’)12, a study by an external contractor (hereafter the ‘VVA/CEPS study’)13, and</w:t>
      </w:r>
      <w:r>
        <w:t xml:space="preserve"> </w:t>
      </w:r>
      <w:r>
        <w:t xml:space="preserve">various public and technical consultations (see Annex 2). The review report required by</w:t>
      </w:r>
      <w:r>
        <w:t xml:space="preserve"> </w:t>
      </w:r>
      <w:r>
        <w:t xml:space="preserve">Article 108 is being submitted to the EU co-legislators together with the present initiative.</w:t>
      </w:r>
      <w:r>
        <w:br/>
      </w:r>
      <w:r>
        <w:t xml:space="preserve">Another key piece of legislation in the payments area is the Single Euro Payments Area</w:t>
      </w:r>
      <w:r>
        <w:t xml:space="preserve"> </w:t>
      </w:r>
      <w:r>
        <w:t xml:space="preserve">(SEPA) Regulation of 2012, which harmonises credit transfers and direct debits in euro14. On</w:t>
      </w:r>
      <w:r>
        <w:t xml:space="preserve"> </w:t>
      </w:r>
      <w:r>
        <w:t xml:space="preserve">26 October 2022, the Commission proposed an amendment to the SEPA Regulation, to</w:t>
      </w:r>
      <w:r>
        <w:t xml:space="preserve"> </w:t>
      </w:r>
      <w:r>
        <w:t xml:space="preserve">accelerate and facilitate the use of euro Instant Payments in the EU15.</w:t>
      </w:r>
      <w:r>
        <w:br/>
      </w:r>
      <w:r>
        <w:t xml:space="preserve">A number of other relevant items of EU legislation exist in the payments area. Pricing of</w:t>
      </w:r>
      <w:r>
        <w:t xml:space="preserve"> </w:t>
      </w:r>
      <w:r>
        <w:t xml:space="preserve">domestic and cross-border transfers in euro has been equalised by law16. Multilateral</w:t>
      </w:r>
      <w:r>
        <w:t xml:space="preserve"> </w:t>
      </w:r>
      <w:r>
        <w:t xml:space="preserve">interchange fees for card payments have been regulated with maximum levels17. A legal</w:t>
      </w:r>
      <w:r>
        <w:t xml:space="preserve"> </w:t>
      </w:r>
      <w:r>
        <w:t xml:space="preserve">framework for e-money has been laid down18. The Settlement Finality Directive19 also covers</w:t>
      </w:r>
      <w:r>
        <w:t xml:space="preserve"> </w:t>
      </w:r>
      <w:r>
        <w:t xml:space="preserve">certain payment systems and is relevant in the context of this impact assessment. Regarding</w:t>
      </w:r>
      <w:r>
        <w:t xml:space="preserve"> </w:t>
      </w:r>
      <w:r>
        <w:t xml:space="preserve">crypto-assets, a Markets in Crypto-Assets Regulation (MiCA) was adopted by the co-</w:t>
      </w:r>
      <w:r>
        <w:t xml:space="preserve"> </w:t>
      </w:r>
      <w:r>
        <w:t xml:space="preserve">legislators in 202320, and a Digital Operational Resilience Act concerning cyber-security</w:t>
      </w:r>
      <w:r>
        <w:t xml:space="preserve"> </w:t>
      </w:r>
      <w:r>
        <w:t xml:space="preserve">(DORA) has been adopted21.</w:t>
      </w:r>
      <w:r>
        <w:t xml:space="preserve"> </w:t>
      </w:r>
      <w:r>
        <w:t xml:space="preserve">For Open Banking (see Annexes 5 and 11 and section 2.1.2. below), which centres around the</w:t>
      </w:r>
      <w:r>
        <w:t xml:space="preserve"> </w:t>
      </w:r>
      <w:r>
        <w:t xml:space="preserve">use of account data, which often constitute personal data, an important part of the legal</w:t>
      </w:r>
      <w:r>
        <w:t xml:space="preserve"> </w:t>
      </w:r>
      <w:r>
        <w:t xml:space="preserve">framework is the General Data Protection Regulation (GDPR)22 which provides for general</w:t>
      </w:r>
      <w:r>
        <w:t xml:space="preserve"> </w:t>
      </w:r>
      <w:r>
        <w:t xml:space="preserve">rules and requirements to ensure free flow of personal data and ensures the protection of</w:t>
      </w:r>
      <w:r>
        <w:t xml:space="preserve"> </w:t>
      </w:r>
      <w:r>
        <w:t xml:space="preserve">privacy and personal data of individuals in the EU. In February 2022, the Commission</w:t>
      </w:r>
      <w:r>
        <w:t xml:space="preserve"> </w:t>
      </w:r>
      <w:r>
        <w:t xml:space="preserve">adopted a proposal for a Data Act, to regulate who can access and make economic use of</w:t>
      </w:r>
      <w:r>
        <w:t xml:space="preserve"> </w:t>
      </w:r>
      <w:r>
        <w:t xml:space="preserve">data; when that proposal enters into force it will provide another key framework for Open</w:t>
      </w:r>
      <w:r>
        <w:t xml:space="preserve"> </w:t>
      </w:r>
      <w:r>
        <w:t xml:space="preserve">Banking 23, alongside the future EU legal framework for Open Finance, concerning financial</w:t>
      </w:r>
    </w:p>
    <w:p>
      <w:pPr>
        <w:pStyle w:val="BodyText"/>
      </w:pPr>
      <w:r>
        <w:t xml:space="preserve">12 European Banking Authority (EBA/Op/2022/06) Opinion of the European Banking Authority on its technical</w:t>
      </w:r>
      <w:r>
        <w:t xml:space="preserve"> </w:t>
      </w:r>
      <w:r>
        <w:t xml:space="preserve">advice on the review of Directive (EU) 2015/2366 on payment services in the internal market (PSD2), of 23</w:t>
      </w:r>
      <w:r>
        <w:t xml:space="preserve"> </w:t>
      </w:r>
      <w:r>
        <w:t xml:space="preserve">June 2022.</w:t>
      </w:r>
      <w:r>
        <w:t xml:space="preserve"> </w:t>
      </w:r>
      <w:r>
        <w:t xml:space="preserve">13 FISMA/2021/OP/0002, A study on the application and impact of Directive (EU) 2015/2366 on Payment</w:t>
      </w:r>
      <w:r>
        <w:t xml:space="preserve"> </w:t>
      </w:r>
      <w:r>
        <w:t xml:space="preserve">Services (PSD2). Available here.</w:t>
      </w:r>
      <w:r>
        <w:t xml:space="preserve"> </w:t>
      </w:r>
      <w:r>
        <w:t xml:space="preserve">14 Regulation (EU) No 260/2012 of 14 March 2012.</w:t>
      </w:r>
      <w:r>
        <w:t xml:space="preserve"> </w:t>
      </w:r>
      <w:r>
        <w:t xml:space="preserve">15 COM(2022) 546 final. See Annex 12 for more information about this proposal.</w:t>
      </w:r>
      <w:r>
        <w:t xml:space="preserve"> </w:t>
      </w:r>
      <w:r>
        <w:t xml:space="preserve">16 Regulation (EU) 2021/1230 of 14 July 2021 on cross-border payments in the Union (CBPR).</w:t>
      </w:r>
      <w:r>
        <w:t xml:space="preserve"> </w:t>
      </w:r>
      <w:r>
        <w:t xml:space="preserve">17 Regulation (EU) 2015/751 of 29 April 2015 on interchange fees for card-based payment transactions.</w:t>
      </w:r>
      <w:r>
        <w:t xml:space="preserve"> </w:t>
      </w:r>
      <w:r>
        <w:t xml:space="preserve">18 Directive 2009/110/EC of 16 September 2009 on the taking up, pursuit and prudential supervision of the</w:t>
      </w:r>
      <w:r>
        <w:t xml:space="preserve"> </w:t>
      </w:r>
      <w:r>
        <w:t xml:space="preserve">business of E-Money Institutions.</w:t>
      </w:r>
      <w:r>
        <w:t xml:space="preserve"> </w:t>
      </w:r>
      <w:r>
        <w:t xml:space="preserve">19 Directive 98/26/EC of 19 May 1998 on settlement finality in payment and securities settlement systems.</w:t>
      </w:r>
      <w:r>
        <w:t xml:space="preserve"> </w:t>
      </w:r>
      <w:r>
        <w:t xml:space="preserve">20 Regulation (EU) 2023/1114 of 31 May 2023 on markets in crypto-asssets. MiCA recognises one of the three</w:t>
      </w:r>
      <w:r>
        <w:t xml:space="preserve"> </w:t>
      </w:r>
      <w:r>
        <w:t xml:space="preserve">categories of crypto-assets, namely e-money tokens, as funds in the meaning of PSD2.</w:t>
      </w:r>
      <w:r>
        <w:t xml:space="preserve"> </w:t>
      </w:r>
      <w:r>
        <w:t xml:space="preserve">21 Regulation (EU) 2022/2554 of 14 December 2022 on digital operational resilience for the financial sector.</w:t>
      </w:r>
      <w:r>
        <w:t xml:space="preserve"> </w:t>
      </w:r>
      <w:r>
        <w:t xml:space="preserve">While PSPs in the meaning of PSD2 are covered by DORA, payment systems infrastructure operators are not</w:t>
      </w:r>
      <w:r>
        <w:t xml:space="preserve"> </w:t>
      </w:r>
      <w:r>
        <w:t xml:space="preserve">covered but a review clause requires the Commission to reconsider this exclusion, in the context of the PSD2</w:t>
      </w:r>
      <w:r>
        <w:t xml:space="preserve"> </w:t>
      </w:r>
      <w:r>
        <w:t xml:space="preserve">review. See Annex 6 and Annex 12.</w:t>
      </w:r>
      <w:r>
        <w:t xml:space="preserve"> </w:t>
      </w:r>
      <w:r>
        <w:t xml:space="preserve">22 Regulation (EU) 2016/679 of 27 April 2016 .</w:t>
      </w:r>
      <w:r>
        <w:t xml:space="preserve"> </w:t>
      </w:r>
      <w:r>
        <w:t xml:space="preserve">23 Proposal for a Regulation on harmonised rules on fair access to and use of data (Data Act), COM/2022/68</w:t>
      </w:r>
      <w:r>
        <w:t xml:space="preserve"> </w:t>
      </w:r>
      <w:r>
        <w:t xml:space="preserve">final of 23 February 2022.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data other than payments data, for which a proposal will be presented by the Commission in</w:t>
      </w:r>
      <w:r>
        <w:t xml:space="preserve"> </w:t>
      </w:r>
      <w:r>
        <w:t xml:space="preserve">parallel with the revision of PSD2.</w:t>
      </w:r>
      <w:r>
        <w:br/>
      </w:r>
      <w:r>
        <w:t xml:space="preserve">The European Central Bank and the Eurosystem play an important role in payment systems</w:t>
      </w:r>
      <w:r>
        <w:t xml:space="preserve"> </w:t>
      </w:r>
      <w:r>
        <w:t xml:space="preserve">regulation and oversight. For the oversight of payment systems the standards are mainly laid</w:t>
      </w:r>
      <w:r>
        <w:t xml:space="preserve"> </w:t>
      </w:r>
      <w:r>
        <w:t xml:space="preserve">out in the Regulation on Systemically Important Payment Systems24, and the oversight</w:t>
      </w:r>
      <w:r>
        <w:t xml:space="preserve"> </w:t>
      </w:r>
      <w:r>
        <w:t xml:space="preserve">framework for retail payment systems (RPS), which are not systemically important. For</w:t>
      </w:r>
      <w:r>
        <w:t xml:space="preserve"> </w:t>
      </w:r>
      <w:r>
        <w:t xml:space="preserve">payment instruments, schemes and arrangements the “PISA” oversight framework applies25.</w:t>
      </w:r>
      <w:r>
        <w:t xml:space="preserve"> </w:t>
      </w:r>
      <w:r>
        <w:t xml:space="preserve">See section 7.6 and Annex 12 for coherence of this initiative with existing legislation and</w:t>
      </w:r>
      <w:r>
        <w:t xml:space="preserve"> </w:t>
      </w:r>
      <w:r>
        <w:t xml:space="preserve">initiatives.</w:t>
      </w:r>
      <w:r>
        <w:t xml:space="preserve"> </w:t>
      </w:r>
      <w:r>
        <w:t xml:space="preserve">1.3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proposed revision of PSD2 features in the Commission Work Programme (CWP) for</w:t>
      </w:r>
      <w:r>
        <w:t xml:space="preserve"> </w:t>
      </w:r>
      <w:r>
        <w:t xml:space="preserve">202326, along with a planned legislative initiative on Open Finance, extending financial data</w:t>
      </w:r>
      <w:r>
        <w:t xml:space="preserve"> </w:t>
      </w:r>
      <w:r>
        <w:t xml:space="preserve">access and use beyond payment accounts to more financial services. The same CWP includes</w:t>
      </w:r>
      <w:r>
        <w:t xml:space="preserve"> </w:t>
      </w:r>
      <w:r>
        <w:t xml:space="preserve">a package to strengthen the role of the euro, including legislation providing a legal basis for a</w:t>
      </w:r>
      <w:r>
        <w:t xml:space="preserve"> </w:t>
      </w:r>
      <w:r>
        <w:t xml:space="preserve">future digital euro, a Regulation regulating the legal tender status and accessibility of cash.</w:t>
      </w:r>
      <w:r>
        <w:t xml:space="preserve"> </w:t>
      </w:r>
      <w:r>
        <w:t xml:space="preserve">The Commission’s 2020 Communication on a Retail Payments Strategy (RPS) for the EU27</w:t>
      </w:r>
      <w:r>
        <w:t xml:space="preserve"> </w:t>
      </w:r>
      <w:r>
        <w:t xml:space="preserve">laid down the Commission’s priorities for the retail payments area for the present</w:t>
      </w:r>
      <w:r>
        <w:t xml:space="preserve"> </w:t>
      </w:r>
      <w:r>
        <w:t xml:space="preserve">Commission college mandate. It was accompanied by a Digital Finance Strategy, setting out</w:t>
      </w:r>
      <w:r>
        <w:t xml:space="preserve"> </w:t>
      </w:r>
      <w:r>
        <w:t xml:space="preserve">priorities for the digital agenda in the finance sector other than payments28. The RPS</w:t>
      </w:r>
      <w:r>
        <w:t xml:space="preserve"> </w:t>
      </w:r>
      <w:r>
        <w:t xml:space="preserve">announced the launch of a comprehensive review of the application and impact of PSD2,</w:t>
      </w:r>
      <w:r>
        <w:t xml:space="preserve"> </w:t>
      </w:r>
      <w:r>
        <w:t xml:space="preserve">“which should include an overall assessment of whether it is still fit for purpose, taking into</w:t>
      </w:r>
      <w:r>
        <w:t xml:space="preserve"> </w:t>
      </w:r>
      <w:r>
        <w:t xml:space="preserve">account market developments”. The RPS planned for the review to include, among other</w:t>
      </w:r>
      <w:r>
        <w:t xml:space="preserve"> </w:t>
      </w:r>
      <w:r>
        <w:t xml:space="preserve">things, “an assessment of risks stemming from unregulated payment services, a stocktaking of</w:t>
      </w:r>
      <w:r>
        <w:t xml:space="preserve"> </w:t>
      </w:r>
      <w:r>
        <w:t xml:space="preserve">the impact of strong customer authentication on the level of payment fraud, and an</w:t>
      </w:r>
      <w:r>
        <w:t xml:space="preserve"> </w:t>
      </w:r>
      <w:r>
        <w:t xml:space="preserve">assessment of the development of new business models based on sharing payment account</w:t>
      </w:r>
      <w:r>
        <w:t xml:space="preserve"> </w:t>
      </w:r>
      <w:r>
        <w:t xml:space="preserve">data, such as payment initiation and account information services”.</w:t>
      </w:r>
      <w:r>
        <w:br/>
      </w:r>
      <w:r>
        <w:t xml:space="preserve">In its 2021 Conclusions on the RPS29, the Council welcomed “a comprehensive review of the</w:t>
      </w:r>
      <w:r>
        <w:t xml:space="preserve"> </w:t>
      </w:r>
      <w:r>
        <w:t xml:space="preserve">implementation of the Payment Services Directive 2 (PSD2), after its full deployment and</w:t>
      </w:r>
      <w:r>
        <w:t xml:space="preserve"> </w:t>
      </w:r>
      <w:r>
        <w:t xml:space="preserve">taking into account the challenges encountered in its implementation, focusing in particular</w:t>
      </w:r>
      <w:r>
        <w:t xml:space="preserve"> </w:t>
      </w:r>
      <w:r>
        <w:t xml:space="preserve">on assessing: i) the appropriateness of the scope of application (including as regards</w:t>
      </w:r>
      <w:r>
        <w:t xml:space="preserve"> </w:t>
      </w:r>
      <w:r>
        <w:t xml:space="preserve">technical service providers), and the need for further clarification of existing concepts and</w:t>
      </w:r>
      <w:r>
        <w:t xml:space="preserve"> </w:t>
      </w:r>
      <w:r>
        <w:t xml:space="preserve">rules; ii) the interplay with other sectoral legislation, notably the E-money Directive, the</w:t>
      </w:r>
      <w:r>
        <w:t xml:space="preserve"> </w:t>
      </w:r>
      <w:r>
        <w:t xml:space="preserve">Anti-money laundering Directive, the GDPR as well as ongoing legislative developments; iii)</w:t>
      </w:r>
    </w:p>
    <w:p>
      <w:pPr>
        <w:pStyle w:val="BodyText"/>
      </w:pPr>
      <w:r>
        <w:t xml:space="preserve">24 ECB Regulation ECB/2014/795 of 3 July.</w:t>
      </w:r>
      <w:r>
        <w:t xml:space="preserve"> </w:t>
      </w:r>
      <w:r>
        <w:t xml:space="preserve">25 Eurosystem oversight framework for electronic Payment Instruments, Schemes and Arrangements. November</w:t>
      </w:r>
      <w:r>
        <w:t xml:space="preserve"> </w:t>
      </w:r>
      <w:r>
        <w:t xml:space="preserve">2021</w:t>
      </w:r>
      <w:r>
        <w:t xml:space="preserve"> </w:t>
      </w:r>
      <w:r>
        <w:t xml:space="preserve">26 COM/2022/548 final, of 18 October 2022.</w:t>
      </w:r>
      <w:r>
        <w:t xml:space="preserve"> </w:t>
      </w:r>
      <w:r>
        <w:t xml:space="preserve">27 COM/2020/592 final, of 24/9/2020.</w:t>
      </w:r>
      <w:r>
        <w:t xml:space="preserve"> </w:t>
      </w:r>
      <w:r>
        <w:t xml:space="preserve">28 COM/2020/591 final, of 24/9/2020.</w:t>
      </w:r>
      <w:r>
        <w:t xml:space="preserve"> </w:t>
      </w:r>
      <w:r>
        <w:t xml:space="preserve">29 Council document 7225/21 of 22 March 2021. See §25ff.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the evolution to ‘open banking’, the handling of privacy-related risks, and the interplay with</w:t>
      </w:r>
      <w:r>
        <w:t xml:space="preserve"> </w:t>
      </w:r>
      <w:r>
        <w:t xml:space="preserve">EDPB guidelines in that respect; iv) its impact on competition, including the increasing role</w:t>
      </w:r>
      <w:r>
        <w:t xml:space="preserve"> </w:t>
      </w:r>
      <w:r>
        <w:t xml:space="preserve">of Big Tech and FinTech; v) its effectiveness in limiting fraud and enhancing consumer</w:t>
      </w:r>
      <w:r>
        <w:t xml:space="preserve"> </w:t>
      </w:r>
      <w:r>
        <w:t xml:space="preserve">protection, including strong customer authentication (SCA)”. The Council also “supports an</w:t>
      </w:r>
      <w:r>
        <w:t xml:space="preserve"> </w:t>
      </w:r>
      <w:r>
        <w:t xml:space="preserve">extension of the scope of the Settlement Finality Directive (SFD) to include e-money and</w:t>
      </w:r>
      <w:r>
        <w:t xml:space="preserve"> </w:t>
      </w:r>
      <w:r>
        <w:t xml:space="preserve">payment institutions, providing that the potential risks are carefully assessed and adequately</w:t>
      </w:r>
      <w:r>
        <w:t xml:space="preserve"> </w:t>
      </w:r>
      <w:r>
        <w:t xml:space="preserve">mitigated”.</w:t>
      </w:r>
      <w:r>
        <w:t xml:space="preserve"> </w:t>
      </w:r>
      <w:r>
        <w:t xml:space="preserve">The European Parliament did not adopt a report on the RPS, but on 17 March 2021 the</w:t>
      </w:r>
      <w:r>
        <w:t xml:space="preserve"> </w:t>
      </w:r>
      <w:r>
        <w:t xml:space="preserve">Commission organised a webinar on the RPS with members of the ECON Committee. At that</w:t>
      </w:r>
      <w:r>
        <w:t xml:space="preserve"> </w:t>
      </w:r>
      <w:r>
        <w:t xml:space="preserve">webinar, opinions of individual MEPs on the PSD2 review included the view that continued</w:t>
      </w:r>
      <w:r>
        <w:t xml:space="preserve"> </w:t>
      </w:r>
      <w:r>
        <w:t xml:space="preserve">market fragmentation and obstacles to innovation must be addressed, that PSD2’s future-</w:t>
      </w:r>
      <w:r>
        <w:t xml:space="preserve"> </w:t>
      </w:r>
      <w:r>
        <w:t xml:space="preserve">proofing be ensured and that its scope must be broadened to cover new types of market</w:t>
      </w:r>
      <w:r>
        <w:t xml:space="preserve"> </w:t>
      </w:r>
      <w:r>
        <w:t xml:space="preserve">participants, where justified.</w:t>
      </w:r>
      <w:r>
        <w:t xml:space="preserve"> </w:t>
      </w:r>
      <w:r>
        <w:t xml:space="preserve">2</w:t>
      </w:r>
      <w:r>
        <w:t xml:space="preserve"> </w:t>
      </w:r>
      <w:r>
        <w:t xml:space="preserve">PROBLEM DEFINITION</w:t>
      </w:r>
      <w:r>
        <w:br/>
      </w:r>
      <w:r>
        <w:t xml:space="preserve">Based on its PSD2 evaluation the Commission services have identified certain areas where</w:t>
      </w:r>
      <w:r>
        <w:t xml:space="preserve"> </w:t>
      </w:r>
      <w:r>
        <w:t xml:space="preserve">the objectives of PSD2 have not been fully achieved (see the Evaluation Report at Annex 5).</w:t>
      </w:r>
      <w:r>
        <w:t xml:space="preserve"> </w:t>
      </w:r>
      <w:r>
        <w:t xml:space="preserve">For example, the evaluation analysis has identified the rise in new types of fraud as an issue</w:t>
      </w:r>
      <w:r>
        <w:t xml:space="preserve"> </w:t>
      </w:r>
      <w:r>
        <w:t xml:space="preserve">of concern with regard to consumer protection objectives. Shortcomings have also been</w:t>
      </w:r>
      <w:r>
        <w:t xml:space="preserve"> </w:t>
      </w:r>
      <w:r>
        <w:t xml:space="preserve">identified with regard to the objective of improving the market in open banking services by</w:t>
      </w:r>
      <w:r>
        <w:t xml:space="preserve"> </w:t>
      </w:r>
      <w:r>
        <w:t xml:space="preserve">lowering market barriers faced by TPPs, while progress towards the objective of improving</w:t>
      </w:r>
      <w:r>
        <w:t xml:space="preserve"> </w:t>
      </w:r>
      <w:r>
        <w:t xml:space="preserve">the provision of cross-border payment services has also been limited, largely due to</w:t>
      </w:r>
      <w:r>
        <w:t xml:space="preserve"> </w:t>
      </w:r>
      <w:r>
        <w:t xml:space="preserve">inconsistencies in supervisory practices and enforcement across the EU. Finally, the</w:t>
      </w:r>
      <w:r>
        <w:t xml:space="preserve"> </w:t>
      </w:r>
      <w:r>
        <w:t xml:space="preserve">evaluation has also identified factors stifling progress concerning the PSD2 objective of</w:t>
      </w:r>
      <w:r>
        <w:t xml:space="preserve"> </w:t>
      </w:r>
      <w:r>
        <w:t xml:space="preserve">levelling the playing field between all PSPs. These issues have been grouped, for the</w:t>
      </w:r>
      <w:r>
        <w:t xml:space="preserve"> </w:t>
      </w:r>
      <w:r>
        <w:t xml:space="preserve">purposes of this impact assessment, into four topics: i) payment user protection (notably</w:t>
      </w:r>
      <w:r>
        <w:t xml:space="preserve"> </w:t>
      </w:r>
      <w:r>
        <w:t xml:space="preserve">against fraud); ii) functioning of Open Banking; iii) legal uncertainty and Single Market</w:t>
      </w:r>
      <w:r>
        <w:t xml:space="preserve"> </w:t>
      </w:r>
      <w:r>
        <w:t xml:space="preserve">fragmentation due to imperfect implementation and enforcement of PSD2 and iv) access to</w:t>
      </w:r>
      <w:r>
        <w:t xml:space="preserve"> </w:t>
      </w:r>
      <w:r>
        <w:t xml:space="preserve">key payment infrastructures by non-bank PSPs, leading to an unlevel playing field among</w:t>
      </w:r>
      <w:r>
        <w:t xml:space="preserve"> </w:t>
      </w:r>
      <w:r>
        <w:t xml:space="preserve">PSPs.</w:t>
      </w:r>
      <w:r>
        <w:br/>
      </w:r>
      <w:r>
        <w:t xml:space="preserve">Alongside these four areas discussed below in this section, a number of clarifications and</w:t>
      </w:r>
      <w:r>
        <w:t xml:space="preserve"> </w:t>
      </w:r>
      <w:r>
        <w:t xml:space="preserve">technical changes to the Directive are also deemed necessary; these clarifications are</w:t>
      </w:r>
      <w:r>
        <w:t xml:space="preserve"> </w:t>
      </w:r>
      <w:r>
        <w:t xml:space="preserve">described in Annex 7. No major changes to the Directive’s scope are planned; this is</w:t>
      </w:r>
      <w:r>
        <w:t xml:space="preserve"> </w:t>
      </w:r>
      <w:r>
        <w:t xml:space="preserve">explained in Annex 6. With a view to addressing the external coherence issues raised in the</w:t>
      </w:r>
      <w:r>
        <w:t xml:space="preserve"> </w:t>
      </w:r>
      <w:r>
        <w:t xml:space="preserve">Evaluation Report, it is considered that the legislative frameworks concerning E-Money</w:t>
      </w:r>
      <w:r>
        <w:t xml:space="preserve"> </w:t>
      </w:r>
      <w:r>
        <w:t xml:space="preserve">Institutions and Payment Institutions (today covered by separate directives) should be</w:t>
      </w:r>
      <w:r>
        <w:t xml:space="preserve"> </w:t>
      </w:r>
      <w:r>
        <w:t xml:space="preserve">brought closer together and that the e-money Directive should therefore be repealed and its</w:t>
      </w:r>
      <w:r>
        <w:t xml:space="preserve"> </w:t>
      </w:r>
      <w:r>
        <w:t xml:space="preserve">contents incorporated, with appropriate adjustments, into PSD; this is explained in Annex 8.</w:t>
      </w:r>
      <w:r>
        <w:t xml:space="preserve"> </w:t>
      </w:r>
      <w:r>
        <w:t xml:space="preserve">The implications of PSD2 for cash distribution by non-banks (independent ATM operators</w:t>
      </w:r>
      <w:r>
        <w:t xml:space="preserve"> </w:t>
      </w:r>
      <w:r>
        <w:t xml:space="preserve">and retailers), and modifications planned in this area, are discussed in Annex 9.</w:t>
      </w:r>
      <w:r>
        <w:t xml:space="preserve"> </w:t>
      </w:r>
      <w:r>
        <w:t xml:space="preserve">2.1 What is/are the problems and the problem drivers?</w:t>
      </w:r>
      <w:r>
        <w:t xml:space="preserve"> </w:t>
      </w:r>
      <w:r>
        <w:t xml:space="preserve">Given that the problem drivers are essentially regulatory (except for continuous development</w:t>
      </w:r>
      <w:r>
        <w:t xml:space="preserve"> </w:t>
      </w:r>
      <w:r>
        <w:t xml:space="preserve">of new types of fraud), problems and drivers are discussed together in one section.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2.1.1 Consumers at risk of fraud and lacking confidence in payments</w:t>
      </w:r>
      <w:r>
        <w:br/>
      </w:r>
      <w:r>
        <w:t xml:space="preserve">In the area of fraud, the major innovation of PSD2 was the introduction of SCA (Strong</w:t>
      </w:r>
      <w:r>
        <w:t xml:space="preserve"> </w:t>
      </w:r>
      <w:r>
        <w:t xml:space="preserve">Customer Authentication). See Figure 4 below for the principles behind SCA, which involves</w:t>
      </w:r>
      <w:r>
        <w:t xml:space="preserve"> </w:t>
      </w:r>
      <w:r>
        <w:t xml:space="preserve">two authentication measures, based on either knowledge (e.g. a password) or possession</w:t>
      </w:r>
      <w:r>
        <w:t xml:space="preserve"> </w:t>
      </w:r>
      <w:r>
        <w:t xml:space="preserve">(such as a card) or inherence (such as a fingerprint). Article 97 of PSD2 requires PSPs to</w:t>
      </w:r>
      <w:r>
        <w:t xml:space="preserve"> </w:t>
      </w:r>
      <w:r>
        <w:t xml:space="preserve">apply SCA where the payer accesses a payment account online, initiates a digital payment</w:t>
      </w:r>
      <w:r>
        <w:t xml:space="preserve"> </w:t>
      </w:r>
      <w:r>
        <w:t xml:space="preserve">transaction, or carries out any action through a remote channel which may imply a risk of</w:t>
      </w:r>
      <w:r>
        <w:t xml:space="preserve"> </w:t>
      </w:r>
      <w:r>
        <w:t xml:space="preserve">payment fraud or other abuses. The PSD2 regulatory technical standards on SCA and</w:t>
      </w:r>
      <w:r>
        <w:t xml:space="preserve"> </w:t>
      </w:r>
      <w:r>
        <w:t xml:space="preserve">common and secure communication (hereafter, “the RTS”)30 introduced further security</w:t>
      </w:r>
      <w:r>
        <w:t xml:space="preserve"> </w:t>
      </w:r>
      <w:r>
        <w:t xml:space="preserve">requirements applicable to PSPs. The Commission’s evaluation (see Annex 5) concludes that</w:t>
      </w:r>
      <w:r>
        <w:t xml:space="preserve"> </w:t>
      </w:r>
      <w:r>
        <w:t xml:space="preserve">SCA has already been highly successful in reducing fraud. However, a number of fraud-</w:t>
      </w:r>
      <w:r>
        <w:t xml:space="preserve"> </w:t>
      </w:r>
      <w:r>
        <w:t xml:space="preserve">related issues remain.</w:t>
      </w:r>
      <w:r>
        <w:t xml:space="preserve"> </w:t>
      </w:r>
      <w:r>
        <w:t xml:space="preserve">Figure 4: Strong Customer Authentication (source: Bank of Portugal)</w:t>
      </w:r>
    </w:p>
    <w:p>
      <w:pPr>
        <w:pStyle w:val="BodyText"/>
      </w:pPr>
      <w:r>
        <w:t xml:space="preserve">30 Commission Delegated Regulation (EU) 2018/389 of 27 November 2017 supplementing Directive (EU)</w:t>
      </w:r>
      <w:r>
        <w:t xml:space="preserve"> </w:t>
      </w:r>
      <w:r>
        <w:t xml:space="preserve">2015/2366 of the European Parliament and of the Council with regard to regulatory technical standards for</w:t>
      </w:r>
      <w:r>
        <w:t xml:space="preserve"> </w:t>
      </w:r>
      <w:r>
        <w:t xml:space="preserve">strong customer authentication and common and secure open standards of communication of 27 November</w:t>
      </w:r>
      <w:r>
        <w:t xml:space="preserve"> </w:t>
      </w:r>
      <w:r>
        <w:t xml:space="preserve">2017, as amended.</w:t>
      </w:r>
    </w:p>
    <w:p>
      <w:pPr>
        <w:pStyle w:val="BodyText"/>
      </w:pPr>
      <w:r>
        <w:t xml:space="preserve">9</w:t>
      </w:r>
    </w:p>
    <w:p>
      <w:pPr>
        <w:pStyle w:val="Compact"/>
        <w:numPr>
          <w:ilvl w:val="0"/>
          <w:numId w:val="1002"/>
        </w:numPr>
      </w:pPr>
      <w:r>
        <w:t xml:space="preserve">New types of fraud not prevented by SCA</w:t>
      </w:r>
      <w:r>
        <w:t xml:space="preserve"> </w:t>
      </w:r>
      <w:r>
        <w:t xml:space="preserve">There are still fraud-related problems, despite the success of SCA in reducing fraud. One of</w:t>
      </w:r>
      <w:r>
        <w:t xml:space="preserve"> </w:t>
      </w:r>
      <w:r>
        <w:t xml:space="preserve">the drivers of these is the fact that fraudsters are constantly adapting their techniques to get</w:t>
      </w:r>
      <w:r>
        <w:t xml:space="preserve"> </w:t>
      </w:r>
      <w:r>
        <w:t xml:space="preserve">around regulatory frameworks. Such techniques can involve illegal impersonation (e.g. a</w:t>
      </w:r>
      <w:r>
        <w:t xml:space="preserve"> </w:t>
      </w:r>
      <w:r>
        <w:t xml:space="preserve">fraudster makes the payment instead of a genuine payer as a result of a cyberattack or theft of</w:t>
      </w:r>
      <w:r>
        <w:t xml:space="preserve"> </w:t>
      </w:r>
      <w:r>
        <w:t xml:space="preserve">a payment instrument), or a criminal activity which occurs before the payment is made by a</w:t>
      </w:r>
      <w:r>
        <w:t xml:space="preserve"> </w:t>
      </w:r>
      <w:r>
        <w:t xml:space="preserve">genuine payer. Such “pre-payment fraud” can take the form of invoice fraud (where invoices</w:t>
      </w:r>
      <w:r>
        <w:t xml:space="preserve"> </w:t>
      </w:r>
      <w:r>
        <w:t xml:space="preserve">are intercepted and the merchant account number is substituted for that of the fraudster31), or</w:t>
      </w:r>
      <w:r>
        <w:t xml:space="preserve"> </w:t>
      </w:r>
      <w:r>
        <w:t xml:space="preserve">more sophisticated “Authorised Push Payment” (APP) frauds involving social engineering of</w:t>
      </w:r>
      <w:r>
        <w:t xml:space="preserve"> </w:t>
      </w:r>
      <w:r>
        <w:t xml:space="preserve">the payer through direct interaction (e.g. manipulation of the payer into believing s/he is</w:t>
      </w:r>
      <w:r>
        <w:t xml:space="preserve"> </w:t>
      </w:r>
      <w:r>
        <w:t xml:space="preserve">dealing with a genuine payee or even with a bank representative). Cases of such APP fraud</w:t>
      </w:r>
      <w:r>
        <w:t xml:space="preserve"> </w:t>
      </w:r>
      <w:r>
        <w:t xml:space="preserve">(phishing, vishing, smishing, spoofing etc.) cannot be tackled by SCA because, technically</w:t>
      </w:r>
      <w:r>
        <w:t xml:space="preserve"> </w:t>
      </w:r>
      <w:r>
        <w:t xml:space="preserve">and legally, most of these fraudulent transactions have been authorised by the payer using</w:t>
      </w:r>
      <w:r>
        <w:t xml:space="preserve"> </w:t>
      </w:r>
      <w:r>
        <w:t xml:space="preserve">SCA. The fraud is in fact taking place before SCA without the payer knowing that s/he is</w:t>
      </w:r>
      <w:r>
        <w:t xml:space="preserve"> </w:t>
      </w:r>
      <w:r>
        <w:t xml:space="preserve">being defrauded. The consumer thinks in good faith that s/he is sending money to recipient X,</w:t>
      </w:r>
      <w:r>
        <w:t xml:space="preserve"> </w:t>
      </w:r>
      <w:r>
        <w:t xml:space="preserve">whereas in reality s/he is sending money to a fraudster. According to the European Payments</w:t>
      </w:r>
      <w:r>
        <w:t xml:space="preserve"> </w:t>
      </w:r>
      <w:r>
        <w:t xml:space="preserve">Council, social engineering attacks and phishing attempts are still increasing, often in</w:t>
      </w:r>
      <w:r>
        <w:t xml:space="preserve"> </w:t>
      </w:r>
      <w:r>
        <w:t xml:space="preserve">combination with malware, with a shift from consumers, retailers, SMEs to company</w:t>
      </w:r>
      <w:r>
        <w:t xml:space="preserve"> </w:t>
      </w:r>
      <w:r>
        <w:t xml:space="preserve">executives, employees (through “CEO fraud” or “impersonation fraud”), payment service</w:t>
      </w:r>
      <w:r>
        <w:t xml:space="preserve"> </w:t>
      </w:r>
      <w:r>
        <w:t xml:space="preserve">providers (PSPs) and payment infrastructures and more frequently leading to APP fraud.</w:t>
      </w:r>
      <w:r>
        <w:t xml:space="preserve"> </w:t>
      </w:r>
      <w:r>
        <w:t xml:space="preserve">These techniques have greatly evolved over the last years as the targets are users rather than</w:t>
      </w:r>
      <w:r>
        <w:t xml:space="preserve"> </w:t>
      </w:r>
      <w:r>
        <w:t xml:space="preserve">technology. In Ireland for example APP fraud rose by 15.9% in volume terms year on year in</w:t>
      </w:r>
      <w:r>
        <w:t xml:space="preserve"> </w:t>
      </w:r>
      <w:r>
        <w:t xml:space="preserve">2021 with an average APP fraud transaction amounting to € 4,237 in 202132. According to</w:t>
      </w:r>
      <w:r>
        <w:t xml:space="preserve"> </w:t>
      </w:r>
      <w:r>
        <w:t xml:space="preserve">Banque de France, APP fraud in France corresponds to 59% of total fraud in value terms33. In</w:t>
      </w:r>
      <w:r>
        <w:t xml:space="preserve"> </w:t>
      </w:r>
      <w:r>
        <w:t xml:space="preserve">the UK in 2021, scams involving the impersonation of police or bank staff were the second-</w:t>
      </w:r>
      <w:r>
        <w:t xml:space="preserve"> </w:t>
      </w:r>
      <w:r>
        <w:t xml:space="preserve">highest category in terms of value, with £137.3mn lost to these forms of fraud. This</w:t>
      </w:r>
      <w:r>
        <w:t xml:space="preserve"> </w:t>
      </w:r>
      <w:r>
        <w:t xml:space="preserve">represented an increase of more than 50 per cent on 2020 levels34. In the Netherlands in 2022,</w:t>
      </w:r>
      <w:r>
        <w:t xml:space="preserve"> </w:t>
      </w:r>
      <w:r>
        <w:t xml:space="preserve">reported cases of impersonation fraud amounted to € 51mn of which 89% was reimbursed to</w:t>
      </w:r>
      <w:r>
        <w:t xml:space="preserve"> </w:t>
      </w:r>
      <w:r>
        <w:t xml:space="preserve">consumers on a voluntary basis via a leniency scheme that four major Dutch banks have</w:t>
      </w:r>
      <w:r>
        <w:t xml:space="preserve"> </w:t>
      </w:r>
      <w:r>
        <w:t xml:space="preserve">signed up to35.</w:t>
      </w:r>
      <w:r>
        <w:t xml:space="preserve"> </w:t>
      </w:r>
      <w:r>
        <w:t xml:space="preserve">Credit transfers have been found by the European Banking Authority (EBA)36 to be the</w:t>
      </w:r>
      <w:r>
        <w:t xml:space="preserve"> </w:t>
      </w:r>
      <w:r>
        <w:t xml:space="preserve">payment method for which APP fraud is the most prevalent, compared with other payment</w:t>
      </w:r>
      <w:r>
        <w:t xml:space="preserve"> </w:t>
      </w:r>
      <w:r>
        <w:t xml:space="preserve">instruments (such as cards, for which the more common type of fraud involves making</w:t>
      </w:r>
      <w:r>
        <w:t xml:space="preserve"> </w:t>
      </w:r>
      <w:r>
        <w:t xml:space="preserve">unauthorised payments, now substantially prevented by SCA). EBA stressed that credit</w:t>
      </w:r>
      <w:r>
        <w:t xml:space="preserve"> </w:t>
      </w:r>
      <w:r>
        <w:t xml:space="preserve">transfers, due to the much higher average value of fraudulent transactions (€ 4 190), had the</w:t>
      </w:r>
      <w:r>
        <w:t xml:space="preserve"> </w:t>
      </w:r>
      <w:r>
        <w:t xml:space="preserve">highest aggregate value of fraud (ca. € 310 million) in the second half of 2020, despite the</w:t>
      </w:r>
    </w:p>
    <w:p>
      <w:pPr>
        <w:pStyle w:val="FirstParagraph"/>
      </w:pPr>
      <w:r>
        <w:t xml:space="preserve">31 On invoice fraud, see section 3.3. of the European Payment Council report « 2022 Payments Threats and</w:t>
      </w:r>
      <w:r>
        <w:t xml:space="preserve"> </w:t>
      </w:r>
      <w:r>
        <w:t xml:space="preserve">Fraud Trends », available at this link.</w:t>
      </w:r>
      <w:r>
        <w:t xml:space="preserve"> </w:t>
      </w:r>
      <w:r>
        <w:t xml:space="preserve">32 FraudSMART, Payment Fraud Report H2 2021, p. 4.</w:t>
      </w:r>
      <w:r>
        <w:t xml:space="preserve"> </w:t>
      </w:r>
      <w:r>
        <w:t xml:space="preserve">33 Observatory for the security of payment means, Annual report 2021, July 2022, p. 7.</w:t>
      </w:r>
      <w:r>
        <w:t xml:space="preserve"> </w:t>
      </w:r>
      <w:r>
        <w:t xml:space="preserve">34 2022 UK Finance Annual Fraud Report, p. 64.</w:t>
      </w:r>
      <w:r>
        <w:t xml:space="preserve"> </w:t>
      </w:r>
      <w:r>
        <w:t xml:space="preserve">35 Information provided by the Dutch Payments Association, 17 March 2023.</w:t>
      </w:r>
      <w:r>
        <w:t xml:space="preserve"> </w:t>
      </w:r>
      <w:r>
        <w:t xml:space="preserve">36 European Banking Authority, Discussion Paper on the EBA’s preliminary observations on selected payment</w:t>
      </w:r>
      <w:r>
        <w:t xml:space="preserve"> </w:t>
      </w:r>
      <w:r>
        <w:t xml:space="preserve">fraud data under PSD2, as reported by the industry, EBA/DP/2022/01, January 2022.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lowest fraud rate overall; this generally translates to a significant impact on each affected</w:t>
      </w:r>
      <w:r>
        <w:t xml:space="preserve"> </w:t>
      </w:r>
      <w:r>
        <w:t xml:space="preserve">customer, compared to other payment instruments. Based on fraud data collected by EBA37</w:t>
      </w:r>
      <w:r>
        <w:t xml:space="preserve"> </w:t>
      </w:r>
      <w:r>
        <w:t xml:space="preserve">for 18 EEA countries, the average fraud rate for all credit transfers, in terms of value, in the</w:t>
      </w:r>
      <w:r>
        <w:t xml:space="preserve"> </w:t>
      </w:r>
      <w:r>
        <w:t xml:space="preserve">second half of 2020 was 0.0011%, of which 43% was due to manipulation of the payer to</w:t>
      </w:r>
      <w:r>
        <w:t xml:space="preserve"> </w:t>
      </w:r>
      <w:r>
        <w:t xml:space="preserve">initiate SCA-authorised transactions. On this basis the extent of APP fraud in 2020 for all</w:t>
      </w:r>
      <w:r>
        <w:t xml:space="preserve"> </w:t>
      </w:r>
      <w:r>
        <w:t xml:space="preserve">SEPA euro credit transfers, including IPs, in the EU is estimated by the Commission at</w:t>
      </w:r>
      <w:r>
        <w:t xml:space="preserve"> </w:t>
      </w:r>
      <w:r>
        <w:t xml:space="preserve">approximately € 323 million.</w:t>
      </w:r>
      <w:r>
        <w:t xml:space="preserve"> </w:t>
      </w:r>
      <w:r>
        <w:t xml:space="preserve">The problem is more common with respect to cross-border credit transfers (both inside and</w:t>
      </w:r>
      <w:r>
        <w:t xml:space="preserve"> </w:t>
      </w:r>
      <w:r>
        <w:t xml:space="preserve">outside EEA), whose overall fraud rate exceeds that of domestic credit transfers by more than</w:t>
      </w:r>
      <w:r>
        <w:t xml:space="preserve"> </w:t>
      </w:r>
      <w:r>
        <w:t xml:space="preserve">20 times38. As a result, despite the fact that, according to the EBA analysis, cross-border</w:t>
      </w:r>
      <w:r>
        <w:t xml:space="preserve"> </w:t>
      </w:r>
      <w:r>
        <w:t xml:space="preserve">credit transfers represented only around 2% of all credit transfers, their share in the total</w:t>
      </w:r>
      <w:r>
        <w:t xml:space="preserve"> </w:t>
      </w:r>
      <w:r>
        <w:t xml:space="preserve">volume of credit transfer-related fraud reached 31% in the second half of 2020 for the 18</w:t>
      </w:r>
      <w:r>
        <w:t xml:space="preserve"> </w:t>
      </w:r>
      <w:r>
        <w:t xml:space="preserve">EEA countries.</w:t>
      </w:r>
      <w:r>
        <w:br/>
      </w:r>
      <w:r>
        <w:t xml:space="preserve">Against this background, several stakeholders consulted in the context of the VVA/CEPS</w:t>
      </w:r>
      <w:r>
        <w:t xml:space="preserve"> </w:t>
      </w:r>
      <w:r>
        <w:t xml:space="preserve">study on the application and impact of PSD2, including all types of market participants and</w:t>
      </w:r>
      <w:r>
        <w:t xml:space="preserve"> </w:t>
      </w:r>
      <w:r>
        <w:t xml:space="preserve">national authorities, noted that there remain ways for fraudsters to circumvent security</w:t>
      </w:r>
      <w:r>
        <w:t xml:space="preserve"> </w:t>
      </w:r>
      <w:r>
        <w:t xml:space="preserve">provisions. For example, fraudsters have found a way to slip into the SCA multiple layers,</w:t>
      </w:r>
      <w:r>
        <w:t xml:space="preserve"> </w:t>
      </w:r>
      <w:r>
        <w:t xml:space="preserve">deceiving customers with false messages asking for personal information. EBA in its Advice</w:t>
      </w:r>
      <w:r>
        <w:t xml:space="preserve"> </w:t>
      </w:r>
      <w:r>
        <w:t xml:space="preserve">considered that the legal framework does not fully mitigate the risks of social engineering</w:t>
      </w:r>
      <w:r>
        <w:t xml:space="preserve"> </w:t>
      </w:r>
      <w:r>
        <w:t xml:space="preserve">fraud.</w:t>
      </w:r>
      <w:r>
        <w:t xml:space="preserve"> </w:t>
      </w:r>
      <w:r>
        <w:t xml:space="preserve">-</w:t>
      </w:r>
      <w:r>
        <w:t xml:space="preserve"> </w:t>
      </w:r>
      <w:r>
        <w:t xml:space="preserve">Abuse of SCA exemptions and of uncertainty about the scope of SCA</w:t>
      </w:r>
      <w:r>
        <w:br/>
      </w:r>
      <w:r>
        <w:t xml:space="preserve">PSD2 does not provide explicit clarity on whether some types of transactions are included or</w:t>
      </w:r>
      <w:r>
        <w:t xml:space="preserve"> </w:t>
      </w:r>
      <w:r>
        <w:t xml:space="preserve">excluded from the application of SCA. This is the case of Mail Orders or Telephone Orders</w:t>
      </w:r>
      <w:r>
        <w:t xml:space="preserve"> </w:t>
      </w:r>
      <w:r>
        <w:t xml:space="preserve">(MOTOs) and of Merchant Initiated Transactions (MITs). MITs are implicitly excluded from</w:t>
      </w:r>
      <w:r>
        <w:t xml:space="preserve"> </w:t>
      </w:r>
      <w:r>
        <w:t xml:space="preserve">SCA by the fact that Article 97(1) of PSD2 applies SCA to three actions performed by the</w:t>
      </w:r>
      <w:r>
        <w:t xml:space="preserve"> </w:t>
      </w:r>
      <w:r>
        <w:t xml:space="preserve">payer, not mentioning any payee-initiated actions. The Commission confirmed this through</w:t>
      </w:r>
      <w:r>
        <w:t xml:space="preserve"> </w:t>
      </w:r>
      <w:r>
        <w:t xml:space="preserve">an EBA Q&amp;A.39 Regarding MOTOs specifically, recital 95 of PSD2 (the only place in PSD2</w:t>
      </w:r>
      <w:r>
        <w:t xml:space="preserve"> </w:t>
      </w:r>
      <w:r>
        <w:t xml:space="preserve">where MOTOs are mentioned) states that “there does not seem to be a need to guarantee the</w:t>
      </w:r>
      <w:r>
        <w:t xml:space="preserve"> </w:t>
      </w:r>
      <w:r>
        <w:t xml:space="preserve">same level of protection to payment transactions initiated and executed with modalities other</w:t>
      </w:r>
      <w:r>
        <w:t xml:space="preserve"> </w:t>
      </w:r>
      <w:r>
        <w:t xml:space="preserve">than the use of electronic platforms or devices, such as paper-based payment transactions,</w:t>
      </w:r>
      <w:r>
        <w:t xml:space="preserve"> </w:t>
      </w:r>
      <w:r>
        <w:t xml:space="preserve">mail orders or telephone orders”.40</w:t>
      </w:r>
    </w:p>
    <w:p>
      <w:pPr>
        <w:pStyle w:val="BodyText"/>
      </w:pPr>
      <w:r>
        <w:t xml:space="preserve">37 Ibid.</w:t>
      </w:r>
      <w:r>
        <w:t xml:space="preserve"> </w:t>
      </w:r>
      <w:r>
        <w:t xml:space="preserve">38 This higher rate of fraud for cross-border transactions exists for various reasons. For example, fraudsters often</w:t>
      </w:r>
      <w:r>
        <w:t xml:space="preserve"> </w:t>
      </w:r>
      <w:r>
        <w:t xml:space="preserve">target cross-border transactions to take advantage of a less elaborated cross-border cooperation between</w:t>
      </w:r>
      <w:r>
        <w:t xml:space="preserve"> </w:t>
      </w:r>
      <w:r>
        <w:t xml:space="preserve">Payment Service Providers and law enforcement agencies (for example taking stolen payment cards across a</w:t>
      </w:r>
      <w:r>
        <w:t xml:space="preserve"> </w:t>
      </w:r>
      <w:r>
        <w:t xml:space="preserve">national border to carry out spending, or in cases of social engineering fraud, having a payment made to an</w:t>
      </w:r>
      <w:r>
        <w:t xml:space="preserve"> </w:t>
      </w:r>
      <w:r>
        <w:t xml:space="preserve">account in a different Member State).</w:t>
      </w:r>
      <w:r>
        <w:t xml:space="preserve"> </w:t>
      </w:r>
      <w:r>
        <w:t xml:space="preserve">39 European Banking Authority, Q&amp;A 2018_4031 on the “Applicability of SCA to ‘card payments initiated by</w:t>
      </w:r>
      <w:r>
        <w:t xml:space="preserve"> </w:t>
      </w:r>
      <w:r>
        <w:t xml:space="preserve">the payee only’”</w:t>
      </w:r>
      <w:r>
        <w:t xml:space="preserve"> </w:t>
      </w:r>
      <w:r>
        <w:t xml:space="preserve">40 Some guidance has been provided on the exclusion of MOTOs from the SCA requirements in Q&amp;As. See</w:t>
      </w:r>
      <w:r>
        <w:t xml:space="preserve"> </w:t>
      </w:r>
      <w:r>
        <w:t xml:space="preserve">EBA Q&amp;As 2018_4058, 2019_4788, and 2019_4790.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As stated by EBA in its Advice,41 “the exclusion from the application of SCA for non-digital</w:t>
      </w:r>
      <w:r>
        <w:t xml:space="preserve"> </w:t>
      </w:r>
      <w:r>
        <w:t xml:space="preserve">payment transactions has proved to be difficult to apply and supervise in practice based on</w:t>
      </w:r>
      <w:r>
        <w:t xml:space="preserve"> </w:t>
      </w:r>
      <w:r>
        <w:t xml:space="preserve">the current formulation of Recital [95] since only cash payments would clearly fall outside</w:t>
      </w:r>
      <w:r>
        <w:t xml:space="preserve"> </w:t>
      </w:r>
      <w:r>
        <w:t xml:space="preserve">the scope of SCA. All other types of payment transactions would in some part of the payment</w:t>
      </w:r>
      <w:r>
        <w:t xml:space="preserve"> </w:t>
      </w:r>
      <w:r>
        <w:t xml:space="preserve">execution be handled electronically.” EBA also noted in its Advice that “the fraud levels and</w:t>
      </w:r>
      <w:r>
        <w:t xml:space="preserve"> </w:t>
      </w:r>
      <w:r>
        <w:t xml:space="preserve">fraud risk related to the currently broad interpretation and application of MOTOs, based on</w:t>
      </w:r>
      <w:r>
        <w:t xml:space="preserve"> </w:t>
      </w:r>
      <w:r>
        <w:t xml:space="preserve">feedback received from [competent authorities], are much higher than other payment</w:t>
      </w:r>
      <w:r>
        <w:t xml:space="preserve"> </w:t>
      </w:r>
      <w:r>
        <w:t xml:space="preserve">transactions” and that there is still a need to introduce in the Directive a clear definition of</w:t>
      </w:r>
      <w:r>
        <w:t xml:space="preserve"> </w:t>
      </w:r>
      <w:r>
        <w:t xml:space="preserve">MOTOs and the specific requirements clarifying the situations that fall under the MOTO</w:t>
      </w:r>
      <w:r>
        <w:t xml:space="preserve"> </w:t>
      </w:r>
      <w:r>
        <w:t xml:space="preserve">exclusion.42 The VVA/CEPS study also notes that “confusion has arisen whether MOTO is in</w:t>
      </w:r>
      <w:r>
        <w:t xml:space="preserve"> </w:t>
      </w:r>
      <w:r>
        <w:t xml:space="preserve">or out of scope of the PSD2 SCA requirements”.43</w:t>
      </w:r>
      <w:r>
        <w:br/>
      </w:r>
      <w:r>
        <w:t xml:space="preserve">EBA also notes in its Advice44 the existence of issues of regulatory arbitrage between MITs</w:t>
      </w:r>
      <w:r>
        <w:t xml:space="preserve"> </w:t>
      </w:r>
      <w:r>
        <w:t xml:space="preserve">and direct debits given the different regulatory approach between the two, notably in light of</w:t>
      </w:r>
      <w:r>
        <w:t xml:space="preserve"> </w:t>
      </w:r>
      <w:r>
        <w:t xml:space="preserve">the ‘unconditional’ refund rights for SEPA direct debits, under Article 7 of the SEPA</w:t>
      </w:r>
      <w:r>
        <w:t xml:space="preserve"> </w:t>
      </w:r>
      <w:r>
        <w:t xml:space="preserve">Regulation45. The Commission provided guidance on MITs via the EBA Q&amp;As46, notably on</w:t>
      </w:r>
      <w:r>
        <w:t xml:space="preserve"> </w:t>
      </w:r>
      <w:r>
        <w:t xml:space="preserve">the applicability of SCA to ‘card payments initiated by the payee only’. However, in spite of</w:t>
      </w:r>
      <w:r>
        <w:t xml:space="preserve"> </w:t>
      </w:r>
      <w:r>
        <w:t xml:space="preserve">this Q&amp;A, the VVA/CEPS study notes that “Merchants also seem to lack clarity on the fact</w:t>
      </w:r>
      <w:r>
        <w:t xml:space="preserve"> </w:t>
      </w:r>
      <w:r>
        <w:t xml:space="preserve">that in order for the SCA exemption for MITs for recurring payments to apply, the first “on-</w:t>
      </w:r>
      <w:r>
        <w:t xml:space="preserve"> </w:t>
      </w:r>
      <w:r>
        <w:t xml:space="preserve">session” payment initiated by the customer has to be authenticated through two-factor</w:t>
      </w:r>
      <w:r>
        <w:t xml:space="preserve"> </w:t>
      </w:r>
      <w:r>
        <w:t xml:space="preserve">authentication”.47 Some national authorities and trade bodies have also observed that “there</w:t>
      </w:r>
      <w:r>
        <w:t xml:space="preserve"> </w:t>
      </w:r>
      <w:r>
        <w:t xml:space="preserve">is strong evidence that MITs are sometimes used to circumvent SCA requirements”.</w:t>
      </w:r>
      <w:r>
        <w:br/>
      </w:r>
      <w:r>
        <w:t xml:space="preserve">-</w:t>
      </w:r>
      <w:r>
        <w:t xml:space="preserve"> </w:t>
      </w:r>
      <w:r>
        <w:t xml:space="preserve">Consumer ignorance about fraud</w:t>
      </w:r>
      <w:r>
        <w:t xml:space="preserve"> </w:t>
      </w:r>
      <w:r>
        <w:t xml:space="preserve">Consumer ignorance about fraud can also be a problem driver. Various respondents to the</w:t>
      </w:r>
      <w:r>
        <w:t xml:space="preserve"> </w:t>
      </w:r>
      <w:r>
        <w:t xml:space="preserve">targeted consultation, including public authorities, but also the EBA in its Advice48, note the</w:t>
      </w:r>
      <w:r>
        <w:t xml:space="preserve"> </w:t>
      </w:r>
      <w:r>
        <w:t xml:space="preserve">importance of consumer literacy and education about fraud and the risks of certain payment</w:t>
      </w:r>
      <w:r>
        <w:t xml:space="preserve"> </w:t>
      </w:r>
      <w:r>
        <w:t xml:space="preserve">instruments/methods, and that more effective awareness campaigns should be undertaken.</w:t>
      </w:r>
      <w:r>
        <w:t xml:space="preserve"> </w:t>
      </w:r>
      <w:r>
        <w:t xml:space="preserve">-</w:t>
      </w:r>
      <w:r>
        <w:t xml:space="preserve"> </w:t>
      </w:r>
      <w:r>
        <w:t xml:space="preserve">Insufficient cooperation between PSPs on fraud mitigation</w:t>
      </w:r>
      <w:r>
        <w:t xml:space="preserve"> </w:t>
      </w:r>
      <w:r>
        <w:t xml:space="preserve">Another issue that has been recurrently flagged in the feedback received from stakeholders is</w:t>
      </w:r>
      <w:r>
        <w:t xml:space="preserve"> </w:t>
      </w:r>
      <w:r>
        <w:t xml:space="preserve">inadequate cooperation between PSPs on their fraud mitigation strategies. ASPSPs and</w:t>
      </w:r>
      <w:r>
        <w:t xml:space="preserve"> </w:t>
      </w:r>
      <w:r>
        <w:t xml:space="preserve">PISPs, for instance, have access to different data in the payment initiation process but do not</w:t>
      </w:r>
      <w:r>
        <w:t xml:space="preserve"> </w:t>
      </w:r>
      <w:r>
        <w:t xml:space="preserve">necessarily share their insights with the other party in view of preventing fraud. The</w:t>
      </w:r>
      <w:r>
        <w:t xml:space="preserve"> </w:t>
      </w:r>
      <w:r>
        <w:t xml:space="preserve">European Payment Council has argued49 that an important aspect to mitigate risks and reduce</w:t>
      </w:r>
      <w:r>
        <w:t xml:space="preserve"> </w:t>
      </w:r>
      <w:r>
        <w:t xml:space="preserve">fraud is the sharing of fraud intelligence and information on incidents amongst PSPs. Some</w:t>
      </w:r>
    </w:p>
    <w:p>
      <w:pPr>
        <w:pStyle w:val="BodyText"/>
      </w:pPr>
      <w:r>
        <w:t xml:space="preserve">41 Page 75. See reference at footnote 12 above.</w:t>
      </w:r>
      <w:r>
        <w:t xml:space="preserve"> </w:t>
      </w:r>
      <w:r>
        <w:t xml:space="preserve">42 Ibid.</w:t>
      </w:r>
      <w:r>
        <w:t xml:space="preserve"> </w:t>
      </w:r>
      <w:r>
        <w:t xml:space="preserve">43 VVA/CEPS study, page 145.</w:t>
      </w:r>
      <w:r>
        <w:t xml:space="preserve"> </w:t>
      </w:r>
      <w:r>
        <w:t xml:space="preserve">44 Page 76, see reference at footnote 12.</w:t>
      </w:r>
      <w:r>
        <w:br/>
      </w:r>
      <w:r>
        <w:t xml:space="preserve">45 Regulation (EU) No 260/2012 of 14 March 2012 establishing technical and business requirements for credit</w:t>
      </w:r>
      <w:r>
        <w:t xml:space="preserve"> </w:t>
      </w:r>
      <w:r>
        <w:t xml:space="preserve">transfers and direct debits in euro and amending Regulation (EC) No 924/2009.</w:t>
      </w:r>
      <w:r>
        <w:t xml:space="preserve"> </w:t>
      </w:r>
      <w:r>
        <w:t xml:space="preserve">46 See footnote 39 above.</w:t>
      </w:r>
      <w:r>
        <w:br/>
      </w:r>
      <w:r>
        <w:t xml:space="preserve">47 VVA/CEPS study, page 145.</w:t>
      </w:r>
      <w:r>
        <w:t xml:space="preserve"> </w:t>
      </w:r>
      <w:r>
        <w:t xml:space="preserve">48 Ibid, p.82.</w:t>
      </w:r>
      <w:r>
        <w:t xml:space="preserve"> </w:t>
      </w:r>
      <w:r>
        <w:t xml:space="preserve">49 European Payments Council (EPC183-22), Report 2022 Payments Threats and Fraud Trends, November 2022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ASPSPs have explained that hesitancy exists because of concerns relating to compliance with</w:t>
      </w:r>
      <w:r>
        <w:t xml:space="preserve"> </w:t>
      </w:r>
      <w:r>
        <w:t xml:space="preserve">GDPR and of their interpretations of the current AML framework does not allow them to</w:t>
      </w:r>
      <w:r>
        <w:t xml:space="preserve"> </w:t>
      </w:r>
      <w:r>
        <w:t xml:space="preserve">share relevant information with PISPs. In some Member States, such as France, as noted by</w:t>
      </w:r>
      <w:r>
        <w:t xml:space="preserve"> </w:t>
      </w:r>
      <w:r>
        <w:t xml:space="preserve">the French Banking Federation in its reply to the targeted consultation, the rules on banking</w:t>
      </w:r>
      <w:r>
        <w:t xml:space="preserve"> </w:t>
      </w:r>
      <w:r>
        <w:t xml:space="preserve">secrecy prevent banks from sharing information.</w:t>
      </w:r>
      <w:r>
        <w:br/>
      </w:r>
      <w:r>
        <w:t xml:space="preserve">2.1.2. Imperfect functioning of Open Banking</w:t>
      </w:r>
      <w:r>
        <w:t xml:space="preserve"> </w:t>
      </w:r>
      <w:r>
        <w:t xml:space="preserve">Open Banking (hereafter OB) is the term given to the process by which Account Information</w:t>
      </w:r>
      <w:r>
        <w:t xml:space="preserve"> </w:t>
      </w:r>
      <w:r>
        <w:t xml:space="preserve">Service Providers (AISPs) and Payment Initiation Service Providers (PISPs), collectively</w:t>
      </w:r>
      <w:r>
        <w:t xml:space="preserve"> </w:t>
      </w:r>
      <w:r>
        <w:t xml:space="preserve">known as Third Party Providers (TPPs50), provide value added services to users by accessing</w:t>
      </w:r>
      <w:r>
        <w:t xml:space="preserve"> </w:t>
      </w:r>
      <w:r>
        <w:t xml:space="preserve">– with the user’s consent - their account data held by other Payment Services Providers.</w:t>
      </w:r>
      <w:r>
        <w:t xml:space="preserve"> </w:t>
      </w:r>
      <w:r>
        <w:t xml:space="preserve">Although this activity existed before PSD2, it operated in an unregulated way. PSD2 gave it a</w:t>
      </w:r>
      <w:r>
        <w:t xml:space="preserve"> </w:t>
      </w:r>
      <w:r>
        <w:t xml:space="preserve">regulatory framework and imposed an obligation on account servicing payment service</w:t>
      </w:r>
      <w:r>
        <w:t xml:space="preserve"> </w:t>
      </w:r>
      <w:r>
        <w:t xml:space="preserve">provider (ASPSP – mostly banks) to facilitate the access to payments data without any</w:t>
      </w:r>
      <w:r>
        <w:t xml:space="preserve"> </w:t>
      </w:r>
      <w:r>
        <w:t xml:space="preserve">contractual obligations (i.e. for free), with the objective of both providing greater security and</w:t>
      </w:r>
      <w:r>
        <w:t xml:space="preserve"> </w:t>
      </w:r>
      <w:r>
        <w:t xml:space="preserve">protection to users and of stimulating the development of OB to the advantage of users.</w:t>
      </w:r>
      <w:r>
        <w:t xml:space="preserve"> </w:t>
      </w:r>
      <w:r>
        <w:t xml:space="preserve">Access to data is usually made available via APIs (Application Programming Interfaces), or</w:t>
      </w:r>
      <w:r>
        <w:t xml:space="preserve"> </w:t>
      </w:r>
      <w:r>
        <w:t xml:space="preserve">by allowing TPPs to access the payments data directly via the same interface that banks use</w:t>
      </w:r>
      <w:r>
        <w:t xml:space="preserve"> </w:t>
      </w:r>
      <w:r>
        <w:t xml:space="preserve">to interact with their customers directly (the customer-facing interface). See Annexes 5 and</w:t>
      </w:r>
      <w:r>
        <w:t xml:space="preserve"> </w:t>
      </w:r>
      <w:r>
        <w:t xml:space="preserve">11 for more details; a simple OB operation is illustrated in Figure 5 and a more complex one</w:t>
      </w:r>
      <w:r>
        <w:t xml:space="preserve"> </w:t>
      </w:r>
      <w:r>
        <w:t xml:space="preserve">in figure 6 (other examples can be found in Annex 11).</w:t>
      </w:r>
    </w:p>
    <w:p>
      <w:pPr>
        <w:pStyle w:val="BodyText"/>
      </w:pPr>
      <w:r>
        <w:t xml:space="preserve">50 It should be noted that there are two different associations of TPPs in the EU, ETTPA and OFA. As a general</w:t>
      </w:r>
      <w:r>
        <w:t xml:space="preserve"> </w:t>
      </w:r>
      <w:r>
        <w:t xml:space="preserve">rule, ETPPA members are TPPs which practiced Open Banking already before the PSD2 framework entered</w:t>
      </w:r>
      <w:r>
        <w:t xml:space="preserve"> </w:t>
      </w:r>
      <w:r>
        <w:t xml:space="preserve">into force and tend to make more use of fallback interfaces, while OBA members have mostly been created after</w:t>
      </w:r>
      <w:r>
        <w:t xml:space="preserve"> </w:t>
      </w:r>
      <w:r>
        <w:t xml:space="preserve">PSD2 and tend to prefer to use dedicated interfaces.</w:t>
      </w:r>
      <w:r>
        <w:t xml:space="preserve"> </w:t>
      </w:r>
      <w:r>
        <w:t xml:space="preserve">* The modified customer interface is also known as the fallback interface or the contingency mechanism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Figure 6: Account Information Service (source: Bank of Portugal)</w:t>
      </w:r>
    </w:p>
    <w:p>
      <w:pPr>
        <w:pStyle w:val="BodyText"/>
      </w:pPr>
      <w:r>
        <w:t xml:space="preserve">To ensure business continuity for TPPs, PSD2 mandates ASPSPs that decide to implement a</w:t>
      </w:r>
      <w:r>
        <w:t xml:space="preserve"> </w:t>
      </w:r>
      <w:r>
        <w:t xml:space="preserve">dedicated interface to make another interface available to TPPS (a fallback interface) in case</w:t>
      </w:r>
      <w:r>
        <w:t xml:space="preserve"> </w:t>
      </w:r>
      <w:r>
        <w:t xml:space="preserve">the dedicated interface (API) is not functioning correctly. ASPSPs can apply to their NCA for</w:t>
      </w:r>
      <w:r>
        <w:t xml:space="preserve"> </w:t>
      </w:r>
      <w:r>
        <w:t xml:space="preserve">an exemption from having to develop such fallback interface. This report will use “API” as</w:t>
      </w:r>
      <w:r>
        <w:t xml:space="preserve"> </w:t>
      </w:r>
      <w:r>
        <w:t xml:space="preserve">standard terminology when discussing the dedicated interface. See annexes 5 and 11 for more</w:t>
      </w:r>
      <w:r>
        <w:t xml:space="preserve"> </w:t>
      </w:r>
      <w:r>
        <w:t xml:space="preserve">details.</w:t>
      </w:r>
      <w:r>
        <w:t xml:space="preserve"> </w:t>
      </w:r>
      <w:r>
        <w:t xml:space="preserve">AIS providers can provide a user with aggregated and/or analysed information on the basis of</w:t>
      </w:r>
      <w:r>
        <w:t xml:space="preserve"> </w:t>
      </w:r>
      <w:r>
        <w:t xml:space="preserve">their payment accounts, helping users to manage their finances or enabling users to receive a</w:t>
      </w:r>
      <w:r>
        <w:t xml:space="preserve"> </w:t>
      </w:r>
      <w:r>
        <w:t xml:space="preserve">service, based on the data accessed, from another service provider (accountant, auditor, credit</w:t>
      </w:r>
      <w:r>
        <w:t xml:space="preserve"> </w:t>
      </w:r>
      <w:r>
        <w:t xml:space="preserve">scoring bureau, etc.). PIS are account-to-account, non-card-based payments and can be found</w:t>
      </w:r>
      <w:r>
        <w:t xml:space="preserve"> </w:t>
      </w:r>
      <w:r>
        <w:t xml:space="preserve">in e-commerce as one of the payment methods offered by a merchant. AIS and PIS both</w:t>
      </w:r>
      <w:r>
        <w:t xml:space="preserve"> </w:t>
      </w:r>
      <w:r>
        <w:t xml:space="preserve">require the consent of the “payment service user” (PSU) to access the data on the user’s</w:t>
      </w:r>
      <w:r>
        <w:t xml:space="preserve"> </w:t>
      </w:r>
      <w:r>
        <w:t xml:space="preserve">payment account. Access, storage and use is limited to the data needed to perform the service</w:t>
      </w:r>
      <w:r>
        <w:t xml:space="preserve"> </w:t>
      </w:r>
      <w:r>
        <w:t xml:space="preserve">explicitly consented by the PSU. AIS data can be particularly useful to help providers of PIS</w:t>
      </w:r>
      <w:r>
        <w:t xml:space="preserve"> </w:t>
      </w:r>
      <w:r>
        <w:t xml:space="preserve">(PISPs) assess the risk of a payment initiated eventually not being executed.</w:t>
      </w:r>
      <w:r>
        <w:t xml:space="preserve"> </w:t>
      </w:r>
      <w:r>
        <w:t xml:space="preserve">As shown in annexes 5 and 11, the number of TPPs and the usage of OB has grown in Europe</w:t>
      </w:r>
      <w:r>
        <w:t xml:space="preserve"> </w:t>
      </w:r>
      <w:r>
        <w:t xml:space="preserve">since PSD2 application, reaching almost 19 million in 202151. Although consumer</w:t>
      </w:r>
      <w:r>
        <w:t xml:space="preserve"> </w:t>
      </w:r>
      <w:r>
        <w:t xml:space="preserve">organisations and individual consumers have expressed concerns about data security in the</w:t>
      </w:r>
      <w:r>
        <w:t xml:space="preserve"> </w:t>
      </w:r>
      <w:r>
        <w:t xml:space="preserve">context of Open Banking52, the growth in the number of AISPs and PISPs would seem to</w:t>
      </w:r>
      <w:r>
        <w:t xml:space="preserve"> </w:t>
      </w:r>
      <w:r>
        <w:t xml:space="preserve">indicate the existence of substantial demand. The legal framework has prevented ASPSPs</w:t>
      </w:r>
    </w:p>
    <w:p>
      <w:pPr>
        <w:pStyle w:val="BodyText"/>
      </w:pPr>
      <w:r>
        <w:t xml:space="preserve">51 Source: Statista, citing Juniper research. There are no official statistics on open banking in the EU (unlike in</w:t>
      </w:r>
      <w:r>
        <w:t xml:space="preserve"> </w:t>
      </w:r>
      <w:r>
        <w:t xml:space="preserve">the UK), and data produced by private sector entities only give numbers for all of Europe including non-</w:t>
      </w:r>
      <w:r>
        <w:t xml:space="preserve"> </w:t>
      </w:r>
      <w:r>
        <w:t xml:space="preserve">EU/EEA countries. Juniper forecasts the total number of open banking users in all of Europe to grow to 64</w:t>
      </w:r>
      <w:r>
        <w:t xml:space="preserve"> </w:t>
      </w:r>
      <w:r>
        <w:t xml:space="preserve">million by 2024 (see Figure 11 in Annex 5).</w:t>
      </w:r>
      <w:r>
        <w:t xml:space="preserve"> </w:t>
      </w:r>
      <w:r>
        <w:t xml:space="preserve">52 See Annex 2 on public consultations.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from blocking TPPs’ access to payment accounts (which was often the case in the pre-PSD2</w:t>
      </w:r>
      <w:r>
        <w:t xml:space="preserve"> </w:t>
      </w:r>
      <w:r>
        <w:t xml:space="preserve">era), and the security of users and their data has been achieved. PSD2’s contribution to safe</w:t>
      </w:r>
      <w:r>
        <w:t xml:space="preserve"> </w:t>
      </w:r>
      <w:r>
        <w:t xml:space="preserve">and secure sharing of payment data is something the majority of the respondents (65%) to the</w:t>
      </w:r>
      <w:r>
        <w:t xml:space="preserve"> </w:t>
      </w:r>
      <w:r>
        <w:t xml:space="preserve">targeted consultation agree on. However, 45% of the respondents considered that the OB</w:t>
      </w:r>
      <w:r>
        <w:t xml:space="preserve"> </w:t>
      </w:r>
      <w:r>
        <w:t xml:space="preserve">framework in PSD2 has not been successful, against 29% who found it successful (others</w:t>
      </w:r>
      <w:r>
        <w:t xml:space="preserve"> </w:t>
      </w:r>
      <w:r>
        <w:t xml:space="preserve">were neutral). This is due to the various problems the respondents encounter, in particular as</w:t>
      </w:r>
      <w:r>
        <w:t xml:space="preserve"> </w:t>
      </w:r>
      <w:r>
        <w:t xml:space="preserve">regards effective and efficient access of TPPs to data held by ASPSPs or the fact that despite</w:t>
      </w:r>
      <w:r>
        <w:t xml:space="preserve"> </w:t>
      </w:r>
      <w:r>
        <w:t xml:space="preserve">the availability of APIs TPPs often continue to use the customer interface. The APIs can vary</w:t>
      </w:r>
      <w:r>
        <w:t xml:space="preserve"> </w:t>
      </w:r>
      <w:r>
        <w:t xml:space="preserve">in quality and functionalities, causing too many OB operations to fail or providing a poor user</w:t>
      </w:r>
      <w:r>
        <w:t xml:space="preserve"> </w:t>
      </w:r>
      <w:r>
        <w:t xml:space="preserve">journey. These problems are also emphasised in bilateral feedback from TPPs, through expert</w:t>
      </w:r>
      <w:r>
        <w:t xml:space="preserve"> </w:t>
      </w:r>
      <w:r>
        <w:t xml:space="preserve">groups and also evidenced in the EBA Advice53.</w:t>
      </w:r>
      <w:r>
        <w:br/>
      </w:r>
      <w:r>
        <w:t xml:space="preserve">As described above, the current PSD2/RTS interface regime is very complex, with ASPSPs</w:t>
      </w:r>
      <w:r>
        <w:t xml:space="preserve"> </w:t>
      </w:r>
      <w:r>
        <w:t xml:space="preserve">often having to facilitate access to data via two interfaces (API and fallback). TPPs regularly</w:t>
      </w:r>
      <w:r>
        <w:t xml:space="preserve"> </w:t>
      </w:r>
      <w:r>
        <w:t xml:space="preserve">complain to the Commission and the EBA that the PSD2 APIs are inadequate and of low</w:t>
      </w:r>
      <w:r>
        <w:t xml:space="preserve"> </w:t>
      </w:r>
      <w:r>
        <w:t xml:space="preserve">quality. According to TPPs, banks’ APIs often do not return the information required,</w:t>
      </w:r>
      <w:r>
        <w:t xml:space="preserve"> </w:t>
      </w:r>
      <w:r>
        <w:t xml:space="preserve">perform badly (e.g. returning many error codes and/or simply not being available), or banks</w:t>
      </w:r>
      <w:r>
        <w:t xml:space="preserve"> </w:t>
      </w:r>
      <w:r>
        <w:t xml:space="preserve">block the TPP’s access to accounts, despite the TPP acting on the basis of a PSU’s consent.</w:t>
      </w:r>
      <w:r>
        <w:t xml:space="preserve"> </w:t>
      </w:r>
      <w:r>
        <w:t xml:space="preserve">Furthermore, TPPs stressed that ASPSPs can take a long time to respond to a TPP’s request</w:t>
      </w:r>
      <w:r>
        <w:t xml:space="preserve"> </w:t>
      </w:r>
      <w:r>
        <w:t xml:space="preserve">for help, or their reporting of a bug, and even longer to resolve the issue. Some TPPs resort to</w:t>
      </w:r>
      <w:r>
        <w:t xml:space="preserve"> </w:t>
      </w:r>
      <w:r>
        <w:t xml:space="preserve">using the fallback (i.e. the ASPSP’s direct customer interface), to access the accounts, even</w:t>
      </w:r>
      <w:r>
        <w:t xml:space="preserve"> </w:t>
      </w:r>
      <w:r>
        <w:t xml:space="preserve">though a PSD2-API is also available. This frustrates ASPSPs who do not observe high TPP</w:t>
      </w:r>
      <w:r>
        <w:t xml:space="preserve"> </w:t>
      </w:r>
      <w:r>
        <w:t xml:space="preserve">traffic on their APIs created for PSD2 compliance purposes and still have to deal with a high</w:t>
      </w:r>
      <w:r>
        <w:t xml:space="preserve"> </w:t>
      </w:r>
      <w:r>
        <w:t xml:space="preserve">request load on their direct customer interface54. This is illustrated by comparing the API</w:t>
      </w:r>
      <w:r>
        <w:t xml:space="preserve"> </w:t>
      </w:r>
      <w:r>
        <w:t xml:space="preserve">calls by TPPs to UK banks55 to the monthly website traffic/visits to the ASPSP’s website. For</w:t>
      </w:r>
      <w:r>
        <w:t xml:space="preserve"> </w:t>
      </w:r>
      <w:r>
        <w:t xml:space="preserve">example, the number of successful API calls to Barclays API was about 200 mln in</w:t>
      </w:r>
      <w:r>
        <w:t xml:space="preserve"> </w:t>
      </w:r>
      <w:r>
        <w:t xml:space="preserve">November 2022, whereas the number of visits to the direct interface, Barclays.co.uk, was 9.7</w:t>
      </w:r>
      <w:r>
        <w:t xml:space="preserve"> </w:t>
      </w:r>
      <w:r>
        <w:t xml:space="preserve">mln. TPPs using the fallback interface increase the traffic a lot, which is a cause of concern to</w:t>
      </w:r>
      <w:r>
        <w:t xml:space="preserve"> </w:t>
      </w:r>
      <w:r>
        <w:t xml:space="preserve">ASPSPs. It causes problems for TPPs which would prefer accessing data through APIs which</w:t>
      </w:r>
      <w:r>
        <w:t xml:space="preserve"> </w:t>
      </w:r>
      <w:r>
        <w:t xml:space="preserve">is a superior and safer technology than direct access, and, when functioning, cheaper than the</w:t>
      </w:r>
      <w:r>
        <w:t xml:space="preserve"> </w:t>
      </w:r>
      <w:r>
        <w:t xml:space="preserve">fall-back solution.56 There is a visible trend of banks offering more and more APIs, also</w:t>
      </w:r>
      <w:r>
        <w:t xml:space="preserve"> </w:t>
      </w:r>
      <w:r>
        <w:t xml:space="preserve">beyond or unrelated to PSD2. By March 2022, about half of the APIs offered were for PSD2</w:t>
      </w:r>
      <w:r>
        <w:t xml:space="preserve"> </w:t>
      </w:r>
      <w:r>
        <w:t xml:space="preserve">compliance (25%) and account reporting (23%), the other half covered other domains such as</w:t>
      </w:r>
    </w:p>
    <w:p>
      <w:pPr>
        <w:pStyle w:val="BodyText"/>
      </w:pPr>
      <w:r>
        <w:t xml:space="preserve">53 European Banking Authority (EBA/Op/2022/06) Opinion of the European Banking Authority on its technical</w:t>
      </w:r>
      <w:r>
        <w:t xml:space="preserve"> </w:t>
      </w:r>
      <w:r>
        <w:t xml:space="preserve">advice on the review of Directive (EU) 2015/2366 on payment services in the internal market (PSD2), of 23</w:t>
      </w:r>
      <w:r>
        <w:t xml:space="preserve"> </w:t>
      </w:r>
      <w:r>
        <w:t xml:space="preserve">June 2022</w:t>
      </w:r>
      <w:r>
        <w:t xml:space="preserve"> </w:t>
      </w:r>
      <w:r>
        <w:t xml:space="preserve">54 Han-Wei Liu: Two Decades of Laws and Practice Around Screen Scraping in the Common Law World and</w:t>
      </w:r>
      <w:r>
        <w:t xml:space="preserve"> </w:t>
      </w:r>
      <w:r>
        <w:t xml:space="preserve">Its Open Banking Watershed Moment, 30(1) Washington International Law Journal, 2020; statistics on Open</w:t>
      </w:r>
      <w:r>
        <w:t xml:space="preserve"> </w:t>
      </w:r>
      <w:r>
        <w:t xml:space="preserve">Banking API calls from the UK versus the number of visits to the respective banks websites shows that TPPs</w:t>
      </w:r>
      <w:r>
        <w:t xml:space="preserve"> </w:t>
      </w:r>
      <w:r>
        <w:t xml:space="preserve">make many more API calls than that people visit the ASPSP’s website (OBIE API data: API performance stats -</w:t>
      </w:r>
      <w:r>
        <w:t xml:space="preserve"> </w:t>
      </w:r>
      <w:r>
        <w:t xml:space="preserve">Open Banking and website traffic: Free Website Traffic Checker &amp; Analyzer | Website Rankings</w:t>
      </w:r>
      <w:r>
        <w:t xml:space="preserve"> </w:t>
      </w:r>
      <w:r>
        <w:t xml:space="preserve">(semrush.com). There is no centralised data available on API calls for ASPSPs or TPPs in the EU.</w:t>
      </w:r>
      <w:r>
        <w:t xml:space="preserve"> </w:t>
      </w:r>
      <w:r>
        <w:t xml:space="preserve">55 Data made available by the UK Open Banking Implementation Entity – such data does not exist in the EU.</w:t>
      </w:r>
      <w:r>
        <w:t xml:space="preserve"> </w:t>
      </w:r>
      <w:r>
        <w:t xml:space="preserve">56 Information supplied in various responses by TPPs to the targeted consultation.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foreign exchange, investments, and digital identity, for which such interfaces are not (yet) a</w:t>
      </w:r>
      <w:r>
        <w:t xml:space="preserve"> </w:t>
      </w:r>
      <w:r>
        <w:t xml:space="preserve">regulatory requirement 57.</w:t>
      </w:r>
      <w:r>
        <w:t xml:space="preserve"> </w:t>
      </w:r>
      <w:r>
        <w:t xml:space="preserve">ASPSPs report significant implementation costs for the development of APIs for OB58 and</w:t>
      </w:r>
      <w:r>
        <w:t xml:space="preserve"> </w:t>
      </w:r>
      <w:r>
        <w:t xml:space="preserve">the fact that the legislative framework provided in PSD259 and its RTS prevents ASPSPs</w:t>
      </w:r>
      <w:r>
        <w:t xml:space="preserve"> </w:t>
      </w:r>
      <w:r>
        <w:t xml:space="preserve">from charging AISPs and PISPs for access to customer data and the relevant infrastructures</w:t>
      </w:r>
      <w:r>
        <w:t xml:space="preserve"> </w:t>
      </w:r>
      <w:r>
        <w:t xml:space="preserve">that are in scope of PSD260. This leads to OB being perceived as a pure regulatory burden (a</w:t>
      </w:r>
      <w:r>
        <w:t xml:space="preserve"> </w:t>
      </w:r>
      <w:r>
        <w:t xml:space="preserve">mere compliance issue) by banks,61 which claim that the free access does not incentivise</w:t>
      </w:r>
      <w:r>
        <w:t xml:space="preserve"> </w:t>
      </w:r>
      <w:r>
        <w:t xml:space="preserve">them to offer the best possible API62.</w:t>
      </w:r>
      <w:r>
        <w:br/>
      </w:r>
      <w:r>
        <w:t xml:space="preserve">ASPSPs are also concerned and dissatisfied that some TPPs, acting as “API aggregator” pass</w:t>
      </w:r>
      <w:r>
        <w:t xml:space="preserve"> </w:t>
      </w:r>
      <w:r>
        <w:t xml:space="preserve">on user data to unregulated “fourth parties”63. API aggregators specialise in developing</w:t>
      </w:r>
      <w:r>
        <w:t xml:space="preserve"> </w:t>
      </w:r>
      <w:r>
        <w:t xml:space="preserve">interfaces with multiple ASPSP APIs, acting as intermediaries between ASPSPs and either</w:t>
      </w:r>
      <w:r>
        <w:t xml:space="preserve"> </w:t>
      </w:r>
      <w:r>
        <w:t xml:space="preserve">licensed TPPs or unlicensed parties. This activity was not directly envisaged by PSD2. It</w:t>
      </w:r>
      <w:r>
        <w:t xml:space="preserve"> </w:t>
      </w:r>
      <w:r>
        <w:t xml:space="preserve">emerged as a response to the multiplicity of bank APIs in the absence of an EU standard, but</w:t>
      </w:r>
      <w:r>
        <w:t xml:space="preserve"> </w:t>
      </w:r>
      <w:r>
        <w:t xml:space="preserve">it can also be considered as a source of inefficiency in that it lengthens transaction chains and</w:t>
      </w:r>
      <w:r>
        <w:t xml:space="preserve"> </w:t>
      </w:r>
      <w:r>
        <w:t xml:space="preserve">adds costs, as this ‘API connection’ service is not free to TPPs. Increasingly, one also sees</w:t>
      </w:r>
      <w:r>
        <w:t xml:space="preserve"> </w:t>
      </w:r>
      <w:r>
        <w:t xml:space="preserve">AISPs that are not working directly for the end user (consumers, merchants etc) who gave</w:t>
      </w:r>
      <w:r>
        <w:t xml:space="preserve"> </w:t>
      </w:r>
      <w:r>
        <w:t xml:space="preserve">them consent to access their data, but for “fourth parties” such as lenders wishing to evaluate</w:t>
      </w:r>
      <w:r>
        <w:t xml:space="preserve"> </w:t>
      </w:r>
      <w:r>
        <w:t xml:space="preserve">creditworthiness, or companies wishing to provide a better service (e.g. an audit service)</w:t>
      </w:r>
      <w:r>
        <w:t xml:space="preserve"> </w:t>
      </w:r>
      <w:r>
        <w:t xml:space="preserve">based on payment account data.64 These fourth parties, not being licensed, are not allowed to</w:t>
      </w:r>
      <w:r>
        <w:t xml:space="preserve"> </w:t>
      </w:r>
      <w:r>
        <w:t xml:space="preserve">obtain access to the account, but they receive the data from the licenced AISP. Although this</w:t>
      </w:r>
      <w:r>
        <w:t xml:space="preserve"> </w:t>
      </w:r>
      <w:r>
        <w:t xml:space="preserve">is done with user’s consent (GDPR consent for the unlicensed party and both GDPR and</w:t>
      </w:r>
      <w:r>
        <w:t xml:space="preserve"> </w:t>
      </w:r>
      <w:r>
        <w:t xml:space="preserve">PSD2 consent for the licenced party), this “license as a service” model is quite different from</w:t>
      </w:r>
      <w:r>
        <w:t xml:space="preserve"> </w:t>
      </w:r>
      <w:r>
        <w:t xml:space="preserve">the traditional AIS business model that was envisaged by PSD265, where a regulated party</w:t>
      </w:r>
      <w:r>
        <w:t xml:space="preserve"> </w:t>
      </w:r>
      <w:r>
        <w:t xml:space="preserve">gathers and consolidates the payment account data and provides the AIS back to the end-user</w:t>
      </w:r>
      <w:r>
        <w:t xml:space="preserve"> </w:t>
      </w:r>
      <w:r>
        <w:t xml:space="preserve">itself without other parties being involved. It is not however excluded by PSD2, as confirmed</w:t>
      </w:r>
      <w:r>
        <w:t xml:space="preserve"> </w:t>
      </w:r>
      <w:r>
        <w:t xml:space="preserve">by the Commission in the EBA Q&amp;A tool.66</w:t>
      </w:r>
    </w:p>
    <w:p>
      <w:pPr>
        <w:pStyle w:val="BodyText"/>
      </w:pPr>
      <w:r>
        <w:t xml:space="preserve">57 The Paypers, report 2022: The enablers of Open Banking, Open Finance, and Open Data; Innopay Open</w:t>
      </w:r>
      <w:r>
        <w:t xml:space="preserve"> </w:t>
      </w:r>
      <w:r>
        <w:t xml:space="preserve">Banking Monitor, p. 8-10.</w:t>
      </w:r>
      <w:r>
        <w:br/>
      </w:r>
      <w:r>
        <w:t xml:space="preserve">58 See Annex 5 (Evaluation report); such one-off costs are reported by the ASPSP sector at over €2 billion.</w:t>
      </w:r>
      <w:r>
        <w:br/>
      </w:r>
      <w:r>
        <w:t xml:space="preserve">59 PSD2 requires that the provision of OB Services must not be dependent on any contractual relationship</w:t>
      </w:r>
      <w:r>
        <w:t xml:space="preserve"> </w:t>
      </w:r>
      <w:r>
        <w:t xml:space="preserve">between PSPs and TPPs).</w:t>
      </w:r>
      <w:r>
        <w:t xml:space="preserve"> </w:t>
      </w:r>
      <w:r>
        <w:t xml:space="preserve">60 As reported before, ASPSPs also provide non-PSD2 APIs to third parties for which they might charge a fee.</w:t>
      </w:r>
      <w:r>
        <w:t xml:space="preserve"> </w:t>
      </w:r>
      <w:r>
        <w:t xml:space="preserve">61 See the evaluation at annex 5; such one-off costs are reported by the PSP section at about €2 billion, contrary</w:t>
      </w:r>
      <w:r>
        <w:t xml:space="preserve"> </w:t>
      </w:r>
      <w:r>
        <w:t xml:space="preserve">to what was claimed in the 2013 impact assessment accompanying the Commission’s proposal for PSD2, which</w:t>
      </w:r>
      <w:r>
        <w:t xml:space="preserve"> </w:t>
      </w:r>
      <w:r>
        <w:t xml:space="preserve">assumed that “the incremental cost related solely to the TPP access would be limited”.</w:t>
      </w:r>
      <w:r>
        <w:t xml:space="preserve"> </w:t>
      </w:r>
      <w:r>
        <w:t xml:space="preserve">62 Responses to targeted consultation on respondents opinion of the success of Open Banking (question 33b),</w:t>
      </w:r>
      <w:r>
        <w:t xml:space="preserve"> </w:t>
      </w:r>
      <w:r>
        <w:t xml:space="preserve">mostly from banks and/or banking associations.</w:t>
      </w:r>
      <w:r>
        <w:br/>
      </w:r>
      <w:r>
        <w:t xml:space="preserve">63 See the VVA/ CEPS study (pp.64-5) and also Annex 5 (sections 4.1.1. and 4.3.)</w:t>
      </w:r>
      <w:r>
        <w:t xml:space="preserve"> </w:t>
      </w:r>
      <w:r>
        <w:t xml:space="preserve">64 Op cit, footnote 54 above.</w:t>
      </w:r>
      <w:r>
        <w:t xml:space="preserve"> </w:t>
      </w:r>
      <w:r>
        <w:t xml:space="preserve">65 According to Open Banking Exchange, 14 TPPs provided such a service in 2022.</w:t>
      </w:r>
      <w:r>
        <w:t xml:space="preserve"> </w:t>
      </w:r>
      <w:r>
        <w:t xml:space="preserve">66 EBA Q&amp;A 2018_4098.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PSD2 and its implementing RTS chose not to impose an EU unique API standard (so as to</w:t>
      </w:r>
      <w:r>
        <w:t xml:space="preserve"> </w:t>
      </w:r>
      <w:r>
        <w:t xml:space="preserve">not “counter the objective of promoting competition and innovation67”). Various market</w:t>
      </w:r>
      <w:r>
        <w:t xml:space="preserve"> </w:t>
      </w:r>
      <w:r>
        <w:t xml:space="preserve">standards have nevertheless been developed. Stakeholders have spent resources and time on</w:t>
      </w:r>
      <w:r>
        <w:t xml:space="preserve"> </w:t>
      </w:r>
      <w:r>
        <w:t xml:space="preserve">what should be provided via the dedicated interfaces (PSD2 APIs), what constitutes an</w:t>
      </w:r>
      <w:r>
        <w:t xml:space="preserve"> </w:t>
      </w:r>
      <w:r>
        <w:t xml:space="preserve">obstacle to access etc. The situation has improved since EBA issued (non-binding) opinions</w:t>
      </w:r>
      <w:r>
        <w:t xml:space="preserve"> </w:t>
      </w:r>
      <w:r>
        <w:t xml:space="preserve">on obstacles to OB68, but problems of access and obstacles to Open Banking still remain and</w:t>
      </w:r>
      <w:r>
        <w:t xml:space="preserve"> </w:t>
      </w:r>
      <w:r>
        <w:t xml:space="preserve">are regularly reported by TPPs to EU authorities.69 Neither ASPSPs nor TPPs are fully</w:t>
      </w:r>
      <w:r>
        <w:t xml:space="preserve"> </w:t>
      </w:r>
      <w:r>
        <w:t xml:space="preserve">satisfied with the current situation.</w:t>
      </w:r>
      <w:r>
        <w:br/>
      </w:r>
      <w:r>
        <w:t xml:space="preserve">The drivers of the inefficiencies in OB are linked to the complexity of the legal framework</w:t>
      </w:r>
      <w:r>
        <w:t xml:space="preserve"> </w:t>
      </w:r>
      <w:r>
        <w:t xml:space="preserve">(various interfaces, fallback obligation, possible fallback exemption etc.), to the lack of</w:t>
      </w:r>
      <w:r>
        <w:t xml:space="preserve"> </w:t>
      </w:r>
      <w:r>
        <w:t xml:space="preserve">sufficient detail and clarity in the legislation about the expected performance level, the nature</w:t>
      </w:r>
      <w:r>
        <w:t xml:space="preserve"> </w:t>
      </w:r>
      <w:r>
        <w:t xml:space="preserve">of the data, and functionalities to be made available to TPPs through OB interfaces, and to</w:t>
      </w:r>
      <w:r>
        <w:t xml:space="preserve"> </w:t>
      </w:r>
      <w:r>
        <w:t xml:space="preserve">divergences in the framework’s implementation and enforcement by the national competent</w:t>
      </w:r>
      <w:r>
        <w:t xml:space="preserve"> </w:t>
      </w:r>
      <w:r>
        <w:t xml:space="preserve">authorities (NCA).</w:t>
      </w:r>
      <w:r>
        <w:br/>
      </w:r>
      <w:r>
        <w:t xml:space="preserve">Regarding implementation of OB, it may be worthwhile to compare the EU to the UK, which</w:t>
      </w:r>
      <w:r>
        <w:t xml:space="preserve"> </w:t>
      </w:r>
      <w:r>
        <w:t xml:space="preserve">for now still applies the same regulatory regime on OB deriving from PSD2. The UK has</w:t>
      </w:r>
      <w:r>
        <w:t xml:space="preserve"> </w:t>
      </w:r>
      <w:r>
        <w:t xml:space="preserve">created a dedicated implementation body, the OB Implementation Entity (OBIE) and it has</w:t>
      </w:r>
      <w:r>
        <w:t xml:space="preserve"> </w:t>
      </w:r>
      <w:r>
        <w:t xml:space="preserve">created and imposed a standardised API. As Annex 11 shows, the proportionate usage of OB</w:t>
      </w:r>
      <w:r>
        <w:t xml:space="preserve"> </w:t>
      </w:r>
      <w:r>
        <w:t xml:space="preserve">and the variety of use cases is greater in the UK than in the EU, although there may be</w:t>
      </w:r>
      <w:r>
        <w:t xml:space="preserve"> </w:t>
      </w:r>
      <w:r>
        <w:t xml:space="preserve">cultural factors at play also, the UK being therefore a more mature OB market. TPPs that are</w:t>
      </w:r>
      <w:r>
        <w:t xml:space="preserve"> </w:t>
      </w:r>
      <w:r>
        <w:t xml:space="preserve">also active in the UK note that the implementation in the UK was less troublesome.</w:t>
      </w:r>
      <w:r>
        <w:br/>
      </w:r>
      <w:r>
        <w:t xml:space="preserve">However, it is not fully appropriate to make a direct comparison with the UK. The initial UK</w:t>
      </w:r>
      <w:r>
        <w:t xml:space="preserve"> </w:t>
      </w:r>
      <w:r>
        <w:t xml:space="preserve">OB initiative had to deal with far fewer supervisors and ASPSPs, and no cross-border</w:t>
      </w:r>
      <w:r>
        <w:t xml:space="preserve"> </w:t>
      </w:r>
      <w:r>
        <w:t xml:space="preserve">aspects. In the UK the OB process was driven by the Competition and Markets Authority</w:t>
      </w:r>
      <w:r>
        <w:t xml:space="preserve"> </w:t>
      </w:r>
      <w:r>
        <w:t xml:space="preserve">(CMA), which, after an investigation into the UK’s retail banking market concluded that</w:t>
      </w:r>
      <w:r>
        <w:t xml:space="preserve"> </w:t>
      </w:r>
      <w:r>
        <w:t xml:space="preserve">competition within this market was insufficient and decided to require the 9 leading banks to</w:t>
      </w:r>
      <w:r>
        <w:t xml:space="preserve"> </w:t>
      </w:r>
      <w:r>
        <w:t xml:space="preserve">find solutions together, through the OBIE. The UK underestimated the costs of implementing</w:t>
      </w:r>
      <w:r>
        <w:t xml:space="preserve"> </w:t>
      </w:r>
      <w:r>
        <w:t xml:space="preserve">OB. An independent report to the CMA of October 2021 found that CMA originally</w:t>
      </w:r>
      <w:r>
        <w:t xml:space="preserve"> </w:t>
      </w:r>
      <w:r>
        <w:t xml:space="preserve">estimated OB costs at £20 mln, which at the time of the report had already gone beyond £150</w:t>
      </w:r>
      <w:r>
        <w:t xml:space="preserve"> </w:t>
      </w:r>
      <w:r>
        <w:t xml:space="preserve">mln (nearly £19 mln per bank).70</w:t>
      </w:r>
      <w:r>
        <w:t xml:space="preserve"> </w:t>
      </w:r>
      <w:r>
        <w:t xml:space="preserve">2.1.3. Inconsistent powers and obligations of supervisors</w:t>
      </w:r>
      <w:r>
        <w:br/>
      </w:r>
      <w:r>
        <w:t xml:space="preserve">The Commission’s PSD2 review presented in the Evaluation Report (Annex 5) has revealed</w:t>
      </w:r>
      <w:r>
        <w:t xml:space="preserve"> </w:t>
      </w:r>
      <w:r>
        <w:t xml:space="preserve">inconsistent application and insufficient enforcement of PSD2 provisions and found that</w:t>
      </w:r>
      <w:r>
        <w:t xml:space="preserve"> </w:t>
      </w:r>
      <w:r>
        <w:t xml:space="preserve">many of the limitations to progress on PSD2’s objectives link to challenges related to varying</w:t>
      </w:r>
      <w:r>
        <w:t xml:space="preserve"> </w:t>
      </w:r>
      <w:r>
        <w:t xml:space="preserve">powers and obligations of supervisors. Inconsistent application of the legal framework and</w:t>
      </w:r>
      <w:r>
        <w:t xml:space="preserve"> </w:t>
      </w:r>
      <w:r>
        <w:t xml:space="preserve">insufficiently robust enforcement of rights and duties was often mentioned in stakeholders’</w:t>
      </w:r>
    </w:p>
    <w:p>
      <w:pPr>
        <w:pStyle w:val="BodyText"/>
      </w:pPr>
      <w:r>
        <w:t xml:space="preserve">67 European Banking Authority (EBA/OP/2020/10) Opinion of the European Banking Authority on obstacles</w:t>
      </w:r>
      <w:r>
        <w:t xml:space="preserve"> </w:t>
      </w:r>
      <w:r>
        <w:t xml:space="preserve">under Article 32(3) of the RTS on SCA and CSC; and (EBA/Op/2021/02) Opinion of the European Banking</w:t>
      </w:r>
      <w:r>
        <w:t xml:space="preserve"> </w:t>
      </w:r>
      <w:r>
        <w:t xml:space="preserve">Authority on supervisory actions to ensure the removal of obstacles to account access under PSD2.</w:t>
      </w:r>
      <w:r>
        <w:t xml:space="preserve"> </w:t>
      </w:r>
      <w:r>
        <w:t xml:space="preserve">68 See EBA Opinions referred to in previous footnote.</w:t>
      </w:r>
      <w:r>
        <w:t xml:space="preserve"> </w:t>
      </w:r>
      <w:r>
        <w:t xml:space="preserve">69 See for example : European Third Party Providers Association - PSD2 Obstacles (etppa.org)</w:t>
      </w:r>
      <w:r>
        <w:t xml:space="preserve"> </w:t>
      </w:r>
      <w:r>
        <w:t xml:space="preserve">70 Investigation of Open Banking Limited by Alison White, available here.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constributions on various topics, as well as noted by the EBA in its Advice. Specific</w:t>
      </w:r>
      <w:r>
        <w:t xml:space="preserve"> </w:t>
      </w:r>
      <w:r>
        <w:t xml:space="preserve">examples in each area, enforcement and implementation, are given below.</w:t>
      </w:r>
      <w:r>
        <w:t xml:space="preserve"> </w:t>
      </w:r>
      <w:r>
        <w:t xml:space="preserve"> Enforcement insufficiencies</w:t>
      </w:r>
      <w:r>
        <w:t xml:space="preserve"> </w:t>
      </w:r>
      <w:r>
        <w:t xml:space="preserve">PSD2 currently contains only high-level rules regarding penalties, leaving discretion at</w:t>
      </w:r>
      <w:r>
        <w:t xml:space="preserve"> </w:t>
      </w:r>
      <w:r>
        <w:t xml:space="preserve">national level to decide what kind of rules to be introduced for breaches of PSD2 provisions</w:t>
      </w:r>
      <w:r>
        <w:t xml:space="preserve"> </w:t>
      </w:r>
      <w:r>
        <w:t xml:space="preserve">(including rules on the publication of an infringement) and how these rules will be applied.</w:t>
      </w:r>
      <w:r>
        <w:t xml:space="preserve"> </w:t>
      </w:r>
      <w:r>
        <w:t xml:space="preserve">Whereas the application of penalties is currently governed by national administrative law</w:t>
      </w:r>
      <w:r>
        <w:t xml:space="preserve"> </w:t>
      </w:r>
      <w:r>
        <w:t xml:space="preserve">provisions, this has resulted in diverse and often lengthy processes in each Member State.</w:t>
      </w:r>
      <w:r>
        <w:t xml:space="preserve"> </w:t>
      </w:r>
      <w:r>
        <w:t xml:space="preserve">Relatively few PSD2 related penalties for OB breaches have been imposed by national</w:t>
      </w:r>
      <w:r>
        <w:t xml:space="preserve"> </w:t>
      </w:r>
      <w:r>
        <w:t xml:space="preserve">competent authorities.</w:t>
      </w:r>
      <w:r>
        <w:br/>
      </w:r>
      <w:r>
        <w:t xml:space="preserve">Slow or ineffective enforcement has often been brought up in the targeted consultation as a</w:t>
      </w:r>
      <w:r>
        <w:t xml:space="preserve"> </w:t>
      </w:r>
      <w:r>
        <w:t xml:space="preserve">key factor linked to stakeholders’ general views that PSD2 provisions on OB have not been</w:t>
      </w:r>
      <w:r>
        <w:t xml:space="preserve"> </w:t>
      </w:r>
      <w:r>
        <w:t xml:space="preserve">successful (only 29% of respondents find the framework has been successful, against 45%</w:t>
      </w:r>
      <w:r>
        <w:t xml:space="preserve"> </w:t>
      </w:r>
      <w:r>
        <w:t xml:space="preserve">that find it has not). Regarding issues related to the implementation of data access interfaces</w:t>
      </w:r>
      <w:r>
        <w:t xml:space="preserve"> </w:t>
      </w:r>
      <w:r>
        <w:t xml:space="preserve">in Open Banking, many TPPs stressed the ineffective enforcement by regulators.71 EBA in its</w:t>
      </w:r>
      <w:r>
        <w:t xml:space="preserve"> </w:t>
      </w:r>
      <w:r>
        <w:t xml:space="preserve">Advice highlights a number of challenges reportedly faced by national supervisors in relation</w:t>
      </w:r>
      <w:r>
        <w:t xml:space="preserve"> </w:t>
      </w:r>
      <w:r>
        <w:t xml:space="preserve">to enforcement. These include the significant time, resources and specific skills needed to</w:t>
      </w:r>
      <w:r>
        <w:t xml:space="preserve"> </w:t>
      </w:r>
      <w:r>
        <w:t xml:space="preserve">supervise technical specifications of innovative IT systems and solutions.</w:t>
      </w:r>
      <w:r>
        <w:t xml:space="preserve"> </w:t>
      </w:r>
      <w:r>
        <w:t xml:space="preserve">Certain consumer rules in PSD2 are barely enforced due to the lack of any designated</w:t>
      </w:r>
      <w:r>
        <w:t xml:space="preserve"> </w:t>
      </w:r>
      <w:r>
        <w:t xml:space="preserve">competent authority; this is the case for example as regards independent ATM operators,</w:t>
      </w:r>
      <w:r>
        <w:t xml:space="preserve"> </w:t>
      </w:r>
      <w:r>
        <w:t xml:space="preserve">which are not subjected to ongoing supervision, but which must apply transparency on</w:t>
      </w:r>
      <w:r>
        <w:t xml:space="preserve"> </w:t>
      </w:r>
      <w:r>
        <w:t xml:space="preserve">pricing. Users have drawn attention to unpunished breaches of PSD2 in this area.72</w:t>
      </w:r>
      <w:r>
        <w:t xml:space="preserve"> </w:t>
      </w:r>
      <w:r>
        <w:t xml:space="preserve"> Divergences in application</w:t>
      </w:r>
      <w:r>
        <w:t xml:space="preserve"> </w:t>
      </w:r>
      <w:r>
        <w:t xml:space="preserve">The evaluation has identified differences between national authorities in licensing</w:t>
      </w:r>
      <w:r>
        <w:t xml:space="preserve"> </w:t>
      </w:r>
      <w:r>
        <w:t xml:space="preserve">requirements, the duration of the application process, and regulatory requirements of</w:t>
      </w:r>
      <w:r>
        <w:t xml:space="preserve"> </w:t>
      </w:r>
      <w:r>
        <w:t xml:space="preserve">operating across borders. Besides making such activities more difficult, one effect is to</w:t>
      </w:r>
      <w:r>
        <w:t xml:space="preserve"> </w:t>
      </w:r>
      <w:r>
        <w:t xml:space="preserve">introduce scope for regulatory arbitrage, as entities can passport their services across Europe</w:t>
      </w:r>
      <w:r>
        <w:t xml:space="preserve"> </w:t>
      </w:r>
      <w:r>
        <w:t xml:space="preserve">after having established themselves in one Member State where licensing and supervisory</w:t>
      </w:r>
      <w:r>
        <w:t xml:space="preserve"> </w:t>
      </w:r>
      <w:r>
        <w:t xml:space="preserve">practices might be deemed more favorable. With regard to opening and maintaining a</w:t>
      </w:r>
      <w:r>
        <w:t xml:space="preserve"> </w:t>
      </w:r>
      <w:r>
        <w:t xml:space="preserve">payment account, some Member States impose higher requirements than others. Furthermore,</w:t>
      </w:r>
      <w:r>
        <w:t xml:space="preserve"> </w:t>
      </w:r>
      <w:r>
        <w:t xml:space="preserve">PSD2 allows alternative methods of calculating the own funds requirement for Payment</w:t>
      </w:r>
      <w:r>
        <w:t xml:space="preserve"> </w:t>
      </w:r>
      <w:r>
        <w:t xml:space="preserve">Institutions. Findings from the targeted consultation, as well as the EBA Advice, point to</w:t>
      </w:r>
      <w:r>
        <w:t xml:space="preserve"> </w:t>
      </w:r>
      <w:r>
        <w:t xml:space="preserve">divergences between Member States in determining who is responsible for choosing the</w:t>
      </w:r>
      <w:r>
        <w:t xml:space="preserve"> </w:t>
      </w:r>
      <w:r>
        <w:t xml:space="preserve">method for the calculation of own funds; in some cases PIs have been allowed to choose the</w:t>
      </w:r>
      <w:r>
        <w:t xml:space="preserve"> </w:t>
      </w:r>
      <w:r>
        <w:t xml:space="preserve">method themselves, in others not.</w:t>
      </w:r>
      <w:r>
        <w:t xml:space="preserve"> </w:t>
      </w:r>
      <w:r>
        <w:t xml:space="preserve">One limitation to the success of the PSD2 framework on passporting notifications for agents</w:t>
      </w:r>
      <w:r>
        <w:t xml:space="preserve"> </w:t>
      </w:r>
      <w:r>
        <w:t xml:space="preserve">and distributors has been the divergence in practices amongst NCAs in assessing whether</w:t>
      </w:r>
      <w:r>
        <w:t xml:space="preserve"> </w:t>
      </w:r>
      <w:r>
        <w:t xml:space="preserve">cross-border activities carried out by licensed entities using agents or distributors fall under</w:t>
      </w:r>
      <w:r>
        <w:t xml:space="preserve"> </w:t>
      </w:r>
      <w:r>
        <w:t xml:space="preserve">the right of establishment or the freedom to provide services.</w:t>
      </w:r>
    </w:p>
    <w:p>
      <w:pPr>
        <w:pStyle w:val="BodyText"/>
      </w:pPr>
      <w:r>
        <w:t xml:space="preserve">71 See for example:, ETPPA Position Paper on PSD2 review, June 2022; or OFA position paper on PSD2.</w:t>
      </w:r>
      <w:r>
        <w:t xml:space="preserve"> </w:t>
      </w:r>
      <w:r>
        <w:t xml:space="preserve">72 See for example BEUX-X-2022-118_BEUC_position_paper_on_PSD2_review.pdf p.5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An example of divergent implementation in the area of Open Banking is a lack of consistency</w:t>
      </w:r>
      <w:r>
        <w:t xml:space="preserve"> </w:t>
      </w:r>
      <w:r>
        <w:t xml:space="preserve">in how the definition of “payment account” is interpreted across the EU. There is uncertainty</w:t>
      </w:r>
      <w:r>
        <w:t xml:space="preserve"> </w:t>
      </w:r>
      <w:r>
        <w:t xml:space="preserve">in the market as to whether certain types of accounts, such as electronic money accounts</w:t>
      </w:r>
      <w:r>
        <w:t xml:space="preserve"> </w:t>
      </w:r>
      <w:r>
        <w:t xml:space="preserve">linked to prepaid cards, savings accounts, reference accounts, credit card accounts and others,</w:t>
      </w:r>
      <w:r>
        <w:t xml:space="preserve"> </w:t>
      </w:r>
      <w:r>
        <w:t xml:space="preserve">should be considered payment accounts. This has led to uncertainty regarding the different</w:t>
      </w:r>
      <w:r>
        <w:t xml:space="preserve"> </w:t>
      </w:r>
      <w:r>
        <w:t xml:space="preserve">types of account data which can be accessed by AISPs and PISPs across the EU, with, for</w:t>
      </w:r>
      <w:r>
        <w:t xml:space="preserve"> </w:t>
      </w:r>
      <w:r>
        <w:t xml:space="preserve">instance, AISPs being able to access credit card data in some jurisdictions but not in others.73</w:t>
      </w:r>
      <w:r>
        <w:t xml:space="preserve"> </w:t>
      </w:r>
      <w:r>
        <w:t xml:space="preserve">Another case where divergent interpretation and application of provisions across Member</w:t>
      </w:r>
      <w:r>
        <w:t xml:space="preserve"> </w:t>
      </w:r>
      <w:r>
        <w:t xml:space="preserve">States create opportunities for regulatory arbitrage concerns the list of exclusions, in</w:t>
      </w:r>
      <w:r>
        <w:t xml:space="preserve"> </w:t>
      </w:r>
      <w:r>
        <w:t xml:space="preserve">particular the so-called ‘limited network exclusion’ under Article 3(k) of PSD2. Here the</w:t>
      </w:r>
      <w:r>
        <w:t xml:space="preserve"> </w:t>
      </w:r>
      <w:r>
        <w:t xml:space="preserve">EBA has noted how the application of the requirements to fall under this exclusion have</w:t>
      </w:r>
      <w:r>
        <w:t xml:space="preserve"> </w:t>
      </w:r>
      <w:r>
        <w:t xml:space="preserve">diverged significantly between Member States, which led the EBA to adopt Guidelines on</w:t>
      </w:r>
      <w:r>
        <w:t xml:space="preserve"> </w:t>
      </w:r>
      <w:r>
        <w:t xml:space="preserve">this exemption.74</w:t>
      </w:r>
      <w:r>
        <w:br/>
      </w:r>
      <w:r>
        <w:t xml:space="preserve">2.1.4. Unlevel playing field between banks and non-bank PSPs</w:t>
      </w:r>
      <w:r>
        <w:br/>
      </w:r>
      <w:r>
        <w:t xml:space="preserve">The issue of interaction between PSD2 and the Settlement Finality Directive (SFD), with the</w:t>
      </w:r>
      <w:r>
        <w:t xml:space="preserve"> </w:t>
      </w:r>
      <w:r>
        <w:t xml:space="preserve">consequence of preventing direct access of non-bank PSPs to certain key payment systems, is</w:t>
      </w:r>
      <w:r>
        <w:t xml:space="preserve"> </w:t>
      </w:r>
      <w:r>
        <w:t xml:space="preserve">highlighted in the Evaluation Report. The SFD lists the participants that are allowed to</w:t>
      </w:r>
      <w:r>
        <w:t xml:space="preserve"> </w:t>
      </w:r>
      <w:r>
        <w:t xml:space="preserve">participate directly in systems designated by Member States pursuant to the SFD75, but</w:t>
      </w:r>
      <w:r>
        <w:t xml:space="preserve"> </w:t>
      </w:r>
      <w:r>
        <w:t xml:space="preserve">Payment Institutions and E-Money Institutions do not appear on the list.</w:t>
      </w:r>
      <w:r>
        <w:br/>
      </w:r>
      <w:r>
        <w:t xml:space="preserve">The SFD protects a duly designated, notified and published system and its participants from</w:t>
      </w:r>
      <w:r>
        <w:t xml:space="preserve"> </w:t>
      </w:r>
      <w:r>
        <w:t xml:space="preserve">the legal uncertainty and unpredictability inherent in the opening of insolvency proceedings</w:t>
      </w:r>
      <w:r>
        <w:t xml:space="preserve"> </w:t>
      </w:r>
      <w:r>
        <w:t xml:space="preserve">against one of their participants. It does so by stipulating the irrevocability and finality of</w:t>
      </w:r>
      <w:r>
        <w:t xml:space="preserve"> </w:t>
      </w:r>
      <w:r>
        <w:t xml:space="preserve">transfer orders entered into an SFD system, thus preventing them from being interfered with</w:t>
      </w:r>
      <w:r>
        <w:t xml:space="preserve"> </w:t>
      </w:r>
      <w:r>
        <w:t xml:space="preserve">in such proceedings (settlement finality). It also provides for the enforceability of the netting</w:t>
      </w:r>
      <w:r>
        <w:t xml:space="preserve"> </w:t>
      </w:r>
      <w:r>
        <w:t xml:space="preserve">of transfer orders, from the effects of the insolvency of a participant. Moreover, the SFD ring-</w:t>
      </w:r>
      <w:r>
        <w:t xml:space="preserve"> </w:t>
      </w:r>
      <w:r>
        <w:t xml:space="preserve">fences collateral security provided either in connection with participation in an SFD system</w:t>
      </w:r>
      <w:r>
        <w:t xml:space="preserve"> </w:t>
      </w:r>
      <w:r>
        <w:t xml:space="preserve">or in the monetary operations of the Member States’ central banks or the European Central</w:t>
      </w:r>
      <w:r>
        <w:t xml:space="preserve"> </w:t>
      </w:r>
      <w:r>
        <w:t xml:space="preserve">Bank (ECB) from the effects of the insolvency of the collateral provider. SFD leaves to</w:t>
      </w:r>
      <w:r>
        <w:t xml:space="preserve"> </w:t>
      </w:r>
      <w:r>
        <w:t xml:space="preserve">Member States the decision whether or not to designate and notify a system governed by the</w:t>
      </w:r>
      <w:r>
        <w:t xml:space="preserve"> </w:t>
      </w:r>
      <w:r>
        <w:t xml:space="preserve">laws of that Member State; a large number of payment systems have been designated by</w:t>
      </w:r>
      <w:r>
        <w:t xml:space="preserve"> </w:t>
      </w:r>
      <w:r>
        <w:t xml:space="preserve">various Member States under SFD, including EU-wide systems operated by the ECB and the</w:t>
      </w:r>
      <w:r>
        <w:t xml:space="preserve"> </w:t>
      </w:r>
      <w:r>
        <w:t xml:space="preserve">ESCB, such as TARGET2 or TIPS.76</w:t>
      </w:r>
      <w:r>
        <w:br/>
      </w:r>
      <w:r>
        <w:t xml:space="preserve">PSD2 currently does not contain any supervision or licencing regime for operators of</w:t>
      </w:r>
      <w:r>
        <w:t xml:space="preserve"> </w:t>
      </w:r>
      <w:r>
        <w:t xml:space="preserve">payment systems77, and only article 35 contains high-level rules applicable to payment</w:t>
      </w:r>
      <w:r>
        <w:t xml:space="preserve"> </w:t>
      </w:r>
      <w:r>
        <w:t xml:space="preserve">system operators. This article requires that the internal rules of payment systems, including</w:t>
      </w:r>
    </w:p>
    <w:p>
      <w:pPr>
        <w:pStyle w:val="BodyText"/>
      </w:pPr>
      <w:r>
        <w:t xml:space="preserve">73 See EBA Advice p.12.</w:t>
      </w:r>
      <w:r>
        <w:t xml:space="preserve"> </w:t>
      </w:r>
      <w:r>
        <w:t xml:space="preserve">74 Article 3(k) excludes from PSD2 scope, with conditions “services based on specific payment instruments that</w:t>
      </w:r>
      <w:r>
        <w:t xml:space="preserve"> </w:t>
      </w:r>
      <w:r>
        <w:t xml:space="preserve">can be used only in a limited way”. See European Banking Authority (EBA/GL/2022/02), Guidelines on the</w:t>
      </w:r>
      <w:r>
        <w:t xml:space="preserve"> </w:t>
      </w:r>
      <w:r>
        <w:t xml:space="preserve">limited network exclusion under PSD2, 24 February 2022</w:t>
      </w:r>
      <w:r>
        <w:br/>
      </w:r>
      <w:r>
        <w:t xml:space="preserve">75 Article 2(f) SFD.</w:t>
      </w:r>
      <w:r>
        <w:t xml:space="preserve"> </w:t>
      </w:r>
      <w:r>
        <w:t xml:space="preserve">76 The full list of SFD-designated systems is available from the European Securities and Markets Authority,</w:t>
      </w:r>
      <w:r>
        <w:t xml:space="preserve"> </w:t>
      </w:r>
      <w:r>
        <w:t xml:space="preserve">here.</w:t>
      </w:r>
      <w:r>
        <w:br/>
      </w:r>
      <w:r>
        <w:t xml:space="preserve">77 See Annex 6 on the question of whether such operators should be brought within the scope of PSD2.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access rules, must be Proportional, Objective and Non-Discriminatory (the “POND”</w:t>
      </w:r>
      <w:r>
        <w:t xml:space="preserve"> </w:t>
      </w:r>
      <w:r>
        <w:t xml:space="preserve">principle). However, payment systems designated under SFD are excluded from this</w:t>
      </w:r>
      <w:r>
        <w:t xml:space="preserve"> </w:t>
      </w:r>
      <w:r>
        <w:t xml:space="preserve">requirement under article 35.2(a). This exclusion was already in PSD1 of 2007 and was not</w:t>
      </w:r>
      <w:r>
        <w:t xml:space="preserve"> </w:t>
      </w:r>
      <w:r>
        <w:t xml:space="preserve">changed or removed with PSD2.</w:t>
      </w:r>
      <w:r>
        <w:br/>
      </w:r>
      <w:r>
        <w:t xml:space="preserve">PIs and EMIs may alternatively access SFD-designated payment systems “indirectly” via an</w:t>
      </w:r>
      <w:r>
        <w:t xml:space="preserve"> </w:t>
      </w:r>
      <w:r>
        <w:t xml:space="preserve">account held with a bank. Access to a commercial bank account is also essential to allow</w:t>
      </w:r>
      <w:r>
        <w:t xml:space="preserve"> </w:t>
      </w:r>
      <w:r>
        <w:t xml:space="preserve">non-bank PSPs to safeguard customer funds, without which they also cannot provide</w:t>
      </w:r>
      <w:r>
        <w:t xml:space="preserve"> </w:t>
      </w:r>
      <w:r>
        <w:t xml:space="preserve">payment services. In this context, it can be noted that Article 36 of PSD2 requires a bank to</w:t>
      </w:r>
      <w:r>
        <w:t xml:space="preserve"> </w:t>
      </w:r>
      <w:r>
        <w:t xml:space="preserve">notify its competent authority, in writing and with explanation, where it refuses to grant an</w:t>
      </w:r>
      <w:r>
        <w:t xml:space="preserve"> </w:t>
      </w:r>
      <w:r>
        <w:t xml:space="preserve">applicant non-bank PSP access to a bank account. However, article 36 of PSD2 does not</w:t>
      </w:r>
      <w:r>
        <w:t xml:space="preserve"> </w:t>
      </w:r>
      <w:r>
        <w:t xml:space="preserve">require any notification or explanation in cases when the bank closes the PI or EMI account.</w:t>
      </w:r>
      <w:r>
        <w:t xml:space="preserve"> </w:t>
      </w:r>
      <w:r>
        <w:t xml:space="preserve">This allows banks to grant PIs and EMIs access to a bank account but to subsequently</w:t>
      </w:r>
      <w:r>
        <w:t xml:space="preserve"> </w:t>
      </w:r>
      <w:r>
        <w:t xml:space="preserve">withdraw that access with no consequences. In such cases, the non-bank PSP is also exposed</w:t>
      </w:r>
      <w:r>
        <w:t xml:space="preserve"> </w:t>
      </w:r>
      <w:r>
        <w:t xml:space="preserve">to withdrawal of service by the bank, which is usually justified by a pretext of “de-risking”</w:t>
      </w:r>
      <w:r>
        <w:t xml:space="preserve"> </w:t>
      </w:r>
      <w:r>
        <w:t xml:space="preserve">(for example on AML grounds).78 A number of PIs and EMIs have informed the Commission</w:t>
      </w:r>
      <w:r>
        <w:t xml:space="preserve"> </w:t>
      </w:r>
      <w:r>
        <w:t xml:space="preserve">that they are regularly “offboarded” by banks with only perfunctory or no explanation, thus</w:t>
      </w:r>
      <w:r>
        <w:t xml:space="preserve"> </w:t>
      </w:r>
      <w:r>
        <w:t xml:space="preserve">causing interruption of service until a replacement commercial bank is found, requiring</w:t>
      </w:r>
      <w:r>
        <w:t xml:space="preserve"> </w:t>
      </w:r>
      <w:r>
        <w:t xml:space="preserve">burdensome transferral of connectivity of their infrastructure to the new bank. Thus, even</w:t>
      </w:r>
      <w:r>
        <w:t xml:space="preserve"> </w:t>
      </w:r>
      <w:r>
        <w:t xml:space="preserve">indirect access to key payment systems is uncertain, and there is a risk of periods with no</w:t>
      </w:r>
      <w:r>
        <w:t xml:space="preserve"> </w:t>
      </w:r>
      <w:r>
        <w:t xml:space="preserve">access at all to payment systems and no ability to safeguard customer funds, both of which</w:t>
      </w:r>
      <w:r>
        <w:t xml:space="preserve"> </w:t>
      </w:r>
      <w:r>
        <w:t xml:space="preserve">are essential for a PI or EMI to carry out its core business.</w:t>
      </w:r>
      <w:r>
        <w:t xml:space="preserve"> </w:t>
      </w:r>
      <w:r>
        <w:t xml:space="preserve">2.2. What are the consequences of the problems?</w:t>
      </w:r>
      <w:r>
        <w:t xml:space="preserve"> </w:t>
      </w:r>
      <w:r>
        <w:t xml:space="preserve">The consequences of the problems should be considered for each category of stakeholder:</w:t>
      </w:r>
      <w:r>
        <w:t xml:space="preserve"> </w:t>
      </w:r>
      <w:r>
        <w:t xml:space="preserve">payment system users, PSPs, Open Banking providers (TPPs), and single market and</w:t>
      </w:r>
      <w:r>
        <w:t xml:space="preserve"> </w:t>
      </w:r>
      <w:r>
        <w:t xml:space="preserve">macroeconomic consequences.</w:t>
      </w:r>
      <w:r>
        <w:t xml:space="preserve"> </w:t>
      </w:r>
      <w:r>
        <w:t xml:space="preserve">Users (both consumers and businesses, including merchants) may suffer detriment and lose</w:t>
      </w:r>
      <w:r>
        <w:t xml:space="preserve"> </w:t>
      </w:r>
      <w:r>
        <w:t xml:space="preserve">confidence in payment services. Firstly, fraud is still seen by a significant number of users as</w:t>
      </w:r>
      <w:r>
        <w:t xml:space="preserve"> </w:t>
      </w:r>
      <w:r>
        <w:t xml:space="preserve">a major threat to their trust in digital payments. The results of the open public consultation on</w:t>
      </w:r>
      <w:r>
        <w:t xml:space="preserve"> </w:t>
      </w:r>
      <w:r>
        <w:t xml:space="preserve">the PSD2 review show that 17% of the respondents (11 out of 66) indicate they have been the</w:t>
      </w:r>
      <w:r>
        <w:t xml:space="preserve"> </w:t>
      </w:r>
      <w:r>
        <w:t xml:space="preserve">victim of fraud recently. Out of those 11, 4 requested a refund with their payment service</w:t>
      </w:r>
      <w:r>
        <w:t xml:space="preserve"> </w:t>
      </w:r>
      <w:r>
        <w:t xml:space="preserve">provider and received it in full. Three out of those 11 respondents filed a request but did not</w:t>
      </w:r>
      <w:r>
        <w:t xml:space="preserve"> </w:t>
      </w:r>
      <w:r>
        <w:t xml:space="preserve">receive a refund.</w:t>
      </w:r>
      <w:r>
        <w:br/>
      </w:r>
      <w:r>
        <w:t xml:space="preserve">A second consequence for users is that prices of payment services may be higher than</w:t>
      </w:r>
      <w:r>
        <w:t xml:space="preserve"> </w:t>
      </w:r>
      <w:r>
        <w:t xml:space="preserve">necessary due to hindered competition. For example, the problems encountered by PIs and</w:t>
      </w:r>
      <w:r>
        <w:t xml:space="preserve"> </w:t>
      </w:r>
      <w:r>
        <w:t xml:space="preserve">EMIs to offer payment account services in competition with banks reduces the competitive</w:t>
      </w:r>
      <w:r>
        <w:t xml:space="preserve"> </w:t>
      </w:r>
      <w:r>
        <w:t xml:space="preserve">pressure on banks and can inhibit price competition between different categories of PSPs.</w:t>
      </w:r>
      <w:r>
        <w:t xml:space="preserve"> </w:t>
      </w:r>
      <w:r>
        <w:t xml:space="preserve">Also, the lack of clarity regarding agents and distributors noted above creates difficulties for</w:t>
      </w:r>
      <w:r>
        <w:t xml:space="preserve"> </w:t>
      </w:r>
      <w:r>
        <w:t xml:space="preserve">consumers in identifying the applicable consumer protection measures and the relevant</w:t>
      </w:r>
      <w:r>
        <w:t xml:space="preserve"> </w:t>
      </w:r>
      <w:r>
        <w:t xml:space="preserve">authority for specific supervisory purposes and complaints handling.</w:t>
      </w:r>
    </w:p>
    <w:p>
      <w:pPr>
        <w:pStyle w:val="BodyText"/>
      </w:pPr>
      <w:r>
        <w:t xml:space="preserve">78 European Banking Authority (EBA/Op/2022/01), Opinion of the EBA on ‘de-risking’, January 2022.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The large potential savings for payees, particularly merchants, from PIS payments replacing</w:t>
      </w:r>
      <w:r>
        <w:t xml:space="preserve"> </w:t>
      </w:r>
      <w:r>
        <w:t xml:space="preserve">more costly means of payment such as cards, anticipated in the impact assessment</w:t>
      </w:r>
      <w:r>
        <w:t xml:space="preserve"> </w:t>
      </w:r>
      <w:r>
        <w:t xml:space="preserve">accompanying the PSD2 proposal in 2013, have largely not been realised. The inefficiencies</w:t>
      </w:r>
      <w:r>
        <w:t xml:space="preserve"> </w:t>
      </w:r>
      <w:r>
        <w:t xml:space="preserve">in the functioning of Open Banking (OB) in the EU identified above limit the supply and</w:t>
      </w:r>
      <w:r>
        <w:t xml:space="preserve"> </w:t>
      </w:r>
      <w:r>
        <w:t xml:space="preserve">usage of OB services and increase their cost, also hindering the development of innovative</w:t>
      </w:r>
      <w:r>
        <w:t xml:space="preserve"> </w:t>
      </w:r>
      <w:r>
        <w:t xml:space="preserve">cost-saving services based on OB. The relatively low take-up of OB services in the EU</w:t>
      </w:r>
      <w:r>
        <w:t xml:space="preserve"> </w:t>
      </w:r>
      <w:r>
        <w:t xml:space="preserve">described in Annex 11, despite the high numbers of TPPs created both before and after PSD2</w:t>
      </w:r>
      <w:r>
        <w:t xml:space="preserve"> </w:t>
      </w:r>
      <w:r>
        <w:t xml:space="preserve">(around 500), may well be linked to these factors, although causality is difficult to establish.</w:t>
      </w:r>
      <w:r>
        <w:br/>
      </w:r>
      <w:r>
        <w:t xml:space="preserve">For PSPs, the consequences include uncertainty about their obligations due to lack of clarity</w:t>
      </w:r>
      <w:r>
        <w:t xml:space="preserve"> </w:t>
      </w:r>
      <w:r>
        <w:t xml:space="preserve">in places in the legislation. The problems regarding divergent implementation and</w:t>
      </w:r>
      <w:r>
        <w:t xml:space="preserve"> </w:t>
      </w:r>
      <w:r>
        <w:t xml:space="preserve">enforcement of PSD2 directly impact competition between PSPs, by creating different</w:t>
      </w:r>
      <w:r>
        <w:t xml:space="preserve"> </w:t>
      </w:r>
      <w:r>
        <w:t xml:space="preserve">regulatory conditions in different Member States through different interpretation of PSD2</w:t>
      </w:r>
      <w:r>
        <w:t xml:space="preserve"> </w:t>
      </w:r>
      <w:r>
        <w:t xml:space="preserve">rules, encouraging regulatory arbitrage. Indeed, as evidenced in the VVA/CEPS study,79 there</w:t>
      </w:r>
      <w:r>
        <w:t xml:space="preserve"> </w:t>
      </w:r>
      <w:r>
        <w:t xml:space="preserve">is a concentration of licensing of payment fintechs (TPPs) in a number of relatively smaller</w:t>
      </w:r>
      <w:r>
        <w:t xml:space="preserve"> </w:t>
      </w:r>
      <w:r>
        <w:t xml:space="preserve">Member States from which services are performed largely on a cross-border basis. The</w:t>
      </w:r>
      <w:r>
        <w:t xml:space="preserve"> </w:t>
      </w:r>
      <w:r>
        <w:t xml:space="preserve">imbalances in numbers of TPPs across Member States can be seen in Figure 5 below. PSPs</w:t>
      </w:r>
      <w:r>
        <w:t xml:space="preserve"> </w:t>
      </w:r>
      <w:r>
        <w:t xml:space="preserve">based in Member States with stricter interpretations of PSD2 rules face cross-border</w:t>
      </w:r>
      <w:r>
        <w:t xml:space="preserve"> </w:t>
      </w:r>
      <w:r>
        <w:t xml:space="preserve">competition from PSPs based in Member States with ‘less strict’ interpretations/licensing</w:t>
      </w:r>
      <w:r>
        <w:t xml:space="preserve"> </w:t>
      </w:r>
      <w:r>
        <w:t xml:space="preserve">regimes. PSPs, especially those which are OB TPPs, often report that complaints against</w:t>
      </w:r>
      <w:r>
        <w:t xml:space="preserve"> </w:t>
      </w:r>
      <w:r>
        <w:t xml:space="preserve">other PSPs (for example for denial of access to user data with user consent) are not followed</w:t>
      </w:r>
      <w:r>
        <w:t xml:space="preserve"> </w:t>
      </w:r>
      <w:r>
        <w:t xml:space="preserve">up, thus limiting their ability to provide OB services.</w:t>
      </w:r>
      <w:r>
        <w:br/>
      </w:r>
      <w:r>
        <w:t xml:space="preserve">Figure 580</w:t>
      </w:r>
      <w:r>
        <w:t xml:space="preserve"> </w:t>
      </w:r>
      <w:r>
        <w:t xml:space="preserve">Euro (from 579 to 987)</w:t>
      </w:r>
      <w:r>
        <w:t xml:space="preserve"> </w:t>
      </w:r>
      <w:r>
        <w:t xml:space="preserve">Non-Euro (from 303 to 371)</w:t>
      </w:r>
    </w:p>
    <w:p>
      <w:pPr>
        <w:pStyle w:val="BodyText"/>
      </w:pPr>
      <w:r>
        <w:t xml:space="preserve">BE DE EE IE GR ES FR IT CY LU LV MT NL AT PT SI SK FI LT</w:t>
      </w:r>
      <w:r>
        <w:t xml:space="preserve"> </w:t>
      </w:r>
      <w:r>
        <w:t xml:space="preserve">BG HR CZ</w:t>
      </w:r>
      <w:r>
        <w:t xml:space="preserve"> </w:t>
      </w:r>
      <w:r>
        <w:t xml:space="preserve">DK HU PL RO SE</w:t>
      </w:r>
      <w:r>
        <w:t xml:space="preserve"> </w:t>
      </w:r>
      <w:r>
        <w:t xml:space="preserve">2014 29 53</w:t>
      </w:r>
      <w:r>
        <w:t xml:space="preserve"> </w:t>
      </w:r>
      <w:r>
        <w:t xml:space="preserve">10 14 13 75 44 73 14 18 48 24 36</w:t>
      </w:r>
      <w:r>
        <w:t xml:space="preserve"> </w:t>
      </w:r>
      <w:r>
        <w:t xml:space="preserve">12 46 5 13 12 40</w:t>
      </w:r>
      <w:r>
        <w:t xml:space="preserve"> </w:t>
      </w:r>
      <w:r>
        <w:t xml:space="preserve">11 7</w:t>
      </w:r>
      <w:r>
        <w:t xml:space="preserve"> </w:t>
      </w:r>
      <w:r>
        <w:t xml:space="preserve">123 n/a 18 33 14 97</w:t>
      </w:r>
      <w:r>
        <w:t xml:space="preserve"> </w:t>
      </w:r>
      <w:r>
        <w:t xml:space="preserve">2022 33 103 19 47 24 94 84 73 28 29 17 48 151 19 28 8 19 21 142 17 12 113 28 27 48 15 111</w:t>
      </w:r>
      <w:r>
        <w:t xml:space="preserve"> </w:t>
      </w:r>
      <w:r>
        <w:t xml:space="preserve">The impediments to access to payment systems for non-bank PSPs harm competition and</w:t>
      </w:r>
      <w:r>
        <w:t xml:space="preserve"> </w:t>
      </w:r>
      <w:r>
        <w:t xml:space="preserve">innovation, by preventing non-bank PSPs from developing and offering payment services in</w:t>
      </w:r>
      <w:r>
        <w:t xml:space="preserve"> </w:t>
      </w:r>
      <w:r>
        <w:t xml:space="preserve">competition with banks, for example instant payments, resulting in higher prices for</w:t>
      </w:r>
      <w:r>
        <w:t xml:space="preserve"> </w:t>
      </w:r>
      <w:r>
        <w:t xml:space="preserve">consumers and less innovative payment services. The fact that, in order to connect to SFD-</w:t>
      </w:r>
      <w:r>
        <w:t xml:space="preserve"> </w:t>
      </w:r>
      <w:r>
        <w:t xml:space="preserve">designated payment systems in the EU, non-bank PSPs must use an indirect connection</w:t>
      </w:r>
      <w:r>
        <w:t xml:space="preserve"> </w:t>
      </w:r>
      <w:r>
        <w:t xml:space="preserve">offered by a bank or another SFD eligible participant as a commercial service, creates a</w:t>
      </w:r>
      <w:r>
        <w:t xml:space="preserve"> </w:t>
      </w:r>
      <w:r>
        <w:t xml:space="preserve">dependency on banks. In addition, as non-bank PSPs are competitors to banks, and due to the</w:t>
      </w:r>
      <w:r>
        <w:t xml:space="preserve"> </w:t>
      </w:r>
      <w:r>
        <w:t xml:space="preserve">access dependency, the banks might gain insight to the non-bank PSP’s confidential business</w:t>
      </w:r>
      <w:r>
        <w:t xml:space="preserve"> </w:t>
      </w:r>
      <w:r>
        <w:t xml:space="preserve">information, which might raise concerns from a competition point of view. Furthermore, the</w:t>
      </w:r>
      <w:r>
        <w:t xml:space="preserve"> </w:t>
      </w:r>
      <w:r>
        <w:t xml:space="preserve">service is charged by the bank to the PI or EMI, thus involving an additional cost and</w:t>
      </w:r>
      <w:r>
        <w:t xml:space="preserve"> </w:t>
      </w:r>
      <w:r>
        <w:t xml:space="preserve">impacting their competitiveness on the payments market81. There is thus a level playing field</w:t>
      </w:r>
      <w:r>
        <w:t xml:space="preserve"> </w:t>
      </w:r>
      <w:r>
        <w:t xml:space="preserve">issue, in so far as certain categories of participants in the payments market are dependent on</w:t>
      </w:r>
      <w:r>
        <w:t xml:space="preserve"> </w:t>
      </w:r>
      <w:r>
        <w:t xml:space="preserve">their competitors in order to offer a basic payment service.</w:t>
      </w:r>
    </w:p>
    <w:p>
      <w:pPr>
        <w:pStyle w:val="BodyText"/>
      </w:pPr>
      <w:r>
        <w:t xml:space="preserve">79 Page 33 and ff. </w:t>
      </w:r>
      <w:r>
        <w:t xml:space="preserve"> </w:t>
      </w:r>
      <w:r>
        <w:t xml:space="preserve">80 ECB data, available at this link: . Reproduced in the VVA/CEPS study p.33.</w:t>
      </w:r>
      <w:r>
        <w:t xml:space="preserve"> </w:t>
      </w:r>
      <w:r>
        <w:t xml:space="preserve">81 However, in this case the intermediary bank, not the PIs and EMIs, must fulfil potential collateral</w:t>
      </w:r>
      <w:r>
        <w:t xml:space="preserve"> </w:t>
      </w:r>
      <w:r>
        <w:t xml:space="preserve">requirements of the payment systems, thus to some extent justifying the charges.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Open Banking TPPs may experience difficulties in providing their basic services due to</w:t>
      </w:r>
      <w:r>
        <w:t xml:space="preserve"> </w:t>
      </w:r>
      <w:r>
        <w:t xml:space="preserve">inadequate OB interfaces and lose business as a result.</w:t>
      </w:r>
      <w:r>
        <w:br/>
      </w:r>
      <w:r>
        <w:t xml:space="preserve">As for macroeconomic consequences, given the importance of payments for economic</w:t>
      </w:r>
      <w:r>
        <w:t xml:space="preserve"> </w:t>
      </w:r>
      <w:r>
        <w:t xml:space="preserve">activity, any unnecessarily high cost or inefficiencies in payment instruments will inevitably</w:t>
      </w:r>
      <w:r>
        <w:t xml:space="preserve"> </w:t>
      </w:r>
      <w:r>
        <w:t xml:space="preserve">dampen and slow down transactions, with consequences for GDP.</w:t>
      </w:r>
      <w:r>
        <w:br/>
      </w:r>
      <w:r>
        <w:t xml:space="preserve">Regarding the single market, insufficiencies and inconsistencies in enforcement and</w:t>
      </w:r>
      <w:r>
        <w:t xml:space="preserve"> </w:t>
      </w:r>
      <w:r>
        <w:t xml:space="preserve">implementation produce different operating conditions in different parts of the single market,</w:t>
      </w:r>
      <w:r>
        <w:t xml:space="preserve"> </w:t>
      </w:r>
      <w:r>
        <w:t xml:space="preserve">causing legal uncertainty, fragmentation and distortions. For example, a large number of PIs</w:t>
      </w:r>
      <w:r>
        <w:t xml:space="preserve"> </w:t>
      </w:r>
      <w:r>
        <w:t xml:space="preserve">and EMIs are authorised in certain smaller Member States and provide services cross-border</w:t>
      </w:r>
      <w:r>
        <w:t xml:space="preserve"> </w:t>
      </w:r>
      <w:r>
        <w:t xml:space="preserve">throughout the EU. PSPs in other member States suggest that these PIs and EMIs benefit</w:t>
      </w:r>
      <w:r>
        <w:t xml:space="preserve"> </w:t>
      </w:r>
      <w:r>
        <w:t xml:space="preserve">from more generous interpretations of certain PSD2 rules.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Fraud is in constant development, with fraudsters always adapting to new legal frameworks</w:t>
      </w:r>
      <w:r>
        <w:t xml:space="preserve"> </w:t>
      </w:r>
      <w:r>
        <w:t xml:space="preserve">and operating environments and finding new techniques of fraud. Fraud will always exist, but</w:t>
      </w:r>
      <w:r>
        <w:t xml:space="preserve"> </w:t>
      </w:r>
      <w:r>
        <w:t xml:space="preserve">it can be reduced in scale and its impacts mitigated by appropriate regulatory frameworks. As</w:t>
      </w:r>
      <w:r>
        <w:t xml:space="preserve"> </w:t>
      </w:r>
      <w:r>
        <w:t xml:space="preserve">long as the legislation containing the identified issues remains in force, certain useful anti-</w:t>
      </w:r>
      <w:r>
        <w:t xml:space="preserve"> </w:t>
      </w:r>
      <w:r>
        <w:t xml:space="preserve">fraud actions by PSPs will be hindered or prevented.</w:t>
      </w:r>
      <w:r>
        <w:br/>
      </w:r>
      <w:r>
        <w:t xml:space="preserve">Regarding Open Banking, the problems could be mitigated to a certain extent by more</w:t>
      </w:r>
      <w:r>
        <w:t xml:space="preserve"> </w:t>
      </w:r>
      <w:r>
        <w:t xml:space="preserve">vigorous enforcement. If not revised, the PSD2’s complex and costly regime (e.g. on</w:t>
      </w:r>
      <w:r>
        <w:t xml:space="preserve"> </w:t>
      </w:r>
      <w:r>
        <w:t xml:space="preserve">interfaces, dedicated interface fall-back, exemption to fall-back etc.) and the large variations</w:t>
      </w:r>
      <w:r>
        <w:t xml:space="preserve"> </w:t>
      </w:r>
      <w:r>
        <w:t xml:space="preserve">in what data can be accessed by TPPs under EU regulated OB rules will remain and the</w:t>
      </w:r>
      <w:r>
        <w:t xml:space="preserve"> </w:t>
      </w:r>
      <w:r>
        <w:t xml:space="preserve">success of OB will therefore remain limited.</w:t>
      </w:r>
      <w:r>
        <w:br/>
      </w:r>
      <w:r>
        <w:t xml:space="preserve">The identified problems which are regulatory in origin, including gaps and ambiguities in the</w:t>
      </w:r>
      <w:r>
        <w:t xml:space="preserve"> </w:t>
      </w:r>
      <w:r>
        <w:t xml:space="preserve">rules, will persist in absence of amendment of the legislation in question. This applies for</w:t>
      </w:r>
      <w:r>
        <w:t xml:space="preserve"> </w:t>
      </w:r>
      <w:r>
        <w:t xml:space="preserve">example to the issues identified in section 2.1.3 above and also to the issue of direct access of</w:t>
      </w:r>
      <w:r>
        <w:t xml:space="preserve"> </w:t>
      </w:r>
      <w:r>
        <w:t xml:space="preserve">PIs and EMIs to payment settlement systems designated under SFD.</w:t>
      </w:r>
      <w:r>
        <w:br/>
      </w:r>
      <w:r>
        <w:t xml:space="preserve">Section 5.1 (baseline scenario) provides a more detailed description of the expected evolution</w:t>
      </w:r>
      <w:r>
        <w:t xml:space="preserve"> </w:t>
      </w:r>
      <w:r>
        <w:t xml:space="preserve">in the case of no new policy initiative by the European Union.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2.4. Problem Tree</w:t>
      </w:r>
    </w:p>
    <w:p>
      <w:pPr>
        <w:pStyle w:val="BodyText"/>
      </w:pPr>
      <w:r>
        <w:t xml:space="preserve">Problem Drivers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Regulatory failure:</w:t>
      </w:r>
      <w:r>
        <w:br/>
      </w:r>
      <w:r>
        <w:t xml:space="preserve">Legislation not</w:t>
      </w:r>
      <w:r>
        <w:t xml:space="preserve"> </w:t>
      </w:r>
      <w:r>
        <w:t xml:space="preserve">conducive to quality</w:t>
      </w:r>
      <w:r>
        <w:t xml:space="preserve"> </w:t>
      </w:r>
      <w:r>
        <w:t xml:space="preserve">access interfaces to</w:t>
      </w:r>
      <w:r>
        <w:t xml:space="preserve"> </w:t>
      </w:r>
      <w:r>
        <w:t xml:space="preserve">payment data</w:t>
      </w:r>
      <w:r>
        <w:t xml:space="preserve"> </w:t>
      </w:r>
      <w:r>
        <w:t xml:space="preserve">Regulatory and</w:t>
      </w:r>
      <w:r>
        <w:t xml:space="preserve"> </w:t>
      </w:r>
      <w:r>
        <w:t xml:space="preserve">market failure:</w:t>
      </w:r>
      <w:r>
        <w:t xml:space="preserve"> </w:t>
      </w:r>
      <w:r>
        <w:t xml:space="preserve">new types of payment</w:t>
      </w:r>
      <w:r>
        <w:t xml:space="preserve"> </w:t>
      </w:r>
      <w:r>
        <w:t xml:space="preserve">fraud (esp. in</w:t>
      </w:r>
      <w:r>
        <w:t xml:space="preserve"> </w:t>
      </w:r>
      <w:r>
        <w:t xml:space="preserve">authorised payments),</w:t>
      </w:r>
      <w:r>
        <w:t xml:space="preserve"> </w:t>
      </w:r>
      <w:r>
        <w:t xml:space="preserve">issues with SCA</w:t>
      </w:r>
      <w:r>
        <w:t xml:space="preserve"> </w:t>
      </w:r>
      <w:r>
        <w:t xml:space="preserve">Users (consumers merchants SMEs): continuing fraud risk, limited choice of payment services, higher prices</w:t>
      </w:r>
      <w:r>
        <w:t xml:space="preserve"> </w:t>
      </w:r>
      <w:r>
        <w:t xml:space="preserve">Economy: inefficiencies and higher costs of commercial operations, negative impact on competitiveness</w:t>
      </w:r>
      <w:r>
        <w:t xml:space="preserve"> </w:t>
      </w:r>
      <w:r>
        <w:t xml:space="preserve">Inconsistent powers</w:t>
      </w:r>
      <w:r>
        <w:t xml:space="preserve"> </w:t>
      </w:r>
      <w:r>
        <w:t xml:space="preserve">and obligations of</w:t>
      </w:r>
      <w:r>
        <w:br/>
      </w:r>
      <w:r>
        <w:t xml:space="preserve">supervisors</w:t>
      </w:r>
      <w:r>
        <w:br/>
      </w:r>
      <w:r>
        <w:t xml:space="preserve">Imperfect functioning of</w:t>
      </w:r>
      <w:r>
        <w:t xml:space="preserve"> </w:t>
      </w:r>
      <w:r>
        <w:t xml:space="preserve">Open Banking</w:t>
      </w:r>
      <w:r>
        <w:br/>
      </w:r>
      <w:r>
        <w:t xml:space="preserve">Regulatory failure:</w:t>
      </w:r>
      <w:r>
        <w:t xml:space="preserve"> </w:t>
      </w:r>
      <w:r>
        <w:t xml:space="preserve">barriers for access</w:t>
      </w:r>
      <w:r>
        <w:t xml:space="preserve"> </w:t>
      </w:r>
      <w:r>
        <w:t xml:space="preserve">for non-bank PSPs</w:t>
      </w:r>
      <w:r>
        <w:t xml:space="preserve"> </w:t>
      </w:r>
      <w:r>
        <w:t xml:space="preserve">to payment accounts</w:t>
      </w:r>
      <w:r>
        <w:t xml:space="preserve"> </w:t>
      </w:r>
      <w:r>
        <w:t xml:space="preserve">and payment</w:t>
      </w:r>
      <w:r>
        <w:t xml:space="preserve"> </w:t>
      </w:r>
      <w:r>
        <w:t xml:space="preserve">systems</w:t>
      </w:r>
      <w:r>
        <w:t xml:space="preserve"> </w:t>
      </w:r>
      <w:r>
        <w:t xml:space="preserve">Open Banking providers: Obstacles to offering basic OB services, harder to innovate</w:t>
      </w:r>
      <w:r>
        <w:br/>
      </w:r>
      <w:r>
        <w:t xml:space="preserve">Regulatory failure:</w:t>
      </w:r>
      <w:r>
        <w:br/>
      </w:r>
      <w:r>
        <w:t xml:space="preserve">insufficient</w:t>
      </w:r>
      <w:r>
        <w:t xml:space="preserve"> </w:t>
      </w:r>
      <w:r>
        <w:t xml:space="preserve">harmonisation of the</w:t>
      </w:r>
      <w:r>
        <w:t xml:space="preserve"> </w:t>
      </w:r>
      <w:r>
        <w:t xml:space="preserve">regulatory framework</w:t>
      </w:r>
      <w:r>
        <w:t xml:space="preserve"> </w:t>
      </w:r>
      <w:r>
        <w:t xml:space="preserve">Unlevel playing field</w:t>
      </w:r>
      <w:r>
        <w:t xml:space="preserve"> </w:t>
      </w:r>
      <w:r>
        <w:t xml:space="preserve">between banks and</w:t>
      </w:r>
      <w:r>
        <w:t xml:space="preserve"> </w:t>
      </w:r>
      <w:r>
        <w:t xml:space="preserve">non-bank PSPs</w:t>
      </w:r>
      <w:r>
        <w:br/>
      </w:r>
      <w:r>
        <w:t xml:space="preserve">Consumers at risk of</w:t>
      </w:r>
      <w:r>
        <w:t xml:space="preserve"> </w:t>
      </w:r>
      <w:r>
        <w:t xml:space="preserve">fraud and lacking</w:t>
      </w:r>
      <w:r>
        <w:t xml:space="preserve"> </w:t>
      </w:r>
      <w:r>
        <w:t xml:space="preserve">confidence in</w:t>
      </w:r>
      <w:r>
        <w:t xml:space="preserve"> </w:t>
      </w:r>
      <w:r>
        <w:t xml:space="preserve">payments</w:t>
      </w:r>
      <w:r>
        <w:br/>
      </w:r>
      <w:r>
        <w:t xml:space="preserve">Payment Service Providers: Uncertainty about obligations, non-bank PSPs at a competitive disadvantage</w:t>
      </w:r>
      <w:r>
        <w:t xml:space="preserve"> </w:t>
      </w:r>
      <w:r>
        <w:t xml:space="preserve">Single market fragmentation, forum shopping</w:t>
      </w:r>
    </w:p>
    <w:p>
      <w:pPr>
        <w:pStyle w:val="BodyText"/>
      </w:pPr>
      <w:r>
        <w:t xml:space="preserve">23</w:t>
      </w:r>
    </w:p>
    <w:p>
      <w:pPr>
        <w:pStyle w:val="Compact"/>
        <w:numPr>
          <w:ilvl w:val="0"/>
          <w:numId w:val="1003"/>
        </w:numPr>
      </w:pPr>
      <w:r>
        <w:t xml:space="preserve">WHY SHOULD THE EU ACT?</w:t>
      </w:r>
      <w:r>
        <w:br/>
      </w:r>
      <w:r>
        <w:t xml:space="preserve">3.1. Legal basis</w:t>
      </w:r>
      <w:r>
        <w:t xml:space="preserve"> </w:t>
      </w:r>
      <w:r>
        <w:t xml:space="preserve">The current legal basis of the PSD2 Directive is Article 114 of the Treaty on the Functioning</w:t>
      </w:r>
      <w:r>
        <w:t xml:space="preserve"> </w:t>
      </w:r>
      <w:r>
        <w:t xml:space="preserve">of the European Union (TFEU), the single market article, due to the importance of</w:t>
      </w:r>
      <w:r>
        <w:t xml:space="preserve"> </w:t>
      </w:r>
      <w:r>
        <w:t xml:space="preserve">establishing a true single market for payments in the EU. It follows that any amendments to</w:t>
      </w:r>
      <w:r>
        <w:t xml:space="preserve"> </w:t>
      </w:r>
      <w:r>
        <w:t xml:space="preserve">PSD2, either in a new Directive or a Regulation, should also be based on this Article. Article</w:t>
      </w:r>
      <w:r>
        <w:t xml:space="preserve"> </w:t>
      </w:r>
      <w:r>
        <w:t xml:space="preserve">114 is also the legal basis of the Settlement Finality Directive. The Directive on E-Money</w:t>
      </w:r>
      <w:r>
        <w:t xml:space="preserve"> </w:t>
      </w:r>
      <w:r>
        <w:t xml:space="preserve">Institutions82 is based on articles 53 and 114, and it follows that any new legal act</w:t>
      </w:r>
      <w:r>
        <w:t xml:space="preserve"> </w:t>
      </w:r>
      <w:r>
        <w:t xml:space="preserve">incorporating rules for authorisation of EMIs (see §7.8 and Annex 8) should follow such a</w:t>
      </w:r>
      <w:r>
        <w:t xml:space="preserve"> </w:t>
      </w:r>
      <w:r>
        <w:t xml:space="preserve">dual legal base.</w:t>
      </w:r>
      <w:r>
        <w:t xml:space="preserve"> </w:t>
      </w:r>
      <w:r>
        <w:t xml:space="preserve">3.2. Subsidiarity: Necessity of EU action</w:t>
      </w:r>
      <w:r>
        <w:t xml:space="preserve"> </w:t>
      </w:r>
      <w:r>
        <w:t xml:space="preserve">As this is a review and revision of existing EU secondary law, this can only be done at EU</w:t>
      </w:r>
      <w:r>
        <w:t xml:space="preserve"> </w:t>
      </w:r>
      <w:r>
        <w:t xml:space="preserve">level, taking into account the objectives of PSD2 to create a competitive and innovative</w:t>
      </w:r>
      <w:r>
        <w:t xml:space="preserve"> </w:t>
      </w:r>
      <w:r>
        <w:t xml:space="preserve">single market for payments while protecting payment service users and ensuring security and</w:t>
      </w:r>
      <w:r>
        <w:t xml:space="preserve"> </w:t>
      </w:r>
      <w:r>
        <w:t xml:space="preserve">ease of payments. The importance of performing this review at EU level is also highlighted in</w:t>
      </w:r>
      <w:r>
        <w:t xml:space="preserve"> </w:t>
      </w:r>
      <w:r>
        <w:t xml:space="preserve">the Commission’s 2020 Retail Payments Strategy.83 The strategy not only highlighted the</w:t>
      </w:r>
      <w:r>
        <w:t xml:space="preserve"> </w:t>
      </w:r>
      <w:r>
        <w:t xml:space="preserve">strategic importance of a vision for European retail payments, but also concluded that the EU</w:t>
      </w:r>
      <w:r>
        <w:t xml:space="preserve"> </w:t>
      </w:r>
      <w:r>
        <w:t xml:space="preserve">payments market remains fragmented along national borders, despite recent improvements.</w:t>
      </w:r>
      <w:r>
        <w:t xml:space="preserve"> </w:t>
      </w:r>
      <w:r>
        <w:t xml:space="preserve">This fragmentation across the EU may hinder further innovation, and thus pose a risk to</w:t>
      </w:r>
      <w:r>
        <w:t xml:space="preserve"> </w:t>
      </w:r>
      <w:r>
        <w:t xml:space="preserve">achieving the objectives of the Directive.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The demand for cross-border payment activities has always been a key factor justifying EU</w:t>
      </w:r>
      <w:r>
        <w:t xml:space="preserve"> </w:t>
      </w:r>
      <w:r>
        <w:t xml:space="preserve">legislation in the field of payments, both as regards cross-border payments, and cross-border</w:t>
      </w:r>
      <w:r>
        <w:t xml:space="preserve"> </w:t>
      </w:r>
      <w:r>
        <w:t xml:space="preserve">provision of payment services in the single market. Companies are actively making use of</w:t>
      </w:r>
      <w:r>
        <w:t xml:space="preserve"> </w:t>
      </w:r>
      <w:r>
        <w:t xml:space="preserve">both passporting and establishment in different national jurisdictions. Payment service users</w:t>
      </w:r>
      <w:r>
        <w:t xml:space="preserve"> </w:t>
      </w:r>
      <w:r>
        <w:t xml:space="preserve">(including consumers) are also making more use of cross-border service providers. Member</w:t>
      </w:r>
      <w:r>
        <w:t xml:space="preserve"> </w:t>
      </w:r>
      <w:r>
        <w:t xml:space="preserve">States may take divergent approaches to supervise and enforce PSD2, which leads to entities</w:t>
      </w:r>
      <w:r>
        <w:t xml:space="preserve"> </w:t>
      </w:r>
      <w:r>
        <w:t xml:space="preserve">active in different Member States being subject to different requirements for similar</w:t>
      </w:r>
      <w:r>
        <w:t xml:space="preserve"> </w:t>
      </w:r>
      <w:r>
        <w:t xml:space="preserve">functionalities and/or services. This issue is best addressed at EU level to ensure more</w:t>
      </w:r>
      <w:r>
        <w:t xml:space="preserve"> </w:t>
      </w:r>
      <w:r>
        <w:t xml:space="preserve">consistent supervision and enforcement of PSD2. Aligning EU rules further, taking into</w:t>
      </w:r>
      <w:r>
        <w:t xml:space="preserve"> </w:t>
      </w:r>
      <w:r>
        <w:t xml:space="preserve">account recent developments in the payments market, would also support the further</w:t>
      </w:r>
      <w:r>
        <w:t xml:space="preserve"> </w:t>
      </w:r>
      <w:r>
        <w:t xml:space="preserve">integration of an internal market for payment services.</w:t>
      </w:r>
    </w:p>
    <w:p>
      <w:pPr>
        <w:pStyle w:val="FirstParagraph"/>
      </w:pPr>
      <w:r>
        <w:t xml:space="preserve">82 Directive 2009/110/EC of 16 September 2009 on the taking up, pursuit and prudential supervision of the</w:t>
      </w:r>
      <w:r>
        <w:t xml:space="preserve"> </w:t>
      </w:r>
      <w:r>
        <w:t xml:space="preserve">business of E-Money Institutions.</w:t>
      </w:r>
      <w:r>
        <w:t xml:space="preserve"> </w:t>
      </w:r>
      <w:r>
        <w:t xml:space="preserve">83 See footnote 27 above.</w:t>
      </w:r>
    </w:p>
    <w:p>
      <w:pPr>
        <w:pStyle w:val="BodyText"/>
      </w:pPr>
      <w:r>
        <w:t xml:space="preserve">24</w:t>
      </w:r>
    </w:p>
    <w:p>
      <w:pPr>
        <w:pStyle w:val="Compact"/>
        <w:numPr>
          <w:ilvl w:val="0"/>
          <w:numId w:val="1004"/>
        </w:numPr>
      </w:pPr>
      <w:r>
        <w:t xml:space="preserve">OBJECTIVES: WHAT IS TO BE ACHIEVED?</w:t>
      </w:r>
      <w:r>
        <w:br/>
      </w:r>
      <w:r>
        <w:t xml:space="preserve">4.1. General objectives</w:t>
      </w:r>
      <w:r>
        <w:t xml:space="preserve"> </w:t>
      </w:r>
      <w:r>
        <w:t xml:space="preserve">As a reminder, there were five general objectives of PSD2, as expressed in the impact</w:t>
      </w:r>
      <w:r>
        <w:t xml:space="preserve"> </w:t>
      </w:r>
      <w:r>
        <w:t xml:space="preserve">assessment of 2013 accompanying the Commission’s proposal for PSD2:</w:t>
      </w:r>
    </w:p>
    <w:p>
      <w:pPr>
        <w:pStyle w:val="Compact"/>
        <w:numPr>
          <w:ilvl w:val="0"/>
          <w:numId w:val="1004"/>
        </w:numPr>
      </w:pPr>
      <w:r>
        <w:t xml:space="preserve">To ensure a level playing field between incumbent and new providers of card, internet</w:t>
      </w:r>
      <w:r>
        <w:t xml:space="preserve"> </w:t>
      </w:r>
      <w:r>
        <w:t xml:space="preserve">and mobile payments;</w:t>
      </w:r>
    </w:p>
    <w:p>
      <w:pPr>
        <w:pStyle w:val="Compact"/>
        <w:numPr>
          <w:ilvl w:val="0"/>
          <w:numId w:val="1004"/>
        </w:numPr>
      </w:pPr>
      <w:r>
        <w:t xml:space="preserve">To increase the efficiency, transparency and choice of payment instruments for</w:t>
      </w:r>
      <w:r>
        <w:t xml:space="preserve"> </w:t>
      </w:r>
      <w:r>
        <w:t xml:space="preserve">payment service users (consumers and merchants);</w:t>
      </w:r>
    </w:p>
    <w:p>
      <w:pPr>
        <w:pStyle w:val="Compact"/>
        <w:numPr>
          <w:ilvl w:val="0"/>
          <w:numId w:val="1004"/>
        </w:numPr>
      </w:pPr>
      <w:r>
        <w:t xml:space="preserve">To facilitate the provision of card, internet and mobile payment services across</w:t>
      </w:r>
      <w:r>
        <w:t xml:space="preserve"> </w:t>
      </w:r>
      <w:r>
        <w:t xml:space="preserve">borders within the EU by ensuring a Single Market for payments;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To create an environment which helps innovative payment services to reach a broader</w:t>
      </w:r>
      <w:r>
        <w:t xml:space="preserve"> </w:t>
      </w:r>
      <w:r>
        <w:t xml:space="preserve">market;</w:t>
      </w:r>
    </w:p>
    <w:p>
      <w:pPr>
        <w:pStyle w:val="Compact"/>
        <w:numPr>
          <w:ilvl w:val="0"/>
          <w:numId w:val="1004"/>
        </w:numPr>
      </w:pPr>
      <w:r>
        <w:t xml:space="preserve">To ensure a high level of protection for PSUs across all Member States of the EU.</w:t>
      </w:r>
      <w:r>
        <w:t xml:space="preserve"> </w:t>
      </w:r>
      <w:r>
        <w:t xml:space="preserve">The evaluation (Annex 5) finds each of these general objectives to have been partially</w:t>
      </w:r>
      <w:r>
        <w:t xml:space="preserve"> </w:t>
      </w:r>
      <w:r>
        <w:t xml:space="preserve">achieved, some to a greater degree than others.</w:t>
      </w:r>
      <w:r>
        <w:br/>
      </w:r>
      <w:r>
        <w:t xml:space="preserve">4.2. Specific objectives</w:t>
      </w:r>
      <w:r>
        <w:t xml:space="preserve"> </w:t>
      </w:r>
      <w:r>
        <w:t xml:space="preserve">The specific objectives correspond to the elimination or mitigation of the identified problems,</w:t>
      </w:r>
      <w:r>
        <w:t xml:space="preserve"> </w:t>
      </w:r>
      <w:r>
        <w:t xml:space="preserve">and are therefore four in number:</w:t>
      </w:r>
    </w:p>
    <w:p>
      <w:pPr>
        <w:pStyle w:val="Compact"/>
        <w:numPr>
          <w:ilvl w:val="0"/>
          <w:numId w:val="1004"/>
        </w:numPr>
      </w:pPr>
      <w:r>
        <w:t xml:space="preserve">Strengthen user rights and protection against fraud (relating to general objective 5)</w:t>
      </w:r>
    </w:p>
    <w:p>
      <w:pPr>
        <w:pStyle w:val="Compact"/>
        <w:numPr>
          <w:ilvl w:val="0"/>
          <w:numId w:val="1004"/>
        </w:numPr>
      </w:pPr>
      <w:r>
        <w:t xml:space="preserve">Improve the competitiveness of Open Banking services (relating to general objective</w:t>
      </w:r>
    </w:p>
    <w:p>
      <w:pPr>
        <w:pStyle w:val="Compact"/>
        <w:numPr>
          <w:ilvl w:val="0"/>
          <w:numId w:val="1006"/>
        </w:numPr>
      </w:pPr>
      <w:r>
        <w:t xml:space="preserve">Improve enforcement and implementation in Member States (relating to general</w:t>
      </w:r>
      <w:r>
        <w:t xml:space="preserve"> </w:t>
      </w:r>
      <w:r>
        <w:t xml:space="preserve">objective 3)</w:t>
      </w:r>
    </w:p>
    <w:p>
      <w:pPr>
        <w:pStyle w:val="Compact"/>
        <w:numPr>
          <w:ilvl w:val="0"/>
          <w:numId w:val="1006"/>
        </w:numPr>
      </w:pPr>
      <w:r>
        <w:t xml:space="preserve">Improve (direct or indirect) access to payment systems and bank accounts for non-</w:t>
      </w:r>
      <w:r>
        <w:t xml:space="preserve"> </w:t>
      </w:r>
      <w:r>
        <w:t xml:space="preserve">bank PSPs (relating to general objective 1).</w:t>
      </w:r>
      <w:r>
        <w:t xml:space="preserve"> </w:t>
      </w:r>
      <w:r>
        <w:t xml:space="preserve">Measures to clarify the scope of PSD2, other technical clarifications, and the integration of</w:t>
      </w:r>
      <w:r>
        <w:t xml:space="preserve"> </w:t>
      </w:r>
      <w:r>
        <w:t xml:space="preserve">EMD2 into PSD2, covered in Annexes 6-9, are related to general objective 3 (Single Market).</w:t>
      </w:r>
      <w:r>
        <w:t xml:space="preserve"> </w:t>
      </w:r>
      <w:r>
        <w:t xml:space="preserve">Measures to improve access to cash in Annex 9 are related to general objective 5 (protection</w:t>
      </w:r>
      <w:r>
        <w:t xml:space="preserve"> </w:t>
      </w:r>
      <w:r>
        <w:t xml:space="preserve">of payment system users). Consumer rights measures, related to general objective 2</w:t>
      </w:r>
      <w:r>
        <w:t xml:space="preserve"> </w:t>
      </w:r>
      <w:r>
        <w:t xml:space="preserve">(efficiency, transparency and choice) and 5 (protection of payment system users), are covered</w:t>
      </w:r>
      <w:r>
        <w:t xml:space="preserve"> </w:t>
      </w:r>
      <w:r>
        <w:t xml:space="preserve">in Annex 1084.</w:t>
      </w:r>
    </w:p>
    <w:p>
      <w:pPr>
        <w:pStyle w:val="FirstParagraph"/>
      </w:pPr>
      <w:r>
        <w:t xml:space="preserve">84 Under general objective 2, PSD2 has a specific objective « to address standardisation and interoperability</w:t>
      </w:r>
      <w:r>
        <w:t xml:space="preserve"> </w:t>
      </w:r>
      <w:r>
        <w:t xml:space="preserve">gaps for card, internet and mobile payments », which is found in the evaluation report to be not achieved.</w:t>
      </w:r>
      <w:r>
        <w:t xml:space="preserve"> </w:t>
      </w:r>
      <w:r>
        <w:t xml:space="preserve">However, the objective of interoperability is now being pursued essentially via the SEPA Regulation (for</w:t>
      </w:r>
      <w:r>
        <w:t xml:space="preserve"> </w:t>
      </w:r>
      <w:r>
        <w:t xml:space="preserve">payments in euro) and the Commission’s legislative initiative of 2022 on instant payments is an example of this.</w:t>
      </w:r>
    </w:p>
    <w:p>
      <w:pPr>
        <w:pStyle w:val="BodyText"/>
      </w:pPr>
      <w:r>
        <w:t xml:space="preserve">25</w:t>
      </w:r>
    </w:p>
    <w:p>
      <w:pPr>
        <w:pStyle w:val="Compact"/>
        <w:numPr>
          <w:ilvl w:val="0"/>
          <w:numId w:val="1007"/>
        </w:numPr>
      </w:pP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In the baseline scenario the EU rules on payment services covered by PSD2 would remain as</w:t>
      </w:r>
      <w:r>
        <w:t xml:space="preserve"> </w:t>
      </w:r>
      <w:r>
        <w:t xml:space="preserve">they are with no modifications (other than those stemming from other present or future EU</w:t>
      </w:r>
      <w:r>
        <w:t xml:space="preserve"> </w:t>
      </w:r>
      <w:r>
        <w:t xml:space="preserve">initiatives having an impact on PSD2 such as DORA, instant payments, the Data Act or the</w:t>
      </w:r>
      <w:r>
        <w:t xml:space="preserve"> </w:t>
      </w:r>
      <w:r>
        <w:t xml:space="preserve">future Open Finance or Digital euro framework). It should be emphasised that the evaluation</w:t>
      </w:r>
      <w:r>
        <w:t xml:space="preserve"> </w:t>
      </w:r>
      <w:r>
        <w:t xml:space="preserve">(see Annex 5) has found that the EU payments market functions better now than before</w:t>
      </w:r>
      <w:r>
        <w:t xml:space="preserve"> </w:t>
      </w:r>
      <w:r>
        <w:t xml:space="preserve">PSD2. There are more providers of payment services than before PSD2, including innovative</w:t>
      </w:r>
      <w:r>
        <w:t xml:space="preserve"> </w:t>
      </w:r>
      <w:r>
        <w:t xml:space="preserve">fintechs, and a wider range of services is available, including on a cross-border basis.</w:t>
      </w:r>
      <w:r>
        <w:t xml:space="preserve"> </w:t>
      </w:r>
      <w:r>
        <w:t xml:space="preserve">However, the PSD2 objectives concerning the EU payment market remain only partially</w:t>
      </w:r>
      <w:r>
        <w:t xml:space="preserve"> </w:t>
      </w:r>
      <w:r>
        <w:t xml:space="preserve">achieved.</w:t>
      </w:r>
      <w:r>
        <w:br/>
      </w:r>
      <w:r>
        <w:t xml:space="preserve">Regarding user protection against fraud, SCA would remain applicable with the current</w:t>
      </w:r>
      <w:r>
        <w:t xml:space="preserve"> </w:t>
      </w:r>
      <w:r>
        <w:t xml:space="preserve">uncertainty about and misuse of certain exclusions from its scope (e.g. MOTOs and MITs),</w:t>
      </w:r>
      <w:r>
        <w:t xml:space="preserve"> </w:t>
      </w:r>
      <w:r>
        <w:t xml:space="preserve">and PSP liability would continue to be limited to fraud concerning unauthorised transactions.</w:t>
      </w:r>
      <w:r>
        <w:t xml:space="preserve"> </w:t>
      </w:r>
      <w:r>
        <w:t xml:space="preserve">Uncertainty would remain in certain cases as to which actor in a payment chain is responsible</w:t>
      </w:r>
      <w:r>
        <w:t xml:space="preserve"> </w:t>
      </w:r>
      <w:r>
        <w:t xml:space="preserve">for performing SCA. IBAN/name verification will be required for instant payments only</w:t>
      </w:r>
      <w:r>
        <w:t xml:space="preserve"> </w:t>
      </w:r>
      <w:r>
        <w:t xml:space="preserve">(based on the Commission’s proposal on instant payments – see Annex 12), not for non-</w:t>
      </w:r>
      <w:r>
        <w:t xml:space="preserve"> </w:t>
      </w:r>
      <w:r>
        <w:t xml:space="preserve">instant credit transfers.</w:t>
      </w:r>
      <w:r>
        <w:br/>
      </w:r>
      <w:r>
        <w:t xml:space="preserve">As regards Open Banking, the baseline would involve TPPs having continued free access to</w:t>
      </w:r>
      <w:r>
        <w:t xml:space="preserve"> </w:t>
      </w:r>
      <w:r>
        <w:t xml:space="preserve">account data via interfaces provided by ASPSPs, either a dedicated interface solely for the</w:t>
      </w:r>
      <w:r>
        <w:t xml:space="preserve"> </w:t>
      </w:r>
      <w:r>
        <w:t xml:space="preserve">purpose of PSD2, or via direct access to the interface the ASPSP uses to communicate with</w:t>
      </w:r>
      <w:r>
        <w:t xml:space="preserve"> </w:t>
      </w:r>
      <w:r>
        <w:t xml:space="preserve">its customer as well (customer interface). Variations would continue as to what data TPPs can</w:t>
      </w:r>
      <w:r>
        <w:t xml:space="preserve"> </w:t>
      </w:r>
      <w:r>
        <w:t xml:space="preserve">access. Provision of a fallback means of access to account data in case of API failure (heavily</w:t>
      </w:r>
      <w:r>
        <w:t xml:space="preserve"> </w:t>
      </w:r>
      <w:r>
        <w:t xml:space="preserve">criticised by banks as a major source of costs, due to the need to maintain two OB compliant</w:t>
      </w:r>
      <w:r>
        <w:t xml:space="preserve"> </w:t>
      </w:r>
      <w:r>
        <w:t xml:space="preserve">interfaces) would remain obligatory, with its complex, costly and resource-intensive (for both</w:t>
      </w:r>
      <w:r>
        <w:t xml:space="preserve"> </w:t>
      </w:r>
      <w:r>
        <w:t xml:space="preserve">ASPSPs and supervisors granting the exemption) fallback exemption corollary. For TPPs,</w:t>
      </w:r>
      <w:r>
        <w:t xml:space="preserve"> </w:t>
      </w:r>
      <w:r>
        <w:t xml:space="preserve">access to account data would remain free of charge as regards the data to which access is</w:t>
      </w:r>
      <w:r>
        <w:t xml:space="preserve"> </w:t>
      </w:r>
      <w:r>
        <w:t xml:space="preserve">required by PSD2 and its RTS, but uncertainty would remain as to what the PSD2 free</w:t>
      </w:r>
      <w:r>
        <w:t xml:space="preserve"> </w:t>
      </w:r>
      <w:r>
        <w:t xml:space="preserve">“mandatory” data is. The distinction between baseline and added-value services would</w:t>
      </w:r>
      <w:r>
        <w:t xml:space="preserve"> </w:t>
      </w:r>
      <w:r>
        <w:t xml:space="preserve">remain unclear (as in PSD2), causing inefficiency for Open Banking itself, but also</w:t>
      </w:r>
      <w:r>
        <w:t xml:space="preserve"> </w:t>
      </w:r>
      <w:r>
        <w:t xml:space="preserve">uncertainties for the outcome and workability of market driven OB initiatives85, which</w:t>
      </w:r>
      <w:r>
        <w:t xml:space="preserve"> </w:t>
      </w:r>
      <w:r>
        <w:t xml:space="preserve">depend on a clear delineation between what is a PSD2 “mandatory” service and what is</w:t>
      </w:r>
      <w:r>
        <w:t xml:space="preserve"> </w:t>
      </w:r>
      <w:r>
        <w:t xml:space="preserve">‘value-added’. Nevertheless, private sector forecasts are for continuing growth in numbers of</w:t>
      </w:r>
      <w:r>
        <w:t xml:space="preserve"> </w:t>
      </w:r>
      <w:r>
        <w:t xml:space="preserve">OB users, even on the baseline scenario.</w:t>
      </w:r>
      <w:r>
        <w:t xml:space="preserve"> </w:t>
      </w:r>
      <w:r>
        <w:t xml:space="preserve">The proposal for a Data Act, currently in discussion in the European Parliament and the</w:t>
      </w:r>
      <w:r>
        <w:t xml:space="preserve"> </w:t>
      </w:r>
      <w:r>
        <w:t xml:space="preserve">Council should also be considered as part of the baseline. The Data Act Chapter III</w:t>
      </w:r>
      <w:r>
        <w:t xml:space="preserve"> </w:t>
      </w:r>
      <w:r>
        <w:t xml:space="preserve">establishes obligations in business-to-business data sharing applicable to data holders legally</w:t>
      </w:r>
    </w:p>
    <w:p>
      <w:pPr>
        <w:pStyle w:val="FirstParagraph"/>
      </w:pPr>
      <w:r>
        <w:t xml:space="preserve">85 Such as the SPAA initiative of the European Payments Council, an initiative to develop a “scheme” for</w:t>
      </w:r>
      <w:r>
        <w:t xml:space="preserve"> </w:t>
      </w:r>
      <w:r>
        <w:t xml:space="preserve">payments data to which there is no mandatory access under PSD2. See The SEPA Payment Account Access</w:t>
      </w:r>
      <w:r>
        <w:t xml:space="preserve"> </w:t>
      </w:r>
      <w:r>
        <w:t xml:space="preserve">(SPAA) Scheme Rulebook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required to make data available. The compensation rules under Chapter III of the Data Act</w:t>
      </w:r>
      <w:r>
        <w:t xml:space="preserve"> </w:t>
      </w:r>
      <w:r>
        <w:t xml:space="preserve">would not apply in the baseline/no action scenario, as the Data Act “grandfathers” existing</w:t>
      </w:r>
      <w:r>
        <w:t xml:space="preserve"> </w:t>
      </w:r>
      <w:r>
        <w:t xml:space="preserve">data access compensation regimes such as the Open Banking rules of PSD2. Payment data</w:t>
      </w:r>
      <w:r>
        <w:t xml:space="preserve"> </w:t>
      </w:r>
      <w:r>
        <w:t xml:space="preserve">falling outside the scope of PSD2 rules (i.e. those not available to the PSU through the</w:t>
      </w:r>
      <w:r>
        <w:t xml:space="preserve"> </w:t>
      </w:r>
      <w:r>
        <w:t xml:space="preserve">consumer banking interface) would not be subject to the Data Act, as the Data Act only</w:t>
      </w:r>
      <w:r>
        <w:t xml:space="preserve"> </w:t>
      </w:r>
      <w:r>
        <w:t xml:space="preserve">applies where there is mandatory access to data.</w:t>
      </w:r>
      <w:r>
        <w:t xml:space="preserve"> </w:t>
      </w:r>
      <w:r>
        <w:t xml:space="preserve">As regards the divergences in interpretation and implementation including enforcement, the</w:t>
      </w:r>
      <w:r>
        <w:t xml:space="preserve"> </w:t>
      </w:r>
      <w:r>
        <w:t xml:space="preserve">baseline scenario would amount to continuing with the existing EU rules on payment services</w:t>
      </w:r>
      <w:r>
        <w:t xml:space="preserve"> </w:t>
      </w:r>
      <w:r>
        <w:t xml:space="preserve">as transposed by Member States but with their unclarities, and as interpreted and enforced</w:t>
      </w:r>
      <w:r>
        <w:t xml:space="preserve"> </w:t>
      </w:r>
      <w:r>
        <w:t xml:space="preserve">often divergently by NCAs. Member States’ rules on penalties applicable to infringements of</w:t>
      </w:r>
      <w:r>
        <w:t xml:space="preserve"> </w:t>
      </w:r>
      <w:r>
        <w:t xml:space="preserve">the national law transposing PSD2 would remain very different. The Commission would only</w:t>
      </w:r>
      <w:r>
        <w:t xml:space="preserve"> </w:t>
      </w:r>
      <w:r>
        <w:t xml:space="preserve">be able to provide interpretative non-binding guidance, for example in the framework of</w:t>
      </w:r>
      <w:r>
        <w:t xml:space="preserve"> </w:t>
      </w:r>
      <w:r>
        <w:t xml:space="preserve">questions raised by market actors via the Question-and-Answer tool provided by the EBA.86</w:t>
      </w:r>
      <w:r>
        <w:t xml:space="preserve"> </w:t>
      </w:r>
      <w:r>
        <w:t xml:space="preserve">Supervision would be basically along national lines with national competent authorities</w:t>
      </w:r>
      <w:r>
        <w:t xml:space="preserve"> </w:t>
      </w:r>
      <w:r>
        <w:t xml:space="preserve">responsible within their jurisdictions, although some rules on cooperation among national</w:t>
      </w:r>
      <w:r>
        <w:t xml:space="preserve"> </w:t>
      </w:r>
      <w:r>
        <w:t xml:space="preserve">competent authorities (in case of cross-border services) including on exchange of</w:t>
      </w:r>
      <w:r>
        <w:t xml:space="preserve"> </w:t>
      </w:r>
      <w:r>
        <w:t xml:space="preserve">information, would continue to exist. There would continue to be an uneven playing field</w:t>
      </w:r>
      <w:r>
        <w:t xml:space="preserve"> </w:t>
      </w:r>
      <w:r>
        <w:t xml:space="preserve">with potential for regulatory arbitrage, with PSPs choosing those Member States that practise</w:t>
      </w:r>
      <w:r>
        <w:t xml:space="preserve"> </w:t>
      </w:r>
      <w:r>
        <w:t xml:space="preserve">the application of EU rules on payment services that is advantageous for them and carrying</w:t>
      </w:r>
      <w:r>
        <w:t xml:space="preserve"> </w:t>
      </w:r>
      <w:r>
        <w:t xml:space="preserve">out cross-border services in other Member States which apply different rules to PSPs</w:t>
      </w:r>
      <w:r>
        <w:t xml:space="preserve"> </w:t>
      </w:r>
      <w:r>
        <w:t xml:space="preserve">established there.</w:t>
      </w:r>
      <w:r>
        <w:t xml:space="preserve"> </w:t>
      </w:r>
      <w:r>
        <w:t xml:space="preserve">As regards access to payment infrastructure, the baseline would involve non-bank PSPs</w:t>
      </w:r>
      <w:r>
        <w:t xml:space="preserve"> </w:t>
      </w:r>
      <w:r>
        <w:t xml:space="preserve">lacking direct access to key payment infrastructures and remaining dependent on banks for</w:t>
      </w:r>
      <w:r>
        <w:t xml:space="preserve"> </w:t>
      </w:r>
      <w:r>
        <w:t xml:space="preserve">access, involving higher cost, risk of withdrawal of service, and the possibility of banks</w:t>
      </w:r>
      <w:r>
        <w:t xml:space="preserve"> </w:t>
      </w:r>
      <w:r>
        <w:t xml:space="preserve">gaining insight to their confidential business information. Banks would remain obliged to</w:t>
      </w:r>
      <w:r>
        <w:t xml:space="preserve"> </w:t>
      </w:r>
      <w:r>
        <w:t xml:space="preserve">justify to competent authorities any refusal to provide account services to non-bank PSPs, but</w:t>
      </w:r>
      <w:r>
        <w:t xml:space="preserve"> </w:t>
      </w:r>
      <w:r>
        <w:t xml:space="preserve">would remain able to provide brief “pro forma” justifications, and would also not be obliged</w:t>
      </w:r>
      <w:r>
        <w:t xml:space="preserve"> </w:t>
      </w:r>
      <w:r>
        <w:t xml:space="preserve">to explain any withdrawal of service to PIs and EMIs (account closure). The negative effects</w:t>
      </w:r>
      <w:r>
        <w:t xml:space="preserve"> </w:t>
      </w:r>
      <w:r>
        <w:t xml:space="preserve">on competition between PSPs, described above, would thus remain.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It should be noted that the options are largely independent and not inter-related, although the</w:t>
      </w:r>
      <w:r>
        <w:t xml:space="preserve"> </w:t>
      </w:r>
      <w:r>
        <w:t xml:space="preserve">options to improve enforcement and implementation in Member States can reinforce and</w:t>
      </w:r>
      <w:r>
        <w:t xml:space="preserve"> </w:t>
      </w:r>
      <w:r>
        <w:t xml:space="preserve">contribute to all the other objectives.</w:t>
      </w:r>
      <w:r>
        <w:t xml:space="preserve"> </w:t>
      </w:r>
      <w:r>
        <w:t xml:space="preserve">5.2.1. Strengthen user rights and protection against fraud</w:t>
      </w:r>
      <w:r>
        <w:br/>
      </w:r>
      <w:r>
        <w:t xml:space="preserve">Other than the baseline, four options are considered in the area of fraud reduction, which are</w:t>
      </w:r>
      <w:r>
        <w:t xml:space="preserve"> </w:t>
      </w:r>
      <w:r>
        <w:t xml:space="preserve">mutually compatible, with the exception of 1.d) and 1.e) which are mutually exclusive:</w:t>
      </w:r>
      <w:r>
        <w:t xml:space="preserve"> </w:t>
      </w:r>
      <w:r>
        <w:t xml:space="preserve">1.a)</w:t>
      </w:r>
      <w:r>
        <w:t xml:space="preserve"> </w:t>
      </w:r>
      <w:r>
        <w:t xml:space="preserve">Measures to improve the application of SCA</w:t>
      </w:r>
    </w:p>
    <w:p>
      <w:pPr>
        <w:pStyle w:val="BodyText"/>
      </w:pPr>
      <w:r>
        <w:t xml:space="preserve">86 European Banking Authority, List of Q&amp;As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In order to reduce improper use of the MOTO and MIT exemptions, this option first includes</w:t>
      </w:r>
      <w:r>
        <w:t xml:space="preserve"> </w:t>
      </w:r>
      <w:r>
        <w:t xml:space="preserve">the introduction of clear definitions of MOTOs and MITs and clarification on the general</w:t>
      </w:r>
      <w:r>
        <w:t xml:space="preserve"> </w:t>
      </w:r>
      <w:r>
        <w:t xml:space="preserve">treatment of these transactions in light of existing guidance87. In respect of MITs, this would</w:t>
      </w:r>
      <w:r>
        <w:t xml:space="preserve"> </w:t>
      </w:r>
      <w:r>
        <w:t xml:space="preserve">involve the need to apply SCA at the set-up of the mandate (because this action is payer</w:t>
      </w:r>
      <w:r>
        <w:t xml:space="preserve"> </w:t>
      </w:r>
      <w:r>
        <w:t xml:space="preserve">initiated), without the need to apply SCA for subsequent (merchant-initiated) payment</w:t>
      </w:r>
      <w:r>
        <w:t xml:space="preserve"> </w:t>
      </w:r>
      <w:r>
        <w:t xml:space="preserve">transactions. There would be clarification of the regulatory approach to MITs in general and</w:t>
      </w:r>
      <w:r>
        <w:t xml:space="preserve"> </w:t>
      </w:r>
      <w:r>
        <w:t xml:space="preserve">direct debits specifically aligning the applicable legal requirements to both transactions,</w:t>
      </w:r>
      <w:r>
        <w:t xml:space="preserve"> </w:t>
      </w:r>
      <w:r>
        <w:t xml:space="preserve">which would logically mean applying the same consumer protection measures, such as</w:t>
      </w:r>
      <w:r>
        <w:t xml:space="preserve"> </w:t>
      </w:r>
      <w:r>
        <w:t xml:space="preserve">refunds, to direct debits and MITs as being both transactions initiated by the payee within the</w:t>
      </w:r>
      <w:r>
        <w:t xml:space="preserve"> </w:t>
      </w:r>
      <w:r>
        <w:t xml:space="preserve">meaning of article 76 PSD2.88 In respect of MOTOs, since there is currently no definition in</w:t>
      </w:r>
      <w:r>
        <w:t xml:space="preserve"> </w:t>
      </w:r>
      <w:r>
        <w:t xml:space="preserve">PSD2 (only a mention in recital 95), one would be added, along with provisions on the</w:t>
      </w:r>
      <w:r>
        <w:t xml:space="preserve"> </w:t>
      </w:r>
      <w:r>
        <w:t xml:space="preserve">general treatment of MOTOs. In particular, legal clarity will be provided that transactions</w:t>
      </w:r>
      <w:r>
        <w:t xml:space="preserve"> </w:t>
      </w:r>
      <w:r>
        <w:t xml:space="preserve">whose ‘initiation’ is non-digital are excluded from the SCA obligations even if the</w:t>
      </w:r>
      <w:r>
        <w:t xml:space="preserve"> </w:t>
      </w:r>
      <w:r>
        <w:t xml:space="preserve">subsequent ‘execution’ is digital. Currently there is uncertainty as to whether both the</w:t>
      </w:r>
      <w:r>
        <w:t xml:space="preserve"> </w:t>
      </w:r>
      <w:r>
        <w:t xml:space="preserve">initiation and the execution should be non-digital in order for SCA not to apply.</w:t>
      </w:r>
      <w:r>
        <w:br/>
      </w:r>
      <w:r>
        <w:t xml:space="preserve">1.b) Legal basis for PSPs to share information on fraud and obligation to educate</w:t>
      </w:r>
      <w:r>
        <w:t xml:space="preserve"> </w:t>
      </w:r>
      <w:r>
        <w:t xml:space="preserve">customers about fraud</w:t>
      </w:r>
      <w:r>
        <w:t xml:space="preserve"> </w:t>
      </w:r>
      <w:r>
        <w:t xml:space="preserve">This option packages two components which, although not inherently related to each other,</w:t>
      </w:r>
      <w:r>
        <w:t xml:space="preserve"> </w:t>
      </w:r>
      <w:r>
        <w:t xml:space="preserve">both concern anti-fraud actions by PSPs. They are therefore presented as a single option for</w:t>
      </w:r>
      <w:r>
        <w:t xml:space="preserve"> </w:t>
      </w:r>
      <w:r>
        <w:t xml:space="preserve">simplicity.</w:t>
      </w:r>
      <w:r>
        <w:br/>
      </w:r>
      <w:r>
        <w:t xml:space="preserve">There would be a provision allowing PSPs to share payment fraud data with each other to the</w:t>
      </w:r>
      <w:r>
        <w:t xml:space="preserve"> </w:t>
      </w:r>
      <w:r>
        <w:t xml:space="preserve">extent necessary to comply with the legal obligation for PSPs to have transaction monitoring</w:t>
      </w:r>
      <w:r>
        <w:t xml:space="preserve"> </w:t>
      </w:r>
      <w:r>
        <w:t xml:space="preserve">mechanisms (TMMs)89 in place (as detailed in Annex 7 on technical clarifications and other</w:t>
      </w:r>
      <w:r>
        <w:t xml:space="preserve"> </w:t>
      </w:r>
      <w:r>
        <w:t xml:space="preserve">changes). It would provide for lawfulness for such processing activity under the GDPR</w:t>
      </w:r>
      <w:r>
        <w:t xml:space="preserve"> </w:t>
      </w:r>
      <w:r>
        <w:t xml:space="preserve">without creating an obligation for PSPs to share payment fraud data.</w:t>
      </w:r>
      <w:r>
        <w:t xml:space="preserve"> </w:t>
      </w:r>
      <w:r>
        <w:t xml:space="preserve">There would also be an obligation on PSPs to carry out customer ‘education’ and awareness</w:t>
      </w:r>
      <w:r>
        <w:t xml:space="preserve"> </w:t>
      </w:r>
      <w:r>
        <w:t xml:space="preserve">programmes on fraud risks, with the aim of enhancing consumer awareness and education</w:t>
      </w:r>
      <w:r>
        <w:t xml:space="preserve"> </w:t>
      </w:r>
      <w:r>
        <w:t xml:space="preserve">about fraud (especially the new types of fraud) and the risks of certain payment</w:t>
      </w:r>
      <w:r>
        <w:t xml:space="preserve"> </w:t>
      </w:r>
      <w:r>
        <w:t xml:space="preserve">instruments/methods. Specific requirements would be introduced in the legislation on</w:t>
      </w:r>
      <w:r>
        <w:t xml:space="preserve"> </w:t>
      </w:r>
      <w:r>
        <w:t xml:space="preserve">educational and awareness programs for fraud risks (also addressed towards employees of</w:t>
      </w:r>
    </w:p>
    <w:p>
      <w:pPr>
        <w:pStyle w:val="BodyText"/>
      </w:pPr>
      <w:r>
        <w:t xml:space="preserve">87 As detailed in the problem definition section above, for MITs, through the EBA’s EBA Q&amp;As 2018_4031,</w:t>
      </w:r>
      <w:r>
        <w:t xml:space="preserve"> </w:t>
      </w:r>
      <w:r>
        <w:t xml:space="preserve">2018_4131, 2018_4404, 2019_4791, 2019_4792, 2019_4794 on the Applicability of SCA to ‘card payments</w:t>
      </w:r>
      <w:r>
        <w:t xml:space="preserve"> </w:t>
      </w:r>
      <w:r>
        <w:t xml:space="preserve">initiated by the payee only’. For MOTOs, Q&amp;As 4058, 4790, and 4788, respectively on transactions initiated via</w:t>
      </w:r>
      <w:r>
        <w:t xml:space="preserve"> </w:t>
      </w:r>
      <w:r>
        <w:t xml:space="preserve">Interactive Voice Response solutions, keyed Mail Order or Telephone Order transactions and treatment of</w:t>
      </w:r>
      <w:r>
        <w:t xml:space="preserve"> </w:t>
      </w:r>
      <w:r>
        <w:t xml:space="preserve">electronic bookings similar to Mail Order and Telephone Orders transactions.</w:t>
      </w:r>
      <w:r>
        <w:t xml:space="preserve"> </w:t>
      </w:r>
      <w:r>
        <w:t xml:space="preserve">88 As proposed by the EBA, in its Advice on the review of Directive (EU) 2015/2366 on payment services in the</w:t>
      </w:r>
      <w:r>
        <w:t xml:space="preserve"> </w:t>
      </w:r>
      <w:r>
        <w:t xml:space="preserve">internal market (PSD2), 23 June 2022, page 76.</w:t>
      </w:r>
      <w:r>
        <w:t xml:space="preserve"> </w:t>
      </w:r>
      <w:r>
        <w:t xml:space="preserve">89 Under Article 2(1) of the RTS, PSPs must have TMMs in place that enable them to detect unauthorised or</w:t>
      </w:r>
      <w:r>
        <w:t xml:space="preserve"> </w:t>
      </w:r>
      <w:r>
        <w:t xml:space="preserve">fraudulent payment transactions for the purpose of applying SCA or exempting them from applying SCA,</w:t>
      </w:r>
      <w:r>
        <w:t xml:space="preserve"> </w:t>
      </w:r>
      <w:r>
        <w:t xml:space="preserve">subject to specified and limited conditions laid down in Article 18 of the RTS.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PSPs), as proposed by EBA90, building on the EBA Guidelines on ICT and security risk</w:t>
      </w:r>
      <w:r>
        <w:t xml:space="preserve"> </w:t>
      </w:r>
      <w:r>
        <w:t xml:space="preserve">management.91 In line with those EBA Guidelines, there would not be detailed prescriptive</w:t>
      </w:r>
      <w:r>
        <w:t xml:space="preserve"> </w:t>
      </w:r>
      <w:r>
        <w:t xml:space="preserve">requirements, given the risk that such requirements would quickly become obsolete due to the</w:t>
      </w:r>
      <w:r>
        <w:t xml:space="preserve"> </w:t>
      </w:r>
      <w:r>
        <w:t xml:space="preserve">ever-changing nature of fraud-related risks.</w:t>
      </w:r>
      <w:r>
        <w:t xml:space="preserve"> </w:t>
      </w:r>
      <w:r>
        <w:t xml:space="preserve">1.c) Extension of the requirement to provide IBAN/name verification by PSPs from</w:t>
      </w:r>
      <w:r>
        <w:t xml:space="preserve"> </w:t>
      </w:r>
      <w:r>
        <w:t xml:space="preserve">instant payments to all credit transfers</w:t>
      </w:r>
      <w:r>
        <w:br/>
      </w:r>
      <w:r>
        <w:t xml:space="preserve">Verification of concordance between the name of a payee and the bank account number (in</w:t>
      </w:r>
      <w:r>
        <w:t xml:space="preserve"> </w:t>
      </w:r>
      <w:r>
        <w:t xml:space="preserve">IBAN format) is a service already provided domestically for example in the Netherlands92</w:t>
      </w:r>
      <w:r>
        <w:t xml:space="preserve"> </w:t>
      </w:r>
      <w:r>
        <w:t xml:space="preserve">(and in the UK where it is called Confirmation of Payee93), which ensures that before they</w:t>
      </w:r>
      <w:r>
        <w:t xml:space="preserve"> </w:t>
      </w:r>
      <w:r>
        <w:t xml:space="preserve">authorise a payment, payers are informed of the degree of ‘match’ between the name and</w:t>
      </w:r>
      <w:r>
        <w:t xml:space="preserve"> </w:t>
      </w:r>
      <w:r>
        <w:t xml:space="preserve">IBAN of the payee. The payer decides, based on the feedback received (divergence or close</w:t>
      </w:r>
      <w:r>
        <w:t xml:space="preserve"> </w:t>
      </w:r>
      <w:r>
        <w:t xml:space="preserve">concordance; in case of total concordance there is normally no notification), whether to</w:t>
      </w:r>
      <w:r>
        <w:t xml:space="preserve"> </w:t>
      </w:r>
      <w:r>
        <w:t xml:space="preserve">proceed with the credit transfer. The Commission’s legislative proposal on instant payments</w:t>
      </w:r>
      <w:r>
        <w:t xml:space="preserve"> </w:t>
      </w:r>
      <w:r>
        <w:t xml:space="preserve">(IPs) requires PSPs offering IPs to offer this service to their users94. This option would extend</w:t>
      </w:r>
      <w:r>
        <w:t xml:space="preserve"> </w:t>
      </w:r>
      <w:r>
        <w:t xml:space="preserve">that requirement from instant credit transfers in euro to all credit transfers, instant or not, in</w:t>
      </w:r>
      <w:r>
        <w:t xml:space="preserve"> </w:t>
      </w:r>
      <w:r>
        <w:t xml:space="preserve">euro or other EU currencies. As in the proposal on instant payments, the service would be</w:t>
      </w:r>
      <w:r>
        <w:t xml:space="preserve"> </w:t>
      </w:r>
      <w:r>
        <w:t xml:space="preserve">optional for the PSU and could be subject to a fee.</w:t>
      </w:r>
      <w:r>
        <w:br/>
      </w:r>
      <w:r>
        <w:t xml:space="preserve">1.d) Full reversal of liability between users and PSPs for fraudulent authorised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This option would introduce a refund right for PSUs in cases where a transaction was the</w:t>
      </w:r>
      <w:r>
        <w:t xml:space="preserve"> </w:t>
      </w:r>
      <w:r>
        <w:t xml:space="preserve">result of fraud, even if the user authorised the transaction via SCA (APP fraud, as discussed</w:t>
      </w:r>
      <w:r>
        <w:t xml:space="preserve"> </w:t>
      </w:r>
      <w:r>
        <w:t xml:space="preserve">in section 2.1.1.). Today such a refund right only exists for ‘unauthorized’ transactions under</w:t>
      </w:r>
      <w:r>
        <w:t xml:space="preserve"> </w:t>
      </w:r>
      <w:r>
        <w:t xml:space="preserve">PSD2 (article 73 and 74), commonly understood (in the absence of a definition) as</w:t>
      </w:r>
      <w:r>
        <w:t xml:space="preserve"> </w:t>
      </w:r>
      <w:r>
        <w:t xml:space="preserve">transactions where the payer could not have authorised the transaction via SCA as, for</w:t>
      </w:r>
      <w:r>
        <w:t xml:space="preserve"> </w:t>
      </w:r>
      <w:r>
        <w:t xml:space="preserve">example, his card was stolen – unless there is for example gross negligence of the payer. This</w:t>
      </w:r>
      <w:r>
        <w:t xml:space="preserve"> </w:t>
      </w:r>
      <w:r>
        <w:t xml:space="preserve">would be a significant departure from the current regime which only provides a refund right</w:t>
      </w:r>
      <w:r>
        <w:t xml:space="preserve"> </w:t>
      </w:r>
      <w:r>
        <w:t xml:space="preserve">in case of unauthorised transactions. The objective of this option would be to motivate and</w:t>
      </w:r>
      <w:r>
        <w:t xml:space="preserve"> </w:t>
      </w:r>
      <w:r>
        <w:t xml:space="preserve">incentivise PSPs, through their full financial liability if fraud does occur (both in</w:t>
      </w:r>
      <w:r>
        <w:t xml:space="preserve"> </w:t>
      </w:r>
      <w:r>
        <w:t xml:space="preserve">unauthorised and authorised transactions scenarios), to undertake more effective anti-fraud</w:t>
      </w:r>
      <w:r>
        <w:t xml:space="preserve"> </w:t>
      </w:r>
      <w:r>
        <w:t xml:space="preserve">initiatives, thus contributing to an overall reduction in fraud.</w:t>
      </w:r>
    </w:p>
    <w:p>
      <w:pPr>
        <w:pStyle w:val="BodyText"/>
      </w:pPr>
      <w:r>
        <w:t xml:space="preserve">90 European Banking Authority (EBA/Op/2022/06) Opinion of the European Banking Authority on its technical</w:t>
      </w:r>
      <w:r>
        <w:t xml:space="preserve"> </w:t>
      </w:r>
      <w:r>
        <w:t xml:space="preserve">advice on the review of Directive (EU) 2015/2366 on payment services in the internal market (PSD2), of 23</w:t>
      </w:r>
      <w:r>
        <w:t xml:space="preserve"> </w:t>
      </w:r>
      <w:r>
        <w:t xml:space="preserve">June 2022, page 82.</w:t>
      </w:r>
      <w:r>
        <w:t xml:space="preserve"> </w:t>
      </w:r>
      <w:r>
        <w:t xml:space="preserve">91 The EBA Guidelines on ICT and security risk management (EBA/GL/2019/04), which could serve as a model</w:t>
      </w:r>
      <w:r>
        <w:t xml:space="preserve"> </w:t>
      </w:r>
      <w:r>
        <w:t xml:space="preserve">for the educational and awareness programs for fraud risks.</w:t>
      </w:r>
      <w:r>
        <w:t xml:space="preserve"> </w:t>
      </w:r>
      <w:r>
        <w:t xml:space="preserve">92 See SurePay - We’re here to make online payments safer</w:t>
      </w:r>
      <w:r>
        <w:t xml:space="preserve"> </w:t>
      </w:r>
      <w:r>
        <w:t xml:space="preserve">93 See Confirmation of Payee - Pay.UK (wearepay.uk)</w:t>
      </w:r>
      <w:r>
        <w:t xml:space="preserve"> </w:t>
      </w:r>
      <w:r>
        <w:t xml:space="preserve">94 Proposal for a Regulation amending Regulations (EU) No 260/2012 and (EU) 2021/1230 as regards instant</w:t>
      </w:r>
      <w:r>
        <w:t xml:space="preserve"> </w:t>
      </w:r>
      <w:r>
        <w:t xml:space="preserve">credit transfers in euro (COM(2022) 546 final). See Annex 12. The IBAN verification service is discussed at</w:t>
      </w:r>
      <w:r>
        <w:t xml:space="preserve"> </w:t>
      </w:r>
      <w:r>
        <w:t xml:space="preserve">length in the impact assessment accompanying that proposal (SWD(2022) 546 final).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1.e) Conditional reversal of liability between PSUs and PSPs for fraudulent authorised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This option 1e presupposes the selection of option 1c) on IBAN/name verification. Unlike the</w:t>
      </w:r>
      <w:r>
        <w:t xml:space="preserve"> </w:t>
      </w:r>
      <w:r>
        <w:t xml:space="preserve">full liability reversal described under option 1.d), this alternative option would introduce</w:t>
      </w:r>
      <w:r>
        <w:t xml:space="preserve"> </w:t>
      </w:r>
      <w:r>
        <w:t xml:space="preserve">limited changes to the liability regime between PSUs and PSPs for fraudulent authorised</w:t>
      </w:r>
      <w:r>
        <w:t xml:space="preserve"> </w:t>
      </w:r>
      <w:r>
        <w:t xml:space="preserve">transactions. This would be done by the introduction of a refund right for consumers who are</w:t>
      </w:r>
      <w:r>
        <w:t xml:space="preserve"> </w:t>
      </w:r>
      <w:r>
        <w:t xml:space="preserve">victims of APP fraud, but limited to cases where the payment service provider of the payer</w:t>
      </w:r>
      <w:r>
        <w:t xml:space="preserve"> </w:t>
      </w:r>
      <w:r>
        <w:t xml:space="preserve">failed to notify the payer of a detected discrepancy between the unique identifier and the</w:t>
      </w:r>
      <w:r>
        <w:t xml:space="preserve"> </w:t>
      </w:r>
      <w:r>
        <w:t xml:space="preserve">name of the payee provided by the payer.. In such a case the PSP(s) that did not apply the</w:t>
      </w:r>
      <w:r>
        <w:t xml:space="preserve"> </w:t>
      </w:r>
      <w:r>
        <w:t xml:space="preserve">necessary preventive measures (payer and/or payee PSP) would bear liability if it turns out to</w:t>
      </w:r>
      <w:r>
        <w:t xml:space="preserve"> </w:t>
      </w:r>
      <w:r>
        <w:t xml:space="preserve">be a fraudulent payment, even if it was authorised by the payer through SCA. The payer’s</w:t>
      </w:r>
      <w:r>
        <w:t xml:space="preserve"> </w:t>
      </w:r>
      <w:r>
        <w:t xml:space="preserve">PSP would refund the payer, and could itself claim compensation from the payee’s PSP, if</w:t>
      </w:r>
      <w:r>
        <w:t xml:space="preserve"> </w:t>
      </w:r>
      <w:r>
        <w:t xml:space="preserve">that PSP were at fault (for example, not responding to an enquiry regarding IBAN/name</w:t>
      </w:r>
      <w:r>
        <w:t xml:space="preserve"> </w:t>
      </w:r>
      <w:r>
        <w:t xml:space="preserve">correspondence of the payee). Furthermore, this option would grant consumers (except in</w:t>
      </w:r>
      <w:r>
        <w:t xml:space="preserve"> </w:t>
      </w:r>
      <w:r>
        <w:t xml:space="preserve">cases of gross negligence or where the consumer is himself the fraudster) a refund right when</w:t>
      </w:r>
      <w:r>
        <w:t xml:space="preserve"> </w:t>
      </w:r>
      <w:r>
        <w:t xml:space="preserve">they were manipulated by a third party pretending to be an employee of the consumer’s</w:t>
      </w:r>
      <w:r>
        <w:t xml:space="preserve"> </w:t>
      </w:r>
      <w:r>
        <w:t xml:space="preserve">payment service provider using lies or deception such as the bank‘s name and/or telephone</w:t>
      </w:r>
      <w:r>
        <w:t xml:space="preserve"> </w:t>
      </w:r>
      <w:r>
        <w:t xml:space="preserve">number and this manipulation gave rise to subsequent fraudulent authorised payment</w:t>
      </w:r>
      <w:r>
        <w:t xml:space="preserve"> </w:t>
      </w:r>
      <w:r>
        <w:t xml:space="preserve">transactions under the condition that the consumer has, without any delay, reported the fraud</w:t>
      </w:r>
      <w:r>
        <w:t xml:space="preserve"> </w:t>
      </w:r>
      <w:r>
        <w:t xml:space="preserve">to the police and notified its payment service provider.</w:t>
      </w:r>
      <w:r>
        <w:t xml:space="preserve"> </w:t>
      </w:r>
      <w:r>
        <w:t xml:space="preserve">5.2.2. Improve the competitiveness of Open Banking services</w:t>
      </w:r>
      <w:r>
        <w:t xml:space="preserve"> </w:t>
      </w:r>
      <w:r>
        <w:t xml:space="preserve">Other than the baseline, four options are considered. Most of the options can be combined</w:t>
      </w:r>
      <w:r>
        <w:t xml:space="preserve"> </w:t>
      </w:r>
      <w:r>
        <w:t xml:space="preserve">with any other, but options 2c) and 2d) are alternatives.</w:t>
      </w:r>
      <w:r>
        <w:br/>
      </w:r>
      <w:r>
        <w:t xml:space="preserve">2.a)</w:t>
      </w:r>
      <w:r>
        <w:t xml:space="preserve"> </w:t>
      </w:r>
      <w:r>
        <w:t xml:space="preserve">Requirement for a dedicated data access interface</w:t>
      </w:r>
      <w:r>
        <w:t xml:space="preserve"> </w:t>
      </w:r>
      <w:r>
        <w:t xml:space="preserve">This option would impose on ASPSPs an obligation to make available to TPPs a dedicated</w:t>
      </w:r>
      <w:r>
        <w:t xml:space="preserve"> </w:t>
      </w:r>
      <w:r>
        <w:t xml:space="preserve">Open Banking interface for the purpose of data access95, instead of keeping the current choice</w:t>
      </w:r>
      <w:r>
        <w:t xml:space="preserve"> </w:t>
      </w:r>
      <w:r>
        <w:t xml:space="preserve">for ASPSPs between providing either a dedicated interface or an adapted customer-facing</w:t>
      </w:r>
      <w:r>
        <w:t xml:space="preserve"> </w:t>
      </w:r>
      <w:r>
        <w:t xml:space="preserve">interface. This would mean that TPPs must only access data through this dedicated interface,</w:t>
      </w:r>
      <w:r>
        <w:t xml:space="preserve"> </w:t>
      </w:r>
      <w:r>
        <w:t xml:space="preserve">and would no longer have the right to access the data ‘directly’ through the customer-facing</w:t>
      </w:r>
      <w:r>
        <w:t xml:space="preserve"> </w:t>
      </w:r>
      <w:r>
        <w:t xml:space="preserve">interface, as many TPPs often do today even when a dedicated interface (usually an API) is</w:t>
      </w:r>
      <w:r>
        <w:t xml:space="preserve"> </w:t>
      </w:r>
      <w:r>
        <w:t xml:space="preserve">made available to them. There would no longer be a requirement for ASPSPs offering an API</w:t>
      </w:r>
      <w:r>
        <w:t xml:space="preserve"> </w:t>
      </w:r>
      <w:r>
        <w:t xml:space="preserve">to also maintain another interface (as a ‘fallback’ interface); consequently, the current</w:t>
      </w:r>
      <w:r>
        <w:t xml:space="preserve"> </w:t>
      </w:r>
      <w:r>
        <w:t xml:space="preserve">possibility of an ASPSP obtaining a fallback exemption from a supervisor, allowing it to</w:t>
      </w:r>
      <w:r>
        <w:t xml:space="preserve"> </w:t>
      </w:r>
      <w:r>
        <w:t xml:space="preserve">maintain only one interface96, would become redundant. Exemptions from the requirement to</w:t>
      </w:r>
    </w:p>
    <w:p>
      <w:pPr>
        <w:pStyle w:val="BodyText"/>
      </w:pPr>
      <w:r>
        <w:t xml:space="preserve">95 A carve out can be applied for specific ASPSPs, for example for those that do not service retail customers, or</w:t>
      </w:r>
      <w:r>
        <w:t xml:space="preserve"> </w:t>
      </w:r>
      <w:r>
        <w:t xml:space="preserve">are active in a niche market with little to no TPP activity/demand for access to the payment accounts they hold.</w:t>
      </w:r>
      <w:r>
        <w:t xml:space="preserve"> </w:t>
      </w:r>
      <w:r>
        <w:t xml:space="preserve">These ASPSPs would still be allowed to provide a PSD2 interface, but this would be voluntary.</w:t>
      </w:r>
      <w:r>
        <w:t xml:space="preserve"> </w:t>
      </w:r>
      <w:r>
        <w:t xml:space="preserve">96 This was the original plan for PSD2 as well, but due to concerns from the TPP sector about the ASPSPs</w:t>
      </w:r>
      <w:r>
        <w:t xml:space="preserve"> </w:t>
      </w:r>
      <w:r>
        <w:t xml:space="preserve">readiness to provide adequate APIs, who feared business continuity issues, ASPSPs were required to also offer</w:t>
      </w:r>
      <w:r>
        <w:t xml:space="preserve"> </w:t>
      </w:r>
      <w:r>
        <w:t xml:space="preserve">the fallback, even if they built a dedicated API. To mitigate a multitude of interfaces, ASPSPs obtained the right</w:t>
      </w:r>
      <w:r>
        <w:t xml:space="preserve"> </w:t>
      </w:r>
      <w:r>
        <w:t xml:space="preserve">to request a fallback exemption from their NCA.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provide a dedicated interface could be considered for cases where it may be disproportionate</w:t>
      </w:r>
      <w:r>
        <w:t xml:space="preserve"> </w:t>
      </w:r>
      <w:r>
        <w:t xml:space="preserve">to require the ASPSP to offer a dedicated interface. In this respect, EBA would be mandated</w:t>
      </w:r>
      <w:r>
        <w:t xml:space="preserve"> </w:t>
      </w:r>
      <w:r>
        <w:t xml:space="preserve">to develop a set of criteria for granting such exemptions.</w:t>
      </w:r>
      <w:r>
        <w:br/>
      </w:r>
      <w:r>
        <w:t xml:space="preserve">2.b)</w:t>
      </w:r>
    </w:p>
    <w:p>
      <w:pPr>
        <w:pStyle w:val="BodyText"/>
      </w:pPr>
      <w:r>
        <w:t xml:space="preserve">Permission dashboards</w:t>
      </w:r>
      <w:r>
        <w:br/>
      </w:r>
      <w:r>
        <w:t xml:space="preserve">This option would involve the implementation of an Open Banking permissions ‘dashboard’,</w:t>
      </w:r>
      <w:r>
        <w:t xml:space="preserve"> </w:t>
      </w:r>
      <w:r>
        <w:t xml:space="preserve">to help data owners have an overview of and easily manage the data access permissions that</w:t>
      </w:r>
      <w:r>
        <w:t xml:space="preserve"> </w:t>
      </w:r>
      <w:r>
        <w:t xml:space="preserve">they have given to TPPs. The new OB permissions dashboard would be required to provide</w:t>
      </w:r>
      <w:r>
        <w:t xml:space="preserve"> </w:t>
      </w:r>
      <w:r>
        <w:t xml:space="preserve">an overview of outstanding AIS and PIS permissions, including basic information such as the</w:t>
      </w:r>
      <w:r>
        <w:t xml:space="preserve"> </w:t>
      </w:r>
      <w:r>
        <w:t xml:space="preserve">purpose and duration of the permission, and would allow the account holder to block</w:t>
      </w:r>
      <w:r>
        <w:t xml:space="preserve"> </w:t>
      </w:r>
      <w:r>
        <w:t xml:space="preserve">payment account data access to a given TPP. The ASPSP would be obliged to inform the</w:t>
      </w:r>
      <w:r>
        <w:t xml:space="preserve"> </w:t>
      </w:r>
      <w:r>
        <w:t xml:space="preserve">concerned TPP without undue delay if a data access permission is withdrawn.</w:t>
      </w:r>
      <w:r>
        <w:br/>
      </w:r>
      <w:r>
        <w:t xml:space="preserve">2.c)</w:t>
      </w:r>
      <w:r>
        <w:t xml:space="preserve"> </w:t>
      </w:r>
      <w:r>
        <w:t xml:space="preserve">Impose a single, harmonised, API standard for TPP access to account data</w:t>
      </w:r>
      <w:r>
        <w:t xml:space="preserve"> </w:t>
      </w:r>
      <w:r>
        <w:t xml:space="preserve">This option would fully harmonise the current interfaces through the imposition of a single,</w:t>
      </w:r>
      <w:r>
        <w:t xml:space="preserve"> </w:t>
      </w:r>
      <w:r>
        <w:t xml:space="preserve">EU-wide API standard. This standard would replace the existing market standards that exist</w:t>
      </w:r>
      <w:r>
        <w:t xml:space="preserve"> </w:t>
      </w:r>
      <w:r>
        <w:t xml:space="preserve">in the EU (‘STET’ standard, ‘Berlin Group’ standard etc.), as well as the many individual</w:t>
      </w:r>
      <w:r>
        <w:t xml:space="preserve"> </w:t>
      </w:r>
      <w:r>
        <w:t xml:space="preserve">bank declinations of these various market standards, and the APIs that banks have built</w:t>
      </w:r>
      <w:r>
        <w:t xml:space="preserve"> </w:t>
      </w:r>
      <w:r>
        <w:t xml:space="preserve">without reference to any market standard. The standard would cover operational rules and</w:t>
      </w:r>
      <w:r>
        <w:t xml:space="preserve"> </w:t>
      </w:r>
      <w:r>
        <w:t xml:space="preserve">implementation guidance including required data formats and technical specifications, and</w:t>
      </w:r>
      <w:r>
        <w:t xml:space="preserve"> </w:t>
      </w:r>
      <w:r>
        <w:t xml:space="preserve">would also describe the use cases that are covered by the standard (e.g. single payment</w:t>
      </w:r>
      <w:r>
        <w:t xml:space="preserve"> </w:t>
      </w:r>
      <w:r>
        <w:t xml:space="preserve">initiation, obtaining an account’s transaction history etc.). The API standard would need to be</w:t>
      </w:r>
      <w:r>
        <w:t xml:space="preserve"> </w:t>
      </w:r>
      <w:r>
        <w:t xml:space="preserve">designed by industry and imposed by delegated legislation; it could be one of the existing</w:t>
      </w:r>
      <w:r>
        <w:t xml:space="preserve"> </w:t>
      </w:r>
      <w:r>
        <w:t xml:space="preserve">standards or a new one. Stakeholders would have to adjust where necessary their existing</w:t>
      </w:r>
      <w:r>
        <w:t xml:space="preserve"> </w:t>
      </w:r>
      <w:r>
        <w:t xml:space="preserve">APIs to implement this new API standard. As a whole, the standard would comprise</w:t>
      </w:r>
      <w:r>
        <w:t xml:space="preserve"> </w:t>
      </w:r>
      <w:r>
        <w:t xml:space="preserve">everything which is required to be compliant with the rules on data access. Being a</w:t>
      </w:r>
      <w:r>
        <w:t xml:space="preserve"> </w:t>
      </w:r>
      <w:r>
        <w:t xml:space="preserve">mandatory and ‘full’ standard, this option would leave no room for individual differences in</w:t>
      </w:r>
      <w:r>
        <w:t xml:space="preserve"> </w:t>
      </w:r>
      <w:r>
        <w:t xml:space="preserve">the OB APIs.</w:t>
      </w:r>
      <w:r>
        <w:br/>
      </w:r>
      <w:r>
        <w:t xml:space="preserve">2.d)</w:t>
      </w:r>
      <w:r>
        <w:t xml:space="preserve"> </w:t>
      </w:r>
      <w:r>
        <w:t xml:space="preserve">Specify in more detail minimum requirements for OB data interfaces</w:t>
      </w:r>
      <w:r>
        <w:br/>
      </w:r>
      <w:r>
        <w:t xml:space="preserve">This option would make certain amendments and clarifications to the rules on access to</w:t>
      </w:r>
      <w:r>
        <w:t xml:space="preserve"> </w:t>
      </w:r>
      <w:r>
        <w:t xml:space="preserve">payment account data and also move some of the specifications currently in the RTS to the</w:t>
      </w:r>
      <w:r>
        <w:t xml:space="preserve"> </w:t>
      </w:r>
      <w:r>
        <w:t xml:space="preserve">Regulation. Currently the payment data to which access is mandated in PSD2 is the same data</w:t>
      </w:r>
      <w:r>
        <w:t xml:space="preserve"> </w:t>
      </w:r>
      <w:r>
        <w:t xml:space="preserve">as that which the customer can access via the customer interface (“parity principle”97) and</w:t>
      </w:r>
      <w:r>
        <w:t xml:space="preserve"> </w:t>
      </w:r>
      <w:r>
        <w:t xml:space="preserve">thus varies from PSP to PSP and has sometimes led to disagreement between ASPSPs and</w:t>
      </w:r>
      <w:r>
        <w:t xml:space="preserve"> </w:t>
      </w:r>
      <w:r>
        <w:t xml:space="preserve">TPPs as to which data was made to be available via the OB API and which not. It was not</w:t>
      </w:r>
      <w:r>
        <w:t xml:space="preserve"> </w:t>
      </w:r>
      <w:r>
        <w:t xml:space="preserve">seriously considered to mandate access to all payment data of a user which a PSP might</w:t>
      </w:r>
      <w:r>
        <w:t xml:space="preserve"> </w:t>
      </w:r>
      <w:r>
        <w:t xml:space="preserve">possibly hold, as this would have been a disproportionate open-ended requirement. It was not</w:t>
      </w:r>
      <w:r>
        <w:t xml:space="preserve"> </w:t>
      </w:r>
      <w:r>
        <w:t xml:space="preserve">considered to remove the parity principle either, because the customer already has access to</w:t>
      </w:r>
    </w:p>
    <w:p>
      <w:pPr>
        <w:pStyle w:val="BodyText"/>
      </w:pPr>
      <w:r>
        <w:t xml:space="preserve">97 The information and functionalities within scope of PSD2 that are available to PSUs in the direct customer</w:t>
      </w:r>
      <w:r>
        <w:t xml:space="preserve"> </w:t>
      </w:r>
      <w:r>
        <w:t xml:space="preserve">interface of their ASPSP is expected to also be made available if the PSU accesses its account via a TPP (RTS</w:t>
      </w:r>
      <w:r>
        <w:t xml:space="preserve"> </w:t>
      </w:r>
      <w:r>
        <w:t xml:space="preserve">on SCA and CSC, art. 36(1)(a)).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this data in the direct customer interface, and it would be a step back from what is currently</w:t>
      </w:r>
      <w:r>
        <w:t xml:space="preserve"> </w:t>
      </w:r>
      <w:r>
        <w:t xml:space="preserve">required to be made available by ASPSPs. This option thus upholds the parity principle; the</w:t>
      </w:r>
      <w:r>
        <w:t xml:space="preserve"> </w:t>
      </w:r>
      <w:r>
        <w:t xml:space="preserve">minimum requirements are not intended to narrow down the parity principle, but they will</w:t>
      </w:r>
      <w:r>
        <w:t xml:space="preserve"> </w:t>
      </w:r>
      <w:r>
        <w:t xml:space="preserve">create a baseline that will be the same across all ASPSPs and provide a comparable minimum</w:t>
      </w:r>
      <w:r>
        <w:t xml:space="preserve"> </w:t>
      </w:r>
      <w:r>
        <w:t xml:space="preserve">workable solution for TPPs. This option will in particular create clarity for Payment Initiation</w:t>
      </w:r>
      <w:r>
        <w:t xml:space="preserve"> </w:t>
      </w:r>
      <w:r>
        <w:t xml:space="preserve">Services and the types of payment services they will be able to provide via the ASPSP’s OB</w:t>
      </w:r>
      <w:r>
        <w:t xml:space="preserve"> </w:t>
      </w:r>
      <w:r>
        <w:t xml:space="preserve">APIs, and it will also clarify some of the data elements that AIS providers should be able to</w:t>
      </w:r>
      <w:r>
        <w:t xml:space="preserve"> </w:t>
      </w:r>
      <w:r>
        <w:t xml:space="preserve">access (but only basic data like the name of the account holder, which is not always available</w:t>
      </w:r>
      <w:r>
        <w:t xml:space="preserve"> </w:t>
      </w:r>
      <w:r>
        <w:t xml:space="preserve">under the parity principle, as not all customer interfaces show the customer’s own name).</w:t>
      </w:r>
      <w:r>
        <w:br/>
      </w:r>
      <w:r>
        <w:t xml:space="preserve">What is made available via the OB interfaces could still vary between PSPs, as the parity</w:t>
      </w:r>
      <w:r>
        <w:t xml:space="preserve"> </w:t>
      </w:r>
      <w:r>
        <w:t xml:space="preserve">principle can give different outcomes from ASPSP to ASPSP depending on what they make</w:t>
      </w:r>
      <w:r>
        <w:t xml:space="preserve"> </w:t>
      </w:r>
      <w:r>
        <w:t xml:space="preserve">available in their customer facing interface, going beyond the minimum. The minimum</w:t>
      </w:r>
      <w:r>
        <w:t xml:space="preserve"> </w:t>
      </w:r>
      <w:r>
        <w:t xml:space="preserve">requirements would include core elements which are considered to be indispensable to</w:t>
      </w:r>
      <w:r>
        <w:t xml:space="preserve"> </w:t>
      </w:r>
      <w:r>
        <w:t xml:space="preserve">ensure a satisfactory OB journey, both in terms of data and what can be done with that data</w:t>
      </w:r>
      <w:r>
        <w:t xml:space="preserve"> </w:t>
      </w:r>
      <w:r>
        <w:t xml:space="preserve">(“functionalities”). The option would thus define an absolute minimum to the OB API and</w:t>
      </w:r>
      <w:r>
        <w:t xml:space="preserve"> </w:t>
      </w:r>
      <w:r>
        <w:t xml:space="preserve">provide more detail than the requirements currently contained in PSD and the RTS. The</w:t>
      </w:r>
      <w:r>
        <w:t xml:space="preserve"> </w:t>
      </w:r>
      <w:r>
        <w:t xml:space="preserve">minimum requirements would be built on what is already in the RTS98, and be extracted from</w:t>
      </w:r>
      <w:r>
        <w:t xml:space="preserve"> </w:t>
      </w:r>
      <w:r>
        <w:t xml:space="preserve">sources such as the EBA Advice, and TPPs’ input99. They would consist of data to be made</w:t>
      </w:r>
      <w:r>
        <w:t xml:space="preserve"> </w:t>
      </w:r>
      <w:r>
        <w:t xml:space="preserve">available, payment services to be supported and the availability and performance of the</w:t>
      </w:r>
      <w:r>
        <w:t xml:space="preserve"> </w:t>
      </w:r>
      <w:r>
        <w:t xml:space="preserve">interface. To limit the burden on ASPSPs, the number of these functionalities and data points</w:t>
      </w:r>
      <w:r>
        <w:t xml:space="preserve"> </w:t>
      </w:r>
      <w:r>
        <w:t xml:space="preserve">would be kept limited100. The key such mandatory data points and services would be:</w:t>
      </w:r>
    </w:p>
    <w:p>
      <w:pPr>
        <w:pStyle w:val="BodyText"/>
      </w:pPr>
      <w:r>
        <w:t xml:space="preserve"> the payee’s name and IBAN (not always included in customer interfaces);</w:t>
      </w:r>
      <w:r>
        <w:t xml:space="preserve"> </w:t>
      </w:r>
      <w:r>
        <w:t xml:space="preserve"> PISP-specific services, such as a confirmation from the ASPSP that the payment will</w:t>
      </w:r>
      <w:r>
        <w:t xml:space="preserve"> </w:t>
      </w:r>
      <w:r>
        <w:t xml:space="preserve">be executed, status of the payment, allow the PSU to set up and stop a standing order</w:t>
      </w:r>
      <w:r>
        <w:t xml:space="preserve"> </w:t>
      </w:r>
      <w:r>
        <w:t xml:space="preserve">or a future dated payment through a PISP.</w:t>
      </w:r>
      <w:r>
        <w:t xml:space="preserve"> </w:t>
      </w:r>
      <w:r>
        <w:t xml:space="preserve">2.e)</w:t>
      </w:r>
      <w:r>
        <w:t xml:space="preserve"> </w:t>
      </w:r>
      <w:r>
        <w:t xml:space="preserve">abandon the non-contractual/no charging default approach</w:t>
      </w:r>
      <w:r>
        <w:br/>
      </w:r>
      <w:r>
        <w:t xml:space="preserve">This is the most radical option for Open Banking, as it would involve reversing one of the</w:t>
      </w:r>
      <w:r>
        <w:t xml:space="preserve"> </w:t>
      </w:r>
      <w:r>
        <w:t xml:space="preserve">key principles of OB under PSD2, that access to the required payment data must be possible</w:t>
      </w:r>
      <w:r>
        <w:t xml:space="preserve"> </w:t>
      </w:r>
      <w:r>
        <w:t xml:space="preserve">free of charge for TPPs. This principle is not stated explicitly in PSD2, but is implicit in the</w:t>
      </w:r>
      <w:r>
        <w:t xml:space="preserve"> </w:t>
      </w:r>
      <w:r>
        <w:t xml:space="preserve">legal requirement in PSD2 that data access must not be conditioned on the existence of a</w:t>
      </w:r>
      <w:r>
        <w:t xml:space="preserve"> </w:t>
      </w:r>
      <w:r>
        <w:t xml:space="preserve">contract between the parties (ASPSP and TPP), since any payment of fees necessarily</w:t>
      </w:r>
      <w:r>
        <w:t xml:space="preserve"> </w:t>
      </w:r>
      <w:r>
        <w:t xml:space="preserve">requires a contractual relationship. This option would allow ASPSPs to require a contract and</w:t>
      </w:r>
    </w:p>
    <w:p>
      <w:pPr>
        <w:pStyle w:val="BodyText"/>
      </w:pPr>
      <w:r>
        <w:t xml:space="preserve">98 Such as RTS art. 32 (which includes availability and performance) and 36 (which includes data parity)</w:t>
      </w:r>
      <w:r>
        <w:t xml:space="preserve"> </w:t>
      </w:r>
      <w:r>
        <w:t xml:space="preserve">99 For example: European Third-Party Providers Association, ETPPA Position Paper on PSD2 review, June</w:t>
      </w:r>
      <w:r>
        <w:t xml:space="preserve"> </w:t>
      </w:r>
      <w:r>
        <w:t xml:space="preserve">2022; Open Finance Association, OFA position on the review of the Revised Payment Services Directive</w:t>
      </w:r>
      <w:r>
        <w:t xml:space="preserve"> </w:t>
      </w:r>
      <w:r>
        <w:t xml:space="preserve">(PSD2), September 2022.</w:t>
      </w:r>
      <w:r>
        <w:t xml:space="preserve"> </w:t>
      </w:r>
      <w:r>
        <w:t xml:space="preserve">100 As the OB APIs of the ASPSP (largely) depend on what is already in the customer-facing interface, any</w:t>
      </w:r>
      <w:r>
        <w:t xml:space="preserve"> </w:t>
      </w:r>
      <w:r>
        <w:t xml:space="preserve">minimum requirements an ASPSP might have to make available in the OB API, which is currently not available</w:t>
      </w:r>
      <w:r>
        <w:t xml:space="preserve"> </w:t>
      </w:r>
      <w:r>
        <w:t xml:space="preserve">in their customer interface might lead to such ASPSP putting in additional resources compared to ASPSPs who</w:t>
      </w:r>
      <w:r>
        <w:t xml:space="preserve"> </w:t>
      </w:r>
      <w:r>
        <w:t xml:space="preserve">already have all these minimum requirements included in their customer-facing interface as well.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payment of a fee as a condition for access to payment account data by a TPP. The purpose of</w:t>
      </w:r>
      <w:r>
        <w:t xml:space="preserve"> </w:t>
      </w:r>
      <w:r>
        <w:t xml:space="preserve">this option would be to respond to the argument often given (by banks) for low-quality APIs</w:t>
      </w:r>
      <w:r>
        <w:t xml:space="preserve"> </w:t>
      </w:r>
      <w:r>
        <w:t xml:space="preserve">that the ASPSPs were not compensated for their expenses to design data access</w:t>
      </w:r>
      <w:r>
        <w:t xml:space="preserve"> </w:t>
      </w:r>
      <w:r>
        <w:t xml:space="preserve">infrastructures and therefore had no motivation to invest in high quality interfaces.</w:t>
      </w:r>
      <w:r>
        <w:t xml:space="preserve"> </w:t>
      </w:r>
      <w:r>
        <w:t xml:space="preserve">5.2.3. Improve enforcement and implementation in Member States</w:t>
      </w:r>
      <w:r>
        <w:t xml:space="preserve"> </w:t>
      </w:r>
      <w:r>
        <w:t xml:space="preserve">Other than the baseline, three mutually compatible options are considered:</w:t>
      </w:r>
      <w:r>
        <w:t xml:space="preserve"> </w:t>
      </w:r>
      <w:r>
        <w:t xml:space="preserve">3.a)</w:t>
      </w:r>
      <w:r>
        <w:t xml:space="preserve"> </w:t>
      </w:r>
      <w:r>
        <w:t xml:space="preserve">Replace the greater part of PSD2 with a directly applicable Regulation</w:t>
      </w:r>
      <w:r>
        <w:br/>
      </w:r>
      <w:r>
        <w:t xml:space="preserve">In this option EU rules on payment services would be harmonised in more detail by</w:t>
      </w:r>
      <w:r>
        <w:t xml:space="preserve"> </w:t>
      </w:r>
      <w:r>
        <w:t xml:space="preserve">incorporating more detailed rules in a directly applicable Regulation. The set of rules would</w:t>
      </w:r>
      <w:r>
        <w:t xml:space="preserve"> </w:t>
      </w:r>
      <w:r>
        <w:t xml:space="preserve">be restructured to reduce and minimise Member States’ margins of interpretation and ability</w:t>
      </w:r>
      <w:r>
        <w:t xml:space="preserve"> </w:t>
      </w:r>
      <w:r>
        <w:t xml:space="preserve">to add further rules. This further harmonisation would involve placing rules concerning</w:t>
      </w:r>
      <w:r>
        <w:t xml:space="preserve"> </w:t>
      </w:r>
      <w:r>
        <w:t xml:space="preserve">payments in PSD2 in a Regulation in particular, those provisions of PSD2 addressed to</w:t>
      </w:r>
      <w:r>
        <w:t xml:space="preserve"> </w:t>
      </w:r>
      <w:r>
        <w:t xml:space="preserve">individual payment services users and their relationship to PSPs or the rights and obligations</w:t>
      </w:r>
      <w:r>
        <w:t xml:space="preserve"> </w:t>
      </w:r>
      <w:r>
        <w:t xml:space="preserve">of AISPs and PISPs. Only provisions on licensing and supervision of Payment Institutions,</w:t>
      </w:r>
      <w:r>
        <w:t xml:space="preserve"> </w:t>
      </w:r>
      <w:r>
        <w:t xml:space="preserve">corresponding to Title II of PSD2 (and on licensing and supervision of E-Money Institutions,</w:t>
      </w:r>
      <w:r>
        <w:t xml:space="preserve"> </w:t>
      </w:r>
      <w:r>
        <w:t xml:space="preserve">corresponding to the current Electronic Money Directive – See Annex 8) would remain in the</w:t>
      </w:r>
      <w:r>
        <w:t xml:space="preserve"> </w:t>
      </w:r>
      <w:r>
        <w:t xml:space="preserve">form of a Directive.101 This option would also involve a higher level of harmonisation in EU</w:t>
      </w:r>
      <w:r>
        <w:t xml:space="preserve"> </w:t>
      </w:r>
      <w:r>
        <w:t xml:space="preserve">payments rules via reduction of ambiguity and lack of clarity, and an addition of greater</w:t>
      </w:r>
      <w:r>
        <w:t xml:space="preserve"> </w:t>
      </w:r>
      <w:r>
        <w:t xml:space="preserve">detail. Numerous areas would benefit from clarifications and specifications, amongst others</w:t>
      </w:r>
      <w:r>
        <w:t xml:space="preserve"> </w:t>
      </w:r>
      <w:r>
        <w:t xml:space="preserve">the list of definitions and exclusions, licensing and supervisory requirements and others.</w:t>
      </w:r>
      <w:r>
        <w:t xml:space="preserve"> </w:t>
      </w:r>
      <w:r>
        <w:t xml:space="preserve">These adjustments would be based on inter alia replies provided by the European Banking</w:t>
      </w:r>
      <w:r>
        <w:t xml:space="preserve"> </w:t>
      </w:r>
      <w:r>
        <w:t xml:space="preserve">Authority in the context of the Question-and-Answer tool. See Annex 7 for details of</w:t>
      </w:r>
      <w:r>
        <w:t xml:space="preserve"> </w:t>
      </w:r>
      <w:r>
        <w:t xml:space="preserve">clarifications to be provided (Annex 6 for clarifications on scope)102.</w:t>
      </w:r>
      <w:r>
        <w:br/>
      </w:r>
      <w:r>
        <w:t xml:space="preserve">3.b)</w:t>
      </w:r>
      <w:r>
        <w:t xml:space="preserve"> </w:t>
      </w:r>
      <w:r>
        <w:t xml:space="preserve">Strengthen provisions on penalties in PSD</w:t>
      </w:r>
      <w:r>
        <w:br/>
      </w:r>
      <w:r>
        <w:t xml:space="preserve">This option involves measures to allow for improved and more harmonised powers regarding</w:t>
      </w:r>
      <w:r>
        <w:t xml:space="preserve"> </w:t>
      </w:r>
      <w:r>
        <w:t xml:space="preserve">penalties in case the rules are breached. There would be a list of provisions for which</w:t>
      </w:r>
      <w:r>
        <w:t xml:space="preserve"> </w:t>
      </w:r>
      <w:r>
        <w:t xml:space="preserve">National Competent Authorities must have sufficient sanctioning powers (for instance, in the</w:t>
      </w:r>
      <w:r>
        <w:t xml:space="preserve"> </w:t>
      </w:r>
      <w:r>
        <w:t xml:space="preserve">areas of SCA application, Open Banking access to accounts, or bank account services for PIs</w:t>
      </w:r>
      <w:r>
        <w:t xml:space="preserve"> </w:t>
      </w:r>
      <w:r>
        <w:t xml:space="preserve">and EMIs), accompanied by criteria on the level of penalties; however, levels of penalties</w:t>
      </w:r>
      <w:r>
        <w:t xml:space="preserve"> </w:t>
      </w:r>
      <w:r>
        <w:t xml:space="preserve">such as fines to be imposed by Member States for specific breaches would not be fully</w:t>
      </w:r>
      <w:r>
        <w:t xml:space="preserve"> </w:t>
      </w:r>
      <w:r>
        <w:t xml:space="preserve">harmonised. The power of EBA to temporarily prohibit certain products in case of risk to</w:t>
      </w:r>
      <w:r>
        <w:t xml:space="preserve"> </w:t>
      </w:r>
      <w:r>
        <w:t xml:space="preserve">consumers would be operationalised in the area of payments103.</w:t>
      </w:r>
    </w:p>
    <w:p>
      <w:pPr>
        <w:pStyle w:val="BodyText"/>
      </w:pPr>
      <w:r>
        <w:t xml:space="preserve">101 See Annex 8 on the envisaged integration of EMD into PSD and annex 7 amongst others on the envisaged</w:t>
      </w:r>
      <w:r>
        <w:t xml:space="preserve"> </w:t>
      </w:r>
      <w:r>
        <w:t xml:space="preserve">technical amendments to the provisions on licensing and supervision of PIs.</w:t>
      </w:r>
      <w:r>
        <w:t xml:space="preserve"> </w:t>
      </w:r>
      <w:r>
        <w:t xml:space="preserve">102 The clarifications outlined in Annexes 6 and 7 could be implemented either via a Regulation or via a</w:t>
      </w:r>
      <w:r>
        <w:t xml:space="preserve"> </w:t>
      </w:r>
      <w:r>
        <w:t xml:space="preserve">Directive.</w:t>
      </w:r>
      <w:r>
        <w:t xml:space="preserve"> </w:t>
      </w:r>
      <w:r>
        <w:t xml:space="preserve">103 The broad « product intervention » power of EBA is contained in article 9(5) of EBA’s founding Regulation</w:t>
      </w:r>
      <w:r>
        <w:t xml:space="preserve"> </w:t>
      </w:r>
      <w:r>
        <w:t xml:space="preserve">(Regulation 1093/2010), but this requires an enabling provision in relevant sectoral legislation in order to be</w:t>
      </w:r>
      <w:r>
        <w:t xml:space="preserve"> </w:t>
      </w:r>
      <w:r>
        <w:t xml:space="preserve">activated in the sector concerned, in this case payment services, see for example article 41 of Regulation</w:t>
      </w:r>
      <w:r>
        <w:t xml:space="preserve"> </w:t>
      </w:r>
      <w:r>
        <w:t xml:space="preserve">600/2014 on Markets in Financial Instruments.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3.c)</w:t>
      </w:r>
      <w:r>
        <w:t xml:space="preserve"> </w:t>
      </w:r>
      <w:r>
        <w:t xml:space="preserve">Creating an EU-level supervisory body for Open Banking, like the UK OBIE</w:t>
      </w:r>
      <w:r>
        <w:t xml:space="preserve"> </w:t>
      </w:r>
      <w:r>
        <w:t xml:space="preserve">In this option a new EU-level supervisory body would be created to oversee and enforce the</w:t>
      </w:r>
      <w:r>
        <w:t xml:space="preserve"> </w:t>
      </w:r>
      <w:r>
        <w:t xml:space="preserve">implementation of Open Banking. This body would be either a new regulatory agency or an</w:t>
      </w:r>
      <w:r>
        <w:t xml:space="preserve"> </w:t>
      </w:r>
      <w:r>
        <w:t xml:space="preserve">additional task for an existing such agency, such as EBA. It would be inspired by the</w:t>
      </w:r>
      <w:r>
        <w:t xml:space="preserve"> </w:t>
      </w:r>
      <w:r>
        <w:t xml:space="preserve">experience of the OBIE created in the UK, and would have direct enforcement powers in the</w:t>
      </w:r>
      <w:r>
        <w:t xml:space="preserve"> </w:t>
      </w:r>
      <w:r>
        <w:t xml:space="preserve">OB area, including powers to impose penalties for non-compliance. Due to constraints in the</w:t>
      </w:r>
      <w:r>
        <w:t xml:space="preserve"> </w:t>
      </w:r>
      <w:r>
        <w:t xml:space="preserve">EU budget, it would be funded entirely from fees and sectoral levies.</w:t>
      </w:r>
      <w:r>
        <w:br/>
      </w:r>
      <w:r>
        <w:t xml:space="preserve">5.2.4. Improve (direct or indirect) access to payment systems and bank accounts for non-</w:t>
      </w:r>
      <w:r>
        <w:t xml:space="preserve"> </w:t>
      </w:r>
      <w:r>
        <w:t xml:space="preserve">bank PSPs</w:t>
      </w:r>
      <w:r>
        <w:br/>
      </w:r>
      <w:r>
        <w:t xml:space="preserve">Other than the baseline, three options are considered. Option 4a) can be combined with 4b) or</w:t>
      </w:r>
      <w:r>
        <w:t xml:space="preserve"> </w:t>
      </w:r>
      <w:r>
        <w:t xml:space="preserve">4c), while 4b) and 4c) are alternatives (as 4c) includes 4b) but with extra features also).</w:t>
      </w:r>
      <w:r>
        <w:t xml:space="preserve"> </w:t>
      </w:r>
      <w:r>
        <w:t xml:space="preserve">4.a)</w:t>
      </w:r>
      <w:r>
        <w:t xml:space="preserve"> </w:t>
      </w:r>
      <w:r>
        <w:t xml:space="preserve">Reinforcement of the right of PIs and EMIs to access to payment systems via</w:t>
      </w:r>
      <w:r>
        <w:t xml:space="preserve"> </w:t>
      </w:r>
      <w:r>
        <w:t xml:space="preserve">an account with a credit institution</w:t>
      </w:r>
      <w:r>
        <w:t xml:space="preserve"> </w:t>
      </w:r>
      <w:r>
        <w:t xml:space="preserve">This option would involve strengthening the access of PIs and EMIs to accounts with credit</w:t>
      </w:r>
      <w:r>
        <w:t xml:space="preserve"> </w:t>
      </w:r>
      <w:r>
        <w:t xml:space="preserve">institutions (i.e. banks), which allow inter alia, indirect access to payment systems to which</w:t>
      </w:r>
      <w:r>
        <w:t xml:space="preserve"> </w:t>
      </w:r>
      <w:r>
        <w:t xml:space="preserve">the PIs and EMIs lack direct access. This would require amending article 36 of PSD2, which</w:t>
      </w:r>
      <w:r>
        <w:t xml:space="preserve"> </w:t>
      </w:r>
      <w:r>
        <w:t xml:space="preserve">concerns PI and EMI access to accounts maintained with a credit institution. Currently, that</w:t>
      </w:r>
      <w:r>
        <w:t xml:space="preserve"> </w:t>
      </w:r>
      <w:r>
        <w:t xml:space="preserve">article requires banks to provide the competent authority with duly motivated reasons for any</w:t>
      </w:r>
      <w:r>
        <w:t xml:space="preserve"> </w:t>
      </w:r>
      <w:r>
        <w:t xml:space="preserve">rejection of access to PIs and EMIs, but does not require any explanation of withdrawal of</w:t>
      </w:r>
      <w:r>
        <w:t xml:space="preserve"> </w:t>
      </w:r>
      <w:r>
        <w:t xml:space="preserve">existing account services and does not provide for a right of appeal. Article 36 could be</w:t>
      </w:r>
      <w:r>
        <w:t xml:space="preserve"> </w:t>
      </w:r>
      <w:r>
        <w:t xml:space="preserve">modified to create a strongerentitlement to an account for EMIs and PIs104 to cover also</w:t>
      </w:r>
      <w:r>
        <w:t xml:space="preserve"> </w:t>
      </w:r>
      <w:r>
        <w:t xml:space="preserve">withdrawal of services, and also to place a stronger burden on banks, only allowing them to</w:t>
      </w:r>
      <w:r>
        <w:t xml:space="preserve"> </w:t>
      </w:r>
      <w:r>
        <w:t xml:space="preserve">refuse or withdraw account access to PIs and EMIs if they have a material justification for</w:t>
      </w:r>
      <w:r>
        <w:t xml:space="preserve"> </w:t>
      </w:r>
      <w:r>
        <w:t xml:space="preserve">such refusal or withdrawal (but with a possibility for a smaller bank to decline to manage an</w:t>
      </w:r>
      <w:r>
        <w:t xml:space="preserve"> </w:t>
      </w:r>
      <w:r>
        <w:t xml:space="preserve">account for a PI or EMI where the high cost of servicing the account could have a significant</w:t>
      </w:r>
      <w:r>
        <w:t xml:space="preserve"> </w:t>
      </w:r>
      <w:r>
        <w:t xml:space="preserve">impact on its overall profitability). Such justification could be for example breaches of law by</w:t>
      </w:r>
      <w:r>
        <w:t xml:space="preserve"> </w:t>
      </w:r>
      <w:r>
        <w:t xml:space="preserve">the PI/EMI or reasonable grounds to suspect unlawful activity by or via that PI or EMI.</w:t>
      </w:r>
      <w:r>
        <w:br/>
      </w:r>
      <w:r>
        <w:t xml:space="preserve">Finally, it would be made possible for central banks, at their discretion, to safeguard funds</w:t>
      </w:r>
      <w:r>
        <w:t xml:space="preserve"> </w:t>
      </w:r>
      <w:r>
        <w:t xml:space="preserve">held by Payment Institutions, providing a further fallback solution in case a non-bank PSP</w:t>
      </w:r>
      <w:r>
        <w:t xml:space="preserve"> </w:t>
      </w:r>
      <w:r>
        <w:t xml:space="preserve">still finds it impossible to obtain an account with a bank.</w:t>
      </w:r>
      <w:r>
        <w:t xml:space="preserve"> </w:t>
      </w:r>
      <w:r>
        <w:t xml:space="preserve">4.b)</w:t>
      </w:r>
      <w:r>
        <w:t xml:space="preserve"> </w:t>
      </w:r>
      <w:r>
        <w:t xml:space="preserve">Granting of direct participation of PIs and EMIs to all payment systems,</w:t>
      </w:r>
      <w:r>
        <w:t xml:space="preserve"> </w:t>
      </w:r>
      <w:r>
        <w:t xml:space="preserve">including those designated by Member States pursuant to the SFD</w:t>
      </w:r>
      <w:r>
        <w:br/>
      </w:r>
      <w:r>
        <w:t xml:space="preserve">This option would involve making changes to both SFD and PSD in order to remove the</w:t>
      </w:r>
      <w:r>
        <w:t xml:space="preserve"> </w:t>
      </w:r>
      <w:r>
        <w:t xml:space="preserve">barriers to participation by PIs and EMIs in payment systems designated under SFD, namely</w:t>
      </w:r>
    </w:p>
    <w:p>
      <w:pPr>
        <w:pStyle w:val="BodyText"/>
      </w:pPr>
      <w:r>
        <w:t xml:space="preserve">104 Including during their licensing stage, where a bank account is already indispensable to safeguard future</w:t>
      </w:r>
      <w:r>
        <w:t xml:space="preserve"> </w:t>
      </w:r>
      <w:r>
        <w:t xml:space="preserve">client funds.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adding PIs and EMIs to the list of entities which qualify as “institutions” in SFD, and deleting</w:t>
      </w:r>
      <w:r>
        <w:t xml:space="preserve"> </w:t>
      </w:r>
      <w:r>
        <w:t xml:space="preserve">the provision in PSD2 (article 35.2(a)), which exempts SFD-designated systems from the</w:t>
      </w:r>
      <w:r>
        <w:t xml:space="preserve"> </w:t>
      </w:r>
      <w:r>
        <w:t xml:space="preserve">obligation to have admission rules which are “proportionate, objective and non-</w:t>
      </w:r>
      <w:r>
        <w:t xml:space="preserve"> </w:t>
      </w:r>
      <w:r>
        <w:t xml:space="preserve">discriminatory”. It would not impose any specific requirements on payment systems, except</w:t>
      </w:r>
      <w:r>
        <w:t xml:space="preserve"> </w:t>
      </w:r>
      <w:r>
        <w:t xml:space="preserve">the existing requirement in article 35 of PSD2 that the rules of payment systems must be</w:t>
      </w:r>
      <w:r>
        <w:t xml:space="preserve"> </w:t>
      </w:r>
      <w:r>
        <w:t xml:space="preserve">“objective, non-discriminatory and proportionate, and that they do not inhibit access more</w:t>
      </w:r>
      <w:r>
        <w:t xml:space="preserve"> </w:t>
      </w:r>
      <w:r>
        <w:t xml:space="preserve">than is necessary to safeguard against specific risks, and to protect the financial and</w:t>
      </w:r>
      <w:r>
        <w:t xml:space="preserve"> </w:t>
      </w:r>
      <w:r>
        <w:t xml:space="preserve">operational stability of the payment system”. It would clarify that PIs and EMIs are not</w:t>
      </w:r>
      <w:r>
        <w:t xml:space="preserve"> </w:t>
      </w:r>
      <w:r>
        <w:t xml:space="preserve">admissible to participation in SFD-designated systems which are not payment systems105.</w:t>
      </w:r>
      <w:r>
        <w:t xml:space="preserve"> </w:t>
      </w:r>
      <w:r>
        <w:t xml:space="preserve">However – as is the case today for payment systems which are not designated under SFD –</w:t>
      </w:r>
      <w:r>
        <w:t xml:space="preserve"> </w:t>
      </w:r>
      <w:r>
        <w:t xml:space="preserve">no further guidance or requirements would be placed on payment systems, which would be</w:t>
      </w:r>
      <w:r>
        <w:t xml:space="preserve"> </w:t>
      </w:r>
      <w:r>
        <w:t xml:space="preserve">free to develop their own procedures for ensuring that this general requirement is respected.</w:t>
      </w:r>
      <w:r>
        <w:t xml:space="preserve"> </w:t>
      </w:r>
      <w:r>
        <w:t xml:space="preserve">All procedures and possible risk assessments prior to admission to participation would be left</w:t>
      </w:r>
      <w:r>
        <w:t xml:space="preserve"> </w:t>
      </w:r>
      <w:r>
        <w:t xml:space="preserve">to individual payment systems.</w:t>
      </w:r>
      <w:r>
        <w:br/>
      </w:r>
      <w:r>
        <w:t xml:space="preserve">4.c) As option 4.b) but with additional clarifications on procedures for admission of</w:t>
      </w:r>
      <w:r>
        <w:t xml:space="preserve"> </w:t>
      </w:r>
      <w:r>
        <w:t xml:space="preserve">new members to payment systems, including the carrying out of risk assessment</w:t>
      </w:r>
      <w:r>
        <w:t xml:space="preserve"> </w:t>
      </w:r>
      <w:r>
        <w:t xml:space="preserve">This option would go further than option 4b): in addition to changing SFD and PSD2 to make</w:t>
      </w:r>
      <w:r>
        <w:t xml:space="preserve"> </w:t>
      </w:r>
      <w:r>
        <w:t xml:space="preserve">direct access to designated payment systems possible for PIs and EMIs as under option 4b), it</w:t>
      </w:r>
      <w:r>
        <w:t xml:space="preserve"> </w:t>
      </w:r>
      <w:r>
        <w:t xml:space="preserve">would involve laying down rules for the pre-admission process for applicants for</w:t>
      </w:r>
      <w:r>
        <w:t xml:space="preserve"> </w:t>
      </w:r>
      <w:r>
        <w:t xml:space="preserve">participation in payment systems, including for example the risks for which an assessment</w:t>
      </w:r>
      <w:r>
        <w:t xml:space="preserve"> </w:t>
      </w:r>
      <w:r>
        <w:t xml:space="preserve">must take place (operational risk, credit risk, liquidity risk, settlement risk and business risk),</w:t>
      </w:r>
      <w:r>
        <w:t xml:space="preserve"> </w:t>
      </w:r>
      <w:r>
        <w:t xml:space="preserve">while avoiding discrimination and disproportionality between different categories of</w:t>
      </w:r>
      <w:r>
        <w:t xml:space="preserve"> </w:t>
      </w:r>
      <w:r>
        <w:t xml:space="preserve">applicants (credit institutions, PIs and EMIs) and reinforcing the rights of rejected applicants</w:t>
      </w:r>
      <w:r>
        <w:t xml:space="preserve"> </w:t>
      </w:r>
      <w:r>
        <w:t xml:space="preserve">for participation, including an appeals process. The POND principle would still apply to such</w:t>
      </w:r>
      <w:r>
        <w:t xml:space="preserve"> </w:t>
      </w:r>
      <w:r>
        <w:t xml:space="preserve">assessments106. This would require the designation of a competent authority to hear such</w:t>
      </w:r>
      <w:r>
        <w:t xml:space="preserve"> </w:t>
      </w:r>
      <w:r>
        <w:t xml:space="preserve">appeals and, if appropriate, impose penalties on payment systems for breaches. This option</w:t>
      </w:r>
      <w:r>
        <w:t xml:space="preserve"> </w:t>
      </w:r>
      <w:r>
        <w:t xml:space="preserve">would build on and develop further the current requirement in article 35 of PSD2 that the</w:t>
      </w:r>
      <w:r>
        <w:t xml:space="preserve"> </w:t>
      </w:r>
      <w:r>
        <w:t xml:space="preserve">rules on access of PSPs to payment systems must be objective, non-discriminatory and</w:t>
      </w:r>
      <w:r>
        <w:t xml:space="preserve"> </w:t>
      </w:r>
      <w:r>
        <w:t xml:space="preserve">proportionate, and not inhibit access more than is necessary to safeguard against specific</w:t>
      </w:r>
      <w:r>
        <w:t xml:space="preserve"> </w:t>
      </w:r>
      <w:r>
        <w:t xml:space="preserve">risks, and to protect the financial and operational stability of the payment system.</w:t>
      </w:r>
    </w:p>
    <w:p>
      <w:pPr>
        <w:pStyle w:val="BodyText"/>
      </w:pPr>
      <w:r>
        <w:t xml:space="preserve">105 It would do this by clarifying in SFD that PIs and EMIs qualify as “institutions” but only for systems which</w:t>
      </w:r>
      <w:r>
        <w:t xml:space="preserve"> </w:t>
      </w:r>
      <w:r>
        <w:t xml:space="preserve">execute instructions for transfer of money or funds, not those which execute transfers of title to or interest in</w:t>
      </w:r>
      <w:r>
        <w:t xml:space="preserve"> </w:t>
      </w:r>
      <w:r>
        <w:t xml:space="preserve">securities. SFD covers two kinds of systems, payment systems and securities settlement systems. PIs and EMIs</w:t>
      </w:r>
      <w:r>
        <w:t xml:space="preserve"> </w:t>
      </w:r>
      <w:r>
        <w:t xml:space="preserve">have no need of participation in securities settlement systems.</w:t>
      </w:r>
      <w:r>
        <w:t xml:space="preserve"> </w:t>
      </w:r>
      <w:r>
        <w:t xml:space="preserve">106 The POND principle in article 35.1 lays down that the rules of payment systems must be Proportionate,</w:t>
      </w:r>
      <w:r>
        <w:t xml:space="preserve"> </w:t>
      </w:r>
      <w:r>
        <w:t xml:space="preserve">Objective and Non-Discriminatory.</w:t>
      </w:r>
    </w:p>
    <w:p>
      <w:pPr>
        <w:pStyle w:val="BodyText"/>
      </w:pPr>
      <w:r>
        <w:t xml:space="preserve">35</w:t>
      </w:r>
    </w:p>
    <w:p>
      <w:pPr>
        <w:pStyle w:val="Compact"/>
        <w:numPr>
          <w:ilvl w:val="0"/>
          <w:numId w:val="1008"/>
        </w:numPr>
      </w:pPr>
      <w:r>
        <w:t xml:space="preserve">WHAT ARE THE IMPACTS OF THE POLICY OPTIONS AND HOW DO THEY COMPARE?</w:t>
      </w:r>
      <w:r>
        <w:br/>
      </w:r>
      <w:r>
        <w:t xml:space="preserve">.6.1. Strengthen user rights and protection against fraud</w:t>
      </w:r>
      <w:r>
        <w:br/>
      </w:r>
      <w:r>
        <w:t xml:space="preserve">6.1.a) Measures to improve the application of SCA</w:t>
      </w:r>
      <w:r>
        <w:br/>
      </w:r>
      <w:r>
        <w:t xml:space="preserve">Regarding current exclusions from the scope of application of SCA, it would be very</w:t>
      </w:r>
      <w:r>
        <w:t xml:space="preserve"> </w:t>
      </w:r>
      <w:r>
        <w:t xml:space="preserve">effective to include in the legislative initiative a clear definition of MITs and MOTOs and</w:t>
      </w:r>
      <w:r>
        <w:t xml:space="preserve"> </w:t>
      </w:r>
      <w:r>
        <w:t xml:space="preserve">clarification on the treatment of these transactions, as a clear delineation of the scope of</w:t>
      </w:r>
      <w:r>
        <w:t xml:space="preserve"> </w:t>
      </w:r>
      <w:r>
        <w:t xml:space="preserve">application of MITs and MOTOs, resulting in SCA covering a greater number of operations,</w:t>
      </w:r>
      <w:r>
        <w:t xml:space="preserve"> </w:t>
      </w:r>
      <w:r>
        <w:t xml:space="preserve">directly increases the level of consumer protection against fraud. Absent the introduction of a</w:t>
      </w:r>
      <w:r>
        <w:t xml:space="preserve"> </w:t>
      </w:r>
      <w:r>
        <w:t xml:space="preserve">clear regime in the directive, there is a risk that lack of clarity for stakeholders and competent</w:t>
      </w:r>
      <w:r>
        <w:t xml:space="preserve"> </w:t>
      </w:r>
      <w:r>
        <w:t xml:space="preserve">authorities and abusive practices would persist in respect of MITs and MOTOs, with</w:t>
      </w:r>
      <w:r>
        <w:t xml:space="preserve"> </w:t>
      </w:r>
      <w:r>
        <w:t xml:space="preserve">operations being unjustifiably not subjected to SCA. At the same time, payment sector</w:t>
      </w:r>
      <w:r>
        <w:t xml:space="preserve"> </w:t>
      </w:r>
      <w:r>
        <w:t xml:space="preserve">stakeholders, which largely asked for more clarity on the regulatory treatment of these</w:t>
      </w:r>
      <w:r>
        <w:t xml:space="preserve"> </w:t>
      </w:r>
      <w:r>
        <w:t xml:space="preserve">transactions, would have the legal certainty that they needed to apply SCA at the set-up of the</w:t>
      </w:r>
      <w:r>
        <w:t xml:space="preserve"> </w:t>
      </w:r>
      <w:r>
        <w:t xml:space="preserve">mandate, without the need to apply SCA for subsequent merchant initiated payment</w:t>
      </w:r>
      <w:r>
        <w:t xml:space="preserve"> </w:t>
      </w:r>
      <w:r>
        <w:t xml:space="preserve">transactions (MITs), and that only the initiation (not the execution) of payment transactions</w:t>
      </w:r>
      <w:r>
        <w:t xml:space="preserve"> </w:t>
      </w:r>
      <w:r>
        <w:t xml:space="preserve">should be non-digital in order to not be covered by the SCA obligations (MOTOs). There</w:t>
      </w:r>
      <w:r>
        <w:t xml:space="preserve"> </w:t>
      </w:r>
      <w:r>
        <w:t xml:space="preserve">would be no costs to PSPs, as the necessary investments for implementing SCA have been</w:t>
      </w:r>
      <w:r>
        <w:t xml:space="preserve"> </w:t>
      </w:r>
      <w:r>
        <w:t xml:space="preserve">made, and covering certain additional operations by SCA has almost no incremental cost; this</w:t>
      </w:r>
      <w:r>
        <w:t xml:space="preserve"> </w:t>
      </w:r>
      <w:r>
        <w:t xml:space="preserve">measure would therefore be efficient. The Commission has no evidence that the transactions</w:t>
      </w:r>
      <w:r>
        <w:t xml:space="preserve"> </w:t>
      </w:r>
      <w:r>
        <w:t xml:space="preserve">which would be brought back to the SCA scope through these clarifications would cause</w:t>
      </w:r>
      <w:r>
        <w:t xml:space="preserve"> </w:t>
      </w:r>
      <w:r>
        <w:t xml:space="preserve">more frictions into e-commerce (or costs due to lost business, in case of frictions occurred)</w:t>
      </w:r>
      <w:r>
        <w:t xml:space="preserve"> </w:t>
      </w:r>
      <w:r>
        <w:t xml:space="preserve">as, two years after its entry into force, end-2020, SCA seems to be increasingly accepted and</w:t>
      </w:r>
      <w:r>
        <w:t xml:space="preserve"> </w:t>
      </w:r>
      <w:r>
        <w:t xml:space="preserve">understood by the EU population as surveys indicate107. This option would be coherent with</w:t>
      </w:r>
      <w:r>
        <w:t xml:space="preserve"> </w:t>
      </w:r>
      <w:r>
        <w:t xml:space="preserve">existing Commission guidance and Q&amp;A replies of EBA. Option 1a) should therefore be</w:t>
      </w:r>
      <w:r>
        <w:t xml:space="preserve"> </w:t>
      </w:r>
      <w:r>
        <w:t xml:space="preserve">retained.</w:t>
      </w:r>
    </w:p>
    <w:p>
      <w:pPr>
        <w:pStyle w:val="FirstParagraph"/>
      </w:pPr>
      <w:r>
        <w:t xml:space="preserve">6.1.b) Legal basis for PSPs to share information on fraud and obligation to educate</w:t>
      </w:r>
      <w:r>
        <w:t xml:space="preserve"> </w:t>
      </w:r>
      <w:r>
        <w:t xml:space="preserve">customers about fraud</w:t>
      </w:r>
      <w:r>
        <w:t xml:space="preserve"> </w:t>
      </w:r>
      <w:r>
        <w:t xml:space="preserve">Under this option, the voluntary sharing of payment fraud data should become common</w:t>
      </w:r>
      <w:r>
        <w:t xml:space="preserve"> </w:t>
      </w:r>
      <w:r>
        <w:t xml:space="preserve">practice. The key benefits for PSPs would be an increased ability to leverage their collective</w:t>
      </w:r>
      <w:r>
        <w:t xml:space="preserve"> </w:t>
      </w:r>
      <w:r>
        <w:t xml:space="preserve">knowledge and experience to better combat payment fraud and make informed decisions</w:t>
      </w:r>
      <w:r>
        <w:t xml:space="preserve"> </w:t>
      </w:r>
      <w:r>
        <w:t xml:space="preserve">about their capabilities, fraud detection techniques and mitigation strategies. Sharing</w:t>
      </w:r>
      <w:r>
        <w:t xml:space="preserve"> </w:t>
      </w:r>
      <w:r>
        <w:t xml:space="preserve">information about payment fraud, such as suspicious IBANs and fraud trends, would increase</w:t>
      </w:r>
      <w:r>
        <w:t xml:space="preserve"> </w:t>
      </w:r>
      <w:r>
        <w:t xml:space="preserve">awareness and responsiveness, making the financial sector more resilient. By including a</w:t>
      </w:r>
      <w:r>
        <w:t xml:space="preserve"> </w:t>
      </w:r>
      <w:r>
        <w:t xml:space="preserve">legal basis in relation to GDPR this option would also increase legal certainty among PSPs.</w:t>
      </w:r>
      <w:r>
        <w:t xml:space="preserve"> </w:t>
      </w:r>
      <w:r>
        <w:t xml:space="preserve">Respondents to the targeted consultation (mainly from the banking sector) and the Payment</w:t>
      </w:r>
      <w:r>
        <w:t xml:space="preserve"> </w:t>
      </w:r>
      <w:r>
        <w:t xml:space="preserve">Systems Market Expert Group sub-group on consumer protection (see Annex 2) are in favor</w:t>
      </w:r>
      <w:r>
        <w:t xml:space="preserve"> </w:t>
      </w:r>
      <w:r>
        <w:t xml:space="preserve">of including a legal basis that would allow PSPs to share specific information of attempted</w:t>
      </w:r>
    </w:p>
    <w:p>
      <w:pPr>
        <w:pStyle w:val="BodyText"/>
      </w:pPr>
      <w:r>
        <w:t xml:space="preserve">107 For example the Belgian consumer association Test-Achats found, in early 2022, that only 18% of the</w:t>
      </w:r>
      <w:r>
        <w:t xml:space="preserve"> </w:t>
      </w:r>
      <w:r>
        <w:t xml:space="preserve">Belgium sample surveyed found SCA either difficult or very difficult. And 80% agreed with having strong</w:t>
      </w:r>
      <w:r>
        <w:t xml:space="preserve"> </w:t>
      </w:r>
      <w:r>
        <w:t xml:space="preserve">authentication methods.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and realized fraud, which would improve the ability of PSPs to develop tools to further</w:t>
      </w:r>
      <w:r>
        <w:t xml:space="preserve"> </w:t>
      </w:r>
      <w:r>
        <w:t xml:space="preserve">reduce fraud on the domestic and EU level. The costs for PSPs participation in payment fraud</w:t>
      </w:r>
      <w:r>
        <w:t xml:space="preserve"> </w:t>
      </w:r>
      <w:r>
        <w:t xml:space="preserve">sharing schemes vary depending on the type of initiative and may include membership fees,</w:t>
      </w:r>
      <w:r>
        <w:t xml:space="preserve"> </w:t>
      </w:r>
      <w:r>
        <w:t xml:space="preserve">travelling costs, staff deployed, IT costs for the installation and set-up of a payment fraud</w:t>
      </w:r>
      <w:r>
        <w:t xml:space="preserve"> </w:t>
      </w:r>
      <w:r>
        <w:t xml:space="preserve">sharing platform, etc. On average, these costs which are recurring on a multiannual basis</w:t>
      </w:r>
      <w:r>
        <w:t xml:space="preserve"> </w:t>
      </w:r>
      <w:r>
        <w:t xml:space="preserve">range between € 1 000 and 50 000, plus 1 to 3 FTEs108. Under this option, participation for</w:t>
      </w:r>
      <w:r>
        <w:t xml:space="preserve"> </w:t>
      </w:r>
      <w:r>
        <w:t xml:space="preserve">PSPs would be encouraged but still remain voluntary, therefore no additional costs are</w:t>
      </w:r>
      <w:r>
        <w:t xml:space="preserve"> </w:t>
      </w:r>
      <w:r>
        <w:t xml:space="preserve">foreseen as compared to the baseline.</w:t>
      </w:r>
      <w:r>
        <w:t xml:space="preserve"> </w:t>
      </w:r>
      <w:r>
        <w:t xml:space="preserve">Regarding consumer literacy and education about fraud and the risks of certain payment</w:t>
      </w:r>
      <w:r>
        <w:t xml:space="preserve"> </w:t>
      </w:r>
      <w:r>
        <w:t xml:space="preserve">instruments/methods, various respondents to the targeted consultation, including public</w:t>
      </w:r>
      <w:r>
        <w:t xml:space="preserve"> </w:t>
      </w:r>
      <w:r>
        <w:t xml:space="preserve">authorities, but also the EBA in its Advice109, note that awareness campaigns should be</w:t>
      </w:r>
      <w:r>
        <w:t xml:space="preserve"> </w:t>
      </w:r>
      <w:r>
        <w:t xml:space="preserve">undertaken, in combination with other measures that could have a positive effect and further</w:t>
      </w:r>
      <w:r>
        <w:t xml:space="preserve"> </w:t>
      </w:r>
      <w:r>
        <w:t xml:space="preserve">mitigate these types of risks. While awareness programmes will not be a panacea to the risk</w:t>
      </w:r>
      <w:r>
        <w:t xml:space="preserve"> </w:t>
      </w:r>
      <w:r>
        <w:t xml:space="preserve">of social engineering fraud, they will certainly enhance consumer awareness about fraud and</w:t>
      </w:r>
      <w:r>
        <w:t xml:space="preserve"> </w:t>
      </w:r>
      <w:r>
        <w:t xml:space="preserve">the risks of certain payment instruments/methods, at limited cost. In order to achieve this</w:t>
      </w:r>
      <w:r>
        <w:t xml:space="preserve"> </w:t>
      </w:r>
      <w:r>
        <w:t xml:space="preserve">purpose, the option would be to introduce specific requirements in the legislation on</w:t>
      </w:r>
      <w:r>
        <w:t xml:space="preserve"> </w:t>
      </w:r>
      <w:r>
        <w:t xml:space="preserve">educational and awareness programmes for fraud risks (also addressed towards employees of</w:t>
      </w:r>
      <w:r>
        <w:t xml:space="preserve"> </w:t>
      </w:r>
      <w:r>
        <w:t xml:space="preserve">PSPs), as proposed by EBA, leveraging on those set out in EBA Guidelines on ICT and</w:t>
      </w:r>
      <w:r>
        <w:t xml:space="preserve"> </w:t>
      </w:r>
      <w:r>
        <w:t xml:space="preserve">security risk management.110 Similar to the EBA Guidelines on ICT and security risk</w:t>
      </w:r>
      <w:r>
        <w:t xml:space="preserve"> </w:t>
      </w:r>
      <w:r>
        <w:t xml:space="preserve">management, the option would be not to include detailed and prescriptive requirements, as</w:t>
      </w:r>
      <w:r>
        <w:t xml:space="preserve"> </w:t>
      </w:r>
      <w:r>
        <w:t xml:space="preserve">there is the risk that requirements would become obsolete very quickly due to the ever-</w:t>
      </w:r>
      <w:r>
        <w:t xml:space="preserve"> </w:t>
      </w:r>
      <w:r>
        <w:t xml:space="preserve">changing nature of fraud related risks. The limited costs for implementing such programmes,</w:t>
      </w:r>
      <w:r>
        <w:t xml:space="preserve"> </w:t>
      </w:r>
      <w:r>
        <w:t xml:space="preserve">which for the first time will have to be based on specific and harmonised requirements</w:t>
      </w:r>
      <w:r>
        <w:t xml:space="preserve"> </w:t>
      </w:r>
      <w:r>
        <w:t xml:space="preserve">developed by the EBA would be recouped, even with a tiny reduction in fraud, given that</w:t>
      </w:r>
      <w:r>
        <w:t xml:space="preserve"> </w:t>
      </w:r>
      <w:r>
        <w:t xml:space="preserve">total fraud losses have been estimated around €323 million per year and a substantial part of</w:t>
      </w:r>
      <w:r>
        <w:t xml:space="preserve"> </w:t>
      </w:r>
      <w:r>
        <w:t xml:space="preserve">these costs are borne by the industry through refunds, through handling consumer complaints</w:t>
      </w:r>
      <w:r>
        <w:t xml:space="preserve"> </w:t>
      </w:r>
      <w:r>
        <w:t xml:space="preserve">etc.111</w:t>
      </w:r>
      <w:r>
        <w:t xml:space="preserve"> </w:t>
      </w:r>
      <w:r>
        <w:t xml:space="preserve">Option 1b) is therefore retained.</w:t>
      </w:r>
      <w:r>
        <w:t xml:space="preserve"> </w:t>
      </w:r>
      <w:r>
        <w:t xml:space="preserve">6.1.c) Extension of the provision of IBAN/name verification by PSPs from instant payments to</w:t>
      </w:r>
      <w:r>
        <w:t xml:space="preserve"> </w:t>
      </w:r>
      <w:r>
        <w:t xml:space="preserve">all credit transfers</w:t>
      </w:r>
      <w:r>
        <w:br/>
      </w:r>
      <w:r>
        <w:t xml:space="preserve">The costs and benefits of introducing an obligation for PSPs to ensure the availability for</w:t>
      </w:r>
      <w:r>
        <w:t xml:space="preserve"> </w:t>
      </w:r>
      <w:r>
        <w:t xml:space="preserve">payers of an IBAN verification service was thoroughly and recently assessed under the</w:t>
      </w:r>
    </w:p>
    <w:p>
      <w:pPr>
        <w:pStyle w:val="BodyText"/>
      </w:pPr>
      <w:r>
        <w:t xml:space="preserve">108 These figures are taken from the DORA Impact Assessment (p. 44) and present the costs for threat</w:t>
      </w:r>
      <w:r>
        <w:t xml:space="preserve"> </w:t>
      </w:r>
      <w:r>
        <w:t xml:space="preserve">intelligence sharing schemes. Due to the similarity to voluntary threat intelligence sharing schemes, these</w:t>
      </w:r>
      <w:r>
        <w:t xml:space="preserve"> </w:t>
      </w:r>
      <w:r>
        <w:t xml:space="preserve">figures are also considered representative in the context of voluntary payment fraud sharing platforms.</w:t>
      </w:r>
      <w:r>
        <w:t xml:space="preserve"> </w:t>
      </w:r>
      <w:r>
        <w:t xml:space="preserve">109 Ibid.</w:t>
      </w:r>
      <w:r>
        <w:t xml:space="preserve"> </w:t>
      </w:r>
      <w:r>
        <w:t xml:space="preserve">110 The EBA Guidelines on ICT and security risk management (EBA/GL/2019/04), which could serve as a</w:t>
      </w:r>
      <w:r>
        <w:t xml:space="preserve"> </w:t>
      </w:r>
      <w:r>
        <w:t xml:space="preserve">model for the educational and awareness programs for fraud risks.</w:t>
      </w:r>
      <w:r>
        <w:t xml:space="preserve"> </w:t>
      </w:r>
      <w:r>
        <w:t xml:space="preserve">111 The value of losses due to fraud was estimated by the EBA to be 397,593,378 euros in the period between</w:t>
      </w:r>
      <w:r>
        <w:t xml:space="preserve"> </w:t>
      </w:r>
      <w:r>
        <w:t xml:space="preserve">the second semester of 2019 and the second semester of 2020 for credit transfers, cash withdrawals and card</w:t>
      </w:r>
      <w:r>
        <w:t xml:space="preserve"> </w:t>
      </w:r>
      <w:r>
        <w:t xml:space="preserve">payments from the perspective of issuers. See the EBA’s Discussion Paper on the EBA’s preliminary</w:t>
      </w:r>
      <w:r>
        <w:t xml:space="preserve"> </w:t>
      </w:r>
      <w:r>
        <w:t xml:space="preserve">observations on selected payment fraud data under PSD2, as reported by the industry, page 29.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impact assessment accompanying the Commission’s instant payments proposal.112 The</w:t>
      </w:r>
      <w:r>
        <w:t xml:space="preserve"> </w:t>
      </w:r>
      <w:r>
        <w:t xml:space="preserve">expectation underlying the introduction of an IBAN/name check for instant payments in that</w:t>
      </w:r>
      <w:r>
        <w:t xml:space="preserve"> </w:t>
      </w:r>
      <w:r>
        <w:t xml:space="preserve">proposal is that it will reduce the rate of transactions sent to a wrong payee as a result of</w:t>
      </w:r>
      <w:r>
        <w:t xml:space="preserve"> </w:t>
      </w:r>
      <w:r>
        <w:t xml:space="preserve">fraud or errors. Under that proposal, if adopted, IBAN verification will have to be offered by</w:t>
      </w:r>
      <w:r>
        <w:t xml:space="preserve"> </w:t>
      </w:r>
      <w:r>
        <w:t xml:space="preserve">all PSPs providing euro instant payments, which will therefore incur the implementation</w:t>
      </w:r>
      <w:r>
        <w:t xml:space="preserve"> </w:t>
      </w:r>
      <w:r>
        <w:t xml:space="preserve">costs for setting up such a service. Under this option, it is anticipated that the approach</w:t>
      </w:r>
      <w:r>
        <w:t xml:space="preserve"> </w:t>
      </w:r>
      <w:r>
        <w:t xml:space="preserve">developed by EU PSPs for IPs would simply be extended to other transfers, without the</w:t>
      </w:r>
      <w:r>
        <w:t xml:space="preserve"> </w:t>
      </w:r>
      <w:r>
        <w:t xml:space="preserve">development of an entirely new system. Therefore, only PSPs which do not offer euro IPs</w:t>
      </w:r>
      <w:r>
        <w:t xml:space="preserve"> </w:t>
      </w:r>
      <w:r>
        <w:t xml:space="preserve">(for example, those operating exclusively in non-euro area Member States) will incur the full</w:t>
      </w:r>
      <w:r>
        <w:t xml:space="preserve"> </w:t>
      </w:r>
      <w:r>
        <w:t xml:space="preserve">costs of developing such a new service; other PSPs will only incur the relatively minor costs</w:t>
      </w:r>
      <w:r>
        <w:t xml:space="preserve"> </w:t>
      </w:r>
      <w:r>
        <w:t xml:space="preserve">of extending the IBAN verification service to non-instant or non-euro credit transfers.</w:t>
      </w:r>
      <w:r>
        <w:br/>
      </w:r>
      <w:r>
        <w:t xml:space="preserve">As reported in the impact assessment on instant payments, based on the feedback from the</w:t>
      </w:r>
      <w:r>
        <w:t xml:space="preserve"> </w:t>
      </w:r>
      <w:r>
        <w:t xml:space="preserve">Netherlands and UK markets, where such systems exist domestically, it seems that an IBAN-</w:t>
      </w:r>
      <w:r>
        <w:t xml:space="preserve"> </w:t>
      </w:r>
      <w:r>
        <w:t xml:space="preserve">name verification service would be highly effective in preventing errors and reducing certain</w:t>
      </w:r>
      <w:r>
        <w:t xml:space="preserve"> </w:t>
      </w:r>
      <w:r>
        <w:t xml:space="preserve">types of fraud. Regarding the rate of transactions sent to a wrong payee as a result of fraud or</w:t>
      </w:r>
      <w:r>
        <w:t xml:space="preserve"> </w:t>
      </w:r>
      <w:r>
        <w:t xml:space="preserve">errors, according to the provider of the IBAN-name check solution in the Netherlands, there</w:t>
      </w:r>
      <w:r>
        <w:t xml:space="preserve"> </w:t>
      </w:r>
      <w:r>
        <w:t xml:space="preserve">has been an 81% drop in fraud/scams taking the form of invoice fraud, and a 67% drop in</w:t>
      </w:r>
      <w:r>
        <w:t xml:space="preserve"> </w:t>
      </w:r>
      <w:r>
        <w:t xml:space="preserve">misdirected payments due to payer errors since the setup of the IBAN-name check service in</w:t>
      </w:r>
      <w:r>
        <w:t xml:space="preserve"> </w:t>
      </w:r>
      <w:r>
        <w:t xml:space="preserve">2017.113 In the UK114 between Q3 2019 and Q4 2020, on a trend-adjusted basis, for the</w:t>
      </w:r>
      <w:r>
        <w:t xml:space="preserve"> </w:t>
      </w:r>
      <w:r>
        <w:t xml:space="preserve">largest PSPs offering the service to their clients, there has been a 31% drop of number of</w:t>
      </w:r>
      <w:r>
        <w:t xml:space="preserve"> </w:t>
      </w:r>
      <w:r>
        <w:t xml:space="preserve">payments sent to a wrong payee. Given that the extent of APP fraud in 2020 for all SEPA</w:t>
      </w:r>
      <w:r>
        <w:t xml:space="preserve"> </w:t>
      </w:r>
      <w:r>
        <w:t xml:space="preserve">euro credit transfers in the EU is estimated at approximately € 323 million, there is significant</w:t>
      </w:r>
      <w:r>
        <w:t xml:space="preserve"> </w:t>
      </w:r>
      <w:r>
        <w:t xml:space="preserve">scope for reduction of losses incurred by EU citizens and businesses resulting from such</w:t>
      </w:r>
      <w:r>
        <w:t xml:space="preserve"> </w:t>
      </w:r>
      <w:r>
        <w:t xml:space="preserve">solutions. The application of this measure to cross-border transfers (beyond euro instant</w:t>
      </w:r>
      <w:r>
        <w:t xml:space="preserve"> </w:t>
      </w:r>
      <w:r>
        <w:t xml:space="preserve">payments) and non-euro transfers should contribute to mitigating the higher fraud rate for</w:t>
      </w:r>
      <w:r>
        <w:t xml:space="preserve"> </w:t>
      </w:r>
      <w:r>
        <w:t xml:space="preserve">cross-border payments than for domestic payments identified in section 2.1.1, especially as</w:t>
      </w:r>
      <w:r>
        <w:t xml:space="preserve"> </w:t>
      </w:r>
      <w:r>
        <w:t xml:space="preserve">regards invoice fraud.</w:t>
      </w:r>
      <w:r>
        <w:t xml:space="preserve"> </w:t>
      </w:r>
      <w:r>
        <w:t xml:space="preserve">The number of PSPs required to introduce IBAN verification for the first time (i.e. those not</w:t>
      </w:r>
      <w:r>
        <w:t xml:space="preserve"> </w:t>
      </w:r>
      <w:r>
        <w:t xml:space="preserve">yet covered by the proposal on IPs as they do not offer euro IPs) is estimated as 1200-1300</w:t>
      </w:r>
      <w:r>
        <w:t xml:space="preserve"> </w:t>
      </w:r>
      <w:r>
        <w:t xml:space="preserve">PSPs115. For those PSPs, the implementation cost of this element is at the most the same as</w:t>
      </w:r>
      <w:r>
        <w:t xml:space="preserve"> </w:t>
      </w:r>
      <w:r>
        <w:t xml:space="preserve">calculated in the impact assessment accompanying the Commission’s proposal on instant</w:t>
      </w:r>
      <w:r>
        <w:t xml:space="preserve"> </w:t>
      </w:r>
      <w:r>
        <w:t xml:space="preserve">payments116. Estimates of implementation cost in that impact assessment were essentially</w:t>
      </w:r>
      <w:r>
        <w:t xml:space="preserve"> </w:t>
      </w:r>
      <w:r>
        <w:t xml:space="preserve">based on experience in the Netherlands and varied considerably from PSP to PSP. With</w:t>
      </w:r>
      <w:r>
        <w:t xml:space="preserve"> </w:t>
      </w:r>
      <w:r>
        <w:t xml:space="preserve">respect to the solution implemented in the Netherlands, the two main implementation efforts</w:t>
      </w:r>
      <w:r>
        <w:t xml:space="preserve"> </w:t>
      </w:r>
      <w:r>
        <w:t xml:space="preserve">required from PSPs involved (i) integrating an API, allowing for account name verification,</w:t>
      </w:r>
      <w:r>
        <w:t xml:space="preserve"> </w:t>
      </w:r>
      <w:r>
        <w:t xml:space="preserve">into the PSP’s online/mobile banking environment, and (ii) adjusting customer databases to</w:t>
      </w:r>
    </w:p>
    <w:p>
      <w:pPr>
        <w:pStyle w:val="BodyText"/>
      </w:pPr>
      <w:r>
        <w:t xml:space="preserve">112 SWD(2022) 546 final of 26.10.2022.</w:t>
      </w:r>
      <w:r>
        <w:t xml:space="preserve"> </w:t>
      </w:r>
      <w:r>
        <w:t xml:space="preserve">113 SurePay, Factsheet; see also brochure available here: SurePay - Brochure SurePay Confirmation of Payee .</w:t>
      </w:r>
      <w:r>
        <w:br/>
      </w:r>
      <w:r>
        <w:t xml:space="preserve">114 CP21/6 Confirmation of Payee call for views (psr.org.uk)</w:t>
      </w:r>
      <w:r>
        <w:br/>
      </w:r>
      <w:r>
        <w:t xml:space="preserve">115 900-1000 PSPs in the non-euro zone that do not offer euro credit transfers (and therefore do not fall under the</w:t>
      </w:r>
      <w:r>
        <w:t xml:space="preserve"> </w:t>
      </w:r>
      <w:r>
        <w:t xml:space="preserve">obligation to provide IPs in euro under the Commission’s proposal on IPs) and some 300 PSPs which are PIs or</w:t>
      </w:r>
      <w:r>
        <w:t xml:space="preserve"> </w:t>
      </w:r>
      <w:r>
        <w:t xml:space="preserve">EMIs that do offer euro credit transfers, but are proposed to be exempted from the obligation to provide IPs in</w:t>
      </w:r>
      <w:r>
        <w:t xml:space="preserve"> </w:t>
      </w:r>
      <w:r>
        <w:t xml:space="preserve">the Commission’s proposal on IPs.</w:t>
      </w:r>
      <w:r>
        <w:t xml:space="preserve"> </w:t>
      </w:r>
      <w:r>
        <w:t xml:space="preserve">116 SWD(2022) 546 final.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ensure that the algorithm can match the payment data provided by the payer with the</w:t>
      </w:r>
      <w:r>
        <w:t xml:space="preserve"> </w:t>
      </w:r>
      <w:r>
        <w:t xml:space="preserve">customer data of the payee’s PSP. The one-off implementation cost ranged between € 10 000</w:t>
      </w:r>
      <w:r>
        <w:t xml:space="preserve"> </w:t>
      </w:r>
      <w:r>
        <w:t xml:space="preserve">and € 2 million (an outlier figure), which can be explained by the fact that some of the larger</w:t>
      </w:r>
      <w:r>
        <w:t xml:space="preserve"> </w:t>
      </w:r>
      <w:r>
        <w:t xml:space="preserve">PSPs tend to have many more legacy systems that require adjustments, while smaller newer</w:t>
      </w:r>
      <w:r>
        <w:t xml:space="preserve"> </w:t>
      </w:r>
      <w:r>
        <w:t xml:space="preserve">PSPs have newer, more agile technological capabilities and hence lower cost. Recurrent costs</w:t>
      </w:r>
      <w:r>
        <w:t xml:space="preserve"> </w:t>
      </w:r>
      <w:r>
        <w:t xml:space="preserve">in the Netherlands ranged between several thousand euro per year to € 350 000 per year</w:t>
      </w:r>
      <w:r>
        <w:t xml:space="preserve"> </w:t>
      </w:r>
      <w:r>
        <w:t xml:space="preserve">(again, an outlier figure from one major bank), with fees paid to the service provider per</w:t>
      </w:r>
      <w:r>
        <w:t xml:space="preserve"> </w:t>
      </w:r>
      <w:r>
        <w:t xml:space="preserve">check performed constituting the largest part.</w:t>
      </w:r>
      <w:r>
        <w:br/>
      </w:r>
      <w:r>
        <w:t xml:space="preserve">Implementation costs for this measure are anticipated to be lower than those for</w:t>
      </w:r>
      <w:r>
        <w:t xml:space="preserve"> </w:t>
      </w:r>
      <w:r>
        <w:t xml:space="preserve">implementing a similar measure for euro instant payments, since the legislative proposal on</w:t>
      </w:r>
      <w:r>
        <w:t xml:space="preserve"> </w:t>
      </w:r>
      <w:r>
        <w:t xml:space="preserve">IPs will already require EU PSPs to collectively put in place an IBAN verification system for</w:t>
      </w:r>
      <w:r>
        <w:t xml:space="preserve"> </w:t>
      </w:r>
      <w:r>
        <w:t xml:space="preserve">euro IPs, which will also be able to operate without major modifications for non-instant credit</w:t>
      </w:r>
      <w:r>
        <w:t xml:space="preserve"> </w:t>
      </w:r>
      <w:r>
        <w:t xml:space="preserve">transfers in euro. Thus, the cost of collectively agreeing on parameters and rules for a pan-EU</w:t>
      </w:r>
      <w:r>
        <w:t xml:space="preserve"> </w:t>
      </w:r>
      <w:r>
        <w:t xml:space="preserve">system, and other development costs, will not need to be repeated. For non-euro payments,</w:t>
      </w:r>
      <w:r>
        <w:t xml:space="preserve"> </w:t>
      </w:r>
      <w:r>
        <w:t xml:space="preserve">the system selected for euro IPs can be replicated if desired. Thus, the main costs for the</w:t>
      </w:r>
      <w:r>
        <w:t xml:space="preserve"> </w:t>
      </w:r>
      <w:r>
        <w:t xml:space="preserve">affected PSPs would be the implementation of an API to connect to the system, and the</w:t>
      </w:r>
      <w:r>
        <w:t xml:space="preserve"> </w:t>
      </w:r>
      <w:r>
        <w:t xml:space="preserve">modification of customer interfaces to integrate the IBAN/name check feature. These factors</w:t>
      </w:r>
      <w:r>
        <w:t xml:space="preserve"> </w:t>
      </w:r>
      <w:r>
        <w:t xml:space="preserve">point to a total one-off implementation cost near the bottom of the potential range, of the</w:t>
      </w:r>
      <w:r>
        <w:t xml:space="preserve"> </w:t>
      </w:r>
      <w:r>
        <w:t xml:space="preserve">order of €50 million in total (1300 affected PSPs and an average implementation cost per PSP</w:t>
      </w:r>
      <w:r>
        <w:t xml:space="preserve"> </w:t>
      </w:r>
      <w:r>
        <w:t xml:space="preserve">of €40 000).</w:t>
      </w:r>
      <w:r>
        <w:t xml:space="preserve"> </w:t>
      </w:r>
      <w:r>
        <w:t xml:space="preserve">Costs would also be partially offset by operational savings arising from a reduced number of</w:t>
      </w:r>
      <w:r>
        <w:t xml:space="preserve"> </w:t>
      </w:r>
      <w:r>
        <w:t xml:space="preserve">complaints to be processed by PSPs, which are costly to investigate and may even involve</w:t>
      </w:r>
      <w:r>
        <w:t xml:space="preserve"> </w:t>
      </w:r>
      <w:r>
        <w:t xml:space="preserve">goodwill payments (e.g. made by some PSPs to avoid reputational damage). Costs might also</w:t>
      </w:r>
      <w:r>
        <w:t xml:space="preserve"> </w:t>
      </w:r>
      <w:r>
        <w:t xml:space="preserve">potentially be partially recovered from customer fees, but it is considered unlikely that many</w:t>
      </w:r>
      <w:r>
        <w:t xml:space="preserve"> </w:t>
      </w:r>
      <w:r>
        <w:t xml:space="preserve">PSPs would charge for this service, as this would deter usage and obviate the potential fraud</w:t>
      </w:r>
      <w:r>
        <w:t xml:space="preserve"> </w:t>
      </w:r>
      <w:r>
        <w:t xml:space="preserve">reductions (there is no charging for the service in the Netherlands and the UK). Moreover, the</w:t>
      </w:r>
      <w:r>
        <w:t xml:space="preserve"> </w:t>
      </w:r>
      <w:r>
        <w:t xml:space="preserve">experience with the existing solutions (offered to EU PSPs by SurePay or SWIFT, or</w:t>
      </w:r>
      <w:r>
        <w:t xml:space="preserve"> </w:t>
      </w:r>
      <w:r>
        <w:t xml:space="preserve">imposed on PSPs in the UK) demonstrates that such solutions can be designed in full</w:t>
      </w:r>
      <w:r>
        <w:t xml:space="preserve"> </w:t>
      </w:r>
      <w:r>
        <w:t xml:space="preserve">compliance with GDPR. This option would thus be coherent with the EU data protection</w:t>
      </w:r>
      <w:r>
        <w:t xml:space="preserve"> </w:t>
      </w:r>
      <w:r>
        <w:t xml:space="preserve">requirements, as well as with the proposal on instant payments. Option 1c) is therefore</w:t>
      </w:r>
      <w:r>
        <w:t xml:space="preserve"> </w:t>
      </w:r>
      <w:r>
        <w:t xml:space="preserve">retained.</w:t>
      </w:r>
      <w:r>
        <w:t xml:space="preserve"> </w:t>
      </w:r>
      <w:r>
        <w:t xml:space="preserve">6.1.d) Full reversal of liability between PSUs and PSPs for fraudulent authorised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Option 1d) would be in line with the expectation of consumer representatives. Some form of</w:t>
      </w:r>
      <w:r>
        <w:t xml:space="preserve"> </w:t>
      </w:r>
      <w:r>
        <w:t xml:space="preserve">a refund right for the consumer was called for by BEUC in its response to the public</w:t>
      </w:r>
      <w:r>
        <w:t xml:space="preserve"> </w:t>
      </w:r>
      <w:r>
        <w:t xml:space="preserve">consultation. In cases where the payer can provide evidence of being a victim of an APP</w:t>
      </w:r>
      <w:r>
        <w:t xml:space="preserve"> </w:t>
      </w:r>
      <w:r>
        <w:t xml:space="preserve">fraud, the solution would be effective in providing adequate consumer protection, but without</w:t>
      </w:r>
      <w:r>
        <w:t xml:space="preserve"> </w:t>
      </w:r>
      <w:r>
        <w:t xml:space="preserve">evidence, it would be difficult. It is unclear to what extent this option would result in a</w:t>
      </w:r>
      <w:r>
        <w:t xml:space="preserve"> </w:t>
      </w:r>
      <w:r>
        <w:t xml:space="preserve">significant reduction in APP fraud; it might, only serve to reattribute the social cost of fraud</w:t>
      </w:r>
      <w:r>
        <w:t xml:space="preserve"> </w:t>
      </w:r>
      <w:r>
        <w:t xml:space="preserve">without incentivizing payers to avoid taking unnecessary risks (moral hazard). Any reduction</w:t>
      </w:r>
      <w:r>
        <w:t xml:space="preserve"> </w:t>
      </w:r>
      <w:r>
        <w:t xml:space="preserve">of fraud would be dependent on efforts from PSPs. Furthermore, a full refund right for all</w:t>
      </w:r>
      <w:r>
        <w:t xml:space="preserve"> </w:t>
      </w:r>
      <w:r>
        <w:t xml:space="preserve">fraudulent authorized transactions could, in contrast to the principle of irrevocability</w:t>
      </w:r>
      <w:r>
        <w:t xml:space="preserve"> </w:t>
      </w:r>
      <w:r>
        <w:t xml:space="preserve">enshrined in PSD2 (article 80), bring considerable uncertainty to payment systems and the</w:t>
      </w:r>
      <w:r>
        <w:t xml:space="preserve"> </w:t>
      </w:r>
      <w:r>
        <w:t xml:space="preserve">finality of credit transfers. In terms of efficiency, this option would not require any major</w:t>
      </w:r>
      <w:r>
        <w:t xml:space="preserve"> </w:t>
      </w:r>
      <w:r>
        <w:t xml:space="preserve">upfront implementation costs from PSPs. On the other hand, since in such cases the funds are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unlikely to stay on the account of the payee long enough for the funds to be recovered, PSPs</w:t>
      </w:r>
      <w:r>
        <w:t xml:space="preserve"> </w:t>
      </w:r>
      <w:r>
        <w:t xml:space="preserve">would incur ongoing losses, which could represent a substantial share of the estimated APP</w:t>
      </w:r>
      <w:r>
        <w:t xml:space="preserve"> </w:t>
      </w:r>
      <w:r>
        <w:t xml:space="preserve">fraud for all SEPA credit transfers, estimated at € 323 million in 2020. Option 1d) should</w:t>
      </w:r>
      <w:r>
        <w:t xml:space="preserve"> </w:t>
      </w:r>
      <w:r>
        <w:t xml:space="preserve">therefore be rejected as being disproportionate.</w:t>
      </w:r>
      <w:r>
        <w:t xml:space="preserve"> </w:t>
      </w:r>
      <w:r>
        <w:t xml:space="preserve">6.1.e) Conditional reversal of liability between PSUs and PSPs for fraudulent authorised</w:t>
      </w:r>
      <w:r>
        <w:t xml:space="preserve"> </w:t>
      </w:r>
      <w:r>
        <w:t xml:space="preserve">transactions</w:t>
      </w:r>
      <w:r>
        <w:t xml:space="preserve"> </w:t>
      </w:r>
      <w:r>
        <w:t xml:space="preserve">This proposal builds on option 1c, on IBAN verification. The shift of liability for APP fraud</w:t>
      </w:r>
      <w:r>
        <w:t xml:space="preserve"> </w:t>
      </w:r>
      <w:r>
        <w:t xml:space="preserve">to PSPs in cases of failure by PSPs to apply the necessary preventive actions to avoid fraud</w:t>
      </w:r>
      <w:r>
        <w:t xml:space="preserve"> </w:t>
      </w:r>
      <w:r>
        <w:t xml:space="preserve">(i.e., no functioning IBAN/name verification service) would be a strong incentive for PSPs to</w:t>
      </w:r>
      <w:r>
        <w:t xml:space="preserve"> </w:t>
      </w:r>
      <w:r>
        <w:t xml:space="preserve">ensure the good functioning of this particular fraud detection/prevention measure, which, in</w:t>
      </w:r>
      <w:r>
        <w:t xml:space="preserve"> </w:t>
      </w:r>
      <w:r>
        <w:t xml:space="preserve">turn, is expected to have a mitigating effect on authorised payment fraud. This option would</w:t>
      </w:r>
      <w:r>
        <w:t xml:space="preserve"> </w:t>
      </w:r>
      <w:r>
        <w:t xml:space="preserve">also provide incentives for payers to remain vigilant on fraud and to avoid taking unnecessary</w:t>
      </w:r>
      <w:r>
        <w:t xml:space="preserve"> </w:t>
      </w:r>
      <w:r>
        <w:t xml:space="preserve">risks when making payments, as they would still bear APP fraud losses in all other cases</w:t>
      </w:r>
      <w:r>
        <w:t xml:space="preserve"> </w:t>
      </w:r>
      <w:r>
        <w:t xml:space="preserve">where the bank was not negligent. Thus, this option would not require any major upfront</w:t>
      </w:r>
      <w:r>
        <w:t xml:space="preserve"> </w:t>
      </w:r>
      <w:r>
        <w:t xml:space="preserve">implementation costs from PSPs and would reinforce the other chosen anti-fraud options. In</w:t>
      </w:r>
      <w:r>
        <w:t xml:space="preserve"> </w:t>
      </w:r>
      <w:r>
        <w:t xml:space="preserve">cases of impersonation fraud, where the relationship of trust between customers and their</w:t>
      </w:r>
      <w:r>
        <w:t xml:space="preserve"> </w:t>
      </w:r>
      <w:r>
        <w:t xml:space="preserve">bank and the bank’s name are abused by a fraudster, and only when the victim is a consumer</w:t>
      </w:r>
      <w:r>
        <w:t xml:space="preserve"> </w:t>
      </w:r>
      <w:r>
        <w:t xml:space="preserve">(and not a business customer) and has reported the impersonation fraud to the police and to</w:t>
      </w:r>
      <w:r>
        <w:t xml:space="preserve"> </w:t>
      </w:r>
      <w:r>
        <w:t xml:space="preserve">the bank, it is appropriate to grant a refund right to victims of such fraud against their PSPs,</w:t>
      </w:r>
      <w:r>
        <w:t xml:space="preserve"> </w:t>
      </w:r>
      <w:r>
        <w:t xml:space="preserve">except where there is gross negligence or where the consumer is involved in the fraud. The</w:t>
      </w:r>
      <w:r>
        <w:t xml:space="preserve"> </w:t>
      </w:r>
      <w:r>
        <w:t xml:space="preserve">compensation for impersonation fraud granted by four major credit institutions (on a</w:t>
      </w:r>
      <w:r>
        <w:t xml:space="preserve"> </w:t>
      </w:r>
      <w:r>
        <w:t xml:space="preserve">voluntary basis) in the Netherlands amounted to €51 million in 2022, which based on the</w:t>
      </w:r>
      <w:r>
        <w:t xml:space="preserve"> </w:t>
      </w:r>
      <w:r>
        <w:t xml:space="preserve">Netherlands having 4% of the EU population could mean up to €1 billion at EU level. It is a</w:t>
      </w:r>
      <w:r>
        <w:t xml:space="preserve"> </w:t>
      </w:r>
      <w:r>
        <w:t xml:space="preserve">good compromise between consumer organisations which expect full PSP liability for all</w:t>
      </w:r>
      <w:r>
        <w:t xml:space="preserve"> </w:t>
      </w:r>
      <w:r>
        <w:t xml:space="preserve">cases of fraud, whether transactions are authorised or unauthorised, and banks that do not</w:t>
      </w:r>
      <w:r>
        <w:t xml:space="preserve"> </w:t>
      </w:r>
      <w:r>
        <w:t xml:space="preserve">consider it normal to bear any liability for cases where the payer technically and legally</w:t>
      </w:r>
      <w:r>
        <w:t xml:space="preserve"> </w:t>
      </w:r>
      <w:r>
        <w:t xml:space="preserve">authorised a payment transaction.117 Option 1e) is therefore retained.</w:t>
      </w:r>
      <w:r>
        <w:t xml:space="preserve"> </w:t>
      </w:r>
      <w:r>
        <w:t xml:space="preserve">Comparison of options aimed to strengthen user rights and protection against fraud 118</w:t>
      </w:r>
      <w:r>
        <w:t xml:space="preserve"> </w:t>
      </w:r>
      <w:r>
        <w:t xml:space="preserve">Selected options are a) b) c) and e). Option d) is rejected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1.(a) Measures to improve the</w:t>
      </w:r>
      <w:r>
        <w:t xml:space="preserve"> </w:t>
      </w:r>
      <w:r>
        <w:t xml:space="preserve">application of SCA</w:t>
      </w:r>
      <w:r>
        <w:br/>
      </w:r>
      <w:r>
        <w:t xml:space="preserve">+</w:t>
      </w:r>
      <w:r>
        <w:t xml:space="preserve"> </w:t>
      </w:r>
      <w:r>
        <w:t xml:space="preserve">≈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1.(b) Legal basis for PSPs to share</w:t>
      </w:r>
      <w:r>
        <w:t xml:space="preserve"> </w:t>
      </w:r>
      <w:r>
        <w:t xml:space="preserve">information on fraud and obligation</w:t>
      </w:r>
      <w:r>
        <w:t xml:space="preserve"> </w:t>
      </w:r>
      <w:r>
        <w:t xml:space="preserve">to educate customers about fraud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117 See for example: European Banking Federation, EBF response to European Commission Consultation on the</w:t>
      </w:r>
      <w:r>
        <w:t xml:space="preserve"> </w:t>
      </w:r>
      <w:r>
        <w:t xml:space="preserve">review of the revised payment services Directive (PSD2), July 2022</w:t>
      </w:r>
      <w:r>
        <w:t xml:space="preserve"> </w:t>
      </w:r>
      <w:r>
        <w:t xml:space="preserve">118 In this table and other such tables later in this document, the number of + and – signs indicate the scale of the</w:t>
      </w:r>
      <w:r>
        <w:t xml:space="preserve"> </w:t>
      </w:r>
      <w:r>
        <w:t xml:space="preserve">expected effect of a particular option as regards the different assessment criteria. Effectiveness analyses the</w:t>
      </w:r>
      <w:r>
        <w:t xml:space="preserve"> </w:t>
      </w:r>
      <w:r>
        <w:t xml:space="preserve">extent a particular option would contribute to the achievement of the respective (specific) objectives, and is</w:t>
      </w:r>
      <w:r>
        <w:t xml:space="preserve"> </w:t>
      </w:r>
      <w:r>
        <w:t xml:space="preserve">considered to cover the expected benefits (including possible cost reduction). Efficiency (costs) on the other</w:t>
      </w:r>
      <w:r>
        <w:t xml:space="preserve"> </w:t>
      </w:r>
      <w:r>
        <w:t xml:space="preserve">hand focuses purely on the cost side of the option, and as such can never be positive (can be negligible).</w:t>
      </w:r>
      <w:r>
        <w:t xml:space="preserve"> </w:t>
      </w:r>
      <w:r>
        <w:t xml:space="preserve">Coherence analyses the alignment of each option with other EU policy objectives, other policy initiatives</w:t>
      </w:r>
      <w:r>
        <w:t xml:space="preserve"> </w:t>
      </w:r>
      <w:r>
        <w:t xml:space="preserve">and existing instruments. ≈ means marginal or neutral effect.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1.(c).</w:t>
      </w:r>
      <w:r>
        <w:t xml:space="preserve"> </w:t>
      </w:r>
      <w:r>
        <w:t xml:space="preserve">Extension of the provision</w:t>
      </w:r>
      <w:r>
        <w:t xml:space="preserve"> </w:t>
      </w:r>
      <w:r>
        <w:t xml:space="preserve">of IBAN verification by PSPs from</w:t>
      </w:r>
      <w:r>
        <w:t xml:space="preserve"> </w:t>
      </w:r>
      <w:r>
        <w:t xml:space="preserve">Instant Payments to all credit</w:t>
      </w:r>
      <w:r>
        <w:t xml:space="preserve"> </w:t>
      </w:r>
      <w:r>
        <w:t xml:space="preserve">transfers.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1.(d). Full reversal of liability</w:t>
      </w:r>
      <w:r>
        <w:t xml:space="preserve"> </w:t>
      </w:r>
      <w:r>
        <w:t xml:space="preserve">between PSUs and PSPs for</w:t>
      </w:r>
      <w:r>
        <w:t xml:space="preserve"> </w:t>
      </w:r>
      <w:r>
        <w:t xml:space="preserve">fraudulent authorised transactions</w:t>
      </w:r>
      <w:r>
        <w:br/>
      </w:r>
      <w:r>
        <w:t xml:space="preserve">–</w:t>
      </w:r>
      <w:r>
        <w:t xml:space="preserve"> </w:t>
      </w:r>
      <w:r>
        <w:t xml:space="preserve">≈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1.e) Conditional reversal of liability</w:t>
      </w:r>
      <w:r>
        <w:t xml:space="preserve"> </w:t>
      </w:r>
      <w:r>
        <w:t xml:space="preserve">between PSUs and PSPs for</w:t>
      </w:r>
      <w:r>
        <w:t xml:space="preserve"> </w:t>
      </w:r>
      <w:r>
        <w:t xml:space="preserve">fraudulent authorised transactions</w:t>
      </w:r>
      <w:r>
        <w:t xml:space="preserve"> </w:t>
      </w:r>
      <w:r>
        <w:t xml:space="preserve">+</w:t>
      </w:r>
      <w:r>
        <w:t xml:space="preserve"> </w:t>
      </w:r>
      <w:r>
        <w:t xml:space="preserve">≈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6.2. Improve the competitiveness of Open Banking services</w:t>
      </w:r>
      <w:r>
        <w:t xml:space="preserve"> </w:t>
      </w:r>
      <w:r>
        <w:t xml:space="preserve">6.2.a) Requirement for a dedicated data access interface</w:t>
      </w:r>
      <w:r>
        <w:t xml:space="preserve"> </w:t>
      </w:r>
      <w:r>
        <w:t xml:space="preserve">The effectiveness benefits of this option include data being by default shared in a more</w:t>
      </w:r>
      <w:r>
        <w:t xml:space="preserve"> </w:t>
      </w:r>
      <w:r>
        <w:t xml:space="preserve">controlled and secure manner. In terms of security, banks maintain that APIs are a safer</w:t>
      </w:r>
      <w:r>
        <w:t xml:space="preserve"> </w:t>
      </w:r>
      <w:r>
        <w:t xml:space="preserve">method to share data and would prefer TPPs to use APIs only. Through APIs ASPSPs can</w:t>
      </w:r>
      <w:r>
        <w:t xml:space="preserve"> </w:t>
      </w:r>
      <w:r>
        <w:t xml:space="preserve">limit the data made available to TPPs to that which is legally required (only payments data,</w:t>
      </w:r>
      <w:r>
        <w:t xml:space="preserve"> </w:t>
      </w:r>
      <w:r>
        <w:t xml:space="preserve">not for example savings), which they are not able to do if data is obtained by TPPs via the</w:t>
      </w:r>
      <w:r>
        <w:t xml:space="preserve"> </w:t>
      </w:r>
      <w:r>
        <w:t xml:space="preserve">customer facing interface (fallback) due to the other technique applied for gathering the data</w:t>
      </w:r>
      <w:r>
        <w:t xml:space="preserve"> </w:t>
      </w:r>
      <w:r>
        <w:t xml:space="preserve">– screen scraping119. This change would thus support data and consumer protection.</w:t>
      </w:r>
      <w:r>
        <w:br/>
      </w:r>
      <w:r>
        <w:t xml:space="preserve">Regarding efficiency, this option would require capital investments from those ASPSPs that</w:t>
      </w:r>
      <w:r>
        <w:t xml:space="preserve"> </w:t>
      </w:r>
      <w:r>
        <w:t xml:space="preserve">have yet to build such a dedicated interface. According to the VVA/CEPS study the</w:t>
      </w:r>
      <w:r>
        <w:t xml:space="preserve"> </w:t>
      </w:r>
      <w:r>
        <w:t xml:space="preserve">development of the now-available PSD2 APIs cost on average about €2 mln per entity120, but</w:t>
      </w:r>
      <w:r>
        <w:t xml:space="preserve"> </w:t>
      </w:r>
      <w:r>
        <w:t xml:space="preserve">this cost may be lower now, because since PSD2 came into force many providers of “off the</w:t>
      </w:r>
      <w:r>
        <w:t xml:space="preserve"> </w:t>
      </w:r>
      <w:r>
        <w:t xml:space="preserve">shelf” OB APIs entered the market, so ASPSPs unable to develop a dedicated OB interface in</w:t>
      </w:r>
      <w:r>
        <w:t xml:space="preserve"> </w:t>
      </w:r>
      <w:r>
        <w:t xml:space="preserve">house can acquire this expertise externally at competitive prices121, keeping in mind that the</w:t>
      </w:r>
      <w:r>
        <w:t xml:space="preserve"> </w:t>
      </w:r>
      <w:r>
        <w:t xml:space="preserve">IT infrastructures of banks can be more intricate than that of other types of service providers.</w:t>
      </w:r>
      <w:r>
        <w:t xml:space="preserve"> </w:t>
      </w:r>
      <w:r>
        <w:t xml:space="preserve">Most ASPSPs across the EU have in fact already built dedicated OB APIs122 (and sometimes</w:t>
      </w:r>
    </w:p>
    <w:p>
      <w:pPr>
        <w:pStyle w:val="BodyText"/>
      </w:pPr>
      <w:r>
        <w:t xml:space="preserve">119“Screen scraping is a technology by which a customer provides its banking app login credentials to a TPP.</w:t>
      </w:r>
      <w:r>
        <w:t xml:space="preserve"> </w:t>
      </w:r>
      <w:r>
        <w:t xml:space="preserve">The TPP then sends a software robot to the bank’s app or website to log-in on behalf of the customer and</w:t>
      </w:r>
      <w:r>
        <w:t xml:space="preserve"> </w:t>
      </w:r>
      <w:r>
        <w:t xml:space="preserve">retrieve data and/or initiative a payment. Banks have less control over the data retrieved, which may go beyond</w:t>
      </w:r>
      <w:r>
        <w:t xml:space="preserve"> </w:t>
      </w:r>
      <w:r>
        <w:t xml:space="preserve">account data regulated under PSD2 and may include any customer data available. While with an API, banks</w:t>
      </w:r>
      <w:r>
        <w:t xml:space="preserve"> </w:t>
      </w:r>
      <w:r>
        <w:t xml:space="preserve">have greater control to share only the necessary data for the TTP’s service and customers do not need to share</w:t>
      </w:r>
      <w:r>
        <w:t xml:space="preserve"> </w:t>
      </w:r>
      <w:r>
        <w:t xml:space="preserve">any credentials with TPPs.”( Screen scraping: a balancing act for banks | Capgemini) - TPPs are obliged to only</w:t>
      </w:r>
      <w:r>
        <w:t xml:space="preserve"> </w:t>
      </w:r>
      <w:r>
        <w:t xml:space="preserve">process the data they have a right to process (Article 5 (1) (b) GDPR). Any superfluous data must be discarded.</w:t>
      </w:r>
      <w:r>
        <w:t xml:space="preserve"> </w:t>
      </w:r>
      <w:r>
        <w:t xml:space="preserve">120 The Study estimates total costs at 2.2 bn EUR for a total of 1125 organisational entities (133 banking groups</w:t>
      </w:r>
      <w:r>
        <w:t xml:space="preserve"> </w:t>
      </w:r>
      <w:r>
        <w:t xml:space="preserve">and networks, as well as 992 smaller and medium credit institutions). This number differs from the EBA credit</w:t>
      </w:r>
      <w:r>
        <w:t xml:space="preserve"> </w:t>
      </w:r>
      <w:r>
        <w:t xml:space="preserve">institutions register (4000 institutions for the EU, incl. non-EEA branches), which is due to the EBA credit</w:t>
      </w:r>
      <w:r>
        <w:t xml:space="preserve"> </w:t>
      </w:r>
      <w:r>
        <w:t xml:space="preserve">register providing separate rows per subsidiary (not identifying groups as the VVA has done in their</w:t>
      </w:r>
      <w:r>
        <w:t xml:space="preserve"> </w:t>
      </w:r>
      <w:r>
        <w:t xml:space="preserve">methodology). VVA controlled for subsidiaries from the same banking groups to avoid double-counting, under</w:t>
      </w:r>
      <w:r>
        <w:t xml:space="preserve"> </w:t>
      </w:r>
      <w:r>
        <w:t xml:space="preserve">the assumption that subsidiaries also use the APIs from the larger banking group they belong too.</w:t>
      </w:r>
      <w:r>
        <w:t xml:space="preserve"> </w:t>
      </w:r>
      <w:r>
        <w:t xml:space="preserve">121 According to a dedicated industry methodology, initial development of an API may cost as little as EUR</w:t>
      </w:r>
      <w:r>
        <w:t xml:space="preserve"> </w:t>
      </w:r>
      <w:r>
        <w:t xml:space="preserve">25,000 (see Charboneau, T., Calculating the Total Cost of Running an API Product, in API as a Product, Tips</w:t>
      </w:r>
      <w:r>
        <w:t xml:space="preserve"> </w:t>
      </w:r>
      <w:r>
        <w:t xml:space="preserve">for Running and API-centric SaaS Business, Nordic APIs, 2021-2022).</w:t>
      </w:r>
      <w:r>
        <w:t xml:space="preserve"> </w:t>
      </w:r>
      <w:r>
        <w:t xml:space="preserve">122 ESBG Feedback on PSD2 API Usage, 19 January 2023: All of the members that responded to the</w:t>
      </w:r>
      <w:r>
        <w:t xml:space="preserve"> </w:t>
      </w:r>
      <w:r>
        <w:t xml:space="preserve">consultation have built dedicated PSD2 APIs (584 ASPSPs in 13 EEA countries - BE, DE, DK, EE, ES, FI, FR,</w:t>
      </w:r>
      <w:r>
        <w:t xml:space="preserve"> </w:t>
      </w:r>
      <w:r>
        <w:t xml:space="preserve">LT, LU, LV, NL, NO, SE); EACB PSD2 API implementation, 20 January 2023: 1921 credit institutions from 8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other value-added revenue-generating APIs), which would mean that, on an aggregated EU</w:t>
      </w:r>
      <w:r>
        <w:t xml:space="preserve"> </w:t>
      </w:r>
      <w:r>
        <w:t xml:space="preserve">basis, the additional cost of this change would be limited. The total net one-off cost of this</w:t>
      </w:r>
      <w:r>
        <w:t xml:space="preserve"> </w:t>
      </w:r>
      <w:r>
        <w:t xml:space="preserve">option for ASPSPs is estimated at €32 million123.</w:t>
      </w:r>
      <w:r>
        <w:t xml:space="preserve"> </w:t>
      </w:r>
      <w:r>
        <w:t xml:space="preserve">There should be no need for TPPs to make any new investment since TPPs are already</w:t>
      </w:r>
      <w:r>
        <w:t xml:space="preserve"> </w:t>
      </w:r>
      <w:r>
        <w:t xml:space="preserve">supposed to use the dedicated OB interface, if available, and not use the fallback124. Most</w:t>
      </w:r>
      <w:r>
        <w:t xml:space="preserve"> </w:t>
      </w:r>
      <w:r>
        <w:t xml:space="preserve">TPPs, especially those that were established post-PSD2 in any case prefer APIs over fallback</w:t>
      </w:r>
      <w:r>
        <w:t xml:space="preserve"> </w:t>
      </w:r>
      <w:r>
        <w:t xml:space="preserve">interfaces. Some older TPPs (ETTPA members) have some reservations about removing</w:t>
      </w:r>
      <w:r>
        <w:t xml:space="preserve"> </w:t>
      </w:r>
      <w:r>
        <w:t xml:space="preserve">fallback access, but also favour data access via APIs, provided that these are compliant and</w:t>
      </w:r>
      <w:r>
        <w:t xml:space="preserve"> </w:t>
      </w:r>
      <w:r>
        <w:t xml:space="preserve">functioning.</w:t>
      </w:r>
      <w:r>
        <w:br/>
      </w:r>
      <w:r>
        <w:t xml:space="preserve">In terms of transaction cost, TPPs maintain that gathering data via an API call is normally</w:t>
      </w:r>
      <w:r>
        <w:t xml:space="preserve"> </w:t>
      </w:r>
      <w:r>
        <w:t xml:space="preserve">cheaper (and five times quicker) than it is via a fallback interface, and also that the recurring</w:t>
      </w:r>
      <w:r>
        <w:t xml:space="preserve"> </w:t>
      </w:r>
      <w:r>
        <w:t xml:space="preserve">cost of maintaining a connection to the fallback (maintenance) is 6 to 12 times higher than</w:t>
      </w:r>
      <w:r>
        <w:t xml:space="preserve"> </w:t>
      </w:r>
      <w:r>
        <w:t xml:space="preserve">maintaining a PSD2 API connection125. Maintaining a connection to the fallback means</w:t>
      </w:r>
      <w:r>
        <w:t xml:space="preserve"> </w:t>
      </w:r>
      <w:r>
        <w:t xml:space="preserve">continuous manual intervention and updating as the customer interface can be adjusted in</w:t>
      </w:r>
      <w:r>
        <w:t xml:space="preserve"> </w:t>
      </w:r>
      <w:r>
        <w:t xml:space="preserve">small ways, but frequently and unannounced (unlike changes to the dedicated interface which</w:t>
      </w:r>
      <w:r>
        <w:t xml:space="preserve"> </w:t>
      </w:r>
      <w:r>
        <w:t xml:space="preserve">have to be announced in advance126). A large majority of TPPs, including those currently</w:t>
      </w:r>
      <w:r>
        <w:t xml:space="preserve"> </w:t>
      </w:r>
      <w:r>
        <w:t xml:space="preserve">using fallback interfaces, would prefer Open Banking via APIs. TPPs would save resources</w:t>
      </w:r>
      <w:r>
        <w:t xml:space="preserve"> </w:t>
      </w:r>
      <w:r>
        <w:t xml:space="preserve">on the maintenance of the connections to fallback interfaces due to the mandatory</w:t>
      </w:r>
      <w:r>
        <w:t xml:space="preserve"> </w:t>
      </w:r>
      <w:r>
        <w:t xml:space="preserve">implementation and use of APIs. The VVA/CEPS study concluded the maintenance of API-</w:t>
      </w:r>
      <w:r>
        <w:t xml:space="preserve"> </w:t>
      </w:r>
      <w:r>
        <w:t xml:space="preserve">based products costs TPPs about €53 mln a year127. If we assume that interface connectivity</w:t>
      </w:r>
      <w:r>
        <w:t xml:space="preserve"> </w:t>
      </w:r>
      <w:r>
        <w:t xml:space="preserve">is about 20% of this amount (€10.6 mln) then the costs for maintaining the fallback</w:t>
      </w:r>
      <w:r>
        <w:t xml:space="preserve"> </w:t>
      </w:r>
      <w:r>
        <w:t xml:space="preserve">connection could be between approximately €63.6 mln and €127.2 mln annually. These costs</w:t>
      </w:r>
      <w:r>
        <w:t xml:space="preserve"> </w:t>
      </w:r>
      <w:r>
        <w:t xml:space="preserve">would be saved/reduced under this option.</w:t>
      </w:r>
      <w:r>
        <w:br/>
      </w:r>
      <w:r>
        <w:t xml:space="preserve">Mandating the implementation of dedicated interfaces has support from most stakeholders,</w:t>
      </w:r>
      <w:r>
        <w:t xml:space="preserve"> </w:t>
      </w:r>
      <w:r>
        <w:t xml:space="preserve">from different sides. The removal of the fallback interface has much support from different</w:t>
      </w:r>
      <w:r>
        <w:t xml:space="preserve"> </w:t>
      </w:r>
      <w:r>
        <w:t xml:space="preserve">stakeholders, including banks, NCAs, the EBA, and many TPPs too (although there are some</w:t>
      </w:r>
      <w:r>
        <w:t xml:space="preserve"> </w:t>
      </w:r>
      <w:r>
        <w:t xml:space="preserve">TPPs that would like to keep the fallback as a contingency mechanism). Furthermore, the</w:t>
      </w:r>
      <w:r>
        <w:t xml:space="preserve"> </w:t>
      </w:r>
      <w:r>
        <w:t xml:space="preserve">mandatory use of the PSD2 APIs would lessen the extra traffic on ASPSPs’ customer</w:t>
      </w:r>
      <w:r>
        <w:t xml:space="preserve"> </w:t>
      </w:r>
      <w:r>
        <w:t xml:space="preserve">interfaces from TPPs also using the customer-facing interface (besides the ASPSP’s own</w:t>
      </w:r>
    </w:p>
    <w:p>
      <w:pPr>
        <w:pStyle w:val="BodyText"/>
      </w:pPr>
      <w:r>
        <w:t xml:space="preserve">Members States, all implemented a dedicated PSD2 interface; EBF feedback 23 January 2023: PSD2 APIs EBF</w:t>
      </w:r>
      <w:r>
        <w:t xml:space="preserve"> </w:t>
      </w:r>
      <w:r>
        <w:t xml:space="preserve">consolidation of Members’ feedback: approximately &gt;90% of members have dedicated PSD2 APIs (EBF has 33</w:t>
      </w:r>
      <w:r>
        <w:t xml:space="preserve"> </w:t>
      </w:r>
      <w:r>
        <w:t xml:space="preserve">members representing 3500 banks); There is some overlap in banks that are members of more than one member</w:t>
      </w:r>
      <w:r>
        <w:t xml:space="preserve"> </w:t>
      </w:r>
      <w:r>
        <w:t xml:space="preserve">organisation, e.g. there are banks that are both member of EBF and of EACB.</w:t>
      </w:r>
      <w:r>
        <w:br/>
      </w:r>
      <w:r>
        <w:t xml:space="preserve">123 Approximately 5% of ASPSPs (4000) do not have an API now, and the average cost of €2 million, giving</w:t>
      </w:r>
      <w:r>
        <w:t xml:space="preserve"> </w:t>
      </w:r>
      <w:r>
        <w:t xml:space="preserve">€40ml total cost, reduced by the removed cost of needing to maintain a fallback interface.</w:t>
      </w:r>
      <w:r>
        <w:t xml:space="preserve"> </w:t>
      </w:r>
      <w:r>
        <w:t xml:space="preserve">124 The fallback interface is the contingency mechanism that the ASPSP is currently expected to provide “for the</w:t>
      </w:r>
      <w:r>
        <w:t xml:space="preserve"> </w:t>
      </w:r>
      <w:r>
        <w:t xml:space="preserve">event that the interface does not perform in compliance with Article 32, that there is unplanned unavailability of</w:t>
      </w:r>
      <w:r>
        <w:t xml:space="preserve"> </w:t>
      </w:r>
      <w:r>
        <w:t xml:space="preserve">the interface and that there is a systems breakdown” – RTS art. 33(1).</w:t>
      </w:r>
      <w:r>
        <w:t xml:space="preserve"> </w:t>
      </w:r>
      <w:r>
        <w:t xml:space="preserve">125 Input from ETTPA. See also Nordigen (AISP registered in Latvia), 6 October 2021, Vitor Urbano – link: 5</w:t>
      </w:r>
      <w:r>
        <w:t xml:space="preserve"> </w:t>
      </w:r>
      <w:r>
        <w:t xml:space="preserve">reasons why you should say NO to screen scraping (nordigen.com).</w:t>
      </w:r>
      <w:r>
        <w:t xml:space="preserve"> </w:t>
      </w:r>
      <w:r>
        <w:t xml:space="preserve">126 RTS on SCA and CSC, art. 30(4): […] any change to the technical specification of their interface is made</w:t>
      </w:r>
      <w:r>
        <w:t xml:space="preserve"> </w:t>
      </w:r>
      <w:r>
        <w:t xml:space="preserve">available to authorised [TPPs], in advance as soon as possible and not less than 3 months before the change is</w:t>
      </w:r>
      <w:r>
        <w:t xml:space="preserve"> </w:t>
      </w:r>
      <w:r>
        <w:t xml:space="preserve">implemented.</w:t>
      </w:r>
      <w:r>
        <w:t xml:space="preserve"> </w:t>
      </w:r>
      <w:r>
        <w:t xml:space="preserve">127 Annex 10 of VVA study.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customers, see Chapter 2.1.2), lowering the costs for maintaining that interface as well, as</w:t>
      </w:r>
      <w:r>
        <w:t xml:space="preserve"> </w:t>
      </w:r>
      <w:r>
        <w:t xml:space="preserve">scraping bots (also used outside of Open Banking) make up about a quarter of internet traffic</w:t>
      </w:r>
      <w:r>
        <w:t xml:space="preserve"> </w:t>
      </w:r>
      <w:r>
        <w:t xml:space="preserve">on such interfaces128.</w:t>
      </w:r>
      <w:r>
        <w:br/>
      </w:r>
      <w:r>
        <w:t xml:space="preserve">This option also takes into account proportionality as niche ASPSPs (defined with criteria to</w:t>
      </w:r>
      <w:r>
        <w:t xml:space="preserve"> </w:t>
      </w:r>
      <w:r>
        <w:t xml:space="preserve">be developed by the EBA) could obtain a derogation either not to develop an API (and thus</w:t>
      </w:r>
      <w:r>
        <w:t xml:space="preserve"> </w:t>
      </w:r>
      <w:r>
        <w:t xml:space="preserve">only have their modified customer on-line banking interface and the obligation to provide an</w:t>
      </w:r>
      <w:r>
        <w:t xml:space="preserve"> </w:t>
      </w:r>
      <w:r>
        <w:t xml:space="preserve">Open Banking permissions dashboard) or not to have any OB interface at all since it would</w:t>
      </w:r>
      <w:r>
        <w:t xml:space="preserve"> </w:t>
      </w:r>
      <w:r>
        <w:t xml:space="preserve">be irrelevant to them as they are not (very) attractive for Open Banking TPPs. It is coherent</w:t>
      </w:r>
      <w:r>
        <w:t xml:space="preserve"> </w:t>
      </w:r>
      <w:r>
        <w:t xml:space="preserve">with the choice for a dedicated interface in the initiative on Open Finance. Option 2a) is</w:t>
      </w:r>
      <w:r>
        <w:t xml:space="preserve"> </w:t>
      </w:r>
      <w:r>
        <w:t xml:space="preserve">therefore selected.</w:t>
      </w:r>
      <w:r>
        <w:t xml:space="preserve"> </w:t>
      </w:r>
      <w:r>
        <w:t xml:space="preserve">6.2.b) Permission dashboards</w:t>
      </w:r>
      <w:r>
        <w:t xml:space="preserve"> </w:t>
      </w:r>
      <w:r>
        <w:t xml:space="preserve">Permissions dashboards would respond to concerns of consumers about their data under Open</w:t>
      </w:r>
      <w:r>
        <w:t xml:space="preserve"> </w:t>
      </w:r>
      <w:r>
        <w:t xml:space="preserve">Banking, allowing them to manage their data permissions in a convenient way. TPPs would</w:t>
      </w:r>
      <w:r>
        <w:t xml:space="preserve"> </w:t>
      </w:r>
      <w:r>
        <w:t xml:space="preserve">not be allowed to discourage their clients from using TPP services by, for example, insisting</w:t>
      </w:r>
      <w:r>
        <w:t xml:space="preserve"> </w:t>
      </w:r>
      <w:r>
        <w:t xml:space="preserve">on the easiness of permission withdrawal via the dashboard. The annual costs of operating an</w:t>
      </w:r>
      <w:r>
        <w:t xml:space="preserve"> </w:t>
      </w:r>
      <w:r>
        <w:t xml:space="preserve">Open Banking permission dashboard, a change supported by all stakeholders, are relatively</w:t>
      </w:r>
      <w:r>
        <w:t xml:space="preserve"> </w:t>
      </w:r>
      <w:r>
        <w:t xml:space="preserve">low – consent management providers offer quotations between €3 000 and €12 000</w:t>
      </w:r>
      <w:r>
        <w:t xml:space="preserve"> </w:t>
      </w:r>
      <w:r>
        <w:t xml:space="preserve">annually)129. There are 4000 credit institutions in the EU130, which would bring the annual</w:t>
      </w:r>
      <w:r>
        <w:t xml:space="preserve"> </w:t>
      </w:r>
      <w:r>
        <w:t xml:space="preserve">cost of operating/maintaining these dashboards to a range between €12 mln to €48 mln. The</w:t>
      </w:r>
      <w:r>
        <w:t xml:space="preserve"> </w:t>
      </w:r>
      <w:r>
        <w:t xml:space="preserve">implementation of a permissions dashboard is supported by all stakeholders, including</w:t>
      </w:r>
      <w:r>
        <w:t xml:space="preserve"> </w:t>
      </w:r>
      <w:r>
        <w:t xml:space="preserve">consumer associations. This option is coherent with the requirement for similar dashboards in</w:t>
      </w:r>
      <w:r>
        <w:t xml:space="preserve"> </w:t>
      </w:r>
      <w:r>
        <w:t xml:space="preserve">the Open Finance initiative and is strongly coherent with GDPR. Option 2b) is therefore</w:t>
      </w:r>
      <w:r>
        <w:t xml:space="preserve"> </w:t>
      </w:r>
      <w:r>
        <w:t xml:space="preserve">selected.</w:t>
      </w:r>
      <w:r>
        <w:t xml:space="preserve"> </w:t>
      </w:r>
      <w:r>
        <w:t xml:space="preserve">6.2.c) Impose a single, harmonised, API standard for TPP access to account data</w:t>
      </w:r>
      <w:r>
        <w:t xml:space="preserve"> </w:t>
      </w:r>
      <w:r>
        <w:t xml:space="preserve">Option 2c, which would naturally be combined with option 2a, could be highly effective by</w:t>
      </w:r>
      <w:r>
        <w:t xml:space="preserve"> </w:t>
      </w:r>
      <w:r>
        <w:t xml:space="preserve">facilitating data exchange and reducing errors and failures of API calls. It would make it</w:t>
      </w:r>
    </w:p>
    <w:p>
      <w:pPr>
        <w:pStyle w:val="BodyText"/>
      </w:pPr>
      <w:r>
        <w:t xml:space="preserve">128 Han-Wei Liu: Two Decades of Laws and Practice Around Screen Scraping in the Common Law World and</w:t>
      </w:r>
      <w:r>
        <w:t xml:space="preserve"> </w:t>
      </w:r>
      <w:r>
        <w:t xml:space="preserve">Its Open Banking Watershed Moment, 30(1) Washington International Law Journal, 2020: “Given their</w:t>
      </w:r>
      <w:r>
        <w:t xml:space="preserve"> </w:t>
      </w:r>
      <w:r>
        <w:t xml:space="preserve">everyday use for a wide range of commercial and non-commercial purposes, scraping bots are estimated to</w:t>
      </w:r>
      <w:r>
        <w:t xml:space="preserve"> </w:t>
      </w:r>
      <w:r>
        <w:t xml:space="preserve">account for nearly a quarter of all internet traffic.”. Also, statistics on Open Banking API calls from the UK</w:t>
      </w:r>
      <w:r>
        <w:t xml:space="preserve"> </w:t>
      </w:r>
      <w:r>
        <w:t xml:space="preserve">versus the number of visits to the respective banks websites shows that TPPs make many more API calls than</w:t>
      </w:r>
      <w:r>
        <w:t xml:space="preserve"> </w:t>
      </w:r>
      <w:r>
        <w:t xml:space="preserve">that people visit the ASPSP’s website (OBIE API data: API performance stats - Open Banking and website</w:t>
      </w:r>
      <w:r>
        <w:t xml:space="preserve"> </w:t>
      </w:r>
      <w:r>
        <w:t xml:space="preserve">traffic: Free Website Traffic Checker &amp; Analyzer | Website Rankings (semrush.com). There is no centralised</w:t>
      </w:r>
      <w:r>
        <w:t xml:space="preserve"> </w:t>
      </w:r>
      <w:r>
        <w:t xml:space="preserve">data available on API calls for ASPSPs or TPPs in the EU.</w:t>
      </w:r>
      <w:r>
        <w:t xml:space="preserve"> </w:t>
      </w:r>
      <w:r>
        <w:t xml:space="preserve">129 A possible indicator for the costs of the consent dashboard may be found in the consent mechanism required</w:t>
      </w:r>
      <w:r>
        <w:t xml:space="preserve"> </w:t>
      </w:r>
      <w:r>
        <w:t xml:space="preserve">by the electronic Privacy Directive (Directive 2009/136/EC – the ‘cookie law’), which was evaluated by an</w:t>
      </w:r>
      <w:r>
        <w:t xml:space="preserve"> </w:t>
      </w:r>
      <w:r>
        <w:t xml:space="preserve">external contractor in 2017 [LINK]: The figure of 900 Euro of compliance costs needs to be understood as an</w:t>
      </w:r>
      <w:r>
        <w:t xml:space="preserve"> </w:t>
      </w:r>
      <w:r>
        <w:t xml:space="preserve">average value across all size classes of businesses, across all industries, and across all Member States.</w:t>
      </w:r>
      <w:r>
        <w:t xml:space="preserve"> </w:t>
      </w:r>
      <w:r>
        <w:t xml:space="preserve">Although the estimate reported in the Deloitte study is very rough, it is considered “realistic” by stakeholders.</w:t>
      </w:r>
      <w:r>
        <w:t xml:space="preserve"> </w:t>
      </w:r>
      <w:r>
        <w:t xml:space="preserve">Commercial providers’ publicly available consent dashboards offer quotations range from anywhere between</w:t>
      </w:r>
      <w:r>
        <w:t xml:space="preserve"> </w:t>
      </w:r>
      <w:r>
        <w:t xml:space="preserve">€250 and €1000 a month (3000-12.000 EUR per year) [https://www.dataguard.de/blog/consent-manager].</w:t>
      </w:r>
      <w:r>
        <w:t xml:space="preserve"> </w:t>
      </w:r>
      <w:r>
        <w:t xml:space="preserve">130 EBA Credit Institutions Register (January 2023), EU credit institutions (subsidiaries counted separately) and</w:t>
      </w:r>
      <w:r>
        <w:t xml:space="preserve"> </w:t>
      </w:r>
      <w:r>
        <w:t xml:space="preserve">non-EEA branches.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easier for future new TPPs to connect (i.e. lower market barriers due to standardisation). It</w:t>
      </w:r>
      <w:r>
        <w:t xml:space="preserve"> </w:t>
      </w:r>
      <w:r>
        <w:t xml:space="preserve">would also require fewer regulatory resources to assess PSD2 compliance in the future. It is</w:t>
      </w:r>
      <w:r>
        <w:t xml:space="preserve"> </w:t>
      </w:r>
      <w:r>
        <w:t xml:space="preserve">the choice made in the UK in its implementation of Open Banking. This option is backed</w:t>
      </w:r>
      <w:r>
        <w:t xml:space="preserve"> </w:t>
      </w:r>
      <w:r>
        <w:t xml:space="preserve">mostly by NCAs, EBA and some non-EU-based stakeholders, whereas most EU-based</w:t>
      </w:r>
      <w:r>
        <w:t xml:space="preserve"> </w:t>
      </w:r>
      <w:r>
        <w:t xml:space="preserve">ASPSPs and TPPs oppose this option, considering it to have high costs (but which they do</w:t>
      </w:r>
      <w:r>
        <w:t xml:space="preserve"> </w:t>
      </w:r>
      <w:r>
        <w:t xml:space="preserve">not calculate precisely). It therefore scores relatively highly on effectiveness and coherence.</w:t>
      </w:r>
      <w:r>
        <w:t xml:space="preserve"> </w:t>
      </w:r>
      <w:r>
        <w:t xml:space="preserve">Regarding efficiency however, it must be noted that banks and other ASPSPs have already</w:t>
      </w:r>
      <w:r>
        <w:t xml:space="preserve"> </w:t>
      </w:r>
      <w:r>
        <w:t xml:space="preserve">made very significant investments to put in place their current APIs131. Some are following</w:t>
      </w:r>
      <w:r>
        <w:t xml:space="preserve"> </w:t>
      </w:r>
      <w:r>
        <w:t xml:space="preserve">one of the different market standards, which still allow for variation, and others are not</w:t>
      </w:r>
      <w:r>
        <w:t xml:space="preserve"> </w:t>
      </w:r>
      <w:r>
        <w:t xml:space="preserve">following any market standard. This has led to variations among APIs. Imposing one single</w:t>
      </w:r>
      <w:r>
        <w:t xml:space="preserve"> </w:t>
      </w:r>
      <w:r>
        <w:t xml:space="preserve">standard would involve choosing one of the existing standards or mandating market</w:t>
      </w:r>
      <w:r>
        <w:t xml:space="preserve"> </w:t>
      </w:r>
      <w:r>
        <w:t xml:space="preserve">participants to develop a new one. If an existing standard were to be chosen, ASPSPs which</w:t>
      </w:r>
      <w:r>
        <w:t xml:space="preserve"> </w:t>
      </w:r>
      <w:r>
        <w:t xml:space="preserve">currently follow that standard would not incur any adaptation cost, while those ASPSPs</w:t>
      </w:r>
      <w:r>
        <w:t xml:space="preserve"> </w:t>
      </w:r>
      <w:r>
        <w:t xml:space="preserve">which, in good faith and without breaching PSD2, have not followed the selected standard</w:t>
      </w:r>
      <w:r>
        <w:t xml:space="preserve"> </w:t>
      </w:r>
      <w:r>
        <w:t xml:space="preserve">would incur an adaptation cost, so the choice of standard would be highly delicate. Requiring</w:t>
      </w:r>
      <w:r>
        <w:t xml:space="preserve"> </w:t>
      </w:r>
      <w:r>
        <w:t xml:space="preserve">a new standard would render the work done on all existing standards wasted. More</w:t>
      </w:r>
      <w:r>
        <w:t xml:space="preserve"> </w:t>
      </w:r>
      <w:r>
        <w:t xml:space="preserve">fundamentally, imposing a single standard would mean abandoning the principle of</w:t>
      </w:r>
      <w:r>
        <w:t xml:space="preserve"> </w:t>
      </w:r>
      <w:r>
        <w:t xml:space="preserve">technology neutrality and could risk being inflexible, not future-proof and hinder innovation,</w:t>
      </w:r>
      <w:r>
        <w:t xml:space="preserve"> </w:t>
      </w:r>
      <w:r>
        <w:t xml:space="preserve">since new better standards for interfaces may arise in future. A majority of both banks and</w:t>
      </w:r>
      <w:r>
        <w:t xml:space="preserve"> </w:t>
      </w:r>
      <w:r>
        <w:t xml:space="preserve">TPPs oppose the imposing of a standardised API. It should also be noted that this option</w:t>
      </w:r>
      <w:r>
        <w:t xml:space="preserve"> </w:t>
      </w:r>
      <w:r>
        <w:t xml:space="preserve">would remove the business case for aggregators - as aggregators only exist in order to assist</w:t>
      </w:r>
      <w:r>
        <w:t xml:space="preserve"> </w:t>
      </w:r>
      <w:r>
        <w:t xml:space="preserve">TPPs to navigate differing APIs of varying quality – but this is not a conclusive argument.</w:t>
      </w:r>
      <w:r>
        <w:t xml:space="preserve"> </w:t>
      </w:r>
      <w:r>
        <w:t xml:space="preserve">Costs of adaptation for ASPSPs would vary depending on the degree of divergence of</w:t>
      </w:r>
      <w:r>
        <w:t xml:space="preserve"> </w:t>
      </w:r>
      <w:r>
        <w:t xml:space="preserve">existing APIs from the new or selected standard and would thus vary. As indicated by both</w:t>
      </w:r>
      <w:r>
        <w:t xml:space="preserve"> </w:t>
      </w:r>
      <w:r>
        <w:t xml:space="preserve">ASPSPs and EBA132, it would probably require extensive resources and investments from</w:t>
      </w:r>
      <w:r>
        <w:t xml:space="preserve"> </w:t>
      </w:r>
      <w:r>
        <w:t xml:space="preserve">most ASPSPs133, as they may have to build an entirely new OB API or fundamentally alter</w:t>
      </w:r>
      <w:r>
        <w:t xml:space="preserve"> </w:t>
      </w:r>
      <w:r>
        <w:t xml:space="preserve">their current ones. For ASPSPs this could lead to the costs they have already incurred to</w:t>
      </w:r>
      <w:r>
        <w:t xml:space="preserve"> </w:t>
      </w:r>
      <w:r>
        <w:t xml:space="preserve">develop an API being lost, if their current API does not correspond to the new single EU</w:t>
      </w:r>
      <w:r>
        <w:t xml:space="preserve"> </w:t>
      </w:r>
      <w:r>
        <w:t xml:space="preserve">standard and cannot be easily adapted. The VVA/CEPS study estimated that the building of</w:t>
      </w:r>
      <w:r>
        <w:t xml:space="preserve"> </w:t>
      </w:r>
      <w:r>
        <w:t xml:space="preserve">OB APIs has cost the ASPSP industry about €2.2 bn134. According to one of the most popular</w:t>
      </w:r>
      <w:r>
        <w:t xml:space="preserve"> </w:t>
      </w:r>
      <w:r>
        <w:t xml:space="preserve">market standards currently available, NextGen PSD2 from the Berlin Group, over 75% of</w:t>
      </w:r>
      <w:r>
        <w:t xml:space="preserve"> </w:t>
      </w:r>
      <w:r>
        <w:t xml:space="preserve">banks have implemented this standard135 as of February 2022. Even if one were to select this</w:t>
      </w:r>
      <w:r>
        <w:t xml:space="preserve"> </w:t>
      </w:r>
      <w:r>
        <w:t xml:space="preserve">most popular market standard as the one single standard to be implemented across the EU,</w:t>
      </w:r>
      <w:r>
        <w:t xml:space="preserve"> </w:t>
      </w:r>
      <w:r>
        <w:t xml:space="preserve">which would be the least invasive route to take, but still not create a level playing field, costs</w:t>
      </w:r>
      <w:r>
        <w:t xml:space="preserve"> </w:t>
      </w:r>
      <w:r>
        <w:t xml:space="preserve">would be high. Assuming an increased implementation of the standard over 2022 to 85% of</w:t>
      </w:r>
      <w:r>
        <w:t xml:space="preserve"> </w:t>
      </w:r>
      <w:r>
        <w:t xml:space="preserve">all banks, approximately 15% would still have to change standards, implying a 15% of €2.2</w:t>
      </w:r>
      <w:r>
        <w:t xml:space="preserve"> </w:t>
      </w:r>
      <w:r>
        <w:t xml:space="preserve">bn, €330mln lost costs. Assuming 25% efficiency gains because of the new standard and</w:t>
      </w:r>
    </w:p>
    <w:p>
      <w:pPr>
        <w:pStyle w:val="BodyText"/>
      </w:pPr>
      <w:r>
        <w:t xml:space="preserve">131 Most banks have put in place dedicated APIs – see option 2a.</w:t>
      </w:r>
      <w:r>
        <w:t xml:space="preserve"> </w:t>
      </w:r>
      <w:r>
        <w:t xml:space="preserve">132 EBA Advice, Ch.6, question 17, para 369.</w:t>
      </w:r>
      <w:r>
        <w:t xml:space="preserve"> </w:t>
      </w:r>
      <w:r>
        <w:t xml:space="preserve">133 Data on this is limited and where provided, quite divergent (from “3 to 8 million (or higher)” by Finnish</w:t>
      </w:r>
      <w:r>
        <w:t xml:space="preserve"> </w:t>
      </w:r>
      <w:r>
        <w:t xml:space="preserve">banks to 21 mln by a large French bank, to “far in excess of 100 million” by a GSIB). The study (Annex 8 and</w:t>
      </w:r>
      <w:r>
        <w:t xml:space="preserve"> </w:t>
      </w:r>
      <w:r>
        <w:t xml:space="preserve">10) on the basis of very limited data, estimates 2.2 bn EUR (for all EU ASPSPs).</w:t>
      </w:r>
      <w:r>
        <w:t xml:space="preserve"> </w:t>
      </w:r>
      <w:r>
        <w:t xml:space="preserve">134 See footnote 13.</w:t>
      </w:r>
      <w:r>
        <w:br/>
      </w:r>
      <w:r>
        <w:t xml:space="preserve">135 The Berlin Group: Progress Report on Open Finance, status update; February 2022.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improved API development expertise, the ASPSPs that would have to create a new API could</w:t>
      </w:r>
      <w:r>
        <w:t xml:space="preserve"> </w:t>
      </w:r>
      <w:r>
        <w:t xml:space="preserve">incur another one-off cost of approximately €250 mln.</w:t>
      </w:r>
      <w:r>
        <w:br/>
      </w:r>
      <w:r>
        <w:t xml:space="preserve">Even the 85% of ASPSPs that have already implemented the Berlin Group standard would</w:t>
      </w:r>
      <w:r>
        <w:t xml:space="preserve"> </w:t>
      </w:r>
      <w:r>
        <w:t xml:space="preserve">still have to implement adjustments to remove the current variations, if that standard were</w:t>
      </w:r>
      <w:r>
        <w:t xml:space="preserve"> </w:t>
      </w:r>
      <w:r>
        <w:t xml:space="preserve">chosen. Assuming a 90% coherence among Berlin Group users, 10% would have to be</w:t>
      </w:r>
      <w:r>
        <w:t xml:space="preserve"> </w:t>
      </w:r>
      <w:r>
        <w:t xml:space="preserve">adjusted. Applying the same API-efficiency gain of 25%, this would amount to around</w:t>
      </w:r>
      <w:r>
        <w:t xml:space="preserve"> </w:t>
      </w:r>
      <w:r>
        <w:t xml:space="preserve">another €140 mln of cost136, bringing the total to €330 mln lost costs and €390 mln additional</w:t>
      </w:r>
      <w:r>
        <w:t xml:space="preserve"> </w:t>
      </w:r>
      <w:r>
        <w:t xml:space="preserve">one-off costs.</w:t>
      </w:r>
      <w:r>
        <w:br/>
      </w:r>
      <w:r>
        <w:t xml:space="preserve">Bank API maintenance (recurring) is estimated to be about €280 ml annually. API</w:t>
      </w:r>
      <w:r>
        <w:t xml:space="preserve"> </w:t>
      </w:r>
      <w:r>
        <w:t xml:space="preserve">standardisation does not necessarily lead to lower maintenance costs than banks are currently</w:t>
      </w:r>
      <w:r>
        <w:t xml:space="preserve"> </w:t>
      </w:r>
      <w:r>
        <w:t xml:space="preserve">facing, although the API maintenance costs increase with usage of the API, and therefore</w:t>
      </w:r>
      <w:r>
        <w:t xml:space="preserve"> </w:t>
      </w:r>
      <w:r>
        <w:t xml:space="preserve">would already increase as the demand for Open Banking grows organically (without any</w:t>
      </w:r>
      <w:r>
        <w:t xml:space="preserve"> </w:t>
      </w:r>
      <w:r>
        <w:t xml:space="preserve">legislative intervention) resulting in more API calls, the driver behind the maintenance costs.</w:t>
      </w:r>
      <w:r>
        <w:t xml:space="preserve"> </w:t>
      </w:r>
      <w:r>
        <w:t xml:space="preserve">The biggest efficiency gain of this option lies with the TPPs, which would face a far simpler</w:t>
      </w:r>
      <w:r>
        <w:t xml:space="preserve"> </w:t>
      </w:r>
      <w:r>
        <w:t xml:space="preserve">situation than they currently are with the different API standards and intra-standard</w:t>
      </w:r>
      <w:r>
        <w:t xml:space="preserve"> </w:t>
      </w:r>
      <w:r>
        <w:t xml:space="preserve">differences. The TPP maintenance costs of €53 mln a year could thus decrease. However,</w:t>
      </w:r>
      <w:r>
        <w:t xml:space="preserve"> </w:t>
      </w:r>
      <w:r>
        <w:t xml:space="preserve">TPPs would be faced with some adaptation costs as well to reconnect to the new standardised</w:t>
      </w:r>
      <w:r>
        <w:t xml:space="preserve"> </w:t>
      </w:r>
      <w:r>
        <w:t xml:space="preserve">APIs, offsetting this saving. Although some TPPs would prefer standardisation, others prefer</w:t>
      </w:r>
      <w:r>
        <w:t xml:space="preserve"> </w:t>
      </w:r>
      <w:r>
        <w:t xml:space="preserve">the status quo, fearing a costly transition to standardised APIs.</w:t>
      </w:r>
      <w:r>
        <w:t xml:space="preserve"> </w:t>
      </w:r>
      <w:r>
        <w:t xml:space="preserve">Another benefit of this option would be easier monitoring of compliance by NCAs. The API</w:t>
      </w:r>
      <w:r>
        <w:t xml:space="preserve"> </w:t>
      </w:r>
      <w:r>
        <w:t xml:space="preserve">standard could even lead to less need for intervention by supervisors as ASPSP and TPPs can</w:t>
      </w:r>
      <w:r>
        <w:t xml:space="preserve"> </w:t>
      </w:r>
      <w:r>
        <w:t xml:space="preserve">no longer have differing interpretations of what the API should or should not do.</w:t>
      </w:r>
      <w:r>
        <w:t xml:space="preserve"> </w:t>
      </w:r>
      <w:r>
        <w:t xml:space="preserve">Supervision-related recurring costs are estimated at approximately 30 mln € by the</w:t>
      </w:r>
      <w:r>
        <w:t xml:space="preserve"> </w:t>
      </w:r>
      <w:r>
        <w:t xml:space="preserve">VVA/CEPS study137 and these costs would fall under this option, although it is not possible</w:t>
      </w:r>
      <w:r>
        <w:t xml:space="preserve"> </w:t>
      </w:r>
      <w:r>
        <w:t xml:space="preserve">to estimate by how much because supervision related costs extend beyond just PSD2 API</w:t>
      </w:r>
      <w:r>
        <w:t xml:space="preserve"> </w:t>
      </w:r>
      <w:r>
        <w:t xml:space="preserve">compliance.</w:t>
      </w:r>
      <w:r>
        <w:t xml:space="preserve"> </w:t>
      </w:r>
      <w:r>
        <w:t xml:space="preserve">This option would not be coherent with the choice made in the impact assessment on Open</w:t>
      </w:r>
      <w:r>
        <w:t xml:space="preserve"> </w:t>
      </w:r>
      <w:r>
        <w:t xml:space="preserve">Finance, which is not to impose one single standard, but rather to require the development of</w:t>
      </w:r>
      <w:r>
        <w:t xml:space="preserve"> </w:t>
      </w:r>
      <w:r>
        <w:t xml:space="preserve">different market standards (such as those which already exist in Open Banking).</w:t>
      </w:r>
      <w:r>
        <w:br/>
      </w:r>
      <w:r>
        <w:t xml:space="preserve">Option 2c) is therefore rejected, despite high potential effectiveness, due to excessively high</w:t>
      </w:r>
      <w:r>
        <w:t xml:space="preserve"> </w:t>
      </w:r>
      <w:r>
        <w:t xml:space="preserve">implementation cost for banks (ASPSPs) and limited coherence.</w:t>
      </w:r>
      <w:r>
        <w:t xml:space="preserve"> </w:t>
      </w:r>
      <w:r>
        <w:t xml:space="preserve">6.2.d) Specify in more detail minimum requirements for OB data interfaces</w:t>
      </w:r>
      <w:r>
        <w:br/>
      </w:r>
      <w:r>
        <w:t xml:space="preserve">Option 2d) would be less effective than Option 2c), as it would not impose the</w:t>
      </w:r>
      <w:r>
        <w:t xml:space="preserve"> </w:t>
      </w:r>
      <w:r>
        <w:t xml:space="preserve">implementation of an API standard, but it would be far more efficient, due to its much more</w:t>
      </w:r>
      <w:r>
        <w:t xml:space="preserve"> </w:t>
      </w:r>
      <w:r>
        <w:t xml:space="preserve">limited implementation cost for ASPSPs which have already established varying interfaces</w:t>
      </w:r>
    </w:p>
    <w:p>
      <w:pPr>
        <w:pStyle w:val="BodyText"/>
      </w:pPr>
      <w:r>
        <w:t xml:space="preserve">136 10% of €2.2bn, net a 25% efficiency gain, to be made by 85% of ASPSPs as the other 15% is building a new</w:t>
      </w:r>
      <w:r>
        <w:t xml:space="preserve"> </w:t>
      </w:r>
      <w:r>
        <w:t xml:space="preserve">API.</w:t>
      </w:r>
      <w:r>
        <w:t xml:space="preserve"> </w:t>
      </w:r>
      <w:r>
        <w:t xml:space="preserve">137 According to the VVA/ CEPS study (Annex 10): 3 million (rough) estimate for Ongoing supervision fees for</w:t>
      </w:r>
      <w:r>
        <w:t xml:space="preserve"> </w:t>
      </w:r>
      <w:r>
        <w:t xml:space="preserve">new TPPs and 28 mln EUR of recurring costs for Higher need for supervision in national administrations due to</w:t>
      </w:r>
      <w:r>
        <w:t xml:space="preserve"> </w:t>
      </w:r>
      <w:r>
        <w:t xml:space="preserve">PSD2.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(see below). It would not however be totally cost-free. ASPSPs, the large majority of which</w:t>
      </w:r>
      <w:r>
        <w:t xml:space="preserve"> </w:t>
      </w:r>
      <w:r>
        <w:t xml:space="preserve">already have a dedicated OB API interface, would have to revise these APIs and make</w:t>
      </w:r>
      <w:r>
        <w:t xml:space="preserve"> </w:t>
      </w:r>
      <w:r>
        <w:t xml:space="preserve">adjustments where necessary, e.g. by making more data points available, such as account-</w:t>
      </w:r>
      <w:r>
        <w:t xml:space="preserve"> </w:t>
      </w:r>
      <w:r>
        <w:t xml:space="preserve">holder’s name138. TPPs would have to revise their connections to the interfaces as well and</w:t>
      </w:r>
      <w:r>
        <w:t xml:space="preserve"> </w:t>
      </w:r>
      <w:r>
        <w:t xml:space="preserve">make necessary adjustments. Although most ASPSPs provide APIs already, there are still</w:t>
      </w:r>
      <w:r>
        <w:t xml:space="preserve"> </w:t>
      </w:r>
      <w:r>
        <w:t xml:space="preserve">TPPs that choose to make use of the fallback interface, usually because, TPPs claim, the data</w:t>
      </w:r>
      <w:r>
        <w:t xml:space="preserve"> </w:t>
      </w:r>
      <w:r>
        <w:t xml:space="preserve">made available in the OB API is not equal to the data they can obtain via the fallback</w:t>
      </w:r>
      <w:r>
        <w:t xml:space="preserve"> </w:t>
      </w:r>
      <w:r>
        <w:t xml:space="preserve">interface (which would be breach of PSD2). This option would remove the time ASPSPs and</w:t>
      </w:r>
      <w:r>
        <w:t xml:space="preserve"> </w:t>
      </w:r>
      <w:r>
        <w:t xml:space="preserve">TPPs currently spend on discussing what the OB API should provide, as the legislative text</w:t>
      </w:r>
      <w:r>
        <w:t xml:space="preserve"> </w:t>
      </w:r>
      <w:r>
        <w:t xml:space="preserve">would clarify and specify which data is to be made available to TPPs. It would also facilitate</w:t>
      </w:r>
      <w:r>
        <w:t xml:space="preserve"> </w:t>
      </w:r>
      <w:r>
        <w:t xml:space="preserve">easier monitoring and enforcement of the interfaces by NCAs. Furthermore, this option limits</w:t>
      </w:r>
      <w:r>
        <w:t xml:space="preserve"> </w:t>
      </w:r>
      <w:r>
        <w:t xml:space="preserve">the changes that ASPSPs and TPPs have to make to some adjustments to the pre-existing</w:t>
      </w:r>
      <w:r>
        <w:t xml:space="preserve"> </w:t>
      </w:r>
      <w:r>
        <w:t xml:space="preserve">APIs (instead of having to build entirely new APIs if a (new) API standard were imposed).</w:t>
      </w:r>
      <w:r>
        <w:t xml:space="preserve"> </w:t>
      </w:r>
      <w:r>
        <w:t xml:space="preserve">ASPSPs would still be able to adjust their interface individually as long as it complies with</w:t>
      </w:r>
      <w:r>
        <w:t xml:space="preserve"> </w:t>
      </w:r>
      <w:r>
        <w:t xml:space="preserve">the requirements set in the legislation.</w:t>
      </w:r>
      <w:r>
        <w:t xml:space="preserve"> </w:t>
      </w:r>
      <w:r>
        <w:t xml:space="preserve">In terms of costs this option may increase maintenance costs (due to greater usage of APIs</w:t>
      </w:r>
      <w:r>
        <w:t xml:space="preserve"> </w:t>
      </w:r>
      <w:r>
        <w:t xml:space="preserve">because of the better quality), but market research already indicates that the market and</w:t>
      </w:r>
      <w:r>
        <w:t xml:space="preserve"> </w:t>
      </w:r>
      <w:r>
        <w:t xml:space="preserve">demand for OB – and therefore API usage - is likely to grow, regardless of legislative</w:t>
      </w:r>
      <w:r>
        <w:t xml:space="preserve"> </w:t>
      </w:r>
      <w:r>
        <w:t xml:space="preserve">intervention139. This option is therefore not expected to significantly impact the recurring</w:t>
      </w:r>
      <w:r>
        <w:t xml:space="preserve"> </w:t>
      </w:r>
      <w:r>
        <w:t xml:space="preserve">maintenance costs.</w:t>
      </w:r>
      <w:r>
        <w:br/>
      </w:r>
      <w:r>
        <w:t xml:space="preserve">One-off adjustments costs to ASPSPs (which would come on top of those recurring</w:t>
      </w:r>
      <w:r>
        <w:t xml:space="preserve"> </w:t>
      </w:r>
      <w:r>
        <w:t xml:space="preserve">maintenance costs) can differ per ASPSP depending on its current API compliance and/or</w:t>
      </w:r>
      <w:r>
        <w:t xml:space="preserve"> </w:t>
      </w:r>
      <w:r>
        <w:t xml:space="preserve">quality. A conservative estimate is that the cost of required changes can be between 1% to</w:t>
      </w:r>
      <w:r>
        <w:t xml:space="preserve"> </w:t>
      </w:r>
      <w:r>
        <w:t xml:space="preserve">5% of the costs of the building of the interface (see previous option) – between €20 000 to</w:t>
      </w:r>
      <w:r>
        <w:t xml:space="preserve"> </w:t>
      </w:r>
      <w:r>
        <w:t xml:space="preserve">€100 000 per ASPSP. The lower end, 1%, is assumed for ASPSPs that need to make very few</w:t>
      </w:r>
      <w:r>
        <w:t xml:space="preserve"> </w:t>
      </w:r>
      <w:r>
        <w:t xml:space="preserve">adjustments, who are already compliant with PSD2 and/or have simpler IT infrastructures.</w:t>
      </w:r>
      <w:r>
        <w:t xml:space="preserve"> </w:t>
      </w:r>
      <w:r>
        <w:t xml:space="preserve">The higher, 5%, is assumed for ASPSP that might not be compliant with PSD2 and have to</w:t>
      </w:r>
    </w:p>
    <w:p>
      <w:pPr>
        <w:pStyle w:val="BodyText"/>
      </w:pPr>
      <w:r>
        <w:t xml:space="preserve">138 There are ASPSPs that do not make this information available through the Open Banking channel, despite</w:t>
      </w:r>
      <w:r>
        <w:t xml:space="preserve"> </w:t>
      </w:r>
      <w:r>
        <w:t xml:space="preserve">the account holder’s name being available in their own online channels. As account holder name does not</w:t>
      </w:r>
      <w:r>
        <w:t xml:space="preserve"> </w:t>
      </w:r>
      <w:r>
        <w:t xml:space="preserve">constitute sensitive payment data for the activities of PISPs and AISPs, there is no reason for ASPSPs not to</w:t>
      </w:r>
      <w:r>
        <w:t xml:space="preserve"> </w:t>
      </w:r>
      <w:r>
        <w:t xml:space="preserve">share this information, see also EBA Q&amp;A 2018_4081 (responded to by the Commission). Some ASPSPs</w:t>
      </w:r>
      <w:r>
        <w:t xml:space="preserve"> </w:t>
      </w:r>
      <w:r>
        <w:t xml:space="preserve">continue to argue that sharing the account name results in data protection issues, however by clarifying in the</w:t>
      </w:r>
      <w:r>
        <w:t xml:space="preserve"> </w:t>
      </w:r>
      <w:r>
        <w:t xml:space="preserve">legal text that this key data point must be shared this problem and inconsistency would be resolved.</w:t>
      </w:r>
      <w:r>
        <w:br/>
      </w:r>
      <w:r>
        <w:t xml:space="preserve">139 According to market research (some explicitly presupposing legislative intervention stemming from the</w:t>
      </w:r>
      <w:r>
        <w:t xml:space="preserve"> </w:t>
      </w:r>
      <w:r>
        <w:t xml:space="preserve">PSD2 review, some not) the OB market will continue to grow, legislative intervention or not. Market research</w:t>
      </w:r>
      <w:r>
        <w:t xml:space="preserve"> </w:t>
      </w:r>
      <w:r>
        <w:t xml:space="preserve">from Juniper conducted in 2021 and publicly available at Statista here estimated a growth of Open Banking</w:t>
      </w:r>
      <w:r>
        <w:t xml:space="preserve"> </w:t>
      </w:r>
      <w:r>
        <w:t xml:space="preserve">customers in Europe from approximately 18.2 mln users to 64 mln users by end 2024 (a 350% increase),</w:t>
      </w:r>
      <w:r>
        <w:t xml:space="preserve"> </w:t>
      </w:r>
      <w:r>
        <w:t xml:space="preserve">regardless of regulatory intervention; Forrester estimated in November 2022, including assumptions regarding</w:t>
      </w:r>
      <w:r>
        <w:t xml:space="preserve"> </w:t>
      </w:r>
      <w:r>
        <w:t xml:space="preserve">the increased adoption of Open Finance and increased standardisation stemming from the PSD2 review, that</w:t>
      </w:r>
      <w:r>
        <w:t xml:space="preserve"> </w:t>
      </w:r>
      <w:r>
        <w:t xml:space="preserve">customer interest in Open Banking is “accelerating” as more and more Open banking solutions become</w:t>
      </w:r>
      <w:r>
        <w:t xml:space="preserve"> </w:t>
      </w:r>
      <w:r>
        <w:t xml:space="preserve">available, such as consumer benefit checkers, funding of wealth management accounts, car dealership payments</w:t>
      </w:r>
      <w:r>
        <w:t xml:space="preserve"> </w:t>
      </w:r>
      <w:r>
        <w:t xml:space="preserve">and more. Open Banking users in Germany, France, Sweden, Italy, the Netherlands and Spain combined are</w:t>
      </w:r>
      <w:r>
        <w:t xml:space="preserve"> </w:t>
      </w:r>
      <w:r>
        <w:t xml:space="preserve">about 20 mln and project this will increase to over 70 mln users across these countries by end 2027 – link: Open</w:t>
      </w:r>
      <w:r>
        <w:t xml:space="preserve"> </w:t>
      </w:r>
      <w:r>
        <w:t xml:space="preserve">Banking Adoption On The Cusp Of Robust Growth In Europe (forrester.com) // report: European Open Banking</w:t>
      </w:r>
      <w:r>
        <w:t xml:space="preserve"> </w:t>
      </w:r>
      <w:r>
        <w:t xml:space="preserve">Forecast, 2022 To 2027 figure 1.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make more adjustments, that are larger and/or have more complex IT infrastructures. Of the</w:t>
      </w:r>
      <w:r>
        <w:t xml:space="preserve"> </w:t>
      </w:r>
      <w:r>
        <w:t xml:space="preserve">ASPSPs that have a PSD2 interface, most have also received a fallback exemption140 which is</w:t>
      </w:r>
      <w:r>
        <w:t xml:space="preserve"> </w:t>
      </w:r>
      <w:r>
        <w:t xml:space="preserve">an indicator of a well-compliant API and therefore low adjustment cost. Therefore, most of</w:t>
      </w:r>
      <w:r>
        <w:t xml:space="preserve"> </w:t>
      </w:r>
      <w:r>
        <w:t xml:space="preserve">the APIs already provided by ASPSPs will only have to make incremental changes to become</w:t>
      </w:r>
      <w:r>
        <w:t xml:space="preserve"> </w:t>
      </w:r>
      <w:r>
        <w:t xml:space="preserve">compliant. The total one-off adjustments cost for ASPSPs is estimated to be €190 mln141.</w:t>
      </w:r>
      <w:r>
        <w:br/>
      </w:r>
      <w:r>
        <w:t xml:space="preserve">The recurrent annual maintenance costs for TPPs to maintain the connections to the PSD2</w:t>
      </w:r>
      <w:r>
        <w:t xml:space="preserve"> </w:t>
      </w:r>
      <w:r>
        <w:t xml:space="preserve">interfaces will probably decrease slightly, from the current amount of about €53 million</w:t>
      </w:r>
      <w:r>
        <w:t xml:space="preserve"> </w:t>
      </w:r>
      <w:r>
        <w:t xml:space="preserve">annually for the entire EU TPP sector142. The one-off costs for TPPs to connect to new</w:t>
      </w:r>
      <w:r>
        <w:t xml:space="preserve"> </w:t>
      </w:r>
      <w:r>
        <w:t xml:space="preserve">interfaces of ASPSPs which currently do not have them is estimated at a total of €24</w:t>
      </w:r>
      <w:r>
        <w:t xml:space="preserve"> </w:t>
      </w:r>
      <w:r>
        <w:t xml:space="preserve">million143.</w:t>
      </w:r>
      <w:r>
        <w:t xml:space="preserve"> </w:t>
      </w:r>
      <w:r>
        <w:t xml:space="preserve">To summarise, the estimated one-off costs required to implement option 2c are estimated to</w:t>
      </w:r>
      <w:r>
        <w:t xml:space="preserve"> </w:t>
      </w:r>
      <w:r>
        <w:t xml:space="preserve">be around €280 million for ASPSPs and TPPs combined.</w:t>
      </w:r>
      <w:r>
        <w:t xml:space="preserve"> </w:t>
      </w:r>
      <w:r>
        <w:t xml:space="preserve">This option would create an identical data set for all ASPSPs to provide access to, and thus</w:t>
      </w:r>
      <w:r>
        <w:t xml:space="preserve"> </w:t>
      </w:r>
      <w:r>
        <w:t xml:space="preserve">more coherence. By combining the minimum requirements with the current “parity</w:t>
      </w:r>
      <w:r>
        <w:t xml:space="preserve"> </w:t>
      </w:r>
      <w:r>
        <w:t xml:space="preserve">principle”, this option would likely not result in a loss of Open Banking data options</w:t>
      </w:r>
      <w:r>
        <w:t xml:space="preserve"> </w:t>
      </w:r>
      <w:r>
        <w:t xml:space="preserve">available to TPPs. Although ASPSPs might choose to lower the amount of available data by</w:t>
      </w:r>
      <w:r>
        <w:t xml:space="preserve"> </w:t>
      </w:r>
      <w:r>
        <w:t xml:space="preserve">decreasing what is available in their customer-facing interface, “lowering” parity, in a way.</w:t>
      </w:r>
      <w:r>
        <w:t xml:space="preserve"> </w:t>
      </w:r>
      <w:r>
        <w:t xml:space="preserve">As that would however also impact their own customers directly, this is not likely to happen.</w:t>
      </w:r>
      <w:r>
        <w:t xml:space="preserve"> </w:t>
      </w:r>
      <w:r>
        <w:t xml:space="preserve">This option, like option 2a), is likely to enhance the already anticipated growth of Open</w:t>
      </w:r>
      <w:r>
        <w:t xml:space="preserve"> </w:t>
      </w:r>
      <w:r>
        <w:t xml:space="preserve">Banking. Regarding coherence, it should be noted that the Open Finance proposal does not</w:t>
      </w:r>
      <w:r>
        <w:t xml:space="preserve"> </w:t>
      </w:r>
      <w:r>
        <w:t xml:space="preserve">choose to have any “parity principle” with customer interfaces, but this can be linked to the</w:t>
      </w:r>
      <w:r>
        <w:t xml:space="preserve"> </w:t>
      </w:r>
      <w:r>
        <w:t xml:space="preserve">fact that in financial services outside banking and payment accounts, online customer</w:t>
      </w:r>
      <w:r>
        <w:t xml:space="preserve"> </w:t>
      </w:r>
      <w:r>
        <w:t xml:space="preserve">interfaces are less common and much less frequently used.</w:t>
      </w:r>
    </w:p>
    <w:p>
      <w:pPr>
        <w:pStyle w:val="BodyText"/>
      </w:pPr>
      <w:r>
        <w:t xml:space="preserve">140 ESBG, EABC and EBF feedback received on members’ PSD2 Interfaces.</w:t>
      </w:r>
      <w:r>
        <w:t xml:space="preserve"> </w:t>
      </w:r>
      <w:r>
        <w:t xml:space="preserve">141 Assuming that the smaller and medium sized entities are likely to have outsourced their API development to</w:t>
      </w:r>
      <w:r>
        <w:t xml:space="preserve"> </w:t>
      </w:r>
      <w:r>
        <w:t xml:space="preserve">external parties specialising in (PSD2) API development, it is assumed these (approximately 1000) are on the</w:t>
      </w:r>
      <w:r>
        <w:t xml:space="preserve"> </w:t>
      </w:r>
      <w:r>
        <w:t xml:space="preserve">lower end of costs for adjustments (€20 000), giving €20 mln. The larger institutions (banking groups) also</w:t>
      </w:r>
      <w:r>
        <w:t xml:space="preserve"> </w:t>
      </w:r>
      <w:r>
        <w:t xml:space="preserve">mostly follow standards and most have received fallback exemptions, which are only granted if APIs are</w:t>
      </w:r>
      <w:r>
        <w:t xml:space="preserve"> </w:t>
      </w:r>
      <w:r>
        <w:t xml:space="preserve">compliant. However, given the size of these banking groups and some potential differences across their different</w:t>
      </w:r>
      <w:r>
        <w:t xml:space="preserve"> </w:t>
      </w:r>
      <w:r>
        <w:t xml:space="preserve">APIs (due to different customer interfaces) their costs are estimated to be somewhat higher (€50.000 for 2000</w:t>
      </w:r>
      <w:r>
        <w:t xml:space="preserve"> </w:t>
      </w:r>
      <w:r>
        <w:t xml:space="preserve">entities), but as the APIs built in banking groups might be shared across subsidiaries there are some efficiency</w:t>
      </w:r>
      <w:r>
        <w:t xml:space="preserve"> </w:t>
      </w:r>
      <w:r>
        <w:t xml:space="preserve">gains, assumed to be 20%, resulting in €80 mln adjustments costs for these groups. Lastly, there will be</w:t>
      </w:r>
      <w:r>
        <w:t xml:space="preserve"> </w:t>
      </w:r>
      <w:r>
        <w:t xml:space="preserve">institutions that might have to make more significant adjustments due to more complex IT infrastructures</w:t>
      </w:r>
      <w:r>
        <w:t xml:space="preserve"> </w:t>
      </w:r>
      <w:r>
        <w:t xml:space="preserve">underlying their customer interfaces and APIs. It is assumed 1000 entities would incur a one-off adjustment cost</w:t>
      </w:r>
      <w:r>
        <w:t xml:space="preserve"> </w:t>
      </w:r>
      <w:r>
        <w:t xml:space="preserve">of €100 000 but enjoy some banking-group efficiency gains of 10% - somewhat lower due to complex IT</w:t>
      </w:r>
      <w:r>
        <w:t xml:space="preserve"> </w:t>
      </w:r>
      <w:r>
        <w:t xml:space="preserve">infrastructures, resulting in €90 mln.</w:t>
      </w:r>
      <w:r>
        <w:t xml:space="preserve"> </w:t>
      </w:r>
      <w:r>
        <w:t xml:space="preserve">142 VVA/CEPS study, 1.75 FTE. Based on feedback from TPPs the actual maintenance of access to accounts for</w:t>
      </w:r>
      <w:r>
        <w:t xml:space="preserve"> </w:t>
      </w:r>
      <w:r>
        <w:t xml:space="preserve">APIs should take about 1 FTE day per year, which would mean about 30 mln EUR per year, and €6.500 per</w:t>
      </w:r>
      <w:r>
        <w:t xml:space="preserve"> </w:t>
      </w:r>
      <w:r>
        <w:t xml:space="preserve">ASPSP.</w:t>
      </w:r>
      <w:r>
        <w:t xml:space="preserve"> </w:t>
      </w:r>
      <w:r>
        <w:t xml:space="preserve">143 Conservatively, using the same assumptions as for ASPSPs, this option should take about 0,5 a FTE day of</w:t>
      </w:r>
      <w:r>
        <w:t xml:space="preserve"> </w:t>
      </w:r>
      <w:r>
        <w:t xml:space="preserve">TPP work for ASPSPs that already have PSD2 interfaces with fallback exemptions and 2,5 FTE for those that</w:t>
      </w:r>
      <w:r>
        <w:t xml:space="preserve"> </w:t>
      </w:r>
      <w:r>
        <w:t xml:space="preserve">do not. For the other ASPSPs (3000) this means a one off costs for TPP of €10 million and for those larger</w:t>
      </w:r>
      <w:r>
        <w:t xml:space="preserve"> </w:t>
      </w:r>
      <w:r>
        <w:t xml:space="preserve">and/or more IT complex and/or less compliant ASPSPs (879) €14.2 million.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Option 2d) with sub-option 1, is therefore selected.</w:t>
      </w:r>
      <w:r>
        <w:t xml:space="preserve"> </w:t>
      </w:r>
      <w:r>
        <w:t xml:space="preserve">6.2.e)</w:t>
      </w:r>
      <w:r>
        <w:t xml:space="preserve"> </w:t>
      </w:r>
      <w:r>
        <w:t xml:space="preserve">Abandon the non-contractual/no charging default principle</w:t>
      </w:r>
      <w:r>
        <w:t xml:space="preserve"> </w:t>
      </w:r>
      <w:r>
        <w:t xml:space="preserve">The choice for non-contractual relations by default between ASPSPs and TPPs aimed to</w:t>
      </w:r>
      <w:r>
        <w:t xml:space="preserve"> </w:t>
      </w:r>
      <w:r>
        <w:t xml:space="preserve">avoid forcing ASPSPs and TPPs to agree thousands of bilateral contracts before OB</w:t>
      </w:r>
      <w:r>
        <w:t xml:space="preserve"> </w:t>
      </w:r>
      <w:r>
        <w:t xml:space="preserve">operations can take place, or alternatively to agree a multilateral scheme with rules such as</w:t>
      </w:r>
      <w:r>
        <w:t xml:space="preserve"> </w:t>
      </w:r>
      <w:r>
        <w:t xml:space="preserve">pricing. Furthermore, the data was already available via the direct interface (pre-PSD2</w:t>
      </w:r>
      <w:r>
        <w:t xml:space="preserve"> </w:t>
      </w:r>
      <w:r>
        <w:t xml:space="preserve">screen-scraping) and new, legally required contractual obligations would have increased the</w:t>
      </w:r>
      <w:r>
        <w:t xml:space="preserve"> </w:t>
      </w:r>
      <w:r>
        <w:t xml:space="preserve">barriers to entry for (new) TPPs and have had an adverse effect on competition. This specific</w:t>
      </w:r>
      <w:r>
        <w:t xml:space="preserve"> </w:t>
      </w:r>
      <w:r>
        <w:t xml:space="preserve">regime can remain in force after the application of the proposed Data Act, since the Data Act</w:t>
      </w:r>
      <w:r>
        <w:t xml:space="preserve"> </w:t>
      </w:r>
      <w:r>
        <w:t xml:space="preserve">provides for sector-specific data access regimes.</w:t>
      </w:r>
      <w:r>
        <w:t xml:space="preserve"> </w:t>
      </w:r>
      <w:r>
        <w:t xml:space="preserve">Since PSD2 came into force, one argument given for low-quality APIs is the fact that the</w:t>
      </w:r>
      <w:r>
        <w:t xml:space="preserve"> </w:t>
      </w:r>
      <w:r>
        <w:t xml:space="preserve">ASPSPs were not compensated for their expenses to design data access infrastructures.</w:t>
      </w:r>
      <w:r>
        <w:t xml:space="preserve"> </w:t>
      </w:r>
      <w:r>
        <w:t xml:space="preserve">However, in the specific context of the existing PSD2 open banking framework, API</w:t>
      </w:r>
      <w:r>
        <w:t xml:space="preserve"> </w:t>
      </w:r>
      <w:r>
        <w:t xml:space="preserve">structures have already been put into place by all operators, and it would appear unjustified to</w:t>
      </w:r>
      <w:r>
        <w:t xml:space="preserve"> </w:t>
      </w:r>
      <w:r>
        <w:t xml:space="preserve">compensate them for past investments, which according to the study are estimated to be €2.2</w:t>
      </w:r>
      <w:r>
        <w:t xml:space="preserve"> </w:t>
      </w:r>
      <w:r>
        <w:t xml:space="preserve">billion, and ASPSPs have reported very differing amounts, ranging from a few million euro</w:t>
      </w:r>
      <w:r>
        <w:t xml:space="preserve"> </w:t>
      </w:r>
      <w:r>
        <w:t xml:space="preserve">to “(far) in excess of 100M”144 made to comply with PSD2. This needs to be balanced against</w:t>
      </w:r>
      <w:r>
        <w:t xml:space="preserve"> </w:t>
      </w:r>
      <w:r>
        <w:t xml:space="preserve">negative impacts of this option: applying this option would seriously disrupt the current OB</w:t>
      </w:r>
      <w:r>
        <w:t xml:space="preserve"> </w:t>
      </w:r>
      <w:r>
        <w:t xml:space="preserve">market, with ASPSPs and TPPs having to negotiate thousands of bilateral contracts (or else</w:t>
      </w:r>
      <w:r>
        <w:t xml:space="preserve"> </w:t>
      </w:r>
      <w:r>
        <w:t xml:space="preserve">agree a scheme), which would almost certainly negatively impact TPPs’ ongoing service</w:t>
      </w:r>
      <w:r>
        <w:t xml:space="preserve"> </w:t>
      </w:r>
      <w:r>
        <w:t xml:space="preserve">delivery to consumers. Furthermore, it would have increased market entry barriers by leading</w:t>
      </w:r>
      <w:r>
        <w:t xml:space="preserve"> </w:t>
      </w:r>
      <w:r>
        <w:t xml:space="preserve">to charging for all data access. It would also mean that data access services provided by</w:t>
      </w:r>
      <w:r>
        <w:t xml:space="preserve"> </w:t>
      </w:r>
      <w:r>
        <w:t xml:space="preserve">ASPSPs to TPPs hitherto for free would, suddenly, become subject to a charge, with a new</w:t>
      </w:r>
      <w:r>
        <w:t xml:space="preserve"> </w:t>
      </w:r>
      <w:r>
        <w:t xml:space="preserve">extra cost to TPPs which would negatively impact their profitability and could oblige some of</w:t>
      </w:r>
      <w:r>
        <w:t xml:space="preserve"> </w:t>
      </w:r>
      <w:r>
        <w:t xml:space="preserve">them to stop their business. There would be no guarantee from data holders (banks) that this</w:t>
      </w:r>
      <w:r>
        <w:t xml:space="preserve"> </w:t>
      </w:r>
      <w:r>
        <w:t xml:space="preserve">new revenue would be used to upgrade APIs.</w:t>
      </w:r>
      <w:r>
        <w:br/>
      </w:r>
      <w:r>
        <w:t xml:space="preserve">This would be a total reversal of the approach taken in PSD2 and applied since 2018, risking</w:t>
      </w:r>
      <w:r>
        <w:t xml:space="preserve"> </w:t>
      </w:r>
      <w:r>
        <w:t xml:space="preserve">significant upheaval possibly with a detrimental impact on the OB sector. It could also harm</w:t>
      </w:r>
      <w:r>
        <w:t xml:space="preserve"> </w:t>
      </w:r>
      <w:r>
        <w:t xml:space="preserve">competition as many smaller TPPs would probably be obstructed by this financial barrier.</w:t>
      </w:r>
      <w:r>
        <w:t xml:space="preserve"> </w:t>
      </w:r>
      <w:r>
        <w:t xml:space="preserve">The free access to data also means TPPs can keep fees that they charge to customers low,</w:t>
      </w:r>
      <w:r>
        <w:t xml:space="preserve"> </w:t>
      </w:r>
      <w:r>
        <w:t xml:space="preserve">allowing more consumers and small businesses to benefit from OB services. The analysis of</w:t>
      </w:r>
      <w:r>
        <w:t xml:space="preserve"> </w:t>
      </w:r>
      <w:r>
        <w:t xml:space="preserve">this option did not yield any concrete, quantifiable benefits for Open Banking.</w:t>
      </w:r>
      <w:r>
        <w:br/>
      </w:r>
      <w:r>
        <w:t xml:space="preserve">Regarding coherence, it should be noted that while a scheme will be required for the Open</w:t>
      </w:r>
      <w:r>
        <w:t xml:space="preserve"> </w:t>
      </w:r>
      <w:r>
        <w:t xml:space="preserve">Finance (OF) initiative, the circumstances are very different as OF, being a new market, has</w:t>
      </w:r>
      <w:r>
        <w:t xml:space="preserve"> </w:t>
      </w:r>
      <w:r>
        <w:t xml:space="preserve">no ‘legacy’ no-compensation regime, and no investments in APIs have yet been made. OF,</w:t>
      </w:r>
      <w:r>
        <w:t xml:space="preserve"> </w:t>
      </w:r>
      <w:r>
        <w:t xml:space="preserve">starting as it does from a ‘blank sheet’ can choose to apply, from the beginning, an approach</w:t>
      </w:r>
      <w:r>
        <w:t xml:space="preserve"> </w:t>
      </w:r>
      <w:r>
        <w:t xml:space="preserve">where data access is based on (multilateral) contracts and there is compensation for all data</w:t>
      </w:r>
      <w:r>
        <w:t xml:space="preserve"> </w:t>
      </w:r>
      <w:r>
        <w:t xml:space="preserve">access, with a view to incentivising data holders to develop quality interfaces. OF data users</w:t>
      </w:r>
      <w:r>
        <w:t xml:space="preserve"> </w:t>
      </w:r>
      <w:r>
        <w:t xml:space="preserve">will be accustomed to charging from the beginning. However, it should also be noted that</w:t>
      </w:r>
      <w:r>
        <w:t xml:space="preserve"> </w:t>
      </w:r>
      <w:r>
        <w:t xml:space="preserve">under PSD2 today, and in future, voluntary contractual relations between ASPSPs and TPPs</w:t>
      </w:r>
    </w:p>
    <w:p>
      <w:pPr>
        <w:pStyle w:val="BodyText"/>
      </w:pPr>
      <w:r>
        <w:t xml:space="preserve">144 See also Annex 7: stakeholder consultation.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are not prohibited (even for prescribed data access), and they do sometimes exist. ASPSPs</w:t>
      </w:r>
      <w:r>
        <w:t xml:space="preserve"> </w:t>
      </w:r>
      <w:r>
        <w:t xml:space="preserve">making available ‘commercial APIs’ (usually providing access to data that goes beyond</w:t>
      </w:r>
      <w:r>
        <w:t xml:space="preserve"> </w:t>
      </w:r>
      <w:r>
        <w:t xml:space="preserve">parity with the direct interface, “value-added data”) subject to a contract are still required to</w:t>
      </w:r>
      <w:r>
        <w:t xml:space="preserve"> </w:t>
      </w:r>
      <w:r>
        <w:t xml:space="preserve">provide a non-contractual PSD2 interface.</w:t>
      </w:r>
      <w:r>
        <w:t xml:space="preserve"> </w:t>
      </w:r>
      <w:r>
        <w:t xml:space="preserve">Option 2(d) is therefore rejected.</w:t>
      </w:r>
      <w:r>
        <w:t xml:space="preserve"> </w:t>
      </w:r>
      <w:r>
        <w:t xml:space="preserve">Comparison of options aimed to improve the competitiveness of Open Banking services</w:t>
      </w:r>
      <w:r>
        <w:t xml:space="preserve"> </w:t>
      </w:r>
      <w:r>
        <w:t xml:space="preserve">Selected options are a) b) and d). Options c) and e) are rejected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2.a) Requirement for a dedicated</w:t>
      </w:r>
      <w:r>
        <w:t xml:space="preserve"> </w:t>
      </w:r>
      <w:r>
        <w:t xml:space="preserve">data access interface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2.b) Permission dashboards</w:t>
      </w:r>
      <w:r>
        <w:t xml:space="preserve"> </w:t>
      </w:r>
      <w:r>
        <w:t xml:space="preserve">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2.c) Impose a harmonised API</w:t>
      </w:r>
      <w:r>
        <w:t xml:space="preserve"> </w:t>
      </w:r>
      <w:r>
        <w:t xml:space="preserve">standard for TPP access to</w:t>
      </w:r>
      <w:r>
        <w:t xml:space="preserve"> </w:t>
      </w:r>
      <w:r>
        <w:t xml:space="preserve">account data</w:t>
      </w:r>
      <w:r>
        <w:t xml:space="preserve"> </w:t>
      </w:r>
      <w:r>
        <w:t xml:space="preserve">+++</w:t>
      </w:r>
      <w:r>
        <w:t xml:space="preserve"> </w:t>
      </w:r>
      <w:r>
        <w:t xml:space="preserve">—</w:t>
      </w:r>
      <w:r>
        <w:t xml:space="preserve"> </w:t>
      </w:r>
      <w:r>
        <w:t xml:space="preserve">+</w:t>
      </w:r>
      <w:r>
        <w:t xml:space="preserve"> </w:t>
      </w:r>
      <w:r>
        <w:t xml:space="preserve">≈</w:t>
      </w:r>
      <w:r>
        <w:t xml:space="preserve"> </w:t>
      </w:r>
      <w:r>
        <w:t xml:space="preserve">2.d) Specify in more detail</w:t>
      </w:r>
      <w:r>
        <w:t xml:space="preserve"> </w:t>
      </w:r>
      <w:r>
        <w:t xml:space="preserve">minimum requirements for OB</w:t>
      </w:r>
      <w:r>
        <w:t xml:space="preserve"> </w:t>
      </w:r>
      <w:r>
        <w:t xml:space="preserve">data interfaces</w:t>
      </w:r>
      <w:r>
        <w:br/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</w:t>
      </w:r>
      <w:r>
        <w:t xml:space="preserve"> </w:t>
      </w:r>
      <w:r>
        <w:t xml:space="preserve">+</w:t>
      </w:r>
      <w:r>
        <w:t xml:space="preserve"> </w:t>
      </w:r>
      <w:r>
        <w:t xml:space="preserve">2.e) Abandon the non-</w:t>
      </w:r>
      <w:r>
        <w:t xml:space="preserve"> </w:t>
      </w:r>
      <w:r>
        <w:t xml:space="preserve">contractual/no charging default</w:t>
      </w:r>
      <w:r>
        <w:t xml:space="preserve"> </w:t>
      </w:r>
      <w:r>
        <w:t xml:space="preserve">principle</w:t>
      </w:r>
      <w:r>
        <w:t xml:space="preserve"> </w:t>
      </w:r>
      <w:r>
        <w:t xml:space="preserve">–</w:t>
      </w:r>
      <w:r>
        <w:t xml:space="preserve"> </w:t>
      </w:r>
      <w:r>
        <w:t xml:space="preserve">≈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6.3. Improve enforcement and implementation in Member States</w:t>
      </w:r>
      <w:r>
        <w:t xml:space="preserve"> </w:t>
      </w:r>
      <w:r>
        <w:t xml:space="preserve">6.3.a. Replace the greater part of PSD2 with a directly applicable Regulation clarifying</w:t>
      </w:r>
      <w:r>
        <w:t xml:space="preserve"> </w:t>
      </w:r>
      <w:r>
        <w:t xml:space="preserve">aspects of PSD2 which are unclear or ambiguous</w:t>
      </w:r>
      <w:r>
        <w:t xml:space="preserve"> </w:t>
      </w:r>
      <w:r>
        <w:t xml:space="preserve">Regarding effectiveness, Option 3a) would provide a better level playing field across the EU</w:t>
      </w:r>
      <w:r>
        <w:t xml:space="preserve"> </w:t>
      </w:r>
      <w:r>
        <w:t xml:space="preserve">payments market. PSPs would have to apply the same, consistent and clear set of rules</w:t>
      </w:r>
      <w:r>
        <w:t xml:space="preserve"> </w:t>
      </w:r>
      <w:r>
        <w:t xml:space="preserve">directly laid down at EU level irrespective of where they are operating in the EU.</w:t>
      </w:r>
      <w:r>
        <w:t xml:space="preserve"> </w:t>
      </w:r>
      <w:r>
        <w:t xml:space="preserve">Improvements in terms of regulatory arbitrage and market fragmentation could be achieved.</w:t>
      </w:r>
      <w:r>
        <w:t xml:space="preserve"> </w:t>
      </w:r>
      <w:r>
        <w:t xml:space="preserve">In terms of efficiency, it would be very beneficial for payments stakeholders to be able to rely</w:t>
      </w:r>
      <w:r>
        <w:t xml:space="preserve"> </w:t>
      </w:r>
      <w:r>
        <w:t xml:space="preserve">on directly enforceable EU law to enforce their rights and corresponding duties and it would</w:t>
      </w:r>
      <w:r>
        <w:t xml:space="preserve"> </w:t>
      </w:r>
      <w:r>
        <w:t xml:space="preserve">remove and/or limit late transpositions, divergent interpretations, gold-plating etc. Regarding</w:t>
      </w:r>
      <w:r>
        <w:t xml:space="preserve"> </w:t>
      </w:r>
      <w:r>
        <w:t xml:space="preserve">efficiency, it is true that it would require Member States to repeal most existing national</w:t>
      </w:r>
      <w:r>
        <w:t xml:space="preserve"> </w:t>
      </w:r>
      <w:r>
        <w:t xml:space="preserve">provisions regarding payments transposing PSD2, which would take up resources, but this</w:t>
      </w:r>
      <w:r>
        <w:t xml:space="preserve"> </w:t>
      </w:r>
      <w:r>
        <w:t xml:space="preserve">downside is outweighed by the advantages. Supervised entities would benefit from improved</w:t>
      </w:r>
      <w:r>
        <w:t xml:space="preserve"> </w:t>
      </w:r>
      <w:r>
        <w:t xml:space="preserve">and timely feedback provided by supervisors as the revised provisions would be clear, up to</w:t>
      </w:r>
      <w:r>
        <w:t xml:space="preserve"> </w:t>
      </w:r>
      <w:r>
        <w:t xml:space="preserve">date and easy to apply. By incorporating further details in the legal text or by redrafting to</w:t>
      </w:r>
      <w:r>
        <w:t xml:space="preserve"> </w:t>
      </w:r>
      <w:r>
        <w:t xml:space="preserve">reduce ambiguities and gaps, a more consistent application would be achieved (unlike the</w:t>
      </w:r>
      <w:r>
        <w:t xml:space="preserve"> </w:t>
      </w:r>
      <w:r>
        <w:t xml:space="preserve">experience in rolling out the PSD2 requirements on Strong Customer Authentication).</w:t>
      </w:r>
      <w:r>
        <w:t xml:space="preserve"> </w:t>
      </w:r>
      <w:r>
        <w:t xml:space="preserve">Circumvention or misapplication of the requirements would be reduced. This option would</w:t>
      </w:r>
      <w:r>
        <w:t xml:space="preserve"> </w:t>
      </w:r>
      <w:r>
        <w:t xml:space="preserve">be coherent with what has been frequently done in the field of financial services legislation,</w:t>
      </w:r>
      <w:r>
        <w:t xml:space="preserve"> </w:t>
      </w:r>
      <w:r>
        <w:t xml:space="preserve">where Directives when reviewed have often been replaced with Regulation or a combination</w:t>
      </w:r>
      <w:r>
        <w:t xml:space="preserve"> </w:t>
      </w:r>
      <w:r>
        <w:t xml:space="preserve">of a Directive and a Regulation145. Most respondents to the targeted consultation who</w:t>
      </w:r>
    </w:p>
    <w:p>
      <w:pPr>
        <w:pStyle w:val="BodyText"/>
      </w:pPr>
      <w:r>
        <w:t xml:space="preserve">145 For example, bank capital requirements, anti-money laundering and securities legislation.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expressed a position also supported this option. In several meetings with Member States146, a</w:t>
      </w:r>
      <w:r>
        <w:t xml:space="preserve"> </w:t>
      </w:r>
      <w:r>
        <w:t xml:space="preserve">majority of Member States expressed broad openness to this possibility and objections were</w:t>
      </w:r>
      <w:r>
        <w:t xml:space="preserve"> </w:t>
      </w:r>
      <w:r>
        <w:t xml:space="preserve">expressed only by a small number (these objections were related to a desire to be able to</w:t>
      </w:r>
      <w:r>
        <w:t xml:space="preserve"> </w:t>
      </w:r>
      <w:r>
        <w:t xml:space="preserve">adapt the rules to local circumstances rather than to concerns about the cost of repealing</w:t>
      </w:r>
      <w:r>
        <w:t xml:space="preserve"> </w:t>
      </w:r>
      <w:r>
        <w:t xml:space="preserve">national implementing legislation). Option 3a) is therefore retained.</w:t>
      </w:r>
      <w:r>
        <w:br/>
      </w:r>
      <w:r>
        <w:t xml:space="preserve">6.3.b. Strengthen provisions on penalties in PSD</w:t>
      </w:r>
      <w:r>
        <w:t xml:space="preserve"> </w:t>
      </w:r>
      <w:r>
        <w:t xml:space="preserve">Option 3b) would be effective in so far as it would strengthen implementation of rules and</w:t>
      </w:r>
      <w:r>
        <w:t xml:space="preserve"> </w:t>
      </w:r>
      <w:r>
        <w:t xml:space="preserve">give competent authorities the necessary powers to intervene to enforce PSD2. The list of</w:t>
      </w:r>
      <w:r>
        <w:t xml:space="preserve"> </w:t>
      </w:r>
      <w:r>
        <w:t xml:space="preserve">breaches requiring penalties to be available to authorities would be a clear indication to</w:t>
      </w:r>
      <w:r>
        <w:t xml:space="preserve"> </w:t>
      </w:r>
      <w:r>
        <w:t xml:space="preserve">Member States of the need to intervene actively to enforce the rules (which was not always</w:t>
      </w:r>
      <w:r>
        <w:t xml:space="preserve"> </w:t>
      </w:r>
      <w:r>
        <w:t xml:space="preserve">done for example regarding the implementation of the PSD2 requirements on Strong</w:t>
      </w:r>
      <w:r>
        <w:t xml:space="preserve"> </w:t>
      </w:r>
      <w:r>
        <w:t xml:space="preserve">Customer Authentication). The EBA power to temporarily prohibit certain products in case of</w:t>
      </w:r>
      <w:r>
        <w:t xml:space="preserve"> </w:t>
      </w:r>
      <w:r>
        <w:t xml:space="preserve">risk to consumers can reinforce its work in helping Member States with implementation and</w:t>
      </w:r>
      <w:r>
        <w:t xml:space="preserve"> </w:t>
      </w:r>
      <w:r>
        <w:t xml:space="preserve">enforcement. In terms of efficiency, the option would require greater resources to be</w:t>
      </w:r>
      <w:r>
        <w:t xml:space="preserve"> </w:t>
      </w:r>
      <w:r>
        <w:t xml:space="preserve">committed by Member States to enforcement proceedings but this would be limited in</w:t>
      </w:r>
      <w:r>
        <w:t xml:space="preserve"> </w:t>
      </w:r>
      <w:r>
        <w:t xml:space="preserve">proportion to the single market benefits. Consumers could be confident that the payments</w:t>
      </w:r>
      <w:r>
        <w:t xml:space="preserve"> </w:t>
      </w:r>
      <w:r>
        <w:t xml:space="preserve">rules are adhered to by supervised PSPs and that measures including penalties are imposed in</w:t>
      </w:r>
      <w:r>
        <w:t xml:space="preserve"> </w:t>
      </w:r>
      <w:r>
        <w:t xml:space="preserve">case of violation of those rules. Various stakeholders in the public consultations have pointed</w:t>
      </w:r>
      <w:r>
        <w:t xml:space="preserve"> </w:t>
      </w:r>
      <w:r>
        <w:t xml:space="preserve">to weaknesses in the enforcement regimes of Member States and the need for reinforcement.</w:t>
      </w:r>
      <w:r>
        <w:t xml:space="preserve"> </w:t>
      </w:r>
      <w:r>
        <w:t xml:space="preserve">This option would also be coherent with what has been done in various areas of financial</w:t>
      </w:r>
      <w:r>
        <w:t xml:space="preserve"> </w:t>
      </w:r>
      <w:r>
        <w:t xml:space="preserve">services legislation147 in recent years following the 2010 Communication on reinforcing</w:t>
      </w:r>
      <w:r>
        <w:t xml:space="preserve"> </w:t>
      </w:r>
      <w:r>
        <w:t xml:space="preserve">sanctioning regimes in the financial services sector148. It would also be coherent with the</w:t>
      </w:r>
      <w:r>
        <w:t xml:space="preserve"> </w:t>
      </w:r>
      <w:r>
        <w:t xml:space="preserve">EBA Advice, which recommends strengthening the current provisions on penalties notably</w:t>
      </w:r>
      <w:r>
        <w:t xml:space="preserve"> </w:t>
      </w:r>
      <w:r>
        <w:t xml:space="preserve">by clarifying that infringements of prudential and conduct requirements must be penalised.</w:t>
      </w:r>
      <w:r>
        <w:t xml:space="preserve"> </w:t>
      </w:r>
      <w:r>
        <w:t xml:space="preserve">Option 3b) is therefore retained.</w:t>
      </w:r>
      <w:r>
        <w:t xml:space="preserve"> </w:t>
      </w:r>
      <w:r>
        <w:t xml:space="preserve">6.3.c. Creating an EU-level supervisory body for Open Banking</w:t>
      </w:r>
      <w:r>
        <w:t xml:space="preserve"> </w:t>
      </w:r>
      <w:r>
        <w:t xml:space="preserve">Concerning effectiveness, the creation of a dedicated EU Open Banking body (option 3c)</w:t>
      </w:r>
      <w:r>
        <w:t xml:space="preserve"> </w:t>
      </w:r>
      <w:r>
        <w:t xml:space="preserve">would have various upsides: by requiring the direct involvement of ASPSPs and TPPs</w:t>
      </w:r>
      <w:r>
        <w:t xml:space="preserve"> </w:t>
      </w:r>
      <w:r>
        <w:t xml:space="preserve">(through funding and expertise) these parties would have “skin in the game” and are likely to</w:t>
      </w:r>
      <w:r>
        <w:t xml:space="preserve"> </w:t>
      </w:r>
      <w:r>
        <w:t xml:space="preserve">cooperate better given their increased influence; this body would ensure that specialised</w:t>
      </w:r>
      <w:r>
        <w:t xml:space="preserve"> </w:t>
      </w:r>
      <w:r>
        <w:t xml:space="preserve">supervisors can dedicate all their time to Open Banking, which is currently sometimes</w:t>
      </w:r>
      <w:r>
        <w:t xml:space="preserve"> </w:t>
      </w:r>
      <w:r>
        <w:t xml:space="preserve">signalled as an issue within national supervisors, which are often already strained in terms of</w:t>
      </w:r>
      <w:r>
        <w:t xml:space="preserve"> </w:t>
      </w:r>
      <w:r>
        <w:t xml:space="preserve">resources (and relevant expertise). The resource need on national supervisors would fall. As</w:t>
      </w:r>
      <w:r>
        <w:t xml:space="preserve"> </w:t>
      </w:r>
      <w:r>
        <w:t xml:space="preserve">this body would also assure harmonisation across Member States there would be less</w:t>
      </w:r>
      <w:r>
        <w:t xml:space="preserve"> </w:t>
      </w:r>
      <w:r>
        <w:t xml:space="preserve">fragmentation and more efficiency gains for ASPSPs and TPPs, especially those active across</w:t>
      </w:r>
      <w:r>
        <w:t xml:space="preserve"> </w:t>
      </w:r>
      <w:r>
        <w:t xml:space="preserve">borders. Downsides are that the body would need time to integrate the legacy of all NCAs</w:t>
      </w:r>
      <w:r>
        <w:t xml:space="preserve"> </w:t>
      </w:r>
      <w:r>
        <w:t xml:space="preserve">currently dealing with the topic, which might impede its effectiveness. Furthermore, ASPSPs</w:t>
      </w:r>
    </w:p>
    <w:p>
      <w:pPr>
        <w:pStyle w:val="BodyText"/>
      </w:pPr>
      <w:r>
        <w:t xml:space="preserve">146 Meetings of the CEGBPI committee of 30/11/2021, 7/4/2022 and 21/3/2023. See Annex 2.</w:t>
      </w:r>
      <w:r>
        <w:t xml:space="preserve"> </w:t>
      </w:r>
      <w:r>
        <w:t xml:space="preserve">147 For example, the proposal for a Regulation on Markets in Crypto Assets Regulation (MiCA) or the 2021</w:t>
      </w:r>
      <w:r>
        <w:t xml:space="preserve"> </w:t>
      </w:r>
      <w:r>
        <w:t xml:space="preserve">revisions of the capital requirements rules for banks (see impact assessment SWD(2021) 320 final).</w:t>
      </w:r>
      <w:r>
        <w:t xml:space="preserve"> </w:t>
      </w:r>
      <w:r>
        <w:t xml:space="preserve">148 COM(2010) 716 final, accompanied by an impact assessment SEC(2010) 1496 final.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and TPPs would have to deal with multiple supervisory bodies, with one solely for the</w:t>
      </w:r>
      <w:r>
        <w:t xml:space="preserve"> </w:t>
      </w:r>
      <w:r>
        <w:t xml:space="preserve">purpose of Open Banking, and in the absence of any EU budget allocated to new resources</w:t>
      </w:r>
      <w:r>
        <w:t xml:space="preserve"> </w:t>
      </w:r>
      <w:r>
        <w:t xml:space="preserve">for agencies, the body would have to be 100% funded by PSPs, so they would incur a cost for</w:t>
      </w:r>
      <w:r>
        <w:t xml:space="preserve"> </w:t>
      </w:r>
      <w:r>
        <w:t xml:space="preserve">financial contributions.</w:t>
      </w:r>
      <w:r>
        <w:br/>
      </w:r>
      <w:r>
        <w:t xml:space="preserve">As regards efficiency, estimating costs is difficult but the UK OBIE can be used as an</w:t>
      </w:r>
      <w:r>
        <w:t xml:space="preserve"> </w:t>
      </w:r>
      <w:r>
        <w:t xml:space="preserve">indicator. Initially estimated to require approximately £20 mln per year, it had already</w:t>
      </w:r>
      <w:r>
        <w:t xml:space="preserve"> </w:t>
      </w:r>
      <w:r>
        <w:t xml:space="preserve">surpassed £150 mln annual cost by 2021149, only a small percentage of which was recovered</w:t>
      </w:r>
      <w:r>
        <w:t xml:space="preserve"> </w:t>
      </w:r>
      <w:r>
        <w:t xml:space="preserve">in fees and charges. The costs of an EU body would probably be much higher, also given 27</w:t>
      </w:r>
      <w:r>
        <w:t xml:space="preserve"> </w:t>
      </w:r>
      <w:r>
        <w:t xml:space="preserve">Member States and cross-border issues. The supervisory body might be made more effective</w:t>
      </w:r>
      <w:r>
        <w:t xml:space="preserve"> </w:t>
      </w:r>
      <w:r>
        <w:t xml:space="preserve">by having enforcement or supervisory powers of its own, but that would mean division of</w:t>
      </w:r>
      <w:r>
        <w:t xml:space="preserve"> </w:t>
      </w:r>
      <w:r>
        <w:t xml:space="preserve">supervision for PSPs between a new EU body (for Open Banking) and NCAs (for other</w:t>
      </w:r>
      <w:r>
        <w:t xml:space="preserve"> </w:t>
      </w:r>
      <w:r>
        <w:t xml:space="preserve">aspects of PSD).</w:t>
      </w:r>
      <w:r>
        <w:br/>
      </w:r>
      <w:r>
        <w:t xml:space="preserve">Regarding coherence, it may be noted that an EU OB body would fit best of all with Open</w:t>
      </w:r>
      <w:r>
        <w:t xml:space="preserve"> </w:t>
      </w:r>
      <w:r>
        <w:t xml:space="preserve">Banking option 2.b (harmonisation of APIs), which has been rejected above. Furthermore, no</w:t>
      </w:r>
      <w:r>
        <w:t xml:space="preserve"> </w:t>
      </w:r>
      <w:r>
        <w:t xml:space="preserve">such dedicated EU enforcement entity is proposed in the Open Finance initiative.</w:t>
      </w:r>
      <w:r>
        <w:t xml:space="preserve"> </w:t>
      </w:r>
      <w:r>
        <w:t xml:space="preserve">In summary, option 3c) would involve significant cost for EU PSPs in fees and charges, in</w:t>
      </w:r>
      <w:r>
        <w:t xml:space="preserve"> </w:t>
      </w:r>
      <w:r>
        <w:t xml:space="preserve">the hundreds of millions of euro per year, given the need for 100% sectoral funding, and</w:t>
      </w:r>
      <w:r>
        <w:t xml:space="preserve"> </w:t>
      </w:r>
      <w:r>
        <w:t xml:space="preserve">would face significant operating challenges which mean that it is not certain to achieve</w:t>
      </w:r>
      <w:r>
        <w:t xml:space="preserve"> </w:t>
      </w:r>
      <w:r>
        <w:t xml:space="preserve">benefits outweighing the costs. This option is therefore rejected.</w:t>
      </w:r>
      <w:r>
        <w:t xml:space="preserve"> </w:t>
      </w:r>
      <w:r>
        <w:t xml:space="preserve">Comparison of options aimed to improve enforcement and implementation in Member States</w:t>
      </w:r>
      <w:r>
        <w:t xml:space="preserve"> </w:t>
      </w:r>
      <w:r>
        <w:t xml:space="preserve">Selected options are a) and b). Option c) is rejected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3.a) Replace the greater part of</w:t>
      </w:r>
      <w:r>
        <w:t xml:space="preserve"> </w:t>
      </w:r>
      <w:r>
        <w:t xml:space="preserve">PSD2 with a directly-applicable</w:t>
      </w:r>
      <w:r>
        <w:t xml:space="preserve"> </w:t>
      </w:r>
      <w:r>
        <w:t xml:space="preserve">Regulation clarifying aspects of</w:t>
      </w:r>
      <w:r>
        <w:t xml:space="preserve"> </w:t>
      </w:r>
      <w:r>
        <w:t xml:space="preserve">PSD2 which are unclear or</w:t>
      </w:r>
      <w:r>
        <w:t xml:space="preserve"> </w:t>
      </w:r>
      <w:r>
        <w:t xml:space="preserve">ambiguous</w:t>
      </w:r>
      <w:r>
        <w:t xml:space="preserve"> </w:t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3.b) Strengthen provisions on</w:t>
      </w:r>
      <w:r>
        <w:t xml:space="preserve"> </w:t>
      </w:r>
      <w:r>
        <w:t xml:space="preserve">penalties in PSD</w:t>
      </w:r>
      <w:r>
        <w:t xml:space="preserve"> </w:t>
      </w:r>
      <w:r>
        <w:t xml:space="preserve">++</w:t>
      </w:r>
      <w:r>
        <w:t xml:space="preserve"> </w:t>
      </w:r>
      <w:r>
        <w:t xml:space="preserve">≈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3.c) Creating a EU-level</w:t>
      </w:r>
      <w:r>
        <w:t xml:space="preserve"> </w:t>
      </w:r>
      <w:r>
        <w:t xml:space="preserve">supervisory body for Open</w:t>
      </w:r>
      <w:r>
        <w:t xml:space="preserve"> </w:t>
      </w:r>
      <w:r>
        <w:t xml:space="preserve">Banking</w:t>
      </w:r>
      <w:r>
        <w:t xml:space="preserve"> </w:t>
      </w:r>
      <w:r>
        <w:t xml:space="preserve">+</w:t>
      </w:r>
      <w:r>
        <w:t xml:space="preserve"> </w:t>
      </w:r>
      <w:r>
        <w:t xml:space="preserve">-</w:t>
      </w:r>
      <w:r>
        <w:t xml:space="preserve"> </w:t>
      </w:r>
      <w:r>
        <w:t xml:space="preserve">≈</w:t>
      </w:r>
      <w:r>
        <w:t xml:space="preserve"> </w:t>
      </w:r>
      <w:r>
        <w:t xml:space="preserve">≈</w:t>
      </w:r>
    </w:p>
    <w:p>
      <w:pPr>
        <w:pStyle w:val="BodyText"/>
      </w:pPr>
      <w:r>
        <w:t xml:space="preserve">6.4. Improve (direct or indirect) access to payment systems and bank accounts for non-</w:t>
      </w:r>
      <w:r>
        <w:t xml:space="preserve"> </w:t>
      </w:r>
      <w:r>
        <w:t xml:space="preserve">bank PSPs</w:t>
      </w:r>
      <w:r>
        <w:t xml:space="preserve"> </w:t>
      </w:r>
      <w:r>
        <w:t xml:space="preserve">Option 4a) (reinforcement of the right of PIs and EMIs to access to payment systems via an</w:t>
      </w:r>
      <w:r>
        <w:t xml:space="preserve"> </w:t>
      </w:r>
      <w:r>
        <w:t xml:space="preserve">account with a credit institution) would aim to remedy difficulties currently encountered by</w:t>
      </w:r>
      <w:r>
        <w:t xml:space="preserve"> </w:t>
      </w:r>
      <w:r>
        <w:t xml:space="preserve">non-bank PSPs to obtain an account with a credit institution. It would come close to</w:t>
      </w:r>
      <w:r>
        <w:t xml:space="preserve"> </w:t>
      </w:r>
      <w:r>
        <w:t xml:space="preserve">establishing a right to a payment account with a credit institution for PIs and EMIs, placing a</w:t>
      </w:r>
      <w:r>
        <w:t xml:space="preserve"> </w:t>
      </w:r>
      <w:r>
        <w:t xml:space="preserve">burden on banks to explain rejection or withdrawal of service to a PI or EMI, with</w:t>
      </w:r>
      <w:r>
        <w:t xml:space="preserve"> </w:t>
      </w:r>
      <w:r>
        <w:t xml:space="preserve">substantiated reasons. The establishment of an appeal procedure for rejected PIs and EMIs</w:t>
      </w:r>
    </w:p>
    <w:p>
      <w:pPr>
        <w:pStyle w:val="BodyText"/>
      </w:pPr>
      <w:r>
        <w:t xml:space="preserve">149 Alison White, Investigation of Open Banking Limited, Independent report provided to the UK Competition</w:t>
      </w:r>
      <w:r>
        <w:t xml:space="preserve"> </w:t>
      </w:r>
      <w:r>
        <w:t xml:space="preserve">and Markets Authority (CMA), 1 October 2021.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would constitute another deterrent to refusal or withdrawal of account service by banks. This</w:t>
      </w:r>
      <w:r>
        <w:t xml:space="preserve"> </w:t>
      </w:r>
      <w:r>
        <w:t xml:space="preserve">option would aim to ensure that non-bank PSPs would always be able to find a bank to</w:t>
      </w:r>
      <w:r>
        <w:t xml:space="preserve"> </w:t>
      </w:r>
      <w:r>
        <w:t xml:space="preserve">provide account services and not experience frequent disruption of service. Certain non-bank</w:t>
      </w:r>
      <w:r>
        <w:t xml:space="preserve"> </w:t>
      </w:r>
      <w:r>
        <w:t xml:space="preserve">PSPs may prefer to have only indirect access to payment systems via a bank, because of</w:t>
      </w:r>
      <w:r>
        <w:t xml:space="preserve"> </w:t>
      </w:r>
      <w:r>
        <w:t xml:space="preserve">specific costs, or liquidity or collateral requirements of payment systems for direct</w:t>
      </w:r>
      <w:r>
        <w:t xml:space="preserve"> </w:t>
      </w:r>
      <w:r>
        <w:t xml:space="preserve">participation; non-bank PSPs need a bank account for the purpose of safeguarding customer</w:t>
      </w:r>
      <w:r>
        <w:t xml:space="preserve"> </w:t>
      </w:r>
      <w:r>
        <w:t xml:space="preserve">funds. Non-bank PSPs strongly support this option, and many Member States also; most</w:t>
      </w:r>
      <w:r>
        <w:t xml:space="preserve"> </w:t>
      </w:r>
      <w:r>
        <w:t xml:space="preserve">banks oppose it, but the cost for banks should be limited. Therefore, this option can be useful</w:t>
      </w:r>
      <w:r>
        <w:t xml:space="preserve"> </w:t>
      </w:r>
      <w:r>
        <w:t xml:space="preserve">to PIs and EMIs in ensuring a means of access and is therefore retained.</w:t>
      </w:r>
      <w:r>
        <w:t xml:space="preserve"> </w:t>
      </w:r>
      <w:r>
        <w:t xml:space="preserve">However, access to payment systems via a bank, even where ensured, is still considered by</w:t>
      </w:r>
      <w:r>
        <w:t xml:space="preserve"> </w:t>
      </w:r>
      <w:r>
        <w:t xml:space="preserve">many PIs and EMIs as inferior to direct access. First of all, the non-bank PIs must pay fees to</w:t>
      </w:r>
      <w:r>
        <w:t xml:space="preserve"> </w:t>
      </w:r>
      <w:r>
        <w:t xml:space="preserve">their competitors, increasing their costs, and their competitors have access to information</w:t>
      </w:r>
      <w:r>
        <w:t xml:space="preserve"> </w:t>
      </w:r>
      <w:r>
        <w:t xml:space="preserve">about their business volumes which may be useful to them. Access via a bank can also</w:t>
      </w:r>
      <w:r>
        <w:t xml:space="preserve"> </w:t>
      </w:r>
      <w:r>
        <w:t xml:space="preserve">increase the time taken to execute transfers, which can be key in the area of instant payments,</w:t>
      </w:r>
      <w:r>
        <w:t xml:space="preserve"> </w:t>
      </w:r>
      <w:r>
        <w:t xml:space="preserve">which must be executed within ten seconds of the order being received. Therefore, option 4a)</w:t>
      </w:r>
      <w:r>
        <w:t xml:space="preserve"> </w:t>
      </w:r>
      <w:r>
        <w:t xml:space="preserve">cannot be a complete solution to the problem of access by non-bank PSPs to payment</w:t>
      </w:r>
      <w:r>
        <w:t xml:space="preserve"> </w:t>
      </w:r>
      <w:r>
        <w:t xml:space="preserve">systems.</w:t>
      </w:r>
      <w:r>
        <w:br/>
      </w:r>
      <w:r>
        <w:t xml:space="preserve">Option 4b) (granting of direct participation of PIs and EMIs to all payment systems,</w:t>
      </w:r>
      <w:r>
        <w:t xml:space="preserve"> </w:t>
      </w:r>
      <w:r>
        <w:t xml:space="preserve">including those designated by Member States pursuant to the SFD) would allow PIs and</w:t>
      </w:r>
      <w:r>
        <w:t xml:space="preserve"> </w:t>
      </w:r>
      <w:r>
        <w:t xml:space="preserve">EMIs the possibility of direct access to all payment systems, including those designated by</w:t>
      </w:r>
      <w:r>
        <w:t xml:space="preserve"> </w:t>
      </w:r>
      <w:r>
        <w:t xml:space="preserve">Member States pursuant to SFD (which tend to be the key ones, essential to provide most</w:t>
      </w:r>
      <w:r>
        <w:t xml:space="preserve"> </w:t>
      </w:r>
      <w:r>
        <w:t xml:space="preserve">retail payment services), under the condition that they fulfil the access requirements of the</w:t>
      </w:r>
      <w:r>
        <w:t xml:space="preserve"> </w:t>
      </w:r>
      <w:r>
        <w:t xml:space="preserve">system. It would allow PIs and EMIs to offer instant payments as well. However, certain</w:t>
      </w:r>
      <w:r>
        <w:t xml:space="preserve"> </w:t>
      </w:r>
      <w:r>
        <w:t xml:space="preserve">problems would remain, including the problem of recourse in case of rejection of an</w:t>
      </w:r>
      <w:r>
        <w:t xml:space="preserve"> </w:t>
      </w:r>
      <w:r>
        <w:t xml:space="preserve">application for participation. It would also leave entirely in the hands of payment systems the</w:t>
      </w:r>
      <w:r>
        <w:t xml:space="preserve"> </w:t>
      </w:r>
      <w:r>
        <w:t xml:space="preserve">exact nature of pre-admission risk assessment against specific risks. These drawbacks could</w:t>
      </w:r>
      <w:r>
        <w:t xml:space="preserve"> </w:t>
      </w:r>
      <w:r>
        <w:t xml:space="preserve">hinder the full resolution of the identified problem, and at the same time could potentially</w:t>
      </w:r>
      <w:r>
        <w:t xml:space="preserve"> </w:t>
      </w:r>
      <w:r>
        <w:t xml:space="preserve">increase risks in payment systems by allowing the participation of PIs or EMIs with</w:t>
      </w:r>
      <w:r>
        <w:t xml:space="preserve"> </w:t>
      </w:r>
      <w:r>
        <w:t xml:space="preserve">particularly high-risk profiles.</w:t>
      </w:r>
      <w:r>
        <w:br/>
      </w:r>
      <w:r>
        <w:t xml:space="preserve">Option 4c) (as option 4.b) but with additional clarifications on procedures for admission of</w:t>
      </w:r>
      <w:r>
        <w:t xml:space="preserve"> </w:t>
      </w:r>
      <w:r>
        <w:t xml:space="preserve">new members to payment systems) would aim to achieve the benefits of option 4b) and at the</w:t>
      </w:r>
      <w:r>
        <w:t xml:space="preserve"> </w:t>
      </w:r>
      <w:r>
        <w:t xml:space="preserve">same time to remedy these shortcomings. It would require payment systems to conduct a full</w:t>
      </w:r>
      <w:r>
        <w:t xml:space="preserve"> </w:t>
      </w:r>
      <w:r>
        <w:t xml:space="preserve">and fair risk assessment before admitting new participants, whether they be banks or non-</w:t>
      </w:r>
      <w:r>
        <w:t xml:space="preserve"> </w:t>
      </w:r>
      <w:r>
        <w:t xml:space="preserve">banks, and only assess risks which are applicable in the specific case (for example, non-banks</w:t>
      </w:r>
      <w:r>
        <w:t xml:space="preserve"> </w:t>
      </w:r>
      <w:r>
        <w:t xml:space="preserve">are much less exposed to credit risk). It would also establish a right of appeal to competent</w:t>
      </w:r>
      <w:r>
        <w:t xml:space="preserve"> </w:t>
      </w:r>
      <w:r>
        <w:t xml:space="preserve">authorities for rejected applicants for participation in payment systems. This option is similar</w:t>
      </w:r>
      <w:r>
        <w:t xml:space="preserve"> </w:t>
      </w:r>
      <w:r>
        <w:t xml:space="preserve">to the approach which has been applied in the UK, where PIs and EMIs have been admitted</w:t>
      </w:r>
      <w:r>
        <w:t xml:space="preserve"> </w:t>
      </w:r>
      <w:r>
        <w:t xml:space="preserve">to direct participation in key payment systems, both public and private, following a thorough</w:t>
      </w:r>
      <w:r>
        <w:t xml:space="preserve"> </w:t>
      </w:r>
      <w:r>
        <w:t xml:space="preserve">risk assessment process; the first such non-bank participant was admitted in April 2018,</w:t>
      </w:r>
      <w:r>
        <w:t xml:space="preserve"> </w:t>
      </w:r>
      <w:r>
        <w:t xml:space="preserve">several others have followed since, and no adverse consequences have been observed so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far150. A large number of stakeholders of all categories, including many Member States and</w:t>
      </w:r>
      <w:r>
        <w:t xml:space="preserve"> </w:t>
      </w:r>
      <w:r>
        <w:t xml:space="preserve">the Eurosystem, support this option (see Annex 2)151.</w:t>
      </w:r>
      <w:r>
        <w:t xml:space="preserve"> </w:t>
      </w:r>
      <w:r>
        <w:t xml:space="preserve">Only a combination of options can fully resolve the identified problem and ensure that</w:t>
      </w:r>
      <w:r>
        <w:t xml:space="preserve"> </w:t>
      </w:r>
      <w:r>
        <w:t xml:space="preserve">potential risks are sufficiently mitigated. The selected option is therefore 4c) in combination</w:t>
      </w:r>
      <w:r>
        <w:t xml:space="preserve"> </w:t>
      </w:r>
      <w:r>
        <w:t xml:space="preserve">with 4a).</w:t>
      </w:r>
      <w:r>
        <w:t xml:space="preserve"> </w:t>
      </w:r>
      <w:r>
        <w:t xml:space="preserve">Comparison of options aimed to improve (direct or indirect) access to payment systems and bank</w:t>
      </w:r>
      <w:r>
        <w:t xml:space="preserve"> </w:t>
      </w:r>
      <w:r>
        <w:t xml:space="preserve">accounts for non-bank PSPs</w:t>
      </w:r>
      <w:r>
        <w:t xml:space="preserve"> </w:t>
      </w:r>
      <w:r>
        <w:t xml:space="preserve">Selected options are a) and c). Option b) is rejected</w:t>
      </w:r>
      <w:r>
        <w:t xml:space="preserve"> </w:t>
      </w:r>
      <w:r>
        <w:t xml:space="preserve">Option</w:t>
      </w:r>
      <w:r>
        <w:t xml:space="preserve"> </w:t>
      </w: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 score</w:t>
      </w:r>
      <w:r>
        <w:t xml:space="preserve"> </w:t>
      </w:r>
      <w:r>
        <w:t xml:space="preserve">4.a) Reinforcement of the right of</w:t>
      </w:r>
      <w:r>
        <w:t xml:space="preserve"> </w:t>
      </w:r>
      <w:r>
        <w:t xml:space="preserve">PIs and EMIs to obtain a bank</w:t>
      </w:r>
      <w:r>
        <w:t xml:space="preserve"> </w:t>
      </w:r>
      <w:r>
        <w:t xml:space="preserve">account with a credit institution</w:t>
      </w:r>
      <w:r>
        <w:t xml:space="preserve"> </w:t>
      </w:r>
      <w:r>
        <w:t xml:space="preserve">+</w:t>
      </w:r>
    </w:p>
    <w:p>
      <w:pPr>
        <w:pStyle w:val="BodyText"/>
      </w:pPr>
      <w:r>
        <w:t xml:space="preserve">≈</w:t>
      </w:r>
      <w:r>
        <w:br/>
      </w:r>
      <w:r>
        <w:t xml:space="preserve">++</w:t>
      </w:r>
    </w:p>
    <w:p>
      <w:pPr>
        <w:pStyle w:val="Compact"/>
        <w:numPr>
          <w:ilvl w:val="0"/>
          <w:numId w:val="1009"/>
        </w:numPr>
      </w:pPr>
      <w:r>
        <w:t xml:space="preserve">4.b) Granting of direct</w:t>
      </w:r>
      <w:r>
        <w:t xml:space="preserve"> </w:t>
      </w:r>
      <w:r>
        <w:t xml:space="preserve">participation of PIs and EMIs to</w:t>
      </w:r>
      <w:r>
        <w:t xml:space="preserve"> </w:t>
      </w:r>
      <w:r>
        <w:t xml:space="preserve">all payment systems, including</w:t>
      </w:r>
      <w:r>
        <w:t xml:space="preserve"> </w:t>
      </w:r>
      <w:r>
        <w:t xml:space="preserve">those designated by Member</w:t>
      </w:r>
      <w:r>
        <w:t xml:space="preserve"> </w:t>
      </w:r>
      <w:r>
        <w:t xml:space="preserve">States pursuant to the SFD</w:t>
      </w:r>
    </w:p>
    <w:p>
      <w:pPr>
        <w:pStyle w:val="FirstParagraph"/>
      </w:pPr>
      <w:r>
        <w:t xml:space="preserve">≈</w:t>
      </w:r>
    </w:p>
    <w:p>
      <w:pPr>
        <w:pStyle w:val="Compact"/>
        <w:numPr>
          <w:ilvl w:val="0"/>
          <w:numId w:val="1010"/>
        </w:numPr>
      </w:pPr>
      <w:r>
        <w:t xml:space="preserve">4.c) option 4.b) but with</w:t>
      </w:r>
      <w:r>
        <w:t xml:space="preserve"> </w:t>
      </w:r>
      <w:r>
        <w:t xml:space="preserve">additional clarifications on</w:t>
      </w:r>
      <w:r>
        <w:t xml:space="preserve"> </w:t>
      </w:r>
      <w:r>
        <w:t xml:space="preserve">procedures for admission of new</w:t>
      </w:r>
      <w:r>
        <w:t xml:space="preserve"> </w:t>
      </w:r>
      <w:r>
        <w:t xml:space="preserve">members to payment systems,</w:t>
      </w:r>
      <w:r>
        <w:t xml:space="preserve"> </w:t>
      </w:r>
      <w:r>
        <w:t xml:space="preserve">including the carrying out of risk</w:t>
      </w:r>
      <w:r>
        <w:t xml:space="preserve"> </w:t>
      </w:r>
      <w:r>
        <w:t xml:space="preserve">assessment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10"/>
        </w:numPr>
      </w:pPr>
      <w:r>
        <w:t xml:space="preserve">++</w:t>
      </w:r>
      <w:r>
        <w:t xml:space="preserve"> </w:t>
      </w:r>
      <w:r>
        <w:t xml:space="preserve">++</w:t>
      </w:r>
    </w:p>
    <w:p>
      <w:pPr>
        <w:pStyle w:val="Compact"/>
        <w:numPr>
          <w:ilvl w:val="0"/>
          <w:numId w:val="1011"/>
        </w:numPr>
      </w:pPr>
      <w:r>
        <w:t xml:space="preserve">PREFERRED OPTIONS</w:t>
      </w:r>
      <w:r>
        <w:br/>
      </w:r>
      <w:r>
        <w:t xml:space="preserve">The package of preferred options (summarised in §7.4 below) represents largely specific</w:t>
      </w:r>
      <w:r>
        <w:t xml:space="preserve"> </w:t>
      </w:r>
      <w:r>
        <w:t xml:space="preserve">targeted amendments to PSD2, rejecting most of the more far-reaching options, which either</w:t>
      </w:r>
      <w:r>
        <w:t xml:space="preserve"> </w:t>
      </w:r>
      <w:r>
        <w:t xml:space="preserve">are not backed by sufficient evidence of a problem (see Annex 6 on scope) or would be too</w:t>
      </w:r>
      <w:r>
        <w:t xml:space="preserve"> </w:t>
      </w:r>
      <w:r>
        <w:t xml:space="preserve">disruptive and costly to implement for uncertain benefit (for example, options 2b or 3c). In</w:t>
      </w:r>
      <w:r>
        <w:t xml:space="preserve"> </w:t>
      </w:r>
      <w:r>
        <w:t xml:space="preserve">addition to the individual impacts of the selected options discussed above, they should</w:t>
      </w:r>
      <w:r>
        <w:t xml:space="preserve"> </w:t>
      </w:r>
      <w:r>
        <w:t xml:space="preserve">positively interact with each other in a number of ways. For example, the enforcement-related</w:t>
      </w:r>
      <w:r>
        <w:t xml:space="preserve"> </w:t>
      </w:r>
      <w:r>
        <w:t xml:space="preserve">measures will also have a horizontal effect boosting the effectiveness of all the other selected</w:t>
      </w:r>
      <w:r>
        <w:t xml:space="preserve"> </w:t>
      </w:r>
      <w:r>
        <w:t xml:space="preserve">measures in other areas. A reduction in fraud should contribute to the efficiency of payments</w:t>
      </w:r>
      <w:r>
        <w:t xml:space="preserve"> </w:t>
      </w:r>
      <w:r>
        <w:t xml:space="preserve">in the EU, free resources in PSPs for use in other areas, and increase consumer confidence.</w:t>
      </w:r>
      <w:r>
        <w:t xml:space="preserve"> </w:t>
      </w:r>
      <w:r>
        <w:t xml:space="preserve">On the other hand, the baseline path of not amending PSD2 at all would leave a number of</w:t>
      </w:r>
      <w:r>
        <w:t xml:space="preserve"> </w:t>
      </w:r>
      <w:r>
        <w:t xml:space="preserve">genuine problems unaddressed. The package of selected options is analysed below in terms of</w:t>
      </w:r>
      <w:r>
        <w:t xml:space="preserve"> </w:t>
      </w:r>
      <w:r>
        <w:t xml:space="preserve">effectiveness in tackling the identified problems, efficiency (cost) and coherence with other</w:t>
      </w:r>
      <w:r>
        <w:t xml:space="preserve"> </w:t>
      </w:r>
      <w:r>
        <w:t xml:space="preserve">EU legislation and initiatives.</w:t>
      </w:r>
      <w:r>
        <w:t xml:space="preserve"> </w:t>
      </w:r>
      <w:r>
        <w:t xml:space="preserve">The flanking measures discussed in Annexes, such as the technical clarifications described in</w:t>
      </w:r>
      <w:r>
        <w:t xml:space="preserve"> </w:t>
      </w:r>
      <w:r>
        <w:t xml:space="preserve">Annex 7, the simplifications arising from the greater alignment of the supervisory regimes for</w:t>
      </w:r>
    </w:p>
    <w:p>
      <w:pPr>
        <w:pStyle w:val="FirstParagraph"/>
      </w:pPr>
      <w:r>
        <w:t xml:space="preserve">150 See Bank of England press release and document « Access to UK Payment Schemes for Non-Bank Payment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Providers », of December 2019.</w:t>
      </w:r>
      <w:r>
        <w:t xml:space="preserve"> </w:t>
      </w:r>
      <w:r>
        <w:t xml:space="preserve">151 See also a joint letter by various fintech federations on this subject dated 3 February 2023.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PIs and EMIs described in Annex 8 and the improvements to consumer rights and protection</w:t>
      </w:r>
      <w:r>
        <w:t xml:space="preserve"> </w:t>
      </w:r>
      <w:r>
        <w:t xml:space="preserve">described in Annex 10, should also be understood as horizontal measures, part of all relevant</w:t>
      </w:r>
      <w:r>
        <w:t xml:space="preserve"> </w:t>
      </w:r>
      <w:r>
        <w:t xml:space="preserve">combinations of options. Technical clarifications (including on scope), and the integration of</w:t>
      </w:r>
      <w:r>
        <w:t xml:space="preserve"> </w:t>
      </w:r>
      <w:r>
        <w:t xml:space="preserve">EMD2 into PSD2, covered in Annexes 6-9, are related to general objective 3 (Single Market).</w:t>
      </w:r>
      <w:r>
        <w:t xml:space="preserve"> </w:t>
      </w:r>
      <w:r>
        <w:t xml:space="preserve">Measures to improve access to cash in Annex 9 are related to general objective 5 (protection</w:t>
      </w:r>
      <w:r>
        <w:t xml:space="preserve"> </w:t>
      </w:r>
      <w:r>
        <w:t xml:space="preserve">of payment system users). Consumer rights measures, related to general objective 2</w:t>
      </w:r>
      <w:r>
        <w:t xml:space="preserve"> </w:t>
      </w:r>
      <w:r>
        <w:t xml:space="preserve">(efficiency, transparency and choice) and 5 (protection of payment system users), are covered</w:t>
      </w:r>
      <w:r>
        <w:t xml:space="preserve"> </w:t>
      </w:r>
      <w:r>
        <w:t xml:space="preserve">in Annex 10.”</w:t>
      </w:r>
      <w:r>
        <w:br/>
      </w:r>
      <w:r>
        <w:t xml:space="preserve">7.1. Effectiveness</w:t>
      </w:r>
      <w:r>
        <w:t xml:space="preserve"> </w:t>
      </w:r>
      <w:r>
        <w:t xml:space="preserve">Regarding fraud, the effectiveness of IBAN verification in reducing fraud and errors in</w:t>
      </w:r>
      <w:r>
        <w:t xml:space="preserve"> </w:t>
      </w:r>
      <w:r>
        <w:t xml:space="preserve">payments in the Netherlands and the UK, where such a system already exists, was highlighted</w:t>
      </w:r>
      <w:r>
        <w:t xml:space="preserve"> </w:t>
      </w:r>
      <w:r>
        <w:t xml:space="preserve">in the impact assessment accompanying the proposal on Instant Payments152. IBAN</w:t>
      </w:r>
      <w:r>
        <w:t xml:space="preserve"> </w:t>
      </w:r>
      <w:r>
        <w:t xml:space="preserve">verification has already been proposed to be introduced for euro instant payments, in the</w:t>
      </w:r>
      <w:r>
        <w:t xml:space="preserve"> </w:t>
      </w:r>
      <w:r>
        <w:t xml:space="preserve">Commission’s legislative proposal on IPs, so its effectiveness in the framework of this</w:t>
      </w:r>
      <w:r>
        <w:t xml:space="preserve"> </w:t>
      </w:r>
      <w:r>
        <w:t xml:space="preserve">initiative would concern other credit transfers and non-euro currencies. The conditional</w:t>
      </w:r>
      <w:r>
        <w:t xml:space="preserve"> </w:t>
      </w:r>
      <w:r>
        <w:t xml:space="preserve">reversal of liability in cases where the IBAN verification service is not functioning, will</w:t>
      </w:r>
      <w:r>
        <w:t xml:space="preserve"> </w:t>
      </w:r>
      <w:r>
        <w:t xml:space="preserve">reinforce this measure and encourage PSPs to avoid downtime of their IBAN verification</w:t>
      </w:r>
      <w:r>
        <w:t xml:space="preserve"> </w:t>
      </w:r>
      <w:r>
        <w:t xml:space="preserve">service. The other selected anti-fraud options, measures to improve application of the SCA</w:t>
      </w:r>
      <w:r>
        <w:t xml:space="preserve"> </w:t>
      </w:r>
      <w:r>
        <w:t xml:space="preserve">requirements and to facilitate PSPs’ sharing of fraud information, will have incremental but</w:t>
      </w:r>
      <w:r>
        <w:t xml:space="preserve"> </w:t>
      </w:r>
      <w:r>
        <w:t xml:space="preserve">real impact against fraud. A clear delineation of the scope of application of MITs and</w:t>
      </w:r>
      <w:r>
        <w:t xml:space="preserve"> </w:t>
      </w:r>
      <w:r>
        <w:t xml:space="preserve">MOTOs directly impacts the level of consumer protection against fraud and the rights and</w:t>
      </w:r>
      <w:r>
        <w:t xml:space="preserve"> </w:t>
      </w:r>
      <w:r>
        <w:t xml:space="preserve">obligations of the customers and the relevant stakeholders, regarding transactions where SCA</w:t>
      </w:r>
      <w:r>
        <w:t xml:space="preserve"> </w:t>
      </w:r>
      <w:r>
        <w:t xml:space="preserve">rules were not being respected. Exchange of information can be expected to produce the same</w:t>
      </w:r>
      <w:r>
        <w:t xml:space="preserve"> </w:t>
      </w:r>
      <w:r>
        <w:t xml:space="preserve">benefits as in existing national schemes, but these have existed for too little time yet for the</w:t>
      </w:r>
      <w:r>
        <w:t xml:space="preserve"> </w:t>
      </w:r>
      <w:r>
        <w:t xml:space="preserve">exact benefits to be quantifiable. The combined impact of all of these measures should be a</w:t>
      </w:r>
      <w:r>
        <w:t xml:space="preserve"> </w:t>
      </w:r>
      <w:r>
        <w:t xml:space="preserve">measurable reduction in payment-related fraud, especially authorised or APP fraud. The</w:t>
      </w:r>
      <w:r>
        <w:t xml:space="preserve"> </w:t>
      </w:r>
      <w:r>
        <w:t xml:space="preserve">impact assessment accompanying the Commission proposal on IPs found that the potential</w:t>
      </w:r>
      <w:r>
        <w:t xml:space="preserve"> </w:t>
      </w:r>
      <w:r>
        <w:t xml:space="preserve">benefit of an EU-level IBAN verification system for euro IPs would be potentially up to €209</w:t>
      </w:r>
      <w:r>
        <w:t xml:space="preserve"> </w:t>
      </w:r>
      <w:r>
        <w:t xml:space="preserve">million per year, assuming 100% replacement of regular euro credit transfers by euro IPs.</w:t>
      </w:r>
      <w:r>
        <w:t xml:space="preserve"> </w:t>
      </w:r>
      <w:r>
        <w:t xml:space="preserve">This would leave only non-euro credit transfers liable to experience benefits from the</w:t>
      </w:r>
      <w:r>
        <w:t xml:space="preserve"> </w:t>
      </w:r>
      <w:r>
        <w:t xml:space="preserve">generalisation of IBAN verification, and the reduction in fraudulent or erroneous payments</w:t>
      </w:r>
      <w:r>
        <w:t xml:space="preserve"> </w:t>
      </w:r>
      <w:r>
        <w:t xml:space="preserve">could be assumed to be in the range of €100-150 million per year, given the small total</w:t>
      </w:r>
      <w:r>
        <w:t xml:space="preserve"> </w:t>
      </w:r>
      <w:r>
        <w:t xml:space="preserve">volume of non-euro payments in the EU than euro payments. The other measures in this anti-</w:t>
      </w:r>
      <w:r>
        <w:t xml:space="preserve"> </w:t>
      </w:r>
      <w:r>
        <w:t xml:space="preserve">fraud package will further contribute to reducing fraud; if the amount of APP fraud would fall</w:t>
      </w:r>
      <w:r>
        <w:t xml:space="preserve"> </w:t>
      </w:r>
      <w:r>
        <w:t xml:space="preserve">by 10%, that could represent a reduction of €32 million per year153.</w:t>
      </w:r>
      <w:r>
        <w:t xml:space="preserve"> </w:t>
      </w:r>
      <w:r>
        <w:t xml:space="preserve">The proposed changes and clarifications on Open Banking will provide important clarity on</w:t>
      </w:r>
      <w:r>
        <w:t xml:space="preserve"> </w:t>
      </w:r>
      <w:r>
        <w:t xml:space="preserve">the applicable framework and in particular on what quality and functionality must be offered</w:t>
      </w:r>
      <w:r>
        <w:t xml:space="preserve"> </w:t>
      </w:r>
      <w:r>
        <w:t xml:space="preserve">in PSD2 interfaces. They will also enable TPPs to provide better and more OB services, and</w:t>
      </w:r>
      <w:r>
        <w:t xml:space="preserve"> </w:t>
      </w:r>
      <w:r>
        <w:t xml:space="preserve">facilitate a better customer experience (fewer bugs, errors and other technical issues) which</w:t>
      </w:r>
      <w:r>
        <w:t xml:space="preserve"> </w:t>
      </w:r>
      <w:r>
        <w:t xml:space="preserve">will make OB more attractive to use, and as a result, the OB market to grow. However this</w:t>
      </w:r>
    </w:p>
    <w:p>
      <w:pPr>
        <w:pStyle w:val="BodyText"/>
      </w:pPr>
      <w:r>
        <w:t xml:space="preserve">152 SWD(2022) 546 final of 26.10.2022. See for example annex 5. See also section 6.1.c) above.</w:t>
      </w:r>
      <w:r>
        <w:t xml:space="preserve"> </w:t>
      </w:r>
      <w:r>
        <w:t xml:space="preserve">153 Based on the estimation of €323 million of APP fraud per year ; see §2.1.1 above.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result is indirect as the proposed changes and clarifications cannot immediately impact</w:t>
      </w:r>
      <w:r>
        <w:t xml:space="preserve"> </w:t>
      </w:r>
      <w:r>
        <w:t xml:space="preserve">consumer demand; a clear and supportive legal framework can promote the success of OB</w:t>
      </w:r>
      <w:r>
        <w:t xml:space="preserve"> </w:t>
      </w:r>
      <w:r>
        <w:t xml:space="preserve">but not guarantee it. For this reason, more radical options were rejected due to the high</w:t>
      </w:r>
      <w:r>
        <w:t xml:space="preserve"> </w:t>
      </w:r>
      <w:r>
        <w:t xml:space="preserve">associated cost, without guarantee of success. Minimal disruption on the Open Banking</w:t>
      </w:r>
      <w:r>
        <w:t xml:space="preserve"> </w:t>
      </w:r>
      <w:r>
        <w:t xml:space="preserve">market and facilitating extra growth than already projected by market research and the</w:t>
      </w:r>
      <w:r>
        <w:t xml:space="preserve"> </w:t>
      </w:r>
      <w:r>
        <w:t xml:space="preserve">protection of sunk costs implementing PSD2, has been a priority. It is anticipated that the</w:t>
      </w:r>
      <w:r>
        <w:t xml:space="preserve"> </w:t>
      </w:r>
      <w:r>
        <w:t xml:space="preserve">selected options will enhance the already predicted growth trend of Open Banking (by up to</w:t>
      </w:r>
      <w:r>
        <w:t xml:space="preserve"> </w:t>
      </w:r>
      <w:r>
        <w:t xml:space="preserve">10%), as APIs become of better quality and safer, TPPs will be able to provide more, better</w:t>
      </w:r>
      <w:r>
        <w:t xml:space="preserve"> </w:t>
      </w:r>
      <w:r>
        <w:t xml:space="preserve">and reliable OB services and become more attractive to consumers. This would mean</w:t>
      </w:r>
      <w:r>
        <w:t xml:space="preserve"> </w:t>
      </w:r>
      <w:r>
        <w:t xml:space="preserve">increased benefits to TPP revenues and to consumers making use of OB services.</w:t>
      </w:r>
      <w:r>
        <w:t xml:space="preserve"> </w:t>
      </w:r>
      <w:r>
        <w:t xml:space="preserve">Good functioning of the single market for payments will be facilitated by the clarification in</w:t>
      </w:r>
      <w:r>
        <w:t xml:space="preserve"> </w:t>
      </w:r>
      <w:r>
        <w:t xml:space="preserve">the legislation of multiple points where space for differing national interpretations existed</w:t>
      </w:r>
      <w:r>
        <w:t xml:space="preserve"> </w:t>
      </w:r>
      <w:r>
        <w:t xml:space="preserve">(see annex 7), by upgrading the greater part of PSD2 into a directly applicable Regulation,</w:t>
      </w:r>
      <w:r>
        <w:t xml:space="preserve"> </w:t>
      </w:r>
      <w:r>
        <w:t xml:space="preserve">and by the reinforcement of available penalties which will improve the capacity of NCAs to</w:t>
      </w:r>
      <w:r>
        <w:t xml:space="preserve"> </w:t>
      </w:r>
      <w:r>
        <w:t xml:space="preserve">effectively enforce the rules.</w:t>
      </w:r>
      <w:r>
        <w:br/>
      </w:r>
      <w:r>
        <w:t xml:space="preserve">Regarding direct participation in payment systems for non-bank PSPs, the experience of the</w:t>
      </w:r>
      <w:r>
        <w:t xml:space="preserve"> </w:t>
      </w:r>
      <w:r>
        <w:t xml:space="preserve">UK demonstrates that such direct access can effectively increase competitive forces in the</w:t>
      </w:r>
      <w:r>
        <w:t xml:space="preserve"> </w:t>
      </w:r>
      <w:r>
        <w:t xml:space="preserve">payment sector and stimulate innovation, while not negatively impacting financial stability. A</w:t>
      </w:r>
      <w:r>
        <w:t xml:space="preserve"> </w:t>
      </w:r>
      <w:r>
        <w:t xml:space="preserve">wide range of PIs and EMIs are active in the UK, not only offering payment account services</w:t>
      </w:r>
      <w:r>
        <w:t xml:space="preserve"> </w:t>
      </w:r>
      <w:r>
        <w:t xml:space="preserve">to consumers, but also for example merchant acquiring and Open Banking services. Many of</w:t>
      </w:r>
      <w:r>
        <w:t xml:space="preserve"> </w:t>
      </w:r>
      <w:r>
        <w:t xml:space="preserve">these PSPs are also active in the EU with a license from an EU Member State, but experience</w:t>
      </w:r>
      <w:r>
        <w:t xml:space="preserve"> </w:t>
      </w:r>
      <w:r>
        <w:t xml:space="preserve">practical difficulties to offer competitive services in the EU due to their lack of direct</w:t>
      </w:r>
      <w:r>
        <w:t xml:space="preserve"> </w:t>
      </w:r>
      <w:r>
        <w:t xml:space="preserve">participation in key payment systems in quasi all EU countries due to SFD restrictions. For</w:t>
      </w:r>
      <w:r>
        <w:t xml:space="preserve"> </w:t>
      </w:r>
      <w:r>
        <w:t xml:space="preserve">those PIs and EMIs choosing indirect access via a bank, the more stringent requirements on</w:t>
      </w:r>
      <w:r>
        <w:t xml:space="preserve"> </w:t>
      </w:r>
      <w:r>
        <w:t xml:space="preserve">banks will make such direct access more secure.</w:t>
      </w:r>
      <w:r>
        <w:t xml:space="preserve"> </w:t>
      </w:r>
      <w:r>
        <w:t xml:space="preserve">7.2. Efficiency</w:t>
      </w:r>
      <w:r>
        <w:t xml:space="preserve"> </w:t>
      </w:r>
      <w:r>
        <w:t xml:space="preserve">The package of measures identified has been calibrated to involve a minimum of disruption</w:t>
      </w:r>
      <w:r>
        <w:t xml:space="preserve"> </w:t>
      </w:r>
      <w:r>
        <w:t xml:space="preserve">to the payment services market and to keep implementation costs to a minimum, while still</w:t>
      </w:r>
      <w:r>
        <w:t xml:space="preserve"> </w:t>
      </w:r>
      <w:r>
        <w:t xml:space="preserve">achieving the specific objectives.</w:t>
      </w:r>
      <w:r>
        <w:t xml:space="preserve"> </w:t>
      </w:r>
      <w:r>
        <w:t xml:space="preserve">On fraud reduction, it can be mentioned first of all that the proposal on instant payments</w:t>
      </w:r>
      <w:r>
        <w:t xml:space="preserve"> </w:t>
      </w:r>
      <w:r>
        <w:t xml:space="preserve">already requires EU PSPs offering euro instant payments to provide an IBAN/name</w:t>
      </w:r>
      <w:r>
        <w:t xml:space="preserve"> </w:t>
      </w:r>
      <w:r>
        <w:t xml:space="preserve">verification service with such payments. For EU PSPs offering euro IPs, there will be</w:t>
      </w:r>
      <w:r>
        <w:t xml:space="preserve"> </w:t>
      </w:r>
      <w:r>
        <w:t xml:space="preserve">minimal additional costs to extend such IBAN verification service to other types of credit</w:t>
      </w:r>
      <w:r>
        <w:t xml:space="preserve"> </w:t>
      </w:r>
      <w:r>
        <w:t xml:space="preserve">transfer, non-instant payments in euro and to all credit transfers in non-euro EU currencies.</w:t>
      </w:r>
      <w:r>
        <w:t xml:space="preserve"> </w:t>
      </w:r>
      <w:r>
        <w:t xml:space="preserve">Exchange of information on fraud incidents can be carried out between PSPs at relatively</w:t>
      </w:r>
      <w:r>
        <w:t xml:space="preserve"> </w:t>
      </w:r>
      <w:r>
        <w:t xml:space="preserve">limited cost, and national level schemes already exist in certain Member States154. The</w:t>
      </w:r>
      <w:r>
        <w:t xml:space="preserve"> </w:t>
      </w:r>
      <w:r>
        <w:t xml:space="preserve">proposed limited changes to the liability regime, linked in particular to IBAN/name</w:t>
      </w:r>
    </w:p>
    <w:p>
      <w:pPr>
        <w:pStyle w:val="BodyText"/>
      </w:pPr>
      <w:r>
        <w:t xml:space="preserve">154 For example, in the Netherlands, a programme (« Protocol Incident Warning System for Financial</w:t>
      </w:r>
      <w:r>
        <w:t xml:space="preserve"> </w:t>
      </w:r>
      <w:r>
        <w:t xml:space="preserve">Institutions ») was approved by the national data protection supervisor (Autoriteit Persoonsgegevens) in 2021.</w:t>
      </w:r>
      <w:r>
        <w:t xml:space="preserve"> </w:t>
      </w:r>
      <w:r>
        <w:t xml:space="preserve">The Protocol is available here.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verification, can be implemented via amendments to the general account terms and conditions</w:t>
      </w:r>
      <w:r>
        <w:t xml:space="preserve"> </w:t>
      </w:r>
      <w:r>
        <w:t xml:space="preserve">between PSPs and PSUs, when these are due for renewal.</w:t>
      </w:r>
      <w:r>
        <w:br/>
      </w:r>
      <w:r>
        <w:t xml:space="preserve">The amendments regarding Open Banking have been selected with a view to avoiding a need</w:t>
      </w:r>
      <w:r>
        <w:t xml:space="preserve"> </w:t>
      </w:r>
      <w:r>
        <w:t xml:space="preserve">for significant new expenses for ASPSPs which have already developed APIs to allow data</w:t>
      </w:r>
      <w:r>
        <w:t xml:space="preserve"> </w:t>
      </w:r>
      <w:r>
        <w:t xml:space="preserve">access by TPPs active in Open Banking. Another important factor which influenced the</w:t>
      </w:r>
      <w:r>
        <w:t xml:space="preserve"> </w:t>
      </w:r>
      <w:r>
        <w:t xml:space="preserve">selection of options is the fact that the Open Banking market is predicted to grow155 and</w:t>
      </w:r>
      <w:r>
        <w:t xml:space="preserve"> </w:t>
      </w:r>
      <w:r>
        <w:t xml:space="preserve">significant changes could negatively disrupt this already projected growth. The additional</w:t>
      </w:r>
      <w:r>
        <w:t xml:space="preserve"> </w:t>
      </w:r>
      <w:r>
        <w:t xml:space="preserve">revenue stemming from this baseline growth is estimated to be around €3.6 billion for 2024</w:t>
      </w:r>
      <w:r>
        <w:t xml:space="preserve"> </w:t>
      </w:r>
      <w:r>
        <w:t xml:space="preserve">and €6.7 billion by 2027 (cumulative revenue €12 bn by 2024 - see Annex 3). Existing APIs</w:t>
      </w:r>
      <w:r>
        <w:t xml:space="preserve"> </w:t>
      </w:r>
      <w:r>
        <w:t xml:space="preserve">may have to be upgraded in certain cases, but will not need to be scrapped and entirely</w:t>
      </w:r>
      <w:r>
        <w:t xml:space="preserve"> </w:t>
      </w:r>
      <w:r>
        <w:t xml:space="preserve">replaced with new interfaces. There will be the possibility of derogations for niche ASPSPs</w:t>
      </w:r>
      <w:r>
        <w:t xml:space="preserve"> </w:t>
      </w:r>
      <w:r>
        <w:t xml:space="preserve">from having APIs or from having an OB interface at all. So, the one-off cost to the ASPSP</w:t>
      </w:r>
      <w:r>
        <w:t xml:space="preserve"> </w:t>
      </w:r>
      <w:r>
        <w:t xml:space="preserve">sector of aligning existing APIs to the revised minimum performance requirements will be</w:t>
      </w:r>
      <w:r>
        <w:t xml:space="preserve"> </w:t>
      </w:r>
      <w:r>
        <w:t xml:space="preserve">limited, and the ongoing recurrent operating and maintenance cost will not be significantly</w:t>
      </w:r>
      <w:r>
        <w:t xml:space="preserve"> </w:t>
      </w:r>
      <w:r>
        <w:t xml:space="preserve">impacted. TPPs will incur lower recurrent costs as they will have to spend less resources on</w:t>
      </w:r>
      <w:r>
        <w:t xml:space="preserve"> </w:t>
      </w:r>
      <w:r>
        <w:t xml:space="preserve">the manual-intensive fallback interfaces due to low-quality APIs. The removal of the</w:t>
      </w:r>
      <w:r>
        <w:t xml:space="preserve"> </w:t>
      </w:r>
      <w:r>
        <w:t xml:space="preserve">obligation to have a fallback interface will involve savings for ASPSPs, offsetting the costs of</w:t>
      </w:r>
      <w:r>
        <w:t xml:space="preserve"> </w:t>
      </w:r>
      <w:r>
        <w:t xml:space="preserve">upgrading APIs. More enforcement by NCAs could require more resources, but NCAs will</w:t>
      </w:r>
      <w:r>
        <w:t xml:space="preserve"> </w:t>
      </w:r>
      <w:r>
        <w:t xml:space="preserve">no longer have to handle requests for fall-back exemptions, and TPPs’ complaints due to</w:t>
      </w:r>
      <w:r>
        <w:t xml:space="preserve"> </w:t>
      </w:r>
      <w:r>
        <w:t xml:space="preserve">malfunctioning or poor API data access will be reduced in the future. Furthermore, the</w:t>
      </w:r>
      <w:r>
        <w:t xml:space="preserve"> </w:t>
      </w:r>
      <w:r>
        <w:t xml:space="preserve">compliance assessment for NCAs will be simpler and more straight forward as legislation</w:t>
      </w:r>
      <w:r>
        <w:t xml:space="preserve"> </w:t>
      </w:r>
      <w:r>
        <w:t xml:space="preserve">becomes clearer. Moreover, it can be anticipated in the future that increasing numbers of</w:t>
      </w:r>
      <w:r>
        <w:t xml:space="preserve"> </w:t>
      </w:r>
      <w:r>
        <w:t xml:space="preserve">added-value APIs, outside the scope of payment legislation, voluntarily providing additional</w:t>
      </w:r>
      <w:r>
        <w:t xml:space="preserve"> </w:t>
      </w:r>
      <w:r>
        <w:t xml:space="preserve">data and services subject to a fee, will be developed, thus bringing some revenue to the</w:t>
      </w:r>
      <w:r>
        <w:t xml:space="preserve"> </w:t>
      </w:r>
      <w:r>
        <w:t xml:space="preserve">ASPSP sector offsetting the overall cost of developing and maintaining APIs; although the</w:t>
      </w:r>
      <w:r>
        <w:t xml:space="preserve"> </w:t>
      </w:r>
      <w:r>
        <w:t xml:space="preserve">basic PSD interface must continue to be provided free of charge by default.</w:t>
      </w:r>
      <w:r>
        <w:t xml:space="preserve"> </w:t>
      </w:r>
      <w:r>
        <w:t xml:space="preserve">The changes regarding penalties for breaches of PSD can be anticipated to lead Member</w:t>
      </w:r>
      <w:r>
        <w:t xml:space="preserve"> </w:t>
      </w:r>
      <w:r>
        <w:t xml:space="preserve">States to devote more resources in national authorities to the investigation and sanctioning of</w:t>
      </w:r>
      <w:r>
        <w:t xml:space="preserve"> </w:t>
      </w:r>
      <w:r>
        <w:t xml:space="preserve">breaches of rules by PSPs, and could generate recurrent costs for a few additional members of</w:t>
      </w:r>
      <w:r>
        <w:t xml:space="preserve"> </w:t>
      </w:r>
      <w:r>
        <w:t xml:space="preserve">staff for those authorities. However, the clarifications on various elements of PSD can be</w:t>
      </w:r>
      <w:r>
        <w:t xml:space="preserve"> </w:t>
      </w:r>
      <w:r>
        <w:t xml:space="preserve">expected to reduce staff time spent analysing such unclear elements, which can compensate</w:t>
      </w:r>
      <w:r>
        <w:t xml:space="preserve"> </w:t>
      </w:r>
      <w:r>
        <w:t xml:space="preserve">for this. The same applies for the upgrade of the greater part of PSD2 into a directly</w:t>
      </w:r>
    </w:p>
    <w:p>
      <w:pPr>
        <w:pStyle w:val="BodyText"/>
      </w:pPr>
      <w:r>
        <w:t xml:space="preserve">155 Juniper Research available at Statista assumes the number of OB users will grow, not (explicitly) considering</w:t>
      </w:r>
      <w:r>
        <w:t xml:space="preserve"> </w:t>
      </w:r>
      <w:r>
        <w:t xml:space="preserve">legislative intervention link: Open Banking Market Data &amp; Forecasting Report; Forrester estimated in</w:t>
      </w:r>
      <w:r>
        <w:t xml:space="preserve"> </w:t>
      </w:r>
      <w:r>
        <w:t xml:space="preserve">November 2022, including assumptions regarding the increased adoption of Open Finance and increased</w:t>
      </w:r>
      <w:r>
        <w:t xml:space="preserve"> </w:t>
      </w:r>
      <w:r>
        <w:t xml:space="preserve">standardisation stemming from the PSD2 review, that customer interest in Open Banking is “accelerating” link:</w:t>
      </w:r>
      <w:r>
        <w:t xml:space="preserve"> </w:t>
      </w:r>
      <w:r>
        <w:t xml:space="preserve">Open Banking Adoption On The Cusp Of Robust Growth In Europe (forrester.com) // report: European Open</w:t>
      </w:r>
      <w:r>
        <w:t xml:space="preserve"> </w:t>
      </w:r>
      <w:r>
        <w:t xml:space="preserve">Banking Forecast, 2022 To 2027 figure 1.</w:t>
      </w:r>
      <w:r>
        <w:br/>
      </w:r>
      <w:r>
        <w:t xml:space="preserve">Allied Market Research April 2022 estimates the European OB market (incl. UK) to grow from around €7.1</w:t>
      </w:r>
      <w:r>
        <w:t xml:space="preserve"> </w:t>
      </w:r>
      <w:r>
        <w:t xml:space="preserve">billion end 2020 to €45.7 billion end 2030. Controlling for the UK (4.5 mln of the 20 mln OB users in Europe</w:t>
      </w:r>
      <w:r>
        <w:t xml:space="preserve"> </w:t>
      </w:r>
      <w:r>
        <w:t xml:space="preserve">were from the UK, end 2021, and the UK is more advanced than the EU) the EU growth would be around €5.5</w:t>
      </w:r>
      <w:r>
        <w:t xml:space="preserve"> </w:t>
      </w:r>
      <w:r>
        <w:t xml:space="preserve">billion end 2021 and €38 billion end 2030 – link: Europe Open Banking Market Size, Share | Forecast - 2030</w:t>
      </w:r>
      <w:r>
        <w:t xml:space="preserve"> </w:t>
      </w:r>
      <w:r>
        <w:t xml:space="preserve">(alliedmarketresearch.com)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applicable Regulation (although this will involve the cost to Member States of repealing</w:t>
      </w:r>
      <w:r>
        <w:t xml:space="preserve"> </w:t>
      </w:r>
      <w:r>
        <w:t xml:space="preserve">much of current legislation transposing PSD2).</w:t>
      </w:r>
      <w:r>
        <w:t xml:space="preserve"> </w:t>
      </w:r>
      <w:r>
        <w:t xml:space="preserve">Regarding direct access to payment systems, there will be some one-off costs incurred by</w:t>
      </w:r>
      <w:r>
        <w:t xml:space="preserve"> </w:t>
      </w:r>
      <w:r>
        <w:t xml:space="preserve">payment systems faced with a significant number of applications for membership, and given</w:t>
      </w:r>
      <w:r>
        <w:t xml:space="preserve"> </w:t>
      </w:r>
      <w:r>
        <w:t xml:space="preserve">limited resources for risk assessment, this may require payment system operators to adopt a</w:t>
      </w:r>
      <w:r>
        <w:t xml:space="preserve"> </w:t>
      </w:r>
      <w:r>
        <w:t xml:space="preserve">staged approach to implementation, with only a few new non-banks joining such payment</w:t>
      </w:r>
      <w:r>
        <w:t xml:space="preserve"> </w:t>
      </w:r>
      <w:r>
        <w:t xml:space="preserve">systems each year (this has been the case in the UK). It is not expected that payment systems</w:t>
      </w:r>
      <w:r>
        <w:t xml:space="preserve"> </w:t>
      </w:r>
      <w:r>
        <w:t xml:space="preserve">will need to increase their staffing levels for this task. The requirements on indirect access</w:t>
      </w:r>
      <w:r>
        <w:t xml:space="preserve"> </w:t>
      </w:r>
      <w:r>
        <w:t xml:space="preserve">will be of limited cost for banks, unless they reject or cut off account services to many PIs</w:t>
      </w:r>
      <w:r>
        <w:t xml:space="preserve"> </w:t>
      </w:r>
      <w:r>
        <w:t xml:space="preserve">and EMIs. PIs and EMIs will be able to offer payment services more efficiently and cheaply</w:t>
      </w:r>
      <w:r>
        <w:t xml:space="preserve"> </w:t>
      </w:r>
      <w:r>
        <w:t xml:space="preserve">if they have direct participation in payment systems, thus enhancing price competition in the</w:t>
      </w:r>
      <w:r>
        <w:t xml:space="preserve"> </w:t>
      </w:r>
      <w:r>
        <w:t xml:space="preserve">payments sector.</w:t>
      </w:r>
      <w:r>
        <w:t xml:space="preserve"> </w:t>
      </w:r>
      <w:r>
        <w:t xml:space="preserve">7.3. Coherence</w:t>
      </w:r>
      <w:r>
        <w:t xml:space="preserve"> </w:t>
      </w:r>
      <w:r>
        <w:t xml:space="preserve">The selected options are coherent with and reinforce each other. For example, strengthened</w:t>
      </w:r>
      <w:r>
        <w:t xml:space="preserve"> </w:t>
      </w:r>
      <w:r>
        <w:t xml:space="preserve">enforcement will contribute to the progression of Open Banking under the new rules. Many</w:t>
      </w:r>
      <w:r>
        <w:t xml:space="preserve"> </w:t>
      </w:r>
      <w:r>
        <w:t xml:space="preserve">PIs and EMIs are involved in offering both account services and Open Banking services to</w:t>
      </w:r>
      <w:r>
        <w:t xml:space="preserve"> </w:t>
      </w:r>
      <w:r>
        <w:t xml:space="preserve">customers; better access to payment systems will facilitate this and provide synergies.</w:t>
      </w:r>
      <w:r>
        <w:t xml:space="preserve"> </w:t>
      </w:r>
      <w:r>
        <w:t xml:space="preserve">Reinforced anti-fraud activity will contribute to smoother functioning of payment systems in</w:t>
      </w:r>
      <w:r>
        <w:t xml:space="preserve"> </w:t>
      </w:r>
      <w:r>
        <w:t xml:space="preserve">general and increase the confidence of consumers in new innovative services.</w:t>
      </w:r>
      <w:r>
        <w:t xml:space="preserve"> </w:t>
      </w:r>
      <w:r>
        <w:t xml:space="preserve">Regarding the coherence of the selected options with existing Commission legislation and</w:t>
      </w:r>
      <w:r>
        <w:t xml:space="preserve"> </w:t>
      </w:r>
      <w:r>
        <w:t xml:space="preserve">ongoing initiatives, a detailed account can be found at Annex 12, but key examples are given</w:t>
      </w:r>
      <w:r>
        <w:t xml:space="preserve"> </w:t>
      </w:r>
      <w:r>
        <w:t xml:space="preserve">below:</w:t>
      </w:r>
      <w:r>
        <w:t xml:space="preserve"> </w:t>
      </w:r>
      <w:r>
        <w:t xml:space="preserve"> GDPR: a firm legal basis for PSPs to exchange information on fraud, in line with</w:t>
      </w:r>
      <w:r>
        <w:t xml:space="preserve"> </w:t>
      </w:r>
      <w:r>
        <w:t xml:space="preserve">GDPR, is provided. Concepts of “explicit consent” for treatment of personal data,</w:t>
      </w:r>
      <w:r>
        <w:t xml:space="preserve"> </w:t>
      </w:r>
      <w:r>
        <w:t xml:space="preserve">“silent party data” and “special categories of personal data” will be clarified, in a way</w:t>
      </w:r>
      <w:r>
        <w:t xml:space="preserve"> </w:t>
      </w:r>
      <w:r>
        <w:t xml:space="preserve">which aims to assuage concerns expressed by many payments sector representatives</w:t>
      </w:r>
      <w:r>
        <w:t xml:space="preserve"> </w:t>
      </w:r>
      <w:r>
        <w:t xml:space="preserve">about the effects on payments of Guidelines of the EDPB on PSD2156. See Annex 7</w:t>
      </w:r>
      <w:r>
        <w:t xml:space="preserve"> </w:t>
      </w:r>
      <w:r>
        <w:t xml:space="preserve">for more details.</w:t>
      </w:r>
      <w:r>
        <w:t xml:space="preserve"> </w:t>
      </w:r>
      <w:r>
        <w:t xml:space="preserve"> Markets in Crypto Assets Regulation (MiCA). MiCA categories e-money tokens</w:t>
      </w:r>
      <w:r>
        <w:t xml:space="preserve"> </w:t>
      </w:r>
      <w:r>
        <w:t xml:space="preserve">(EMTs), as funds and therefore payment transactions made with EMTs fall within the</w:t>
      </w:r>
      <w:r>
        <w:t xml:space="preserve"> </w:t>
      </w:r>
      <w:r>
        <w:t xml:space="preserve">scope of PSD2. However, given the very specific nature of EMTs as a type of crypto</w:t>
      </w:r>
      <w:r>
        <w:t xml:space="preserve"> </w:t>
      </w:r>
      <w:r>
        <w:t xml:space="preserve">asset (use of Distributed Ledger Technology etc.), a certain number of clarifications</w:t>
      </w:r>
      <w:r>
        <w:t xml:space="preserve"> </w:t>
      </w:r>
      <w:r>
        <w:t xml:space="preserve">are necessary in PSD2 in order to ensure certainty about the application of certain</w:t>
      </w:r>
      <w:r>
        <w:t xml:space="preserve"> </w:t>
      </w:r>
      <w:r>
        <w:t xml:space="preserve">requirements (such as SCA) to payments using EMTs. Annex 7 provides more details</w:t>
      </w:r>
      <w:r>
        <w:t xml:space="preserve"> </w:t>
      </w:r>
      <w:r>
        <w:t xml:space="preserve">about these clarifications.</w:t>
      </w:r>
    </w:p>
    <w:p>
      <w:pPr>
        <w:pStyle w:val="BodyText"/>
      </w:pPr>
      <w:r>
        <w:t xml:space="preserve">156 EDPB Guidelines 06/2020. The European PSP sector expressed concerns about these Guidelines as</w:t>
      </w:r>
      <w:r>
        <w:t xml:space="preserve"> </w:t>
      </w:r>
      <w:r>
        <w:t xml:space="preserve">potentially hindering the objectives of PSD2 in a joint public letter. See also the Evaluation Report in Annex 5,</w:t>
      </w:r>
      <w:r>
        <w:t xml:space="preserve"> </w:t>
      </w:r>
      <w:r>
        <w:t xml:space="preserve">section 4.1.3.2.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 Settlement Finality Directive (SFD). The targeted amendments to the SFD and PSD2</w:t>
      </w:r>
      <w:r>
        <w:t xml:space="preserve"> </w:t>
      </w:r>
      <w:r>
        <w:t xml:space="preserve">described in options 4b) and 4c) will maintain coherence, but with the positive effect</w:t>
      </w:r>
      <w:r>
        <w:t xml:space="preserve"> </w:t>
      </w:r>
      <w:r>
        <w:t xml:space="preserve">of allowing potential direct access of non-bank PSPs to payment systems designated</w:t>
      </w:r>
      <w:r>
        <w:t xml:space="preserve"> </w:t>
      </w:r>
      <w:r>
        <w:t xml:space="preserve">under SFD, instead of preventing such access, as at present.</w:t>
      </w:r>
      <w:r>
        <w:t xml:space="preserve"> </w:t>
      </w:r>
      <w:r>
        <w:t xml:space="preserve"> Data Act. The Commission proposal for a Data Act, once adopted and in force, will</w:t>
      </w:r>
      <w:r>
        <w:t xml:space="preserve"> </w:t>
      </w:r>
      <w:r>
        <w:t xml:space="preserve">establish a horizontal framework for fair access to and use of data. However, the Data</w:t>
      </w:r>
      <w:r>
        <w:t xml:space="preserve"> </w:t>
      </w:r>
      <w:r>
        <w:t xml:space="preserve">Act (article 40) allows different provisions in sectoral legislation, and the requirement</w:t>
      </w:r>
      <w:r>
        <w:t xml:space="preserve"> </w:t>
      </w:r>
      <w:r>
        <w:t xml:space="preserve">for Open Banking mandatory access to payment account data to be provided without</w:t>
      </w:r>
      <w:r>
        <w:t xml:space="preserve"> </w:t>
      </w:r>
      <w:r>
        <w:t xml:space="preserve">the need for a contract (i.e. for free) is an example of this.</w:t>
      </w:r>
      <w:r>
        <w:t xml:space="preserve"> </w:t>
      </w:r>
      <w:r>
        <w:t xml:space="preserve"> Commission legislative proposal on instant payments (amending the SEPA</w:t>
      </w:r>
      <w:r>
        <w:t xml:space="preserve"> </w:t>
      </w:r>
      <w:r>
        <w:t xml:space="preserve">Regulation). The SEPA Regulation lays down harmonised rules and technical</w:t>
      </w:r>
      <w:r>
        <w:t xml:space="preserve"> </w:t>
      </w:r>
      <w:r>
        <w:t xml:space="preserve">parameters for credit transfers and direct debits in euro. On 26 October 2022, the</w:t>
      </w:r>
      <w:r>
        <w:t xml:space="preserve"> </w:t>
      </w:r>
      <w:r>
        <w:t xml:space="preserve">Commission adopted a proposal for an amendment of the SEPA Regulation</w:t>
      </w:r>
      <w:r>
        <w:t xml:space="preserve"> </w:t>
      </w:r>
      <w:r>
        <w:t xml:space="preserve">promoting instant payments (IPs) in euro. PSPs offering credit transfers and direct</w:t>
      </w:r>
      <w:r>
        <w:t xml:space="preserve"> </w:t>
      </w:r>
      <w:r>
        <w:t xml:space="preserve">debits in the meaning of the SEPA regulation, including instant payments, remain</w:t>
      </w:r>
      <w:r>
        <w:t xml:space="preserve"> </w:t>
      </w:r>
      <w:r>
        <w:t xml:space="preserve">fully in the scope of PSD. A noteworthy element of the present initiative is the</w:t>
      </w:r>
      <w:r>
        <w:t xml:space="preserve"> </w:t>
      </w:r>
      <w:r>
        <w:t xml:space="preserve">generalisation to all credit transfers in all EU currencies of the requirement in the</w:t>
      </w:r>
      <w:r>
        <w:t xml:space="preserve"> </w:t>
      </w:r>
      <w:r>
        <w:t xml:space="preserve">Commission proposal on IPs regarding name/IBAN verification; this does not affect</w:t>
      </w:r>
      <w:r>
        <w:t xml:space="preserve"> </w:t>
      </w:r>
      <w:r>
        <w:t xml:space="preserve">the proposal on IPs, as this initiative will not require IBAN/name check for instant</w:t>
      </w:r>
      <w:r>
        <w:t xml:space="preserve"> </w:t>
      </w:r>
      <w:r>
        <w:t xml:space="preserve">payments in euro, only other credit transfers. Furthermore, direct access of PIs and</w:t>
      </w:r>
      <w:r>
        <w:t xml:space="preserve"> </w:t>
      </w:r>
      <w:r>
        <w:t xml:space="preserve">EMIs to all EU payment systems would allow the extension of the scope of the</w:t>
      </w:r>
      <w:r>
        <w:t xml:space="preserve"> </w:t>
      </w:r>
      <w:r>
        <w:t xml:space="preserve">proposal on IPs to include them (in a future review); currently, PIs and EMIs are</w:t>
      </w:r>
      <w:r>
        <w:t xml:space="preserve"> </w:t>
      </w:r>
      <w:r>
        <w:t xml:space="preserve">excluded from the scope of that proposal because their lack of direct access to key</w:t>
      </w:r>
      <w:r>
        <w:t xml:space="preserve"> </w:t>
      </w:r>
      <w:r>
        <w:t xml:space="preserve">payment systems, due essentially to SFD, prevents them from offering IPs.</w:t>
      </w:r>
      <w:r>
        <w:t xml:space="preserve"> </w:t>
      </w:r>
      <w:r>
        <w:t xml:space="preserve"> Regarding coherence with the Open Finance Initiative (OF) , it should be pointed out</w:t>
      </w:r>
      <w:r>
        <w:t xml:space="preserve"> </w:t>
      </w:r>
      <w:r>
        <w:t xml:space="preserve">that this initiative (see section 1.3) has its own impact assessment, and builds on the</w:t>
      </w:r>
      <w:r>
        <w:t xml:space="preserve"> </w:t>
      </w:r>
      <w:r>
        <w:t xml:space="preserve">lessons learned on Open Banking as identified in the review of PSD2. This is because</w:t>
      </w:r>
      <w:r>
        <w:t xml:space="preserve"> </w:t>
      </w:r>
      <w:r>
        <w:t xml:space="preserve">the policy measures required to improve an already existing system of data sharing</w:t>
      </w:r>
      <w:r>
        <w:t xml:space="preserve"> </w:t>
      </w:r>
      <w:r>
        <w:t xml:space="preserve">under PSD2 are not the same as those needed to design a regulatory system for a new</w:t>
      </w:r>
      <w:r>
        <w:t xml:space="preserve"> </w:t>
      </w:r>
      <w:r>
        <w:t xml:space="preserve">activity in other parts of the financial sector. This has led to different approaches</w:t>
      </w:r>
      <w:r>
        <w:t xml:space="preserve"> </w:t>
      </w:r>
      <w:r>
        <w:t xml:space="preserve">being adopted in certain areas. For example, for data to which access is mandatory</w:t>
      </w:r>
      <w:r>
        <w:t xml:space="preserve"> </w:t>
      </w:r>
      <w:r>
        <w:t xml:space="preserve">this initiative proposes to maintain the current “contract-free/compensation-free”</w:t>
      </w:r>
      <w:r>
        <w:t xml:space="preserve"> </w:t>
      </w:r>
      <w:r>
        <w:t xml:space="preserve">approach (see §5.3) while the OF initiative provides for compensation for access to</w:t>
      </w:r>
      <w:r>
        <w:t xml:space="preserve"> </w:t>
      </w:r>
      <w:r>
        <w:t xml:space="preserve">mandatory data sets157. Different approaches can be applied in different circumstances</w:t>
      </w:r>
      <w:r>
        <w:t xml:space="preserve"> </w:t>
      </w:r>
      <w:r>
        <w:t xml:space="preserve">while remaining coherent. However, other policy options selected in Open Banking</w:t>
      </w:r>
      <w:r>
        <w:t xml:space="preserve"> </w:t>
      </w:r>
      <w:r>
        <w:t xml:space="preserve">are closely aligned with the choices in the Open Finance initiative; see the discussion</w:t>
      </w:r>
      <w:r>
        <w:t xml:space="preserve"> </w:t>
      </w:r>
      <w:r>
        <w:t xml:space="preserve">under each option in §6.2 above. See Annex 6 for the question of whether Account</w:t>
      </w:r>
      <w:r>
        <w:t xml:space="preserve"> </w:t>
      </w:r>
      <w:r>
        <w:t xml:space="preserve">Information Services and Payment Initiation Services more appropriately belong in</w:t>
      </w:r>
      <w:r>
        <w:t xml:space="preserve"> </w:t>
      </w:r>
      <w:r>
        <w:t xml:space="preserve">PSD2 or the OF framework.</w:t>
      </w:r>
    </w:p>
    <w:p>
      <w:pPr>
        <w:pStyle w:val="BodyText"/>
      </w:pPr>
      <w:r>
        <w:t xml:space="preserve">157 See the impact assessment on the Open Finance initiative [insert reference after adoption].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7.4. Summary of preferred options</w:t>
      </w:r>
      <w:r>
        <w:t xml:space="preserve"> </w:t>
      </w:r>
      <w:r>
        <w:t xml:space="preserve">Objectives</w:t>
      </w:r>
      <w:r>
        <w:t xml:space="preserve"> </w:t>
      </w:r>
      <w:r>
        <w:t xml:space="preserve">Policy</w:t>
      </w:r>
      <w:r>
        <w:br/>
      </w:r>
      <w:r>
        <w:t xml:space="preserve">option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(cost)</w:t>
      </w:r>
      <w:r>
        <w:t xml:space="preserve"> </w:t>
      </w:r>
      <w:r>
        <w:t xml:space="preserve">COHERENCE</w:t>
      </w:r>
      <w:r>
        <w:t xml:space="preserve"> </w:t>
      </w:r>
      <w:r>
        <w:t xml:space="preserve">OVERALL</w:t>
      </w:r>
      <w:r>
        <w:t xml:space="preserve"> </w:t>
      </w:r>
      <w:r>
        <w:t xml:space="preserve">SCORE</w:t>
      </w:r>
      <w:r>
        <w:t xml:space="preserve"> </w:t>
      </w:r>
      <w:r>
        <w:t xml:space="preserve">Strengthen user rights and protection against fraud</w:t>
      </w:r>
      <w:r>
        <w:br/>
      </w:r>
      <w:r>
        <w:t xml:space="preserve">Options 1a 1b 1c and 1e</w:t>
      </w:r>
      <w:r>
        <w:t xml:space="preserve"> </w:t>
      </w:r>
      <w:r>
        <w:t xml:space="preserve">Measures to improve application of SCA, legal basis</w:t>
      </w:r>
      <w:r>
        <w:t xml:space="preserve"> </w:t>
      </w:r>
      <w:r>
        <w:t xml:space="preserve">for exchange of information on fraud, obligation to</w:t>
      </w:r>
      <w:r>
        <w:t xml:space="preserve"> </w:t>
      </w:r>
      <w:r>
        <w:t xml:space="preserve">educate customers about fraud, extension of</w:t>
      </w:r>
      <w:r>
        <w:t xml:space="preserve"> </w:t>
      </w:r>
      <w:r>
        <w:t xml:space="preserve">IBAN/name check to all credit transfers, conditional</w:t>
      </w:r>
      <w:r>
        <w:t xml:space="preserve"> </w:t>
      </w:r>
      <w:r>
        <w:t xml:space="preserve">reversal of liability for APP fraud.</w:t>
      </w:r>
      <w:r>
        <w:t xml:space="preserve"> </w:t>
      </w:r>
      <w:r>
        <w:t xml:space="preserve">+++</w:t>
      </w:r>
      <w:r>
        <w:t xml:space="preserve"> </w:t>
      </w:r>
      <w:r>
        <w:t xml:space="preserve">–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Enhance the competitiveness of Open Banking services</w:t>
      </w:r>
      <w:r>
        <w:t xml:space="preserve"> </w:t>
      </w:r>
      <w:r>
        <w:t xml:space="preserve">Options 2a 2b and 2d</w:t>
      </w:r>
      <w:r>
        <w:t xml:space="preserve"> </w:t>
      </w:r>
      <w:r>
        <w:t xml:space="preserve">Requirement for a dedicated data access interface;</w:t>
      </w:r>
      <w:r>
        <w:t xml:space="preserve"> </w:t>
      </w:r>
      <w:r>
        <w:t xml:space="preserve">permissions dashboards; specify in more detail</w:t>
      </w:r>
      <w:r>
        <w:t xml:space="preserve"> </w:t>
      </w:r>
      <w:r>
        <w:t xml:space="preserve">minimum requirements for OB data interfaces</w:t>
      </w:r>
      <w:r>
        <w:br/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Improve enforcement and implementation in Member States</w:t>
      </w:r>
      <w:r>
        <w:t xml:space="preserve"> </w:t>
      </w:r>
      <w:r>
        <w:t xml:space="preserve">Options 3a and 3b</w:t>
      </w:r>
      <w:r>
        <w:br/>
      </w:r>
      <w:r>
        <w:t xml:space="preserve">Replace the greater part of PSD2 with a directly-</w:t>
      </w:r>
      <w:r>
        <w:t xml:space="preserve"> </w:t>
      </w:r>
      <w:r>
        <w:t xml:space="preserve">applicable Regulation clarifying aspects of PSD2</w:t>
      </w:r>
      <w:r>
        <w:t xml:space="preserve"> </w:t>
      </w:r>
      <w:r>
        <w:t xml:space="preserve">which are unclear or ambiguous; strengthen</w:t>
      </w:r>
      <w:r>
        <w:t xml:space="preserve"> </w:t>
      </w:r>
      <w:r>
        <w:t xml:space="preserve">provisions on penalties</w:t>
      </w:r>
      <w:r>
        <w:br/>
      </w:r>
      <w:r>
        <w:t xml:space="preserve">++</w:t>
      </w:r>
      <w:r>
        <w:t xml:space="preserve"> </w:t>
      </w:r>
      <w:r>
        <w:t xml:space="preserve">-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Improve (direct or indirect) access to payment systems and bank accounts for non-bank PSPs</w:t>
      </w:r>
      <w:r>
        <w:t xml:space="preserve"> </w:t>
      </w:r>
      <w:r>
        <w:t xml:space="preserve">Options 4a and 4c</w:t>
      </w:r>
      <w:r>
        <w:t xml:space="preserve"> </w:t>
      </w:r>
      <w:r>
        <w:t xml:space="preserve">Strengthen PI/EMI rights to access via a bank</w:t>
      </w:r>
      <w:r>
        <w:t xml:space="preserve"> </w:t>
      </w:r>
      <w:r>
        <w:t xml:space="preserve">account;</w:t>
      </w:r>
      <w:r>
        <w:t xml:space="preserve"> </w:t>
      </w:r>
      <w:r>
        <w:t xml:space="preserve">granting</w:t>
      </w:r>
      <w:r>
        <w:t xml:space="preserve"> </w:t>
      </w:r>
      <w:r>
        <w:t xml:space="preserve">the</w:t>
      </w:r>
      <w:r>
        <w:t xml:space="preserve"> </w:t>
      </w:r>
      <w:r>
        <w:t xml:space="preserve">possibility</w:t>
      </w:r>
      <w:r>
        <w:t xml:space="preserve"> </w:t>
      </w:r>
      <w:r>
        <w:t xml:space="preserve">of</w:t>
      </w:r>
      <w:r>
        <w:t xml:space="preserve"> </w:t>
      </w:r>
      <w:r>
        <w:t xml:space="preserve">direct</w:t>
      </w:r>
      <w:r>
        <w:t xml:space="preserve"> </w:t>
      </w:r>
      <w:r>
        <w:t xml:space="preserve">participation of PIs and EMIs to all payment systems,</w:t>
      </w:r>
      <w:r>
        <w:t xml:space="preserve"> </w:t>
      </w:r>
      <w:r>
        <w:t xml:space="preserve">including those designated by Member States</w:t>
      </w:r>
      <w:r>
        <w:t xml:space="preserve"> </w:t>
      </w:r>
      <w:r>
        <w:t xml:space="preserve">pursuant to the SFD, with additional clarifications on</w:t>
      </w:r>
      <w:r>
        <w:t xml:space="preserve"> </w:t>
      </w:r>
      <w:r>
        <w:t xml:space="preserve">admission and risk assessment procedures</w:t>
      </w:r>
      <w:r>
        <w:br/>
      </w:r>
      <w:r>
        <w:t xml:space="preserve">++</w:t>
      </w:r>
      <w:r>
        <w:t xml:space="preserve"> </w:t>
      </w:r>
      <w:r>
        <w:t xml:space="preserve">≈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7.5. Other relevant impacts</w:t>
      </w:r>
      <w:r>
        <w:t xml:space="preserve"> </w:t>
      </w:r>
      <w:r>
        <w:t xml:space="preserve">The selected options should also have a beneficial effect on the competitiveness of the EU</w:t>
      </w:r>
      <w:r>
        <w:t xml:space="preserve"> </w:t>
      </w:r>
      <w:r>
        <w:t xml:space="preserve">payments sector. Within the EU a better level playing field between banks and non-bank</w:t>
      </w:r>
      <w:r>
        <w:t xml:space="preserve"> </w:t>
      </w:r>
      <w:r>
        <w:t xml:space="preserve">PSPs should create more competitive pressure on banks to improve their payment services</w:t>
      </w:r>
      <w:r>
        <w:t xml:space="preserve"> </w:t>
      </w:r>
      <w:r>
        <w:t xml:space="preserve">across the board, and assist innovation, thus contributing to the competitiveness of the EU</w:t>
      </w:r>
      <w:r>
        <w:t xml:space="preserve"> </w:t>
      </w:r>
      <w:r>
        <w:t xml:space="preserve">payments sector. As a successful and efficient Open Banking sector is increasingly</w:t>
      </w:r>
      <w:r>
        <w:t xml:space="preserve"> </w:t>
      </w:r>
      <w:r>
        <w:t xml:space="preserve">considered a sign of a modern and competitive financial sector, OB is becoming a feature of</w:t>
      </w:r>
      <w:r>
        <w:t xml:space="preserve"> </w:t>
      </w:r>
      <w:r>
        <w:t xml:space="preserve">many jurisdictions (UK, Australia, Singapore, Japan etc.). The selected options will be at</w:t>
      </w:r>
      <w:r>
        <w:t xml:space="preserve"> </w:t>
      </w:r>
      <w:r>
        <w:t xml:space="preserve">worst neutral as regards the competitiveness of EU payment service providers on any non-EU</w:t>
      </w:r>
      <w:r>
        <w:t xml:space="preserve"> </w:t>
      </w:r>
      <w:r>
        <w:t xml:space="preserve">markets. Services like payment initiation compete with payment cards and contribute to</w:t>
      </w:r>
      <w:r>
        <w:t xml:space="preserve"> </w:t>
      </w:r>
      <w:r>
        <w:t xml:space="preserve">lowering acceptance costs for merchants. Reduced fraud will lead to reduced costs for the EU</w:t>
      </w:r>
      <w:r>
        <w:t xml:space="preserve"> </w:t>
      </w:r>
      <w:r>
        <w:t xml:space="preserve">payments sector and thus indirectly contribute to enhanced competitiveness. Overall, it is</w:t>
      </w:r>
      <w:r>
        <w:t xml:space="preserve"> </w:t>
      </w:r>
      <w:r>
        <w:t xml:space="preserve">considered that a well-functioning competitive EU payment market will indirectly contribute</w:t>
      </w:r>
      <w:r>
        <w:t xml:space="preserve"> </w:t>
      </w:r>
      <w:r>
        <w:t xml:space="preserve">to the overall competitiveness of EU businesses also in the international context.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Concerning the geographical impact of the selected measures, only one measure, namely the</w:t>
      </w:r>
      <w:r>
        <w:t xml:space="preserve"> </w:t>
      </w:r>
      <w:r>
        <w:t xml:space="preserve">IBAN/name verification (option 1c) will have a very distinct impact in different Member</w:t>
      </w:r>
      <w:r>
        <w:t xml:space="preserve"> </w:t>
      </w:r>
      <w:r>
        <w:t xml:space="preserve">States; both the costs of this measure and the benefits (in terms of reduction of fraud and of</w:t>
      </w:r>
      <w:r>
        <w:t xml:space="preserve"> </w:t>
      </w:r>
      <w:r>
        <w:t xml:space="preserve">erroneously mistaken payments) will occur largely in non-eurozone Member States, as the</w:t>
      </w:r>
      <w:r>
        <w:t xml:space="preserve"> </w:t>
      </w:r>
      <w:r>
        <w:t xml:space="preserve">great majority of PSPs in euro area Member States will already be required to implement the</w:t>
      </w:r>
      <w:r>
        <w:t xml:space="preserve"> </w:t>
      </w:r>
      <w:r>
        <w:t xml:space="preserve">measure under the Commission proposal on instant payments (and in that case are free to</w:t>
      </w:r>
      <w:r>
        <w:t xml:space="preserve"> </w:t>
      </w:r>
      <w:r>
        <w:t xml:space="preserve">voluntarily offer it for non-instant credit transfers).</w:t>
      </w:r>
      <w:r>
        <w:t xml:space="preserve"> </w:t>
      </w:r>
      <w:r>
        <w:t xml:space="preserve">Regarding impacts on stakeholders, see Annexes 3 and 13. Improved efficiency and</w:t>
      </w:r>
      <w:r>
        <w:t xml:space="preserve"> </w:t>
      </w:r>
      <w:r>
        <w:t xml:space="preserve">competition in payment systems, together with reduced fraud, should benefit consumers and</w:t>
      </w:r>
      <w:r>
        <w:t xml:space="preserve"> </w:t>
      </w:r>
      <w:r>
        <w:t xml:space="preserve">SMEs in their capacity as users of payments, while the improvements to Open Banking</w:t>
      </w:r>
      <w:r>
        <w:t xml:space="preserve"> </w:t>
      </w:r>
      <w:r>
        <w:t xml:space="preserve">should benefit the many Open Banking fintechs which are SMEs.</w:t>
      </w:r>
      <w:r>
        <w:t xml:space="preserve"> </w:t>
      </w:r>
      <w:r>
        <w:t xml:space="preserve">7.6. Application of the ‘one in, one out’ approach</w:t>
      </w:r>
      <w:r>
        <w:br/>
      </w:r>
      <w:r>
        <w:t xml:space="preserve">By means of this principle the Commission has committed to offset administrative costs of</w:t>
      </w:r>
      <w:r>
        <w:t xml:space="preserve"> </w:t>
      </w:r>
      <w:r>
        <w:t xml:space="preserve">new initiatives by reductions in administrative costs of other initiatives. However, the present</w:t>
      </w:r>
      <w:r>
        <w:t xml:space="preserve"> </w:t>
      </w:r>
      <w:r>
        <w:t xml:space="preserve">initiative does not involve administrative costs for businesses or citizens, as the initiative will</w:t>
      </w:r>
      <w:r>
        <w:t xml:space="preserve"> </w:t>
      </w:r>
      <w:r>
        <w:t xml:space="preserve">not lead to any increased oversight or supervision of PSPs, or to specific new reporting</w:t>
      </w:r>
      <w:r>
        <w:t xml:space="preserve"> </w:t>
      </w:r>
      <w:r>
        <w:t xml:space="preserve">obligations above those already existing in PSD2. There are also no regulatory fees and</w:t>
      </w:r>
      <w:r>
        <w:t xml:space="preserve"> </w:t>
      </w:r>
      <w:r>
        <w:t xml:space="preserve">charges arising from the initiative. It is therefore considered that this initiative does not</w:t>
      </w:r>
      <w:r>
        <w:t xml:space="preserve"> </w:t>
      </w:r>
      <w:r>
        <w:t xml:space="preserve">generate administrative costs which require offsetting under the</w:t>
      </w:r>
      <w:r>
        <w:t xml:space="preserve"> </w:t>
      </w:r>
      <w:r>
        <w:t xml:space="preserve">“One In One Out”</w:t>
      </w:r>
      <w:r>
        <w:t xml:space="preserve"> </w:t>
      </w:r>
      <w:r>
        <w:t xml:space="preserve">principle</w:t>
      </w:r>
      <w:r>
        <w:t xml:space="preserve"> </w:t>
      </w:r>
      <w:r>
        <w:t xml:space="preserve">(although it is relevant for “one in one out” in that it creates implementation costs). It may be</w:t>
      </w:r>
      <w:r>
        <w:t xml:space="preserve"> </w:t>
      </w:r>
      <w:r>
        <w:t xml:space="preserve">noted that the bringing together of the legislative regime for E-Money Institutions and that for</w:t>
      </w:r>
      <w:r>
        <w:t xml:space="preserve"> </w:t>
      </w:r>
      <w:r>
        <w:t xml:space="preserve">Payment Institutions will lead to reductions in administrative costs (for example, alleviating</w:t>
      </w:r>
      <w:r>
        <w:t xml:space="preserve"> </w:t>
      </w:r>
      <w:r>
        <w:t xml:space="preserve">the requirement to obtain a new license in certain circumstances).</w:t>
      </w:r>
      <w:r>
        <w:t xml:space="preserve"> </w:t>
      </w:r>
      <w:r>
        <w:t xml:space="preserve">7.7.</w:t>
      </w:r>
      <w:r>
        <w:t xml:space="preserve"> </w:t>
      </w:r>
      <w:r>
        <w:t xml:space="preserve">Climate and sustainability</w:t>
      </w:r>
      <w:r>
        <w:t xml:space="preserve"> </w:t>
      </w:r>
      <w:r>
        <w:t xml:space="preserve">No negative implications for climate of this initiative have been identified. The initiative will</w:t>
      </w:r>
      <w:r>
        <w:t xml:space="preserve"> </w:t>
      </w:r>
      <w:r>
        <w:t xml:space="preserve">contribute to target 8.2 of the UN Sustainability Development Goals: “To achieve higher</w:t>
      </w:r>
      <w:r>
        <w:t xml:space="preserve"> </w:t>
      </w:r>
      <w:r>
        <w:t xml:space="preserve">levels of economic productivity through diversification, technological upgrading and</w:t>
      </w:r>
      <w:r>
        <w:t xml:space="preserve"> </w:t>
      </w:r>
      <w:r>
        <w:t xml:space="preserve">innovation, including through a focus on high-value added and labour-intensive sectors”.</w:t>
      </w:r>
      <w:r>
        <w:t xml:space="preserve"> </w:t>
      </w:r>
      <w:r>
        <w:t xml:space="preserve">7.8.</w:t>
      </w:r>
      <w:r>
        <w:t xml:space="preserve"> </w:t>
      </w:r>
      <w:r>
        <w:t xml:space="preserve">Fundamental rights</w:t>
      </w:r>
      <w:r>
        <w:t xml:space="preserve"> </w:t>
      </w:r>
      <w:r>
        <w:t xml:space="preserve">The fundamental right concerned by this initiative is privacy. Privacy is enhanced by the</w:t>
      </w:r>
      <w:r>
        <w:t xml:space="preserve"> </w:t>
      </w:r>
      <w:r>
        <w:t xml:space="preserve">clarifications described in Annex 7, to improve alignment between PSD3/PSR and GDPR.</w:t>
      </w:r>
      <w:r>
        <w:t xml:space="preserve"> </w:t>
      </w:r>
      <w:r>
        <w:t xml:space="preserve">7.9. REFIT (simplification and improved efficiency)</w:t>
      </w:r>
      <w:r>
        <w:t xml:space="preserve"> </w:t>
      </w:r>
      <w:r>
        <w:t xml:space="preserve">The present initiative is based on an evaluation, to be found at Annex 5. As part of the</w:t>
      </w:r>
      <w:r>
        <w:t xml:space="preserve"> </w:t>
      </w:r>
      <w:r>
        <w:t xml:space="preserve">evaluation and review process, opportunities for administrative simplification were sought.</w:t>
      </w:r>
      <w:r>
        <w:t xml:space="preserve"> </w:t>
      </w:r>
      <w:r>
        <w:t xml:space="preserve">The main such simplification contained in the present initiative is the integration of the</w:t>
      </w:r>
      <w:r>
        <w:t xml:space="preserve"> </w:t>
      </w:r>
      <w:r>
        <w:t xml:space="preserve">Second E-Money Directive into PSD2 and the large-scale reduction in differences between</w:t>
      </w:r>
      <w:r>
        <w:t xml:space="preserve"> </w:t>
      </w:r>
      <w:r>
        <w:t xml:space="preserve">the regulatory regimes for EMIs and PIs (with some residual remaining differences, such as</w:t>
      </w:r>
      <w:r>
        <w:t xml:space="preserve"> </w:t>
      </w:r>
      <w:r>
        <w:t xml:space="preserve">own funds requirements) – this exercise will involve a repeal of the EMD2. More details</w:t>
      </w:r>
      <w:r>
        <w:t xml:space="preserve"> </w:t>
      </w:r>
      <w:r>
        <w:t xml:space="preserve">about this approximation of the two regimes is contained in Annex 8. The removal of the</w:t>
      </w:r>
      <w:r>
        <w:t xml:space="preserve"> </w:t>
      </w:r>
      <w:r>
        <w:t xml:space="preserve">“availability of funds” service, a facility which is not currently used, will also be a significant</w:t>
      </w:r>
      <w:r>
        <w:t xml:space="preserve"> </w:t>
      </w:r>
      <w:r>
        <w:t xml:space="preserve">simplification (see Annex 6). The clarification of rules on SCA and other clarifications (see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Annex 7), together with the removal of divergences arising from national transposition of a</w:t>
      </w:r>
      <w:r>
        <w:t xml:space="preserve"> </w:t>
      </w:r>
      <w:r>
        <w:t xml:space="preserve">Directive, will also contribute to simplification.</w:t>
      </w:r>
      <w:r>
        <w:t xml:space="preserve"> </w:t>
      </w:r>
      <w:r>
        <w:t xml:space="preserve">8. HOW WILL ACTUAL IMPACTS BE MONITORED AND EVALUATED?</w:t>
      </w:r>
      <w:r>
        <w:br/>
      </w:r>
      <w:r>
        <w:t xml:space="preserve">The initiative will provide for a review, to be completed five years after the entry into force.</w:t>
      </w:r>
      <w:r>
        <w:t xml:space="preserve"> </w:t>
      </w:r>
      <w:r>
        <w:t xml:space="preserve">Regarding the specific objectives, the following can be said about monitoring and evaluation:</w:t>
      </w:r>
      <w:r>
        <w:t xml:space="preserve"> </w:t>
      </w:r>
      <w:r>
        <w:t xml:space="preserve"> Strengthen user rights and protection against fraud. Regarding payment fraud, the</w:t>
      </w:r>
      <w:r>
        <w:t xml:space="preserve"> </w:t>
      </w:r>
      <w:r>
        <w:t xml:space="preserve">operational objective is a significant fall in fraud, both concerning unauthorised and</w:t>
      </w:r>
      <w:r>
        <w:t xml:space="preserve"> </w:t>
      </w:r>
      <w:r>
        <w:t xml:space="preserve">authorised payments. On this subject periodic reports are produced by EBA.</w:t>
      </w:r>
      <w:r>
        <w:t xml:space="preserve"> </w:t>
      </w:r>
      <w:r>
        <w:t xml:space="preserve"> Enhance the competitiveness of Open Banking services. The objective as regards</w:t>
      </w:r>
      <w:r>
        <w:t xml:space="preserve"> </w:t>
      </w:r>
      <w:r>
        <w:t xml:space="preserve">Open Banking is an increase in the usage of AIS and PIS services above the baseline</w:t>
      </w:r>
      <w:r>
        <w:t xml:space="preserve"> </w:t>
      </w:r>
      <w:r>
        <w:t xml:space="preserve">predicted growth, and an increase in PIS as a percentage of all digital payments.</w:t>
      </w:r>
      <w:r>
        <w:t xml:space="preserve"> </w:t>
      </w:r>
      <w:r>
        <w:t xml:space="preserve">However, no official statistics on Open Banking are produced in the EU, and</w:t>
      </w:r>
      <w:r>
        <w:t xml:space="preserve"> </w:t>
      </w:r>
      <w:r>
        <w:t xml:space="preserve">information (of which the quality cannot be independently verified) is only available</w:t>
      </w:r>
      <w:r>
        <w:t xml:space="preserve"> </w:t>
      </w:r>
      <w:r>
        <w:t xml:space="preserve">from private sector consultants. PIS-initiated payments are executed as SEPA or non-</w:t>
      </w:r>
      <w:r>
        <w:t xml:space="preserve"> </w:t>
      </w:r>
      <w:r>
        <w:t xml:space="preserve">euro credit transfers; it is not currently possible in official statistics to distinguish the</w:t>
      </w:r>
      <w:r>
        <w:t xml:space="preserve"> </w:t>
      </w:r>
      <w:r>
        <w:t xml:space="preserve">initiation method of a credit transfer. AIS does not generate any payment transactions,</w:t>
      </w:r>
      <w:r>
        <w:t xml:space="preserve"> </w:t>
      </w:r>
      <w:r>
        <w:t xml:space="preserve">and is only traceable as an “API call”, but data on API calls for all PSPs is not</w:t>
      </w:r>
      <w:r>
        <w:t xml:space="preserve"> </w:t>
      </w:r>
      <w:r>
        <w:t xml:space="preserve">collected systematically by supervisors. The Commission, together with EBA, will</w:t>
      </w:r>
      <w:r>
        <w:t xml:space="preserve"> </w:t>
      </w:r>
      <w:r>
        <w:t xml:space="preserve">explore the possibilities for producing better quality data on EU Open Banking, but in</w:t>
      </w:r>
      <w:r>
        <w:t xml:space="preserve"> </w:t>
      </w:r>
      <w:r>
        <w:t xml:space="preserve">the meantime, will be obliged to rely on the same private sector producers of data</w:t>
      </w:r>
      <w:r>
        <w:t xml:space="preserve"> </w:t>
      </w:r>
      <w:r>
        <w:t xml:space="preserve">which have been used for the present evaluation and impact assessment.</w:t>
      </w:r>
      <w:r>
        <w:t xml:space="preserve"> </w:t>
      </w:r>
      <w:r>
        <w:t xml:space="preserve"> Improve enforcement and implementation in Member States. This should be</w:t>
      </w:r>
      <w:r>
        <w:t xml:space="preserve"> </w:t>
      </w:r>
      <w:r>
        <w:t xml:space="preserve">detectable in a reduction in complaints received by the Commission and NCAs from</w:t>
      </w:r>
      <w:r>
        <w:t xml:space="preserve"> </w:t>
      </w:r>
      <w:r>
        <w:t xml:space="preserve">citizens or PSPs, and an increased rate of active investigation of complaints.</w:t>
      </w:r>
      <w:r>
        <w:t xml:space="preserve"> </w:t>
      </w:r>
      <w:r>
        <w:t xml:space="preserve"> Improve (direct or indirect) access to payment systems and bank accounts for non-</w:t>
      </w:r>
      <w:r>
        <w:t xml:space="preserve"> </w:t>
      </w:r>
      <w:r>
        <w:t xml:space="preserve">bank PSPs. The objective is that all PIs and EMIs active in the EU should have access</w:t>
      </w:r>
      <w:r>
        <w:t xml:space="preserve"> </w:t>
      </w:r>
      <w:r>
        <w:t xml:space="preserve">to all payment systems in the EU, including those designated under the SFD, and have</w:t>
      </w:r>
      <w:r>
        <w:t xml:space="preserve"> </w:t>
      </w:r>
      <w:r>
        <w:t xml:space="preserve">access to a bank account. The success of this objective will be measured by the</w:t>
      </w:r>
      <w:r>
        <w:t xml:space="preserve"> </w:t>
      </w:r>
      <w:r>
        <w:t xml:space="preserve">numbers and the percentage of PIs and EMIs with (and without) access to the most</w:t>
      </w:r>
      <w:r>
        <w:t xml:space="preserve"> </w:t>
      </w:r>
      <w:r>
        <w:t xml:space="preserve">important payment systems operating in the EU, including TARGET2 of the ECB. As</w:t>
      </w:r>
      <w:r>
        <w:t xml:space="preserve"> </w:t>
      </w:r>
      <w:r>
        <w:t xml:space="preserve">regards indirect access, the number of notifications by banks to competent authorities</w:t>
      </w:r>
      <w:r>
        <w:t xml:space="preserve"> </w:t>
      </w:r>
      <w:r>
        <w:t xml:space="preserve">of refusal or withdrawal of account access to PIs and EMIs, and appeals by PIs or</w:t>
      </w:r>
      <w:r>
        <w:t xml:space="preserve"> </w:t>
      </w:r>
      <w:r>
        <w:t xml:space="preserve">EMIs against such decisions of banks, will be important. This information will be</w:t>
      </w:r>
      <w:r>
        <w:t xml:space="preserve"> </w:t>
      </w:r>
      <w:r>
        <w:t xml:space="preserve">obtained from PI and EMI representative bodies and national competent authorities.</w:t>
      </w:r>
      <w:r>
        <w:t xml:space="preserve"> </w:t>
      </w:r>
      <w:r>
        <w:t xml:space="preserve">Monitoring summary table</w:t>
      </w:r>
      <w:r>
        <w:t xml:space="preserve"> </w:t>
      </w:r>
      <w:r>
        <w:t xml:space="preserve">Specific objective</w:t>
      </w:r>
      <w:r>
        <w:t xml:space="preserve"> </w:t>
      </w:r>
      <w:r>
        <w:t xml:space="preserve">Indicator</w:t>
      </w:r>
      <w:r>
        <w:t xml:space="preserve"> </w:t>
      </w:r>
      <w:r>
        <w:t xml:space="preserve">Source of information</w:t>
      </w:r>
      <w:r>
        <w:t xml:space="preserve"> </w:t>
      </w:r>
      <w:r>
        <w:t xml:space="preserve">Strengthen user protection against</w:t>
      </w:r>
      <w:r>
        <w:t xml:space="preserve"> </w:t>
      </w:r>
      <w:r>
        <w:t xml:space="preserve">fraud and abuses</w:t>
      </w:r>
      <w:r>
        <w:t xml:space="preserve"> </w:t>
      </w:r>
      <w:r>
        <w:t xml:space="preserve">Reduction in % of fraudulent digital</w:t>
      </w:r>
      <w:r>
        <w:t xml:space="preserve"> </w:t>
      </w:r>
      <w:r>
        <w:t xml:space="preserve">payments</w:t>
      </w:r>
      <w:r>
        <w:br/>
      </w:r>
      <w:r>
        <w:t xml:space="preserve">EBA data and reports</w:t>
      </w:r>
      <w:r>
        <w:t xml:space="preserve"> </w:t>
      </w:r>
      <w:r>
        <w:t xml:space="preserve">Enhance the functioning of Open</w:t>
      </w:r>
      <w:r>
        <w:t xml:space="preserve"> </w:t>
      </w:r>
      <w:r>
        <w:t xml:space="preserve">Banking</w:t>
      </w:r>
      <w:r>
        <w:t xml:space="preserve"> </w:t>
      </w:r>
      <w:r>
        <w:t xml:space="preserve">Number of OB API calls; PIS-</w:t>
      </w:r>
      <w:r>
        <w:t xml:space="preserve"> </w:t>
      </w:r>
      <w:r>
        <w:t xml:space="preserve">initiated payments as a % of all</w:t>
      </w:r>
      <w:r>
        <w:t xml:space="preserve"> </w:t>
      </w:r>
      <w:r>
        <w:t xml:space="preserve">digital payments</w:t>
      </w:r>
      <w:r>
        <w:t xml:space="preserve"> </w:t>
      </w:r>
      <w:r>
        <w:t xml:space="preserve">Private OB consultancies</w:t>
      </w:r>
      <w:r>
        <w:t xml:space="preserve"> </w:t>
      </w:r>
      <w:r>
        <w:t xml:space="preserve">Improve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 in Member States</w:t>
      </w:r>
      <w:r>
        <w:t xml:space="preserve"> </w:t>
      </w:r>
      <w:r>
        <w:t xml:space="preserve">More investigations by NCAs based</w:t>
      </w:r>
      <w:r>
        <w:t xml:space="preserve"> </w:t>
      </w:r>
      <w:r>
        <w:t xml:space="preserve">on complaints</w:t>
      </w:r>
      <w:r>
        <w:br/>
      </w:r>
      <w:r>
        <w:t xml:space="preserve">NCAs, EBA</w:t>
      </w:r>
      <w:r>
        <w:t xml:space="preserve"> </w:t>
      </w:r>
      <w:r>
        <w:t xml:space="preserve">Ensure a level playing field for all</w:t>
      </w:r>
      <w:r>
        <w:t xml:space="preserve"> </w:t>
      </w:r>
      <w:r>
        <w:t xml:space="preserve">PSPs regarding access to payment</w:t>
      </w:r>
      <w:r>
        <w:t xml:space="preserve"> </w:t>
      </w:r>
      <w:r>
        <w:t xml:space="preserve">systems</w:t>
      </w:r>
      <w:r>
        <w:t xml:space="preserve"> </w:t>
      </w:r>
      <w:r>
        <w:t xml:space="preserve">Number and % of PIs and EMIs</w:t>
      </w:r>
      <w:r>
        <w:t xml:space="preserve"> </w:t>
      </w:r>
      <w:r>
        <w:t xml:space="preserve">with</w:t>
      </w:r>
      <w:r>
        <w:t xml:space="preserve"> </w:t>
      </w:r>
      <w:r>
        <w:t xml:space="preserve">access</w:t>
      </w:r>
      <w:r>
        <w:t xml:space="preserve"> </w:t>
      </w:r>
      <w:r>
        <w:t xml:space="preserve">to</w:t>
      </w:r>
      <w:r>
        <w:t xml:space="preserve"> </w:t>
      </w:r>
      <w:r>
        <w:t xml:space="preserve">key</w:t>
      </w:r>
      <w:r>
        <w:t xml:space="preserve"> </w:t>
      </w:r>
      <w:r>
        <w:t xml:space="preserve">payment</w:t>
      </w:r>
      <w:r>
        <w:t xml:space="preserve"> </w:t>
      </w:r>
      <w:r>
        <w:t xml:space="preserve">systems;</w:t>
      </w:r>
      <w:r>
        <w:t xml:space="preserve"> </w:t>
      </w:r>
      <w:r>
        <w:t xml:space="preserve">appeals</w:t>
      </w:r>
      <w:r>
        <w:t xml:space="preserve"> </w:t>
      </w:r>
      <w:r>
        <w:t xml:space="preserve">against</w:t>
      </w:r>
      <w:r>
        <w:t xml:space="preserve"> </w:t>
      </w:r>
      <w:r>
        <w:t xml:space="preserve">bank</w:t>
      </w:r>
      <w:r>
        <w:t xml:space="preserve"> </w:t>
      </w:r>
      <w:r>
        <w:t xml:space="preserve">refusal of account services</w:t>
      </w:r>
      <w:r>
        <w:t xml:space="preserve"> </w:t>
      </w:r>
      <w:r>
        <w:t xml:space="preserve">PI and EMI representative bodies;</w:t>
      </w:r>
      <w:r>
        <w:t xml:space="preserve"> </w:t>
      </w:r>
      <w:r>
        <w:t xml:space="preserve">EBA, ECB; NCAs for complaints of</w:t>
      </w:r>
      <w:r>
        <w:t xml:space="preserve"> </w:t>
      </w:r>
      <w:r>
        <w:t xml:space="preserve">denied access to bank accounts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This Impact Assessment Report was prepared by Directorate B</w:t>
      </w:r>
      <w:r>
        <w:t xml:space="preserve"> </w:t>
      </w:r>
      <w:r>
        <w:t xml:space="preserve">“Horizontal Policies”</w:t>
      </w:r>
      <w:r>
        <w:t xml:space="preserve"> </w:t>
      </w:r>
      <w:r>
        <w:t xml:space="preserve">of the</w:t>
      </w:r>
      <w:r>
        <w:t xml:space="preserve"> </w:t>
      </w:r>
      <w:r>
        <w:t xml:space="preserve">Directorate General</w:t>
      </w:r>
      <w:r>
        <w:t xml:space="preserve"> </w:t>
      </w:r>
      <w:r>
        <w:t xml:space="preserve">“Directorate-General for Financial Stability, Financial Services and</w:t>
      </w:r>
      <w:r>
        <w:t xml:space="preserve"> </w:t>
      </w:r>
      <w:r>
        <w:t xml:space="preserve">Capital Markets Union”</w:t>
      </w:r>
      <w:r>
        <w:t xml:space="preserve"> </w:t>
      </w:r>
      <w:r>
        <w:t xml:space="preserve">(DG FISMA). The Decide Planning references are:</w:t>
      </w:r>
      <w:r>
        <w:t xml:space="preserve"> </w:t>
      </w:r>
      <w:r>
        <w:t xml:space="preserve"> PLAN/2021/12798 – FISMA - Payment services – review report on PSD2.</w:t>
      </w:r>
      <w:r>
        <w:t xml:space="preserve"> </w:t>
      </w:r>
      <w:r>
        <w:t xml:space="preserve"> PLAN/2022/892 - FISMA - Payment services – revision of EU rules (Directive).</w:t>
      </w:r>
      <w:r>
        <w:t xml:space="preserve"> </w:t>
      </w:r>
      <w:r>
        <w:t xml:space="preserve"> PLAN/2022/1630 – FISMA - Payment services – revision of EU rules (Regulation).</w:t>
      </w:r>
      <w:r>
        <w:t xml:space="preserve"> </w:t>
      </w:r>
      <w:r>
        <w:t xml:space="preserve">The initiative on review and revision of PSD2 was included in the 2023 Commission Work</w:t>
      </w:r>
      <w:r>
        <w:t xml:space="preserve"> </w:t>
      </w:r>
      <w:r>
        <w:t xml:space="preserve">Programme published on 18 October 2022, as part of a package on “data access in financial</w:t>
      </w:r>
      <w:r>
        <w:t xml:space="preserve"> </w:t>
      </w:r>
      <w:r>
        <w:t xml:space="preserve">services”, together with a legislative initiative on Open Finance.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One single Inter-Service Steering Group (ISSG) dealt with both this initiative and the</w:t>
      </w:r>
      <w:r>
        <w:t xml:space="preserve"> </w:t>
      </w:r>
      <w:r>
        <w:t xml:space="preserve">Commission initiative on an Open Finance Framework, planned for adoption together with</w:t>
      </w:r>
      <w:r>
        <w:t xml:space="preserve"> </w:t>
      </w:r>
      <w:r>
        <w:t xml:space="preserve">the present proposal, although the two impact assessments are distinct. Three meetings of the</w:t>
      </w:r>
      <w:r>
        <w:t xml:space="preserve"> </w:t>
      </w:r>
      <w:r>
        <w:t xml:space="preserve">ISSG were dedicated primarily to the present initiative; those meetings, chaired by SG, were</w:t>
      </w:r>
      <w:r>
        <w:t xml:space="preserve"> </w:t>
      </w:r>
      <w:r>
        <w:t xml:space="preserve">held on 11 November 2022, 13 January 2023 and 14 April 2023 (the first two meetings to</w:t>
      </w:r>
      <w:r>
        <w:t xml:space="preserve"> </w:t>
      </w:r>
      <w:r>
        <w:t xml:space="preserve">discuss the draft impact assessment and the third meeting to discuss draft legislative text).</w:t>
      </w:r>
      <w:r>
        <w:t xml:space="preserve"> </w:t>
      </w:r>
      <w:r>
        <w:t xml:space="preserve">The ISSG consisted of representatives from various Directorates-General of the Commission:</w:t>
      </w:r>
      <w:r>
        <w:t xml:space="preserve"> </w:t>
      </w:r>
      <w:r>
        <w:t xml:space="preserve">CNECT, COMP, EMPL, ECFIN, ENV, HOME, INTPA, JUST, Legal Service, Secretariat</w:t>
      </w:r>
      <w:r>
        <w:t xml:space="preserve"> </w:t>
      </w:r>
      <w:r>
        <w:t xml:space="preserve">General. The contributions of the members of the ISSG have been taken into account in this</w:t>
      </w:r>
      <w:r>
        <w:t xml:space="preserve"> </w:t>
      </w:r>
      <w:r>
        <w:t xml:space="preserve">impact assessment.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The Impact Assessment report was examined by the RSB on 1 March 2023. The RSB issued</w:t>
      </w:r>
      <w:r>
        <w:t xml:space="preserve"> </w:t>
      </w:r>
      <w:r>
        <w:t xml:space="preserve">a positive opinion with reservations on 3 March 2023158. The principal reservations (which</w:t>
      </w:r>
      <w:r>
        <w:t xml:space="preserve"> </w:t>
      </w:r>
      <w:r>
        <w:t xml:space="preserve">have been addressed in this final version of the report) were the following :</w:t>
      </w:r>
      <w:r>
        <w:t xml:space="preserve"> </w:t>
      </w:r>
      <w:r>
        <w:t xml:space="preserve">“(1) The report lacks clarity on consumer demand for Open Banking and on the</w:t>
      </w:r>
      <w:r>
        <w:t xml:space="preserve"> </w:t>
      </w:r>
      <w:r>
        <w:t xml:space="preserve">extent to which consumer confidence in data sharing and cybersecurity may affect</w:t>
      </w:r>
      <w:r>
        <w:t xml:space="preserve"> </w:t>
      </w:r>
      <w:r>
        <w:t xml:space="preserve">uptake.</w:t>
      </w:r>
      <w:r>
        <w:br/>
      </w:r>
      <w:r>
        <w:t xml:space="preserve">(2) The report does not provide sufficient impact analysis, in particular on</w:t>
      </w:r>
      <w:r>
        <w:t xml:space="preserve"> </w:t>
      </w:r>
      <w:r>
        <w:t xml:space="preserve">competitiveness, SMEs, consumers and Member States as well as the impact of the</w:t>
      </w:r>
      <w:r>
        <w:t xml:space="preserve"> </w:t>
      </w:r>
      <w:r>
        <w:t xml:space="preserve">proposed flanking measures.</w:t>
      </w:r>
      <w:r>
        <w:br/>
      </w:r>
      <w:r>
        <w:t xml:space="preserve">(3) The report does not provide sufficient clarity, including granular analysis, on the</w:t>
      </w:r>
      <w:r>
        <w:t xml:space="preserve"> </w:t>
      </w:r>
      <w:r>
        <w:t xml:space="preserve">costs and benefits for the preferred set of measures.”</w:t>
      </w:r>
    </w:p>
    <w:p>
      <w:pPr>
        <w:pStyle w:val="BodyText"/>
      </w:pPr>
      <w:r>
        <w:t xml:space="preserve">158 That Opinion has been published and is available at [insert link]. In addition to the principal reservations</w:t>
      </w:r>
      <w:r>
        <w:t xml:space="preserve"> </w:t>
      </w:r>
      <w:r>
        <w:t xml:space="preserve">cited here, there were numerous detailed changes required.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Changes and clarifications introduced in this report following the RSB opinion and comments</w:t>
      </w:r>
      <w:r>
        <w:t xml:space="preserve"> </w:t>
      </w:r>
      <w:r>
        <w:t xml:space="preserve">include the following:</w:t>
      </w:r>
      <w:r>
        <w:t xml:space="preserve"> </w:t>
      </w:r>
      <w:r>
        <w:t xml:space="preserve"> The problem analysis has been more aligned with the findings of the Evaluation</w:t>
      </w:r>
      <w:r>
        <w:t xml:space="preserve"> </w:t>
      </w:r>
      <w:r>
        <w:t xml:space="preserve">Report; for example, it has been clarified that in Open Banking, passing on user data</w:t>
      </w:r>
      <w:r>
        <w:t xml:space="preserve"> </w:t>
      </w:r>
      <w:r>
        <w:t xml:space="preserve">to unregulated fourth parties via API aggregators is not a problem as such, as long as</w:t>
      </w:r>
      <w:r>
        <w:t xml:space="preserve"> </w:t>
      </w:r>
      <w:r>
        <w:t xml:space="preserve">there is explicit consent of the data subject, although it is perceived as a problem by</w:t>
      </w:r>
      <w:r>
        <w:t xml:space="preserve"> </w:t>
      </w:r>
      <w:r>
        <w:t xml:space="preserve">banks (section 2.1.2.);</w:t>
      </w:r>
      <w:r>
        <w:t xml:space="preserve"> </w:t>
      </w:r>
      <w:r>
        <w:t xml:space="preserve"> Regarding Open Banking, it has been clarified that no reliable data on the size of the</w:t>
      </w:r>
      <w:r>
        <w:t xml:space="preserve"> </w:t>
      </w:r>
      <w:r>
        <w:t xml:space="preserve">market or demand exists, and while consumers report concerns about security of data,</w:t>
      </w:r>
      <w:r>
        <w:t xml:space="preserve"> </w:t>
      </w:r>
      <w:r>
        <w:t xml:space="preserve">the constant growth in the number of providers indirectly indicates strong demand</w:t>
      </w:r>
      <w:r>
        <w:t xml:space="preserve"> </w:t>
      </w:r>
      <w:r>
        <w:t xml:space="preserve">(section 2.1.2.);</w:t>
      </w:r>
      <w:r>
        <w:t xml:space="preserve"> </w:t>
      </w:r>
      <w:r>
        <w:t xml:space="preserve"> Greater explanation of the impact (and the interaction with the problem definition) of</w:t>
      </w:r>
      <w:r>
        <w:t xml:space="preserve"> </w:t>
      </w:r>
      <w:r>
        <w:t xml:space="preserve">the “flanking measures” described in Annexes 7 8 9 and 10;</w:t>
      </w:r>
      <w:r>
        <w:t xml:space="preserve"> </w:t>
      </w:r>
      <w:r>
        <w:t xml:space="preserve"> The scoring of options in the tables in section 6 has been reviewed in order to make</w:t>
      </w:r>
      <w:r>
        <w:t xml:space="preserve"> </w:t>
      </w:r>
      <w:r>
        <w:t xml:space="preserve">the scores more useful in policymaking terms;</w:t>
      </w:r>
      <w:r>
        <w:t xml:space="preserve"> </w:t>
      </w:r>
      <w:r>
        <w:t xml:space="preserve"> Reports were introduced in Annex 2 of two further consultation events held in March</w:t>
      </w:r>
      <w:r>
        <w:t xml:space="preserve"> </w:t>
      </w:r>
      <w:r>
        <w:t xml:space="preserve">2023, of the Payment Services and Markets Expert Group (stakeholders) and of the</w:t>
      </w:r>
      <w:r>
        <w:t xml:space="preserve"> </w:t>
      </w:r>
      <w:r>
        <w:t xml:space="preserve">Commission Expert Group on Banking Payments and Insurance (Member States);</w:t>
      </w:r>
      <w:r>
        <w:t xml:space="preserve"> </w:t>
      </w:r>
      <w:r>
        <w:t xml:space="preserve"> Regarding the generalisation to all credit transfers of the “IBAN/name verification”</w:t>
      </w:r>
      <w:r>
        <w:t xml:space="preserve"> </w:t>
      </w:r>
      <w:r>
        <w:t xml:space="preserve">service, greater explanation of the cost impacts and the geographical distribution of</w:t>
      </w:r>
      <w:r>
        <w:t xml:space="preserve"> </w:t>
      </w:r>
      <w:r>
        <w:t xml:space="preserve">the effects of the option has been provided, and more information has been provided</w:t>
      </w:r>
      <w:r>
        <w:t xml:space="preserve"> </w:t>
      </w:r>
      <w:r>
        <w:t xml:space="preserve">about the coherence of this option with the Commission’s proposal on instant</w:t>
      </w:r>
      <w:r>
        <w:t xml:space="preserve"> </w:t>
      </w:r>
      <w:r>
        <w:t xml:space="preserve">payments (section 6.1 and Annex 12);</w:t>
      </w:r>
      <w:r>
        <w:br/>
      </w:r>
      <w:r>
        <w:t xml:space="preserve"> It has been explained why cross-border fraud is much higher than domestic fraud, and</w:t>
      </w:r>
      <w:r>
        <w:t xml:space="preserve"> </w:t>
      </w:r>
      <w:r>
        <w:t xml:space="preserve">how the proposed solutions can contribute to reducing the difference (sections 2.1.1.</w:t>
      </w:r>
      <w:r>
        <w:t xml:space="preserve"> </w:t>
      </w:r>
      <w:r>
        <w:t xml:space="preserve">and 6.1.);</w:t>
      </w:r>
      <w:r>
        <w:t xml:space="preserve"> </w:t>
      </w:r>
      <w:r>
        <w:t xml:space="preserve"> The distributional and competition-related impacts of the selected options have been</w:t>
      </w:r>
      <w:r>
        <w:t xml:space="preserve"> </w:t>
      </w:r>
      <w:r>
        <w:t xml:space="preserve">discussed in greater detail in section 7; an SME test has been inserted (Annex 13).</w:t>
      </w:r>
      <w:r>
        <w:t xml:space="preserve"> </w:t>
      </w:r>
      <w:r>
        <w:t xml:space="preserve"> The specific objectives have been redrafted to be more precise and measurable, and</w:t>
      </w:r>
      <w:r>
        <w:t xml:space="preserve"> </w:t>
      </w:r>
      <w:r>
        <w:t xml:space="preserve">more distinct from the general objectives (section 4.2).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</w:t>
      </w:r>
      <w:r>
        <w:t xml:space="preserve"> </w:t>
      </w:r>
      <w:r>
        <w:t xml:space="preserve">A number of inputs and sources of data were used in the preparation of this impact</w:t>
      </w:r>
      <w:r>
        <w:t xml:space="preserve"> </w:t>
      </w:r>
      <w:r>
        <w:t xml:space="preserve">assessment, including the following:</w:t>
      </w:r>
      <w:r>
        <w:t xml:space="preserve"> </w:t>
      </w:r>
      <w:r>
        <w:t xml:space="preserve"> Evidence supplied in the various consultations described in Annex 2 and on an ad hoc</w:t>
      </w:r>
      <w:r>
        <w:t xml:space="preserve"> </w:t>
      </w:r>
      <w:r>
        <w:t xml:space="preserve">basis by stakeholders.</w:t>
      </w:r>
      <w:r>
        <w:t xml:space="preserve"> </w:t>
      </w:r>
      <w:r>
        <w:t xml:space="preserve"> Evidence provided by the European Banking Authority in its Advice of 23 June 2022.</w:t>
      </w:r>
      <w:r>
        <w:t xml:space="preserve"> </w:t>
      </w:r>
      <w:r>
        <w:t xml:space="preserve"> A study carried out by a contractor, Valdani Vicari &amp; Associati Consulting, delivered</w:t>
      </w:r>
      <w:r>
        <w:t xml:space="preserve"> </w:t>
      </w:r>
      <w:r>
        <w:t xml:space="preserve">in September 2022, “A study on the application and impact of Directive (EU)</w:t>
      </w:r>
      <w:r>
        <w:t xml:space="preserve"> </w:t>
      </w:r>
      <w:r>
        <w:t xml:space="preserve">2015/2366 on Payment Services (PSD2). Contract reference FISMA/2021/OP/0002.</w:t>
      </w:r>
      <w:r>
        <w:t xml:space="preserve"> </w:t>
      </w:r>
      <w:r>
        <w:t xml:space="preserve"> Data obtained from private sector operators, especially in the field of Open Banking.</w:t>
      </w:r>
      <w:r>
        <w:t xml:space="preserve"> </w:t>
      </w:r>
      <w:r>
        <w:t xml:space="preserve">Regarding Open Banking, it should be noted that in the EU (unlike in the UK for</w:t>
      </w:r>
      <w:r>
        <w:t xml:space="preserve"> </w:t>
      </w:r>
      <w:r>
        <w:t xml:space="preserve">example) there is no public sector entity which publishes or centralises data on Open</w:t>
      </w:r>
      <w:r>
        <w:t xml:space="preserve"> </w:t>
      </w:r>
      <w:r>
        <w:t xml:space="preserve">Banking, and complete reliable statistics on the EU Open Banking sector are therefore</w:t>
      </w:r>
      <w:r>
        <w:t xml:space="preserve"> </w:t>
      </w:r>
      <w:r>
        <w:t xml:space="preserve">impossible to obtain.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ANNEX 2: STAKEHOLDER CONSULTATION</w:t>
      </w:r>
      <w:r>
        <w:br/>
      </w:r>
      <w:r>
        <w:t xml:space="preserve">1. Consultation plan</w:t>
      </w:r>
      <w:r>
        <w:t xml:space="preserve"> </w:t>
      </w:r>
      <w:r>
        <w:t xml:space="preserve">In order to ensure that the Commission’s proposal adequately takes into account the views of</w:t>
      </w:r>
      <w:r>
        <w:t xml:space="preserve"> </w:t>
      </w:r>
      <w:r>
        <w:t xml:space="preserve">all interested stakeholders, the consultation strategy supporting this initiative was built on the</w:t>
      </w:r>
      <w:r>
        <w:t xml:space="preserve"> </w:t>
      </w:r>
      <w:r>
        <w:t xml:space="preserve">following components:</w:t>
      </w:r>
      <w:r>
        <w:t xml:space="preserve"> </w:t>
      </w:r>
      <w:r>
        <w:t xml:space="preserve">1. An open public consultation, open from 10 May 2022 to 02 August 2022 159;</w:t>
      </w:r>
      <w:r>
        <w:t xml:space="preserve"> </w:t>
      </w:r>
      <w:r>
        <w:t xml:space="preserve">2. A targeted (but nevertheless public and open) consultation, with more detailed</w:t>
      </w:r>
      <w:r>
        <w:t xml:space="preserve"> </w:t>
      </w:r>
      <w:r>
        <w:t xml:space="preserve">questions than the public consultation, open from 10 May 2022 to 5 July 2022160;</w:t>
      </w:r>
      <w:r>
        <w:br/>
      </w:r>
      <w:r>
        <w:t xml:space="preserve">3. A call for evidence, open from 10 May 2022 to 02 August 2022 161;</w:t>
      </w:r>
      <w:r>
        <w:t xml:space="preserve"> </w:t>
      </w:r>
      <w:r>
        <w:t xml:space="preserve">4. A targeted consultation on the Settlement Finality Directive, open from 12 February</w:t>
      </w:r>
      <w:r>
        <w:t xml:space="preserve"> </w:t>
      </w:r>
      <w:r>
        <w:t xml:space="preserve">2021 - 7 May 2021;</w:t>
      </w:r>
      <w:r>
        <w:t xml:space="preserve"> </w:t>
      </w:r>
      <w:r>
        <w:t xml:space="preserve">5. Consultation of stakeholders in a Commission-led group, the Payment Systems</w:t>
      </w:r>
      <w:r>
        <w:t xml:space="preserve"> </w:t>
      </w:r>
      <w:r>
        <w:t xml:space="preserve">Market Expert Group (PSMEG);</w:t>
      </w:r>
      <w:r>
        <w:t xml:space="preserve"> </w:t>
      </w:r>
      <w:r>
        <w:t xml:space="preserve">6. Ad hoc contacts with various stakeholders, either on their initiative or that of the</w:t>
      </w:r>
      <w:r>
        <w:t xml:space="preserve"> </w:t>
      </w:r>
      <w:r>
        <w:t xml:space="preserve">Commission;</w:t>
      </w:r>
      <w:r>
        <w:t xml:space="preserve"> </w:t>
      </w:r>
      <w:r>
        <w:t xml:space="preserve">7. Consultation of Member States’ experts in the Commission Expert Group on Banking</w:t>
      </w:r>
      <w:r>
        <w:t xml:space="preserve"> </w:t>
      </w:r>
      <w:r>
        <w:t xml:space="preserve">Payments and Insurance.</w:t>
      </w:r>
      <w:r>
        <w:t xml:space="preserve"> </w:t>
      </w:r>
      <w:r>
        <w:t xml:space="preserve">The results of each component are presented below.</w:t>
      </w:r>
      <w:r>
        <w:t xml:space="preserve"> </w:t>
      </w:r>
      <w:r>
        <w:t xml:space="preserve">2. Open public consultation on PSD2 (and open finance)</w:t>
      </w:r>
      <w:r>
        <w:br/>
      </w:r>
      <w:r>
        <w:t xml:space="preserve">Introduction</w:t>
      </w:r>
      <w:r>
        <w:br/>
      </w:r>
      <w:r>
        <w:t xml:space="preserve">This annex provides a factual overview of all responses received. Therefore, any opinions</w:t>
      </w:r>
      <w:r>
        <w:t xml:space="preserve"> </w:t>
      </w:r>
      <w:r>
        <w:t xml:space="preserve">expressed reflect the views of the respondents and do not reflect the position of the European</w:t>
      </w:r>
      <w:r>
        <w:t xml:space="preserve"> </w:t>
      </w:r>
      <w:r>
        <w:t xml:space="preserve">Commission or its services.</w:t>
      </w:r>
      <w:r>
        <w:br/>
      </w:r>
      <w:r>
        <w:t xml:space="preserve">Key messages</w:t>
      </w:r>
      <w:r>
        <w:br/>
      </w:r>
      <w:r>
        <w:t xml:space="preserve">The key messages from the public consultation shows card payments are still the preferred</w:t>
      </w:r>
      <w:r>
        <w:t xml:space="preserve"> </w:t>
      </w:r>
      <w:r>
        <w:t xml:space="preserve">methods of payment, both in-store and online. The choice in payment services has increased,</w:t>
      </w:r>
      <w:r>
        <w:t xml:space="preserve"> </w:t>
      </w:r>
      <w:r>
        <w:t xml:space="preserve">and there is an overall positive stance towards new entities and Big Techs entering the field,</w:t>
      </w:r>
      <w:r>
        <w:t xml:space="preserve"> </w:t>
      </w:r>
      <w:r>
        <w:t xml:space="preserve">although concerns about power and data privacy are expressed. Open Banking services (AISP</w:t>
      </w:r>
      <w:r>
        <w:t xml:space="preserve"> </w:t>
      </w:r>
      <w:r>
        <w:t xml:space="preserve">and PISP) aren’t used a lot, due to a lack of awareness of their existence and data privacy</w:t>
      </w:r>
      <w:r>
        <w:t xml:space="preserve"> </w:t>
      </w:r>
      <w:r>
        <w:t xml:space="preserve">concerns. Feedback further shows a discontent with a lack of transparency for cross border</w:t>
      </w:r>
      <w:r>
        <w:t xml:space="preserve"> </w:t>
      </w:r>
      <w:r>
        <w:t xml:space="preserve">charges and fees, especially those including a currency conversion. SCA is regarded</w:t>
      </w:r>
      <w:r>
        <w:t xml:space="preserve"> </w:t>
      </w:r>
      <w:r>
        <w:t xml:space="preserve">positively, but with some suggestions for improvements.</w:t>
      </w:r>
    </w:p>
    <w:p>
      <w:pPr>
        <w:pStyle w:val="BodyText"/>
      </w:pPr>
      <w:r>
        <w:t xml:space="preserve">159 https://ec.europa.eu/info/law/better-regulation/have-your-say/initiatives/13331-Payment-services-review-of-</w:t>
      </w:r>
      <w:r>
        <w:t xml:space="preserve"> </w:t>
      </w:r>
      <w:r>
        <w:t xml:space="preserve">EU-rules/public-consultation_en .</w:t>
      </w:r>
      <w:r>
        <w:t xml:space="preserve"> </w:t>
      </w:r>
      <w:r>
        <w:t xml:space="preserve">160 https://finance.ec.europa.eu/regulation-and-supervision/consultations/finance-2022-psd2-review_en</w:t>
      </w:r>
      <w:r>
        <w:br/>
      </w:r>
      <w:r>
        <w:t xml:space="preserve">161 https://ec.europa.eu/info/law/better-regulation/have-your-say/initiatives/13331-Payment-services-review-of-</w:t>
      </w:r>
      <w:r>
        <w:t xml:space="preserve"> </w:t>
      </w:r>
      <w:r>
        <w:t xml:space="preserve">EU-rules_en .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Academic/research institution</w:t>
      </w:r>
      <w:r>
        <w:t xml:space="preserve"> </w:t>
      </w:r>
      <w:r>
        <w:t xml:space="preserve">1% 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11%</w:t>
      </w:r>
      <w:r>
        <w:t xml:space="preserve"> </w:t>
      </w:r>
      <w:r>
        <w:t xml:space="preserve">Company/busine</w:t>
      </w:r>
      <w:r>
        <w:t xml:space="preserve"> </w:t>
      </w:r>
      <w:r>
        <w:t xml:space="preserve">ss organisation</w:t>
      </w:r>
      <w:r>
        <w:t xml:space="preserve"> </w:t>
      </w:r>
      <w:r>
        <w:t xml:space="preserve">20%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</w:t>
      </w:r>
      <w:r>
        <w:t xml:space="preserve"> </w:t>
      </w:r>
      <w:r>
        <w:t xml:space="preserve">2%</w:t>
      </w:r>
      <w:r>
        <w:t xml:space="preserve"> </w:t>
      </w:r>
      <w:r>
        <w:t xml:space="preserve">EU citizen</w:t>
      </w:r>
      <w:r>
        <w:t xml:space="preserve"> </w:t>
      </w:r>
      <w:r>
        <w:t xml:space="preserve">51%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3%</w:t>
      </w:r>
      <w:r>
        <w:t xml:space="preserve"> </w:t>
      </w:r>
      <w:r>
        <w:t xml:space="preserve">NGO</w:t>
      </w:r>
      <w:r>
        <w:t xml:space="preserve"> </w:t>
      </w:r>
      <w:r>
        <w:t xml:space="preserve">1%</w:t>
      </w:r>
      <w:r>
        <w:t xml:space="preserve"> </w:t>
      </w:r>
      <w:r>
        <w:t xml:space="preserve">Other</w:t>
      </w:r>
      <w:r>
        <w:t xml:space="preserve"> </w:t>
      </w:r>
      <w:r>
        <w:t xml:space="preserve">4%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5%</w:t>
      </w:r>
      <w:r>
        <w:t xml:space="preserve"> </w:t>
      </w:r>
      <w:r>
        <w:t xml:space="preserve">Trade union</w:t>
      </w:r>
      <w:r>
        <w:t xml:space="preserve"> </w:t>
      </w:r>
      <w:r>
        <w:t xml:space="preserve">2%</w:t>
      </w:r>
      <w:r>
        <w:t xml:space="preserve"> </w:t>
      </w:r>
      <w:r>
        <w:t xml:space="preserve">Respondents</w:t>
      </w:r>
      <w:r>
        <w:t xml:space="preserve"> </w:t>
      </w:r>
      <w:r>
        <w:t xml:space="preserve">The key message from the EBA Advice, after a quality control check on the responses is</w:t>
      </w:r>
      <w:r>
        <w:t xml:space="preserve"> </w:t>
      </w:r>
      <w:r>
        <w:t xml:space="preserve">about how the PSD2 review should pay attention to transparency with regard to fees and</w:t>
      </w:r>
      <w:r>
        <w:t xml:space="preserve"> </w:t>
      </w:r>
      <w:r>
        <w:t xml:space="preserve">charges related to cross border money transfers.</w:t>
      </w:r>
      <w:r>
        <w:br/>
      </w:r>
      <w:r>
        <w:t xml:space="preserve">Summary of Public Consultation responses</w:t>
      </w:r>
      <w:r>
        <w:t xml:space="preserve"> </w:t>
      </w:r>
      <w:r>
        <w:t xml:space="preserve">In total, 101 respondents (92% from the EU, 26 Member States, 93 replies) replied to the</w:t>
      </w:r>
      <w:r>
        <w:t xml:space="preserve"> </w:t>
      </w:r>
      <w:r>
        <w:t xml:space="preserve">public consultation. EU citizens (52) formed the largest group of respondents, representing</w:t>
      </w:r>
      <w:r>
        <w:t xml:space="preserve"> </w:t>
      </w:r>
      <w:r>
        <w:t xml:space="preserve">50% of all respondents. Individual companies (20) and business associations representing</w:t>
      </w:r>
      <w:r>
        <w:t xml:space="preserve"> </w:t>
      </w:r>
      <w:r>
        <w:t xml:space="preserve">their interests (11) formed the second largest group of respondents, representing together</w:t>
      </w:r>
      <w:r>
        <w:t xml:space="preserve"> </w:t>
      </w:r>
      <w:r>
        <w:t xml:space="preserve">30% of all respondents. There were also 5 public authorities, 2 consumer organisations (both</w:t>
      </w:r>
      <w:r>
        <w:t xml:space="preserve"> </w:t>
      </w:r>
      <w:r>
        <w:t xml:space="preserve">EU-focused), 3 non-EU citizens, 2 trade unions (both EU-focused), 1 academic/research</w:t>
      </w:r>
      <w:r>
        <w:t xml:space="preserve"> </w:t>
      </w:r>
      <w:r>
        <w:t xml:space="preserve">institution, 1 NGO (a charity) and 4 others who participated in the consultation (see Figure 1)</w:t>
      </w:r>
      <w:r>
        <w:t xml:space="preserve"> </w:t>
      </w:r>
      <w:r>
        <w:t xml:space="preserve">Many</w:t>
      </w:r>
      <w:r>
        <w:t xml:space="preserve"> </w:t>
      </w:r>
      <w:r>
        <w:t xml:space="preserve">respondents</w:t>
      </w:r>
      <w:r>
        <w:t xml:space="preserve"> </w:t>
      </w:r>
      <w:r>
        <w:t xml:space="preserve">indicate to be active in</w:t>
      </w:r>
      <w:r>
        <w:t xml:space="preserve"> </w:t>
      </w:r>
      <w:r>
        <w:t xml:space="preserve">a</w:t>
      </w:r>
      <w:r>
        <w:t xml:space="preserve"> </w:t>
      </w:r>
      <w:r>
        <w:t xml:space="preserve">non-defined</w:t>
      </w:r>
      <w:r>
        <w:t xml:space="preserve"> </w:t>
      </w:r>
      <w:r>
        <w:t xml:space="preserve">field</w:t>
      </w:r>
      <w:r>
        <w:t xml:space="preserve"> </w:t>
      </w:r>
      <w:r>
        <w:t xml:space="preserve">(Other – 43, Non-</w:t>
      </w:r>
      <w:r>
        <w:t xml:space="preserve"> </w:t>
      </w:r>
      <w:r>
        <w:t xml:space="preserve">applicable – 20, total</w:t>
      </w:r>
      <w:r>
        <w:t xml:space="preserve"> </w:t>
      </w:r>
      <w:r>
        <w:t xml:space="preserve">62%), 28 respondents</w:t>
      </w:r>
      <w:r>
        <w:t xml:space="preserve"> </w:t>
      </w:r>
      <w:r>
        <w:t xml:space="preserve">are active in Banking</w:t>
      </w:r>
      <w:r>
        <w:t xml:space="preserve"> </w:t>
      </w:r>
      <w:r>
        <w:t xml:space="preserve">(28%)</w:t>
      </w:r>
      <w:r>
        <w:t xml:space="preserve"> </w:t>
      </w:r>
      <w:r>
        <w:t xml:space="preserve">and</w:t>
      </w:r>
      <w:r>
        <w:t xml:space="preserve"> </w:t>
      </w:r>
      <w:r>
        <w:t xml:space="preserve">10</w:t>
      </w:r>
      <w:r>
        <w:t xml:space="preserve"> </w:t>
      </w:r>
      <w:r>
        <w:t xml:space="preserve">in</w:t>
      </w:r>
      <w:r>
        <w:t xml:space="preserve"> </w:t>
      </w:r>
      <w:r>
        <w:t xml:space="preserve">Insurance</w:t>
      </w:r>
      <w:r>
        <w:t xml:space="preserve"> </w:t>
      </w:r>
      <w:r>
        <w:t xml:space="preserve">(11%).</w:t>
      </w:r>
      <w:r>
        <w:t xml:space="preserve"> </w:t>
      </w:r>
      <w:r>
        <w:t xml:space="preserve">Among</w:t>
      </w:r>
      <w:r>
        <w:t xml:space="preserve"> </w:t>
      </w:r>
      <w:r>
        <w:t xml:space="preserve">those</w:t>
      </w:r>
      <w:r>
        <w:t xml:space="preserve"> </w:t>
      </w:r>
      <w:r>
        <w:t xml:space="preserve">that</w:t>
      </w:r>
      <w:r>
        <w:t xml:space="preserve"> </w:t>
      </w:r>
      <w:r>
        <w:t xml:space="preserve">labelled their activities</w:t>
      </w:r>
      <w:r>
        <w:t xml:space="preserve"> </w:t>
      </w:r>
      <w:r>
        <w:t xml:space="preserve">as “Other” or “Non-</w:t>
      </w:r>
      <w:r>
        <w:t xml:space="preserve"> </w:t>
      </w:r>
      <w:r>
        <w:t xml:space="preserve">applicable” are for example legal firms/lawyers, software vendors, EU-citizens involved in</w:t>
      </w:r>
      <w:r>
        <w:t xml:space="preserve"> </w:t>
      </w:r>
      <w:r>
        <w:t xml:space="preserve">payments, associations for travel agencies, -vending machines and -telecommunications, and</w:t>
      </w:r>
      <w:r>
        <w:t xml:space="preserve"> </w:t>
      </w:r>
      <w:r>
        <w:t xml:space="preserve">an association and an entity involved in electrical vehicle charging infrastructure.</w:t>
      </w:r>
      <w:r>
        <w:br/>
      </w:r>
      <w:r>
        <w:t xml:space="preserve">Card payments are still the preferred methods for payment, both in-store (40%, cash being</w:t>
      </w:r>
      <w:r>
        <w:t xml:space="preserve"> </w:t>
      </w:r>
      <w:r>
        <w:t xml:space="preserve">listed as the 2nd preferred method) and online (52%). Digital wallets on a mobile phone are</w:t>
      </w:r>
      <w:r>
        <w:t xml:space="preserve"> </w:t>
      </w:r>
      <w:r>
        <w:t xml:space="preserve">only popular in-store (24%). Most respondents find the payment market innovative enough</w:t>
      </w:r>
      <w:r>
        <w:t xml:space="preserve"> </w:t>
      </w:r>
      <w:r>
        <w:t xml:space="preserve">(51% yes – 48 replies, 30% no – 28 replies), and also find that the choice in payment services</w:t>
      </w:r>
      <w:r>
        <w:t xml:space="preserve"> </w:t>
      </w:r>
      <w:r>
        <w:t xml:space="preserve">has increased over the last 5 years (70% yes – 66 replies). The overall sentiment towards new</w:t>
      </w:r>
      <w:r>
        <w:t xml:space="preserve"> </w:t>
      </w:r>
      <w:r>
        <w:t xml:space="preserve">companies, including big techs, entering the market is positive, but there are concerns about</w:t>
      </w:r>
      <w:r>
        <w:t xml:space="preserve"> </w:t>
      </w:r>
      <w:r>
        <w:t xml:space="preserve">power and data privacy, which is also reflected in the responses on the use of Open Banking</w:t>
      </w:r>
      <w:r>
        <w:t xml:space="preserve"> </w:t>
      </w:r>
      <w:r>
        <w:t xml:space="preserve">(AISP or PISP) services.</w:t>
      </w:r>
      <w:r>
        <w:t xml:space="preserve"> </w:t>
      </w:r>
      <w:r>
        <w:t xml:space="preserve">A big point of critique regards unclarity about the costs and fees of making cross border</w:t>
      </w:r>
      <w:r>
        <w:t xml:space="preserve"> </w:t>
      </w:r>
      <w:r>
        <w:t xml:space="preserve">payments (35% does not find these clear), especially those with a currency conversion (46%</w:t>
      </w:r>
      <w:r>
        <w:t xml:space="preserve"> </w:t>
      </w:r>
      <w:r>
        <w:t xml:space="preserve">finds these unclear).</w:t>
      </w:r>
      <w:r>
        <w:t xml:space="preserve"> </w:t>
      </w:r>
      <w:r>
        <w:t xml:space="preserve">Overall there is support for the application of strong customer authentication (SCA), most</w:t>
      </w:r>
      <w:r>
        <w:t xml:space="preserve"> </w:t>
      </w:r>
      <w:r>
        <w:t xml:space="preserve">finding it easy (in-store: 44%). It’s deemed more cumbersome in an online-setting but</w:t>
      </w:r>
      <w:r>
        <w:t xml:space="preserve"> </w:t>
      </w:r>
      <w:r>
        <w:t xml:space="preserve">considered acceptable given the fact that is prevents fraud. Respondents also find that SCA</w:t>
      </w:r>
      <w:r>
        <w:t xml:space="preserve"> </w:t>
      </w:r>
      <w:r>
        <w:t xml:space="preserve">has helped to make digital payments safer and more secure (50 replies, 76%). Some</w:t>
      </w:r>
      <w:r>
        <w:t xml:space="preserve"> </w:t>
      </w:r>
      <w:r>
        <w:t xml:space="preserve">respondents suggest that more innovation should be allowed here, e.g. through the application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of biometrics and behaviour, that PSPs should be required to offer non-mobile phone SCA</w:t>
      </w:r>
      <w:r>
        <w:t xml:space="preserve"> </w:t>
      </w:r>
      <w:r>
        <w:t xml:space="preserve">solutions too, and that new security measures should be developed to counter new fraud</w:t>
      </w:r>
      <w:r>
        <w:t xml:space="preserve"> </w:t>
      </w:r>
      <w:r>
        <w:t xml:space="preserve">methods such as social engineering and phishing.</w:t>
      </w:r>
      <w:r>
        <w:t xml:space="preserve"> </w:t>
      </w:r>
      <w:r>
        <w:t xml:space="preserve">For contactless payments without SCA most respondents indicate a wish for more control, in</w:t>
      </w:r>
      <w:r>
        <w:t xml:space="preserve"> </w:t>
      </w:r>
      <w:r>
        <w:t xml:space="preserve">that users should be able to set their own (lower) limits, and that higher limits should be</w:t>
      </w:r>
      <w:r>
        <w:t xml:space="preserve"> </w:t>
      </w:r>
      <w:r>
        <w:t xml:space="preserve">accompanied by a shift in liability.</w:t>
      </w:r>
      <w:r>
        <w:t xml:space="preserve"> </w:t>
      </w:r>
      <w:r>
        <w:t xml:space="preserve">Summary Call for Evidence responses</w:t>
      </w:r>
      <w:r>
        <w:t xml:space="preserve"> </w:t>
      </w:r>
      <w:r>
        <w:t xml:space="preserve">The Call for Evidence collected 195 responses in total, including one duplicate response.</w:t>
      </w:r>
      <w:r>
        <w:t xml:space="preserve"> </w:t>
      </w:r>
      <w:r>
        <w:t xml:space="preserve">Further analysis showed that a large number of responses from Slovakia (72) and many</w:t>
      </w:r>
      <w:r>
        <w:t xml:space="preserve"> </w:t>
      </w:r>
      <w:r>
        <w:t xml:space="preserve">responses not relating to the content of this CfE on the PSD2 review, but was in fact aimed</w:t>
      </w:r>
      <w:r>
        <w:t xml:space="preserve"> </w:t>
      </w:r>
      <w:r>
        <w:t xml:space="preserve">against the Digital Euro (75, of which 62 from Slovakia). Another 3 responses were about</w:t>
      </w:r>
      <w:r>
        <w:t xml:space="preserve"> </w:t>
      </w:r>
      <w:r>
        <w:t xml:space="preserve">tobacco. These responses were most likely meant for the separate consultations on the Digital</w:t>
      </w:r>
      <w:r>
        <w:t xml:space="preserve"> </w:t>
      </w:r>
      <w:r>
        <w:t xml:space="preserve">Euro and on tobacco which ran at the same time as this one. A further 4 responses also did</w:t>
      </w:r>
      <w:r>
        <w:t xml:space="preserve"> </w:t>
      </w:r>
      <w:r>
        <w:t xml:space="preserve">not appear to respond to the CfE on PSD2. Excluding these responses the final number of</w:t>
      </w:r>
      <w:r>
        <w:t xml:space="preserve"> </w:t>
      </w:r>
      <w:r>
        <w:t xml:space="preserve">responses analysed is 113, of which 92 citizens (incl. 18 non-EU citizens, of which 8 from</w:t>
      </w:r>
      <w:r>
        <w:t xml:space="preserve"> </w:t>
      </w:r>
      <w:r>
        <w:t xml:space="preserve">the UK), 12 business associations, 9 companies organisations and 1 consumer organisation.</w:t>
      </w:r>
      <w:r>
        <w:t xml:space="preserve"> </w:t>
      </w:r>
      <w:r>
        <w:t xml:space="preserve">The feedback from citizens mostly on cross border money transfers, and issues they are</w:t>
      </w:r>
      <w:r>
        <w:t xml:space="preserve"> </w:t>
      </w:r>
      <w:r>
        <w:t xml:space="preserve">experiencing in terms of a lack of transparency. 74% (83/113) indicates they still face high</w:t>
      </w:r>
      <w:r>
        <w:t xml:space="preserve"> </w:t>
      </w:r>
      <w:r>
        <w:t xml:space="preserve">fees when doing cross-border money transfers, with fees not always being clearly</w:t>
      </w:r>
      <w:r>
        <w:t xml:space="preserve"> </w:t>
      </w:r>
      <w:r>
        <w:t xml:space="preserve">communicated upfront. Some citizens refer to money transfers with third (non-EU) countries,</w:t>
      </w:r>
      <w:r>
        <w:t xml:space="preserve"> </w:t>
      </w:r>
      <w:r>
        <w:t xml:space="preserve">e.g. between the UK and the EU, but also within the EU between Euro and Non-Euro</w:t>
      </w:r>
      <w:r>
        <w:t xml:space="preserve"> </w:t>
      </w:r>
      <w:r>
        <w:t xml:space="preserve">countries. Many responses were nearly identical, explicitly suggesting the including of a</w:t>
      </w:r>
      <w:r>
        <w:t xml:space="preserve"> </w:t>
      </w:r>
      <w:r>
        <w:t xml:space="preserve">“mid-market rate” into article 45 of PSD2 (25 responses). Further analysis showed that one</w:t>
      </w:r>
      <w:r>
        <w:t xml:space="preserve"> </w:t>
      </w:r>
      <w:r>
        <w:t xml:space="preserve">PSP providing cross-border money transfer services ran a campaign, encouraging its users to</w:t>
      </w:r>
      <w:r>
        <w:t xml:space="preserve"> </w:t>
      </w:r>
      <w:r>
        <w:t xml:space="preserve">submit their feedback to the CfE on PSD2 regarding fees and transparency for these services.</w:t>
      </w:r>
      <w:r>
        <w:t xml:space="preserve"> </w:t>
      </w:r>
      <w:r>
        <w:t xml:space="preserve">Their campaign included an explanation of the PSD2 review and a guide on how to respond,</w:t>
      </w:r>
      <w:r>
        <w:t xml:space="preserve"> </w:t>
      </w:r>
      <w:r>
        <w:t xml:space="preserve">including some suggestions for responses.</w:t>
      </w:r>
      <w:r>
        <w:br/>
      </w:r>
      <w:r>
        <w:t xml:space="preserve">Other topics included in the feedback are about SCA, on its impact (fraud prevention), its</w:t>
      </w:r>
      <w:r>
        <w:t xml:space="preserve"> </w:t>
      </w:r>
      <w:r>
        <w:t xml:space="preserve">implementation (incl. the limited use of SCA exemptions and the need for a mobile phone to</w:t>
      </w:r>
      <w:r>
        <w:t xml:space="preserve"> </w:t>
      </w:r>
      <w:r>
        <w:t xml:space="preserve">perform SCA) and suggestions on how to improve it, mainly from the travel sector who</w:t>
      </w:r>
      <w:r>
        <w:t xml:space="preserve"> </w:t>
      </w:r>
      <w:r>
        <w:t xml:space="preserve">request separate provisions for business travel. One respondent shares concerns about SCA</w:t>
      </w:r>
      <w:r>
        <w:t xml:space="preserve"> </w:t>
      </w:r>
      <w:r>
        <w:t xml:space="preserve">and Electric Vehicle charging, related to the upcoming Alternative Fuel Infrastructure</w:t>
      </w:r>
      <w:r>
        <w:t xml:space="preserve"> </w:t>
      </w:r>
      <w:r>
        <w:t xml:space="preserve">Regulation (AFIR), expressing a fear that the regulations could lead to disproportionally high</w:t>
      </w:r>
      <w:r>
        <w:t xml:space="preserve"> </w:t>
      </w:r>
      <w:r>
        <w:t xml:space="preserve">investments for the providers of EV infrastructure.</w:t>
      </w:r>
    </w:p>
    <w:p>
      <w:pPr>
        <w:pStyle w:val="Compact"/>
        <w:numPr>
          <w:ilvl w:val="0"/>
          <w:numId w:val="1012"/>
        </w:numPr>
      </w:pPr>
      <w:r>
        <w:t xml:space="preserve">PSD2 targeted consultation</w:t>
      </w:r>
      <w:r>
        <w:br/>
      </w:r>
      <w:r>
        <w:t xml:space="preserve">Who responded?</w:t>
      </w:r>
      <w:r>
        <w:br/>
      </w:r>
      <w:r>
        <w:t xml:space="preserve">The targeted consultation on PSD2 ran from 10 May to 2 August, 2022. A total of 169 parties</w:t>
      </w:r>
      <w:r>
        <w:t xml:space="preserve"> </w:t>
      </w:r>
      <w:r>
        <w:t xml:space="preserve">responded to the consultation. There were 146 (86.4%) respondents from the EU (largest</w:t>
      </w:r>
    </w:p>
    <w:p>
      <w:pPr>
        <w:pStyle w:val="FirstParagraph"/>
      </w:pPr>
      <w:r>
        <w:t xml:space="preserve">66</w:t>
      </w:r>
    </w:p>
    <w:p>
      <w:pPr>
        <w:pStyle w:val="BodyText"/>
      </w:pPr>
      <w:r>
        <w:t xml:space="preserve">contributors: 27 from Germany, 22 from Belgium, 15 from France, 12 from the Netherlands</w:t>
      </w:r>
      <w:r>
        <w:t xml:space="preserve"> </w:t>
      </w:r>
      <w:r>
        <w:t xml:space="preserve">and 11 from Italy), 11 (6.5%) from the UK and 10 (6%) from the US.</w:t>
      </w:r>
      <w:r>
        <w:br/>
      </w:r>
      <w:r>
        <w:t xml:space="preserve">To the right an overview of all</w:t>
      </w:r>
      <w:r>
        <w:t xml:space="preserve"> </w:t>
      </w:r>
      <w:r>
        <w:t xml:space="preserve">contributions per stakeholders</w:t>
      </w:r>
      <w:r>
        <w:t xml:space="preserve"> </w:t>
      </w:r>
      <w:r>
        <w:t xml:space="preserve">type,</w:t>
      </w:r>
      <w:r>
        <w:t xml:space="preserve"> </w:t>
      </w:r>
      <w:r>
        <w:t xml:space="preserve">which</w:t>
      </w:r>
      <w:r>
        <w:t xml:space="preserve"> </w:t>
      </w:r>
      <w:r>
        <w:t xml:space="preserve">included</w:t>
      </w:r>
      <w:r>
        <w:t xml:space="preserve"> </w:t>
      </w:r>
      <w:r>
        <w:t xml:space="preserve">7</w:t>
      </w:r>
      <w:r>
        <w:t xml:space="preserve"> </w:t>
      </w:r>
      <w:r>
        <w:t xml:space="preserve">consumer</w:t>
      </w:r>
      <w:r>
        <w:t xml:space="preserve"> </w:t>
      </w:r>
      <w:r>
        <w:t xml:space="preserve">organisations</w:t>
      </w:r>
      <w:r>
        <w:t xml:space="preserve"> </w:t>
      </w:r>
      <w:r>
        <w:t xml:space="preserve">(European and national ones)</w:t>
      </w:r>
      <w:r>
        <w:t xml:space="preserve"> </w:t>
      </w:r>
      <w:r>
        <w:t xml:space="preserve">and 15 public authorities.</w:t>
      </w:r>
      <w:r>
        <w:br/>
      </w:r>
      <w:r>
        <w:t xml:space="preserve">In terms of activity, most</w:t>
      </w:r>
      <w:r>
        <w:t xml:space="preserve"> </w:t>
      </w:r>
      <w:r>
        <w:t xml:space="preserve">respondents</w:t>
      </w:r>
      <w:r>
        <w:t xml:space="preserve"> </w:t>
      </w:r>
      <w:r>
        <w:t xml:space="preserve">labelled</w:t>
      </w:r>
      <w:r>
        <w:t xml:space="preserve"> </w:t>
      </w:r>
      <w:r>
        <w:t xml:space="preserve">themselves as “Other” (98,</w:t>
      </w:r>
      <w:r>
        <w:t xml:space="preserve"> </w:t>
      </w:r>
      <w:r>
        <w:t xml:space="preserve">58%) and “Banking” (64,</w:t>
      </w:r>
      <w:r>
        <w:t xml:space="preserve"> </w:t>
      </w:r>
      <w:r>
        <w:t xml:space="preserve">38%).</w:t>
      </w:r>
      <w:r>
        <w:t xml:space="preserve"> </w:t>
      </w:r>
      <w:r>
        <w:t xml:space="preserve">“Insurance”</w:t>
      </w:r>
      <w:r>
        <w:t xml:space="preserve"> </w:t>
      </w:r>
      <w:r>
        <w:t xml:space="preserve">(5),</w:t>
      </w:r>
      <w:r>
        <w:t xml:space="preserve"> </w:t>
      </w:r>
      <w:r>
        <w:t xml:space="preserve">“Accounting” (3) were also</w:t>
      </w:r>
      <w:r>
        <w:t xml:space="preserve"> </w:t>
      </w:r>
      <w:r>
        <w:t xml:space="preserve">mentioned,</w:t>
      </w:r>
      <w:r>
        <w:t xml:space="preserve"> </w:t>
      </w:r>
      <w:r>
        <w:t xml:space="preserve">among</w:t>
      </w:r>
      <w:r>
        <w:t xml:space="preserve"> </w:t>
      </w:r>
      <w:r>
        <w:t xml:space="preserve">others.</w:t>
      </w:r>
      <w:r>
        <w:t xml:space="preserve"> </w:t>
      </w:r>
      <w:r>
        <w:t xml:space="preserve">Among</w:t>
      </w:r>
      <w:r>
        <w:t xml:space="preserve"> </w:t>
      </w:r>
      <w:r>
        <w:t xml:space="preserve">those</w:t>
      </w:r>
      <w:r>
        <w:t xml:space="preserve"> </w:t>
      </w:r>
      <w:r>
        <w:t xml:space="preserve">labelling</w:t>
      </w:r>
      <w:r>
        <w:t xml:space="preserve"> </w:t>
      </w:r>
      <w:r>
        <w:t xml:space="preserve">themselves as “Other” there</w:t>
      </w:r>
      <w:r>
        <w:t xml:space="preserve"> </w:t>
      </w:r>
      <w:r>
        <w:t xml:space="preserve">were those active in Open</w:t>
      </w:r>
      <w:r>
        <w:t xml:space="preserve"> </w:t>
      </w:r>
      <w:r>
        <w:t xml:space="preserve">4.</w:t>
      </w:r>
      <w:r>
        <w:t xml:space="preserve"> </w:t>
      </w:r>
      <w:r>
        <w:t xml:space="preserve">Figure 4 Contributions given per type of stakeholder</w:t>
      </w:r>
      <w:r>
        <w:t xml:space="preserve"> </w:t>
      </w:r>
      <w:r>
        <w:t xml:space="preserve">Banking and APIs, E-money, Payment Service Providers, Retail, Telecommunications,</w:t>
      </w:r>
      <w:r>
        <w:t xml:space="preserve"> </w:t>
      </w:r>
      <w:r>
        <w:t xml:space="preserve">Treasury and more.</w:t>
      </w:r>
      <w:r>
        <w:t xml:space="preserve"> </w:t>
      </w:r>
      <w:r>
        <w:t xml:space="preserve">Two responses appear to be duplicates, and due to the similarity of some responses it is clear</w:t>
      </w:r>
      <w:r>
        <w:t xml:space="preserve"> </w:t>
      </w:r>
      <w:r>
        <w:t xml:space="preserve">some member associations have coordinated a “main message” or “main response”. The</w:t>
      </w:r>
      <w:r>
        <w:t xml:space="preserve"> </w:t>
      </w:r>
      <w:r>
        <w:t xml:space="preserve">duplicates have been controlled for during the analysis. Coordinated responses are considered</w:t>
      </w:r>
      <w:r>
        <w:t xml:space="preserve"> </w:t>
      </w:r>
      <w:r>
        <w:t xml:space="preserve">unique contributions.</w:t>
      </w:r>
      <w:r>
        <w:t xml:space="preserve"> </w:t>
      </w:r>
      <w:r>
        <w:t xml:space="preserve">Key Messages</w:t>
      </w:r>
      <w:r>
        <w:t xml:space="preserve"> </w:t>
      </w:r>
      <w:r>
        <w:t xml:space="preserve">The targeted consultation (TC) comprised of 55 questions that covered stakeholders’</w:t>
      </w:r>
      <w:r>
        <w:t xml:space="preserve"> </w:t>
      </w:r>
      <w:r>
        <w:t xml:space="preserve">experiences with the PSD2, whether the PSD2 objectives were met, targeted questions per</w:t>
      </w:r>
      <w:r>
        <w:t xml:space="preserve"> </w:t>
      </w:r>
      <w:r>
        <w:t xml:space="preserve">PSD2 Title, and offered respondents the option to provide suggestions for changes to the</w:t>
      </w:r>
      <w:r>
        <w:t xml:space="preserve"> </w:t>
      </w:r>
      <w:r>
        <w:t xml:space="preserve">PSD2. It should be noted that, despite a high number of total respondents (169), many</w:t>
      </w:r>
      <w:r>
        <w:t xml:space="preserve"> </w:t>
      </w:r>
      <w:r>
        <w:t xml:space="preserve">respondents skipped questions or responded “Don’t know”/No opinion/N.A. This is likely</w:t>
      </w:r>
      <w:r>
        <w:t xml:space="preserve"> </w:t>
      </w:r>
      <w:r>
        <w:t xml:space="preserve">due various specific topics that were not directly applicable to all types of respondents.</w:t>
      </w:r>
      <w:r>
        <w:t xml:space="preserve"> </w:t>
      </w:r>
      <w:r>
        <w:t xml:space="preserve">It should also be noted that, with regard to the different questions and topics, views held</w:t>
      </w:r>
      <w:r>
        <w:t xml:space="preserve"> </w:t>
      </w:r>
      <w:r>
        <w:t xml:space="preserve">within each stakeholder group are not always homogenous, meaning that drawing</w:t>
      </w:r>
      <w:r>
        <w:t xml:space="preserve"> </w:t>
      </w:r>
      <w:r>
        <w:t xml:space="preserve">conclusions on group views is not always straightforward. Most noticeably, the group</w:t>
      </w:r>
      <w:r>
        <w:t xml:space="preserve"> </w:t>
      </w:r>
      <w:r>
        <w:t xml:space="preserve">“ASPSPs” encompasses a heterogeneity of institutions, including credit institutions of</w:t>
      </w:r>
      <w:r>
        <w:t xml:space="preserve"> </w:t>
      </w:r>
      <w:r>
        <w:t xml:space="preserve">different sizes and profiles, but also other types of non-bank PSPs which offer and service</w:t>
      </w:r>
      <w:r>
        <w:t xml:space="preserve"> </w:t>
      </w:r>
      <w:r>
        <w:t xml:space="preserve">payments accounts, namely e-money institutions (EMIs) and payment institutions (PIs). One</w:t>
      </w:r>
      <w:r>
        <w:t xml:space="preserve"> </w:t>
      </w:r>
      <w:r>
        <w:t xml:space="preserve">question where the views of ASPSPs have reflected this diversity (rendering meaningless an</w:t>
      </w:r>
      <w:r>
        <w:t xml:space="preserve"> </w:t>
      </w:r>
      <w:r>
        <w:t xml:space="preserve">attempt to identify a group position) is, for example, on the level playing field. Here credit</w:t>
      </w:r>
      <w:r>
        <w:t xml:space="preserve"> </w:t>
      </w:r>
      <w:r>
        <w:t xml:space="preserve">institutions’ reported concerns largely focused on the obligation to provide a mechanism for</w:t>
      </w:r>
      <w:r>
        <w:t xml:space="preserve"> </w:t>
      </w:r>
      <w:r>
        <w:t xml:space="preserve">TPPs’ access to account data, whereas for non-bank PSPs a key issue concerned the</w:t>
      </w:r>
      <w:r>
        <w:t xml:space="preserve"> </w:t>
      </w:r>
      <w:r>
        <w:t xml:space="preserve">dependence on credit institutions to access payment settlement systems. Similarly, within the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TPPs group, one often finds contrasting views between TPPs which practiced Open Banking</w:t>
      </w:r>
      <w:r>
        <w:t xml:space="preserve"> </w:t>
      </w:r>
      <w:r>
        <w:t xml:space="preserve">already before the PSD2 framework entered into force and those emerging after PSD2162.</w:t>
      </w:r>
      <w:r>
        <w:t xml:space="preserve"> </w:t>
      </w:r>
      <w:r>
        <w:t xml:space="preserve">One case of such differing views within this group concerned the data access mechanisms,</w:t>
      </w:r>
      <w:r>
        <w:t xml:space="preserve"> </w:t>
      </w:r>
      <w:r>
        <w:t xml:space="preserve">where pre- PSD2 TPPs tended to make more use of fallback interfaces (thus favouring</w:t>
      </w:r>
      <w:r>
        <w:t xml:space="preserve"> </w:t>
      </w:r>
      <w:r>
        <w:t xml:space="preserve">keeping this option), whereas TPPs emerging after PSD2 favoured quality, performing</w:t>
      </w:r>
      <w:r>
        <w:t xml:space="preserve"> </w:t>
      </w:r>
      <w:r>
        <w:t xml:space="preserve">dedicated interfaces (either through common API standards, or by not opposing remuneration</w:t>
      </w:r>
      <w:r>
        <w:t xml:space="preserve"> </w:t>
      </w:r>
      <w:r>
        <w:t xml:space="preserve">for data access services beyond a baseline in order to improve API quality).</w:t>
      </w:r>
      <w:r>
        <w:t xml:space="preserve"> </w:t>
      </w:r>
      <w:r>
        <w:t xml:space="preserve">The below summary of responses is provided in the same order as the Targeted Consultation</w:t>
      </w:r>
      <w:r>
        <w:t xml:space="preserve"> </w:t>
      </w:r>
      <w:r>
        <w:t xml:space="preserve">itself.</w:t>
      </w:r>
      <w:r>
        <w:t xml:space="preserve"> </w:t>
      </w:r>
      <w:r>
        <w:t xml:space="preserve">General questions</w:t>
      </w:r>
      <w:r>
        <w:br/>
      </w:r>
      <w:r>
        <w:t xml:space="preserve">In terms of the objectives of PSD2 respondents say the following: the majority of</w:t>
      </w:r>
      <w:r>
        <w:t xml:space="preserve"> </w:t>
      </w:r>
      <w:r>
        <w:t xml:space="preserve">respondents, 85%(112/132) (excluding the don’t knows/blanks) agree that PSD2 has been</w:t>
      </w:r>
      <w:r>
        <w:t xml:space="preserve"> </w:t>
      </w:r>
      <w:r>
        <w:t xml:space="preserve">effective in making payments safer and more secure, in ensuring a high level of protection for</w:t>
      </w:r>
      <w:r>
        <w:t xml:space="preserve"> </w:t>
      </w:r>
      <w:r>
        <w:t xml:space="preserve">PSUs across all EU (82%, 106/129), in increasing the choice between different types of</w:t>
      </w:r>
      <w:r>
        <w:t xml:space="preserve"> </w:t>
      </w:r>
      <w:r>
        <w:t xml:space="preserve">payment providers (77%, 102/133), in strengthening consumer rights (78%, 98/126) and that</w:t>
      </w:r>
      <w:r>
        <w:t xml:space="preserve"> </w:t>
      </w:r>
      <w:r>
        <w:t xml:space="preserve">it’s been supportive in the creation of an environment that stimulates innovation in payment</w:t>
      </w:r>
      <w:r>
        <w:t xml:space="preserve"> </w:t>
      </w:r>
      <w:r>
        <w:t xml:space="preserve">services (66%, 92/139). Especially regarding consumer and PSU protection, only a handful of</w:t>
      </w:r>
      <w:r>
        <w:t xml:space="preserve"> </w:t>
      </w:r>
      <w:r>
        <w:t xml:space="preserve">respondents disagree (others are neutral/don’t know).</w:t>
      </w:r>
      <w:r>
        <w:t xml:space="preserve"> </w:t>
      </w:r>
      <w:r>
        <w:t xml:space="preserve">Respondents are less positive about PSD2 improving the level playing field (30% does not</w:t>
      </w:r>
      <w:r>
        <w:t xml:space="preserve"> </w:t>
      </w:r>
      <w:r>
        <w:t xml:space="preserve">agree, 56% agrees, out of 136 respondents). Some also comment that the PSD2 requirements,</w:t>
      </w:r>
      <w:r>
        <w:t xml:space="preserve"> </w:t>
      </w:r>
      <w:r>
        <w:t xml:space="preserve">like SCA, are more likely to be implemented via smart phones, favouring this technology</w:t>
      </w:r>
      <w:r>
        <w:t xml:space="preserve"> </w:t>
      </w:r>
      <w:r>
        <w:t xml:space="preserve">over others. The views are more nuanced for market integration and competition. There is a</w:t>
      </w:r>
      <w:r>
        <w:t xml:space="preserve"> </w:t>
      </w:r>
      <w:r>
        <w:t xml:space="preserve">wider choice of PSPs than before (86% agrees 106/123), and the EU payment market is more</w:t>
      </w:r>
      <w:r>
        <w:t xml:space="preserve"> </w:t>
      </w:r>
      <w:r>
        <w:t xml:space="preserve">competitive than before (77% 96/125). Respondents agree that the internal payment’s market</w:t>
      </w:r>
      <w:r>
        <w:t xml:space="preserve"> </w:t>
      </w:r>
      <w:r>
        <w:t xml:space="preserve">functioning has improved 62% (73/118). However, there is less support for PSD2 having</w:t>
      </w:r>
      <w:r>
        <w:t xml:space="preserve"> </w:t>
      </w:r>
      <w:r>
        <w:t xml:space="preserve">contributed to the development of cross-border payments within the EU (43% agree, 50/115</w:t>
      </w:r>
      <w:r>
        <w:t xml:space="preserve"> </w:t>
      </w:r>
      <w:r>
        <w:t xml:space="preserve">and 37% are neutral 43/115). For remittances the number of responses was significantly</w:t>
      </w:r>
      <w:r>
        <w:t xml:space="preserve"> </w:t>
      </w:r>
      <w:r>
        <w:t xml:space="preserve">lower (80 don’t know, blank), and a large group remains neutral – 35% (31/89), against 38%</w:t>
      </w:r>
      <w:r>
        <w:t xml:space="preserve"> </w:t>
      </w:r>
      <w:r>
        <w:t xml:space="preserve">(34) positive, and 27% (24) negative.</w:t>
      </w:r>
      <w:r>
        <w:t xml:space="preserve"> </w:t>
      </w:r>
      <w:r>
        <w:t xml:space="preserve">In terms of payment options and innovation the responses are positive: payment options have</w:t>
      </w:r>
      <w:r>
        <w:t xml:space="preserve"> </w:t>
      </w:r>
      <w:r>
        <w:t xml:space="preserve">increased (78% (102/130) and making digital payments has become easier 66% (87/131),</w:t>
      </w:r>
      <w:r>
        <w:t xml:space="preserve"> </w:t>
      </w:r>
      <w:r>
        <w:t xml:space="preserve">although views are less optimistic for international payments (EU and non-EU) – 35% (39)</w:t>
      </w:r>
      <w:r>
        <w:t xml:space="preserve"> </w:t>
      </w:r>
      <w:r>
        <w:t xml:space="preserve">agree this has become easier. 71% of respondents agree that PSD2 has met its innovation-</w:t>
      </w:r>
      <w:r>
        <w:t xml:space="preserve"> </w:t>
      </w:r>
      <w:r>
        <w:t xml:space="preserve">related objectives for the development of innovative payment services, solutions and overall</w:t>
      </w:r>
      <w:r>
        <w:t xml:space="preserve"> </w:t>
      </w:r>
      <w:r>
        <w:t xml:space="preserve">innovation. An often-cited example is the rise of so-called (data) aggregators. Some remarks</w:t>
      </w:r>
      <w:r>
        <w:t xml:space="preserve"> </w:t>
      </w:r>
      <w:r>
        <w:t xml:space="preserve">stressing a potential obstruction of innovation are placed with reference to the Level 2 text</w:t>
      </w:r>
      <w:r>
        <w:t xml:space="preserve"> </w:t>
      </w:r>
      <w:r>
        <w:t xml:space="preserve">(RTS on SCA), such as the restrictive approach to behavioural biometrics (in the context of</w:t>
      </w:r>
      <w:r>
        <w:t xml:space="preserve"> </w:t>
      </w:r>
      <w:r>
        <w:t xml:space="preserve">SCA), and that most authentication flows are still controlled by the banks. Furthermore, it</w:t>
      </w:r>
    </w:p>
    <w:p>
      <w:pPr>
        <w:pStyle w:val="BodyText"/>
      </w:pPr>
      <w:r>
        <w:t xml:space="preserve">162 These sometimes diverging views are furthermore captured and expressed most notably by the two different</w:t>
      </w:r>
      <w:r>
        <w:t xml:space="preserve"> </w:t>
      </w:r>
      <w:r>
        <w:t xml:space="preserve">associations of TPPs in the EU, ETTPA and OFA, with the former representing mostly TPPs which practiced</w:t>
      </w:r>
      <w:r>
        <w:t xml:space="preserve"> </w:t>
      </w:r>
      <w:r>
        <w:t xml:space="preserve">Open Banking already before PSD2, and the latter those emerging since PSD2.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should be noted that the uptake of Open Banking services is still low, although growing</w:t>
      </w:r>
      <w:r>
        <w:t xml:space="preserve"> </w:t>
      </w:r>
      <w:r>
        <w:t xml:space="preserve">month-on-month.</w:t>
      </w:r>
      <w:r>
        <w:t xml:space="preserve"> </w:t>
      </w:r>
      <w:r>
        <w:t xml:space="preserve">A central aim of the PSD2 was to ensure and improve consumer protection, which</w:t>
      </w:r>
      <w:r>
        <w:t xml:space="preserve"> </w:t>
      </w:r>
      <w:r>
        <w:t xml:space="preserve">respondents find the PSD2 has contributed to (82%, 102/125), including in that it has</w:t>
      </w:r>
      <w:r>
        <w:t xml:space="preserve"> </w:t>
      </w:r>
      <w:r>
        <w:t xml:space="preserve">contributed to the protection of consumers’ financial data (61%, 70/115). It has also led to a</w:t>
      </w:r>
      <w:r>
        <w:t xml:space="preserve"> </w:t>
      </w:r>
      <w:r>
        <w:t xml:space="preserve">reduction in fraud in digital payments (74%, 86/116). However, all types of respondents</w:t>
      </w:r>
      <w:r>
        <w:t xml:space="preserve"> </w:t>
      </w:r>
      <w:r>
        <w:t xml:space="preserve">identify the rise of new fraud methods that SCA cannot prevent (entirely), such as spoofing,</w:t>
      </w:r>
      <w:r>
        <w:t xml:space="preserve"> </w:t>
      </w:r>
      <w:r>
        <w:t xml:space="preserve">phishing, etc. For surcharging (fewer responses), 62% of respondents (61/99) believe PSD2</w:t>
      </w:r>
      <w:r>
        <w:t xml:space="preserve"> </w:t>
      </w:r>
      <w:r>
        <w:t xml:space="preserve">has effectively removed these. Regarding clear information about payment services and terms</w:t>
      </w:r>
      <w:r>
        <w:t xml:space="preserve"> </w:t>
      </w:r>
      <w:r>
        <w:t xml:space="preserve">and conditions only 50% of respondents (56/111) agree this now OK, whereas 29% remains</w:t>
      </w:r>
      <w:r>
        <w:t xml:space="preserve"> </w:t>
      </w:r>
      <w:r>
        <w:t xml:space="preserve">neutral.</w:t>
      </w:r>
      <w:r>
        <w:br/>
      </w:r>
      <w:r>
        <w:t xml:space="preserve">The costs and benefits are a more complex topic, with not much quantitative data, but many</w:t>
      </w:r>
      <w:r>
        <w:t xml:space="preserve"> </w:t>
      </w:r>
      <w:r>
        <w:t xml:space="preserve">qualitative elaborations. Stakeholders agree that PSD2 has resulted in higher costs (89%,</w:t>
      </w:r>
      <w:r>
        <w:t xml:space="preserve"> </w:t>
      </w:r>
      <w:r>
        <w:t xml:space="preserve">72/81), often referring to the creation of PSD2 APIs and implementation of SCA. One level</w:t>
      </w:r>
      <w:r>
        <w:t xml:space="preserve"> </w:t>
      </w:r>
      <w:r>
        <w:t xml:space="preserve">lower the PSD2 has mostly led to higher costs for merchants (66%, 52/79), and corporates</w:t>
      </w:r>
      <w:r>
        <w:t xml:space="preserve"> </w:t>
      </w:r>
      <w:r>
        <w:t xml:space="preserve">(51%, 39/77). Less so for individual consumers (53% disagrees, 45/87). For the</w:t>
      </w:r>
      <w:r>
        <w:t xml:space="preserve"> </w:t>
      </w:r>
      <w:r>
        <w:t xml:space="preserve">implementation of SCA the views are split: 36% (36/99) find the benefits related to SCA</w:t>
      </w:r>
      <w:r>
        <w:t xml:space="preserve"> </w:t>
      </w:r>
      <w:r>
        <w:t xml:space="preserve">exceed the costs of its implementation, 38% disagrees (38/99). Concerning proportionality,</w:t>
      </w:r>
      <w:r>
        <w:t xml:space="preserve"> </w:t>
      </w:r>
      <w:r>
        <w:t xml:space="preserve">the majority of respondents finds the investments to comply with PSD2 were disproportional</w:t>
      </w:r>
      <w:r>
        <w:t xml:space="preserve"> </w:t>
      </w:r>
      <w:r>
        <w:t xml:space="preserve">to its benefits – 63% (64/101). Many banks (34) also find that the benefits of PSD2 do not</w:t>
      </w:r>
      <w:r>
        <w:t xml:space="preserve"> </w:t>
      </w:r>
      <w:r>
        <w:t xml:space="preserve">outweigh the costs of implementation, often arguing the large costs placed on them to provide</w:t>
      </w:r>
      <w:r>
        <w:t xml:space="preserve"> </w:t>
      </w:r>
      <w:r>
        <w:t xml:space="preserve">access to accounts for free. Lastly 71% of all stakeholders (65/91) disagree with the statement</w:t>
      </w:r>
      <w:r>
        <w:t xml:space="preserve"> </w:t>
      </w:r>
      <w:r>
        <w:t xml:space="preserve">that PSD2 has simplified things (compared to PSD1).</w:t>
      </w:r>
      <w:r>
        <w:br/>
      </w:r>
      <w:r>
        <w:t xml:space="preserve">In terms of enforcement most respondents, including NCAs and most banks and PSPs,</w:t>
      </w:r>
      <w:r>
        <w:t xml:space="preserve"> </w:t>
      </w:r>
      <w:r>
        <w:t xml:space="preserve">consider that NCAs are sufficiently empowered to ensure the correct application of PSD2</w:t>
      </w:r>
      <w:r>
        <w:t xml:space="preserve"> </w:t>
      </w:r>
      <w:r>
        <w:t xml:space="preserve">(66%, 64/97), and to impose penalties (66%, 61/93). However, consumer organisations do</w:t>
      </w:r>
      <w:r>
        <w:t xml:space="preserve"> </w:t>
      </w:r>
      <w:r>
        <w:t xml:space="preserve">not agree the provisions are adequate, and neither do some TPP respondents. A majority,</w:t>
      </w:r>
      <w:r>
        <w:t xml:space="preserve"> </w:t>
      </w:r>
      <w:r>
        <w:t xml:space="preserve">including most banks and PSPs, (68%, 65/97) finds the EBA should conduct mandatory peer</w:t>
      </w:r>
      <w:r>
        <w:t xml:space="preserve"> </w:t>
      </w:r>
      <w:r>
        <w:t xml:space="preserve">review analysis of the NCAs’ supervisory activities, including the consumer organisations</w:t>
      </w:r>
      <w:r>
        <w:t xml:space="preserve"> </w:t>
      </w:r>
      <w:r>
        <w:t xml:space="preserve">and TPP respondents. Most NCAs are against this.</w:t>
      </w:r>
      <w:r>
        <w:t xml:space="preserve"> </w:t>
      </w:r>
      <w:r>
        <w:t xml:space="preserve">Respondents could also provide suggestions for changes to the PSD2. 71% of them (95/133)</w:t>
      </w:r>
      <w:r>
        <w:t xml:space="preserve"> </w:t>
      </w:r>
      <w:r>
        <w:t xml:space="preserve">believe PSD2 should be amended to cater for market developments, and that it should be</w:t>
      </w:r>
      <w:r>
        <w:t xml:space="preserve"> </w:t>
      </w:r>
      <w:r>
        <w:t xml:space="preserve">complemented by self-regulatory measures and industry-led initiatives (72%, 91/126). Many</w:t>
      </w:r>
      <w:r>
        <w:t xml:space="preserve"> </w:t>
      </w:r>
      <w:r>
        <w:t xml:space="preserve">also believe PSD2 could be simplified to reduce compliance costs (70%, 86/122). When</w:t>
      </w:r>
      <w:r>
        <w:t xml:space="preserve"> </w:t>
      </w:r>
      <w:r>
        <w:t xml:space="preserve">asked if the PSD2 should rather be a Regulation, the majority of respondents remained</w:t>
      </w:r>
      <w:r>
        <w:t xml:space="preserve"> </w:t>
      </w:r>
      <w:r>
        <w:t xml:space="preserve">neutral, didn’t provide a response or doesn’t know (43%, 73/169). Many respondents note</w:t>
      </w:r>
      <w:r>
        <w:t xml:space="preserve"> </w:t>
      </w:r>
      <w:r>
        <w:t xml:space="preserve">that a full review of the PSD2 is still too premature, but that targeted amendments would suit</w:t>
      </w:r>
      <w:r>
        <w:t xml:space="preserve"> </w:t>
      </w:r>
      <w:r>
        <w:t xml:space="preserve">better, such as behavioural biometrics being allowed as an SCA element or allowing banks to</w:t>
      </w:r>
      <w:r>
        <w:t xml:space="preserve"> </w:t>
      </w:r>
      <w:r>
        <w:t xml:space="preserve">charge for the access to accounts (banks largely in favour, TPPs only for “value-added</w:t>
      </w:r>
      <w:r>
        <w:t xml:space="preserve"> </w:t>
      </w:r>
      <w:r>
        <w:t xml:space="preserve">services”). Many stakeholders also note burden of the many different reporting obligations</w:t>
      </w:r>
      <w:r>
        <w:t xml:space="preserve"> </w:t>
      </w:r>
      <w:r>
        <w:t xml:space="preserve">and request alignment between various pieces of legislation (e.g. DORA).</w:t>
      </w:r>
      <w:r>
        <w:t xml:space="preserve"> </w:t>
      </w:r>
      <w:r>
        <w:t xml:space="preserve">Title 1: subject matter, scope and definitions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This section covered questions about the scope (art. 1, 2) of the Directive, exclusions to the</w:t>
      </w:r>
      <w:r>
        <w:t xml:space="preserve"> </w:t>
      </w:r>
      <w:r>
        <w:t xml:space="preserve">scope (art. 3) and definitions (art. 4). Most respondents (55%, 66/120) agree that the scope of</w:t>
      </w:r>
      <w:r>
        <w:t xml:space="preserve"> </w:t>
      </w:r>
      <w:r>
        <w:t xml:space="preserve">PSD2 is adequate. However, 48/92 (52%) respondents believe the scope should change,</w:t>
      </w:r>
      <w:r>
        <w:t xml:space="preserve"> </w:t>
      </w:r>
      <w:r>
        <w:t xml:space="preserve">which includes some that previously responded the scope was adequate. Some explanations</w:t>
      </w:r>
      <w:r>
        <w:t xml:space="preserve"> </w:t>
      </w:r>
      <w:r>
        <w:t xml:space="preserve">refer to a merger of PSD2 and EMD2 and a closer look at the GDPR and access to accounts.</w:t>
      </w:r>
      <w:r>
        <w:t xml:space="preserve"> </w:t>
      </w:r>
      <w:r>
        <w:t xml:space="preserve">With regard to exclusions, many respondents believe these need to be modified (64/144</w:t>
      </w:r>
      <w:r>
        <w:t xml:space="preserve"> </w:t>
      </w:r>
      <w:r>
        <w:t xml:space="preserve">respondents, 56% disagree with the statement that article 3 exclusions are adequate). Those in</w:t>
      </w:r>
      <w:r>
        <w:t xml:space="preserve"> </w:t>
      </w:r>
      <w:r>
        <w:t xml:space="preserve">favour of modifications (61/98, 62%) are largely active in banking (27/64, 42%). There is</w:t>
      </w:r>
      <w:r>
        <w:t xml:space="preserve"> </w:t>
      </w:r>
      <w:r>
        <w:t xml:space="preserve">also more support for including more exclusions (68% agree, 47/69, 110 respondents do not</w:t>
      </w:r>
      <w:r>
        <w:t xml:space="preserve"> </w:t>
      </w:r>
      <w:r>
        <w:t xml:space="preserve">have an opinion/no answer). Most of the respondents in favour of exclusions argue to be</w:t>
      </w:r>
      <w:r>
        <w:t xml:space="preserve"> </w:t>
      </w:r>
      <w:r>
        <w:t xml:space="preserve">explicitly excluded themselves (e.g. a corporate bank suggesting an exclusion for a corporate</w:t>
      </w:r>
      <w:r>
        <w:t xml:space="preserve"> </w:t>
      </w:r>
      <w:r>
        <w:t xml:space="preserve">card), but various stakeholders also report NCAs are applying exclusions differently</w:t>
      </w:r>
      <w:r>
        <w:t xml:space="preserve"> </w:t>
      </w:r>
      <w:r>
        <w:t xml:space="preserve">(specifically the commercial agent, art. 3(b), limited network exclusion (art. 3(k)(i) and intra-</w:t>
      </w:r>
      <w:r>
        <w:t xml:space="preserve"> </w:t>
      </w:r>
      <w:r>
        <w:t xml:space="preserve">group payments (art. 3(n)). Stakeholders that would rather see the exclusions narrowed down</w:t>
      </w:r>
      <w:r>
        <w:t xml:space="preserve"> </w:t>
      </w:r>
      <w:r>
        <w:t xml:space="preserve">provide the argument that the PSD2 should reflect market developments and increasingly</w:t>
      </w:r>
      <w:r>
        <w:t xml:space="preserve"> </w:t>
      </w:r>
      <w:r>
        <w:t xml:space="preserve">important positions some players are occupying (referring to certain technical service</w:t>
      </w:r>
      <w:r>
        <w:t xml:space="preserve"> </w:t>
      </w:r>
      <w:r>
        <w:t xml:space="preserve">providers, such as wallets or TSPs processing large transaction volumes) and a level playing</w:t>
      </w:r>
      <w:r>
        <w:t xml:space="preserve"> </w:t>
      </w:r>
      <w:r>
        <w:t xml:space="preserve">field. Some exclusions that received more attention over the last years were singled out in the</w:t>
      </w:r>
      <w:r>
        <w:t xml:space="preserve"> </w:t>
      </w:r>
      <w:r>
        <w:t xml:space="preserve">TC: as regards the exclusion for telecom operators (art. 3(l)) the views are mixed: 23/89, or</w:t>
      </w:r>
      <w:r>
        <w:t xml:space="preserve"> </w:t>
      </w:r>
      <w:r>
        <w:t xml:space="preserve">26% find it adequate, 34/89, or 38% disagree. Concerning the same exclusion, the views are</w:t>
      </w:r>
      <w:r>
        <w:t xml:space="preserve"> </w:t>
      </w:r>
      <w:r>
        <w:t xml:space="preserve">similarly mixed regarding the referenced limit to transaction values (€50).</w:t>
      </w:r>
      <w:r>
        <w:br/>
      </w:r>
      <w:r>
        <w:t xml:space="preserve">On the question whether definitions are still adequate and do not need to be modified, the</w:t>
      </w:r>
      <w:r>
        <w:t xml:space="preserve"> </w:t>
      </w:r>
      <w:r>
        <w:t xml:space="preserve">responses are mixed: 41% (46/111) agree and 42% (47/111) disagree. Specifically for art 4 –</w:t>
      </w:r>
      <w:r>
        <w:t xml:space="preserve"> </w:t>
      </w:r>
      <w:r>
        <w:t xml:space="preserve">66% (66/100) believe the definitions are adequate), but 5/7 consumer organisations believe</w:t>
      </w:r>
      <w:r>
        <w:t xml:space="preserve"> </w:t>
      </w:r>
      <w:r>
        <w:t xml:space="preserve">something should be modified – but do not say what. Most public authorities are OK with the</w:t>
      </w:r>
      <w:r>
        <w:t xml:space="preserve"> </w:t>
      </w:r>
      <w:r>
        <w:t xml:space="preserve">definitions (10/12 – 3 do not answer), but companies (52) have more difficulty (over 60% is</w:t>
      </w:r>
      <w:r>
        <w:t xml:space="preserve"> </w:t>
      </w:r>
      <w:r>
        <w:t xml:space="preserve">OK with the definitions, 35% is not. Some suggestions to be reconsidered are “(remote)</w:t>
      </w:r>
      <w:r>
        <w:t xml:space="preserve"> </w:t>
      </w:r>
      <w:r>
        <w:t xml:space="preserve">payment account” (should credit cards be included or not), “account information services”</w:t>
      </w:r>
      <w:r>
        <w:t xml:space="preserve"> </w:t>
      </w:r>
      <w:r>
        <w:t xml:space="preserve">(clarify as the definition is only a subset of what is possible in AIS),</w:t>
      </w:r>
      <w:r>
        <w:br/>
      </w:r>
      <w:r>
        <w:t xml:space="preserve">For Annex 1, the views on the adequacy of the list of services are mixed: 44% agrees</w:t>
      </w:r>
      <w:r>
        <w:t xml:space="preserve"> </w:t>
      </w:r>
      <w:r>
        <w:t xml:space="preserve">(50/113), 38% disagrees (43/113). However, when asked about the specific 8 services the</w:t>
      </w:r>
      <w:r>
        <w:t xml:space="preserve"> </w:t>
      </w:r>
      <w:r>
        <w:t xml:space="preserve">most frequent response is that no change is needed (approximately 83/122, 68%). Most</w:t>
      </w:r>
      <w:r>
        <w:t xml:space="preserve"> </w:t>
      </w:r>
      <w:r>
        <w:t xml:space="preserve">noteworthy is the desire to change the description of account information services (17%,</w:t>
      </w:r>
      <w:r>
        <w:t xml:space="preserve"> </w:t>
      </w:r>
      <w:r>
        <w:t xml:space="preserve">21/122). A dedicated question was included on ‘cash-in-shops’, currently considered under</w:t>
      </w:r>
      <w:r>
        <w:t xml:space="preserve"> </w:t>
      </w:r>
      <w:r>
        <w:t xml:space="preserve">cash withdrawals, and whether it deserved its own authorisation regime. Views were limited</w:t>
      </w:r>
      <w:r>
        <w:t xml:space="preserve"> </w:t>
      </w:r>
      <w:r>
        <w:t xml:space="preserve">(many are unfamiliar with the service, it does not exist in all Member States), the majority</w:t>
      </w:r>
      <w:r>
        <w:t xml:space="preserve"> </w:t>
      </w:r>
      <w:r>
        <w:t xml:space="preserve">has no opinion (55%, 63/115) and the others are evenly split (yes: 26/115, no: 26/115). Those</w:t>
      </w:r>
      <w:r>
        <w:t xml:space="preserve"> </w:t>
      </w:r>
      <w:r>
        <w:t xml:space="preserve">in favour (mostly stakeholders active in banking and public authorities) argue it should be</w:t>
      </w:r>
      <w:r>
        <w:t xml:space="preserve"> </w:t>
      </w:r>
      <w:r>
        <w:t xml:space="preserve">included in definitions, and that this service is important for access to cash in view of the</w:t>
      </w:r>
      <w:r>
        <w:t xml:space="preserve"> </w:t>
      </w:r>
      <w:r>
        <w:t xml:space="preserve">continuous closing down of bank branches and ATMs. Those against argue that adding more</w:t>
      </w:r>
      <w:r>
        <w:t xml:space="preserve"> </w:t>
      </w:r>
      <w:r>
        <w:t xml:space="preserve">regulation might discourage the provision of the service and that the service presents less risk</w:t>
      </w:r>
      <w:r>
        <w:t xml:space="preserve"> </w:t>
      </w:r>
      <w:r>
        <w:t xml:space="preserve">and/or that the current regime is already proportionate.</w:t>
      </w:r>
      <w:r>
        <w:br/>
      </w:r>
      <w:r>
        <w:t xml:space="preserve">In terms of expanding Annex I, some support is found for including the ‘issuance of e-</w:t>
      </w:r>
      <w:r>
        <w:t xml:space="preserve"> </w:t>
      </w:r>
      <w:r>
        <w:t xml:space="preserve">money’ (41% agree, 52/126; 26 or 21% disagree), ‘payment transactions using crypto assets</w:t>
      </w:r>
      <w:r>
        <w:t xml:space="preserve"> </w:t>
      </w:r>
      <w:r>
        <w:t xml:space="preserve">(including stable coins)’ (50% agree, 63/126, 25, or 20% disagree) and ‘digital wallet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services (e.g. mobile apps for payments)’ (43% agree, 54/126; 39, or 31% disagree). Some</w:t>
      </w:r>
      <w:r>
        <w:t xml:space="preserve"> </w:t>
      </w:r>
      <w:r>
        <w:t xml:space="preserve">arguments provided in favour of adding issuance of e-money and digital wallet services are</w:t>
      </w:r>
      <w:r>
        <w:t xml:space="preserve"> </w:t>
      </w:r>
      <w:r>
        <w:t xml:space="preserve">services are: creating a level playing field and simplification of regulation (concerning</w:t>
      </w:r>
      <w:r>
        <w:t xml:space="preserve"> </w:t>
      </w:r>
      <w:r>
        <w:t xml:space="preserve">inclusion of e-money) and the fact that wallet providers have become increasingly interwoven</w:t>
      </w:r>
      <w:r>
        <w:t xml:space="preserve"> </w:t>
      </w:r>
      <w:r>
        <w:t xml:space="preserve">with the provision of payment services, e.g. SCA depends on technical elements in mobile</w:t>
      </w:r>
      <w:r>
        <w:t xml:space="preserve"> </w:t>
      </w:r>
      <w:r>
        <w:t xml:space="preserve">devices. No clear arguments are provided for the inclusion of payment transactions using</w:t>
      </w:r>
      <w:r>
        <w:t xml:space="preserve"> </w:t>
      </w:r>
      <w:r>
        <w:t xml:space="preserve">crypto assets, although this may be related to the MiCA Regulation.</w:t>
      </w:r>
      <w:r>
        <w:t xml:space="preserve"> </w:t>
      </w:r>
      <w:r>
        <w:t xml:space="preserve">Stakeholder feedback also shows a reluctance to include certain services to the Annex, such</w:t>
      </w:r>
      <w:r>
        <w:t xml:space="preserve"> </w:t>
      </w:r>
      <w:r>
        <w:t xml:space="preserve">as ‘payment processing services’ (24%, or 30/126 agree; 40% or 51 disagree), ‘operating</w:t>
      </w:r>
      <w:r>
        <w:t xml:space="preserve"> </w:t>
      </w:r>
      <w:r>
        <w:t xml:space="preserve">payment systems’ (15% of 19/126 agree; 46%, or 58, disagree), and ‘operating payment</w:t>
      </w:r>
      <w:r>
        <w:t xml:space="preserve"> </w:t>
      </w:r>
      <w:r>
        <w:t xml:space="preserve">schemes (18%, or 23/126 agree; 40%, or 50/126 disagree) arguing that Oversight (ECB)</w:t>
      </w:r>
      <w:r>
        <w:t xml:space="preserve"> </w:t>
      </w:r>
      <w:r>
        <w:t xml:space="preserve">already covers both of these services, and that the PSD2 is about services provided from a</w:t>
      </w:r>
      <w:r>
        <w:t xml:space="preserve"> </w:t>
      </w:r>
      <w:r>
        <w:t xml:space="preserve">PSP to a PSU.</w:t>
      </w:r>
      <w:r>
        <w:br/>
      </w:r>
      <w:r>
        <w:t xml:space="preserve">Title II: payment service providers</w:t>
      </w:r>
      <w:r>
        <w:t xml:space="preserve"> </w:t>
      </w:r>
      <w:r>
        <w:t xml:space="preserve">This section covered questions about authorisations and supervision. The level of responses</w:t>
      </w:r>
      <w:r>
        <w:t xml:space="preserve"> </w:t>
      </w:r>
      <w:r>
        <w:t xml:space="preserve">was significantly lower for these questions, on average approximately 39% (66) of</w:t>
      </w:r>
      <w:r>
        <w:t xml:space="preserve"> </w:t>
      </w:r>
      <w:r>
        <w:t xml:space="preserve">respondents provided a response, with 61% (103) of respondents leaving questions blank or</w:t>
      </w:r>
      <w:r>
        <w:t xml:space="preserve"> </w:t>
      </w:r>
      <w:r>
        <w:t xml:space="preserve">“don’t know”. This could be related to not all respondents being regulated entities, but even</w:t>
      </w:r>
      <w:r>
        <w:t xml:space="preserve"> </w:t>
      </w:r>
      <w:r>
        <w:t xml:space="preserve">regulated payment institution entities and third party providers and -associations provided</w:t>
      </w:r>
      <w:r>
        <w:t xml:space="preserve"> </w:t>
      </w:r>
      <w:r>
        <w:t xml:space="preserve">“don’t know/no opinion/not applicable” to e.g. the authorisation questions (e.g. Q15: PSD2 is</w:t>
      </w:r>
      <w:r>
        <w:t xml:space="preserve"> </w:t>
      </w:r>
      <w:r>
        <w:t xml:space="preserve">sufficiently clear in determining whether a service must be authorised or not) or left the</w:t>
      </w:r>
      <w:r>
        <w:t xml:space="preserve"> </w:t>
      </w:r>
      <w:r>
        <w:t xml:space="preserve">question blank. However, of those respondents that did provide a response, the majority find</w:t>
      </w:r>
      <w:r>
        <w:t xml:space="preserve"> </w:t>
      </w:r>
      <w:r>
        <w:t xml:space="preserve">that the PSD2 is sufficiently clear in determining whether a service must be authorised or not</w:t>
      </w:r>
      <w:r>
        <w:t xml:space="preserve"> </w:t>
      </w:r>
      <w:r>
        <w:t xml:space="preserve">(66% - 54/88), although there are 4 public authorities that disagree with this statement. 65%</w:t>
      </w:r>
      <w:r>
        <w:t xml:space="preserve"> </w:t>
      </w:r>
      <w:r>
        <w:t xml:space="preserve">(51/78) finds the requirements to apply for an authorisation are adequate. Some respondents,</w:t>
      </w:r>
      <w:r>
        <w:t xml:space="preserve"> </w:t>
      </w:r>
      <w:r>
        <w:t xml:space="preserve">including NCAs point out a need for clarifications, e.g. regarding the professional indemnity</w:t>
      </w:r>
      <w:r>
        <w:t xml:space="preserve"> </w:t>
      </w:r>
      <w:r>
        <w:t xml:space="preserve">insurance, comparable guarantee, safeguarding requirements and ancillary credit, or suggest</w:t>
      </w:r>
      <w:r>
        <w:t xml:space="preserve"> </w:t>
      </w:r>
      <w:r>
        <w:t xml:space="preserve">an introduction of e.g. a threshold regarding the amount of business to be provided in the</w:t>
      </w:r>
      <w:r>
        <w:t xml:space="preserve"> </w:t>
      </w:r>
      <w:r>
        <w:t xml:space="preserve">home Member State (related to article 11) with the caveat that these thresholds should not be</w:t>
      </w:r>
      <w:r>
        <w:t xml:space="preserve"> </w:t>
      </w:r>
      <w:r>
        <w:t xml:space="preserve">too rigid. Some authorities suggest changing the EBA Guidelines on authorisation to be</w:t>
      </w:r>
      <w:r>
        <w:t xml:space="preserve"> </w:t>
      </w:r>
      <w:r>
        <w:t xml:space="preserve">converted into an RTS.</w:t>
      </w:r>
      <w:r>
        <w:t xml:space="preserve"> </w:t>
      </w:r>
      <w:r>
        <w:t xml:space="preserve">Regarding the dedicated authorisation and supervisory regimes for PIS and AIS the responses</w:t>
      </w:r>
      <w:r>
        <w:t xml:space="preserve"> </w:t>
      </w:r>
      <w:r>
        <w:t xml:space="preserve">are mixed. Most find that the AIS regime is adequate (45%, 31/68), but 30% (23/68)</w:t>
      </w:r>
      <w:r>
        <w:t xml:space="preserve"> </w:t>
      </w:r>
      <w:r>
        <w:t xml:space="preserve">disagrees, including some public authorities. There is no clear distinction in type of</w:t>
      </w:r>
      <w:r>
        <w:t xml:space="preserve"> </w:t>
      </w:r>
      <w:r>
        <w:t xml:space="preserve">stakeholders, it’s both public authorities, banks and TPPs that agree and disagree. Those that</w:t>
      </w:r>
      <w:r>
        <w:t xml:space="preserve"> </w:t>
      </w:r>
      <w:r>
        <w:t xml:space="preserve">agree that the AIS regime is adequate mostly find the PIS regime adequate as well, and vice</w:t>
      </w:r>
      <w:r>
        <w:t xml:space="preserve"> </w:t>
      </w:r>
      <w:r>
        <w:t xml:space="preserve">versa. A member’s association of TPPs is of the opinion that the authorisation regime for</w:t>
      </w:r>
      <w:r>
        <w:t xml:space="preserve"> </w:t>
      </w:r>
      <w:r>
        <w:t xml:space="preserve">these providers should be even more risk-based and suggests a lighter regime should be in</w:t>
      </w:r>
      <w:r>
        <w:t xml:space="preserve"> </w:t>
      </w:r>
      <w:r>
        <w:t xml:space="preserve">place, arguing that these providers are not payment institutions, but providers of software</w:t>
      </w:r>
      <w:r>
        <w:t xml:space="preserve"> </w:t>
      </w:r>
      <w:r>
        <w:t xml:space="preserve">tools.</w:t>
      </w:r>
      <w:r>
        <w:br/>
      </w:r>
      <w:r>
        <w:t xml:space="preserve">The questions regarding capital and own funds received few responses, and proportionately</w:t>
      </w:r>
      <w:r>
        <w:t xml:space="preserve"> </w:t>
      </w:r>
      <w:r>
        <w:t xml:space="preserve">many neutral responses too (between 35-45%). Most respondents find the capital and own</w:t>
      </w:r>
      <w:r>
        <w:t xml:space="preserve"> </w:t>
      </w:r>
      <w:r>
        <w:t xml:space="preserve">funds requirements in article 7, 8 and 9 adequate. Some respondents point out that some</w:t>
      </w:r>
      <w:r>
        <w:t xml:space="preserve"> </w:t>
      </w:r>
      <w:r>
        <w:t xml:space="preserve">Member States deviate in terms of capital requirements, such as France requiring TPPs (AISP</w:t>
      </w:r>
      <w:r>
        <w:t xml:space="preserve"> </w:t>
      </w:r>
      <w:r>
        <w:t xml:space="preserve">and PISP) to have the same ‘capital projections’ as Payment Institutions, although the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provisions in article 9 do not apply to parties that only provide AIS or PIS, and some note</w:t>
      </w:r>
      <w:r>
        <w:t xml:space="preserve"> </w:t>
      </w:r>
      <w:r>
        <w:t xml:space="preserve">that some Member States allow institutions to choose their own method of calculation,</w:t>
      </w:r>
      <w:r>
        <w:t xml:space="preserve"> </w:t>
      </w:r>
      <w:r>
        <w:t xml:space="preserve">whereas others prescribe which one should be used. Various respondents request “payment</w:t>
      </w:r>
      <w:r>
        <w:t xml:space="preserve"> </w:t>
      </w:r>
      <w:r>
        <w:t xml:space="preserve">volume” to be better defined.</w:t>
      </w:r>
      <w:r>
        <w:br/>
      </w:r>
      <w:r>
        <w:t xml:space="preserve">A relatively large group of respondents found that PSD2 leads to regulatory arbitrage (47%,</w:t>
      </w:r>
      <w:r>
        <w:t xml:space="preserve"> </w:t>
      </w:r>
      <w:r>
        <w:t xml:space="preserve">or 35 over 74), including some public authorities. Various respondents point out the</w:t>
      </w:r>
      <w:r>
        <w:t xml:space="preserve"> </w:t>
      </w:r>
      <w:r>
        <w:t xml:space="preserve">authorisation process should become more harmonised across the EU, attributing the</w:t>
      </w:r>
      <w:r>
        <w:t xml:space="preserve"> </w:t>
      </w:r>
      <w:r>
        <w:t xml:space="preserve">concentration in a few Member States to diverging national approaches. This point is also</w:t>
      </w:r>
      <w:r>
        <w:t xml:space="preserve"> </w:t>
      </w:r>
      <w:r>
        <w:t xml:space="preserve">closely linked to another topic mentioned more frequently: agents, (triangular) passporting</w:t>
      </w:r>
      <w:r>
        <w:t xml:space="preserve"> </w:t>
      </w:r>
      <w:r>
        <w:t xml:space="preserve">and home/host supervision (linked to article 19). Commercial stakeholders note that some</w:t>
      </w:r>
      <w:r>
        <w:t xml:space="preserve"> </w:t>
      </w:r>
      <w:r>
        <w:t xml:space="preserve">host supervisors go beyond the passporting regime and impose requirements on entities</w:t>
      </w:r>
      <w:r>
        <w:t xml:space="preserve"> </w:t>
      </w:r>
      <w:r>
        <w:t xml:space="preserve">passporting in their jurisdiction, although NCAs themselves do not indicate they deviate from</w:t>
      </w:r>
      <w:r>
        <w:t xml:space="preserve"> </w:t>
      </w:r>
      <w:r>
        <w:t xml:space="preserve">any of the PSD2 requirements. In terms of triangular passporting, a large group of</w:t>
      </w:r>
      <w:r>
        <w:t xml:space="preserve"> </w:t>
      </w:r>
      <w:r>
        <w:t xml:space="preserve">respondents (65%, 32/49) find it should be regulated with clear expectations and a division of</w:t>
      </w:r>
      <w:r>
        <w:t xml:space="preserve"> </w:t>
      </w:r>
      <w:r>
        <w:t xml:space="preserve">responsibilities, shedding light on who is allowed to passport and who is not. A large</w:t>
      </w:r>
      <w:r>
        <w:t xml:space="preserve"> </w:t>
      </w:r>
      <w:r>
        <w:t xml:space="preserve">consumer organisation is of the opinion that triangular passporting should not exist at all.</w:t>
      </w:r>
      <w:r>
        <w:t xml:space="preserve"> </w:t>
      </w:r>
      <w:r>
        <w:t xml:space="preserve">Stakeholders in favour and not in favour of a triangular passporting regime are in favour of a</w:t>
      </w:r>
      <w:r>
        <w:t xml:space="preserve"> </w:t>
      </w:r>
      <w:r>
        <w:t xml:space="preserve">register that allows NCAs to share data on an entity’s passporting arrangements (maybe even</w:t>
      </w:r>
      <w:r>
        <w:t xml:space="preserve"> </w:t>
      </w:r>
      <w:r>
        <w:t xml:space="preserve">including their use of agents), which would enable a host NCA to contact a home NCA and</w:t>
      </w:r>
      <w:r>
        <w:t xml:space="preserve"> </w:t>
      </w:r>
      <w:r>
        <w:t xml:space="preserve">improve transparency.</w:t>
      </w:r>
      <w:r>
        <w:t xml:space="preserve"> </w:t>
      </w:r>
      <w:r>
        <w:t xml:space="preserve">Another grievance of payment institutions and EMIs is that they currently do not have direct</w:t>
      </w:r>
      <w:r>
        <w:t xml:space="preserve"> </w:t>
      </w:r>
      <w:r>
        <w:t xml:space="preserve">access to SFD-designated payment systems, the result of a carve out (art. 35). A majority</w:t>
      </w:r>
      <w:r>
        <w:t xml:space="preserve"> </w:t>
      </w:r>
      <w:r>
        <w:t xml:space="preserve">(38/55, 69%) would like to see this carve-out removed, mostly non-banks and public</w:t>
      </w:r>
      <w:r>
        <w:t xml:space="preserve"> </w:t>
      </w:r>
      <w:r>
        <w:t xml:space="preserve">authorities. Those against are mostly stakeholders with direct access, often quoting financial</w:t>
      </w:r>
      <w:r>
        <w:t xml:space="preserve"> </w:t>
      </w:r>
      <w:r>
        <w:t xml:space="preserve">stability risks and alleging PIs/EMIs are subject to “light” supervision and that non-banks</w:t>
      </w:r>
      <w:r>
        <w:t xml:space="preserve"> </w:t>
      </w:r>
      <w:r>
        <w:t xml:space="preserve">already have access via intermediaries. There is no clear feedback on conditions or rules</w:t>
      </w:r>
      <w:r>
        <w:t xml:space="preserve"> </w:t>
      </w:r>
      <w:r>
        <w:t xml:space="preserve">non-banks should be subjected to in exchange for direct access, except that it should be</w:t>
      </w:r>
      <w:r>
        <w:t xml:space="preserve"> </w:t>
      </w:r>
      <w:r>
        <w:t xml:space="preserve">proportionate. There is also large support for the modification of article 36 (38/64, 59%), as</w:t>
      </w:r>
      <w:r>
        <w:t xml:space="preserve"> </w:t>
      </w:r>
      <w:r>
        <w:t xml:space="preserve">many non-banks are not only having trouble getting bank accounts, but those with bank</w:t>
      </w:r>
      <w:r>
        <w:t xml:space="preserve"> </w:t>
      </w:r>
      <w:r>
        <w:t xml:space="preserve">accounts are the victim of banks’ efforts to de-risk (usually for the purpose of AML). 65%</w:t>
      </w:r>
      <w:r>
        <w:t xml:space="preserve"> </w:t>
      </w:r>
      <w:r>
        <w:t xml:space="preserve">(47/72) are in favour of a mandate to the EBA to develop technical standards or guidance on</w:t>
      </w:r>
      <w:r>
        <w:t xml:space="preserve"> </w:t>
      </w:r>
      <w:r>
        <w:t xml:space="preserve">art. 35/36.</w:t>
      </w:r>
      <w:r>
        <w:t xml:space="preserve"> </w:t>
      </w:r>
      <w:r>
        <w:t xml:space="preserve">Title III: Transparency of conditions and information requirements for payment services</w:t>
      </w:r>
      <w:r>
        <w:t xml:space="preserve"> </w:t>
      </w:r>
      <w:r>
        <w:t xml:space="preserve">This section covered questions about transparency; one of the objectives of PSD2 was to</w:t>
      </w:r>
      <w:r>
        <w:t xml:space="preserve"> </w:t>
      </w:r>
      <w:r>
        <w:t xml:space="preserve">improve the transparency of conditions for providing payment services. Here too the level of</w:t>
      </w:r>
      <w:r>
        <w:t xml:space="preserve"> </w:t>
      </w:r>
      <w:r>
        <w:t xml:space="preserve">responses dropped, although somewhat less than for Title II: approximately 58% of all</w:t>
      </w:r>
      <w:r>
        <w:t xml:space="preserve"> </w:t>
      </w:r>
      <w:r>
        <w:t xml:space="preserve">respondents responded to the higher-level questions on transparency (the remaining 42% left</w:t>
      </w:r>
      <w:r>
        <w:t xml:space="preserve"> </w:t>
      </w:r>
      <w:r>
        <w:t xml:space="preserve">questions blank – 48- or “don’t know/n.a.” – 23), where still fewer specific responses, i.e. yes</w:t>
      </w:r>
      <w:r>
        <w:t xml:space="preserve"> </w:t>
      </w:r>
      <w:r>
        <w:t xml:space="preserve">or no, were received for the more specific- or in-depth questions. This could be attributed to</w:t>
      </w:r>
      <w:r>
        <w:t xml:space="preserve"> </w:t>
      </w:r>
      <w:r>
        <w:t xml:space="preserve">not all respondents being subject to the transparency requirements.</w:t>
      </w:r>
      <w:r>
        <w:t xml:space="preserve"> </w:t>
      </w:r>
      <w:r>
        <w:t xml:space="preserve">A majority of respondents still found the requirements adequate and fitting current payment</w:t>
      </w:r>
      <w:r>
        <w:t xml:space="preserve"> </w:t>
      </w:r>
      <w:r>
        <w:t xml:space="preserve">needs and methods (53%, 52/98; 32%, or 31/98 disagree) also finding the requirements</w:t>
      </w:r>
      <w:r>
        <w:t xml:space="preserve"> </w:t>
      </w:r>
      <w:r>
        <w:t xml:space="preserve">contributing to making digital payments more secure (56%, or 52/93; 24% or 22/93 disagree).</w:t>
      </w:r>
      <w:r>
        <w:t xml:space="preserve"> </w:t>
      </w:r>
      <w:r>
        <w:t xml:space="preserve">In terms of whether these requirements have led to a more informed user choice between</w:t>
      </w:r>
      <w:r>
        <w:t xml:space="preserve"> </w:t>
      </w:r>
      <w:r>
        <w:t xml:space="preserve">different payment products the views are split: 41% agree, but 37% disagrees (39 vs 35 out of</w:t>
      </w:r>
    </w:p>
    <w:p>
      <w:pPr>
        <w:pStyle w:val="BodyText"/>
      </w:pPr>
      <w:r>
        <w:t xml:space="preserve">72</w:t>
      </w:r>
    </w:p>
    <w:p>
      <w:pPr>
        <w:pStyle w:val="BodyText"/>
      </w:pPr>
      <w:r>
        <w:t xml:space="preserve">95). Views from consumer organisations in this regard are mixed (5/7 responded to these</w:t>
      </w:r>
      <w:r>
        <w:t xml:space="preserve"> </w:t>
      </w:r>
      <w:r>
        <w:t xml:space="preserve">questions) but lean towards a more negative side (somewhat disagree and neutral).</w:t>
      </w:r>
      <w:r>
        <w:br/>
      </w:r>
      <w:r>
        <w:t xml:space="preserve">In terms of changes to the requirements stakeholders from the banking sector call for a</w:t>
      </w:r>
      <w:r>
        <w:t xml:space="preserve"> </w:t>
      </w:r>
      <w:r>
        <w:t xml:space="preserve">reduction of “information overload”, which is a result also of other pieces of financial</w:t>
      </w:r>
      <w:r>
        <w:t xml:space="preserve"> </w:t>
      </w:r>
      <w:r>
        <w:t xml:space="preserve">services legislation. In this regard a reconsideration or removal of the two-month notification</w:t>
      </w:r>
      <w:r>
        <w:t xml:space="preserve"> </w:t>
      </w:r>
      <w:r>
        <w:t xml:space="preserve">period is mentioned. Respondents also call for clarifications, additional information and/or</w:t>
      </w:r>
      <w:r>
        <w:t xml:space="preserve"> </w:t>
      </w:r>
      <w:r>
        <w:t xml:space="preserve">updates: for ‘durable medium’ a link to contractual terms should be sufficient, the inclusion</w:t>
      </w:r>
      <w:r>
        <w:t xml:space="preserve"> </w:t>
      </w:r>
      <w:r>
        <w:t xml:space="preserve">of a benchmark mid-market exchange rate, informing the PSU in a framework contract under</w:t>
      </w:r>
      <w:r>
        <w:t xml:space="preserve"> </w:t>
      </w:r>
      <w:r>
        <w:t xml:space="preserve">which circumstances funds can be blocked and released, clearer information relating to the</w:t>
      </w:r>
      <w:r>
        <w:t xml:space="preserve"> </w:t>
      </w:r>
      <w:r>
        <w:t xml:space="preserve">name of the payee (related to commercial name) and more. Regarding the disclosure of</w:t>
      </w:r>
      <w:r>
        <w:t xml:space="preserve"> </w:t>
      </w:r>
      <w:r>
        <w:t xml:space="preserve">currency conversion costs for one-leg transactions, most banks respond negatively to this</w:t>
      </w:r>
      <w:r>
        <w:t xml:space="preserve"> </w:t>
      </w:r>
      <w:r>
        <w:t xml:space="preserve">requirement, arguing this adds complexity (as PSPs also have to comply with third-country</w:t>
      </w:r>
      <w:r>
        <w:t xml:space="preserve"> </w:t>
      </w:r>
      <w:r>
        <w:t xml:space="preserve">regulations) and that this would go beyond the PSD2 geography, where most consumer</w:t>
      </w:r>
      <w:r>
        <w:t xml:space="preserve"> </w:t>
      </w:r>
      <w:r>
        <w:t xml:space="preserve">organisations and public authorities are in favour.</w:t>
      </w:r>
      <w:r>
        <w:t xml:space="preserve"> </w:t>
      </w:r>
      <w:r>
        <w:t xml:space="preserve">Title IV: Rights and Obligations in relation to the provision and use of payment services</w:t>
      </w:r>
      <w:r>
        <w:t xml:space="preserve"> </w:t>
      </w:r>
      <w:r>
        <w:t xml:space="preserve">Title IV covers the rights and obligations of all parties involved within PSD2. This includes,</w:t>
      </w:r>
      <w:r>
        <w:t xml:space="preserve"> </w:t>
      </w:r>
      <w:r>
        <w:t xml:space="preserve">inter alia, certain rules on applicable charges, irrevocability, the rights to refunds, rules for</w:t>
      </w:r>
      <w:r>
        <w:t xml:space="preserve"> </w:t>
      </w:r>
      <w:r>
        <w:t xml:space="preserve">liability, and the requirements regarding access to payment accounts (who has access, how</w:t>
      </w:r>
      <w:r>
        <w:t xml:space="preserve"> </w:t>
      </w:r>
      <w:r>
        <w:t xml:space="preserve">and under which circumstances). Furthermore, it contains requirements on operational and</w:t>
      </w:r>
      <w:r>
        <w:t xml:space="preserve"> </w:t>
      </w:r>
      <w:r>
        <w:t xml:space="preserve">security risk and on strong customer authentication. Given the length and number of detailed</w:t>
      </w:r>
      <w:r>
        <w:t xml:space="preserve"> </w:t>
      </w:r>
      <w:r>
        <w:t xml:space="preserve">articles in this Title the below analysis focuses on the larger topics of liability, access to</w:t>
      </w:r>
      <w:r>
        <w:t xml:space="preserve"> </w:t>
      </w:r>
      <w:r>
        <w:t xml:space="preserve">accounts (Open Banking) and operational and security risks (incl. SCA).</w:t>
      </w:r>
      <w:r>
        <w:t xml:space="preserve"> </w:t>
      </w:r>
      <w:r>
        <w:t xml:space="preserve">A majority of respondents (between 57%-67%) finds the rights and obligations in PSD2</w:t>
      </w:r>
      <w:r>
        <w:t xml:space="preserve"> </w:t>
      </w:r>
      <w:r>
        <w:t xml:space="preserve">clearly written for both PSUs and PSP, but a relatively large group disagrees (20%-28%).</w:t>
      </w:r>
      <w:r>
        <w:t xml:space="preserve"> </w:t>
      </w:r>
      <w:r>
        <w:t xml:space="preserve">Consumer organisations are not in agreement: some find the provisions are clear and</w:t>
      </w:r>
      <w:r>
        <w:t xml:space="preserve"> </w:t>
      </w:r>
      <w:r>
        <w:t xml:space="preserve">adequate, some do not. Most public authorities find that these provisions are clear and</w:t>
      </w:r>
      <w:r>
        <w:t xml:space="preserve"> </w:t>
      </w:r>
      <w:r>
        <w:t xml:space="preserve">adequate. A key topic mentioned by many stakeholders is “gross negligence”, and that this</w:t>
      </w:r>
      <w:r>
        <w:t xml:space="preserve"> </w:t>
      </w:r>
      <w:r>
        <w:t xml:space="preserve">must be clarified. The rules on applicable charges, one of the topics of the review clause (art.</w:t>
      </w:r>
      <w:r>
        <w:t xml:space="preserve"> </w:t>
      </w:r>
      <w:r>
        <w:t xml:space="preserve">108) are deemed adequate by most respondents (59%, 46/78). 7 respondents propose a</w:t>
      </w:r>
      <w:r>
        <w:t xml:space="preserve"> </w:t>
      </w:r>
      <w:r>
        <w:t xml:space="preserve">complete prohibition of surcharging for all payments (not just cards) and a few others</w:t>
      </w:r>
      <w:r>
        <w:t xml:space="preserve"> </w:t>
      </w:r>
      <w:r>
        <w:t xml:space="preserve">criticise the different application in Member States (art. 62(5)), both stakeholders suggesting</w:t>
      </w:r>
      <w:r>
        <w:t xml:space="preserve"> </w:t>
      </w:r>
      <w:r>
        <w:t xml:space="preserve">the Member State options should be removed. Regarding the ceiling for contactless payments</w:t>
      </w:r>
      <w:r>
        <w:t xml:space="preserve"> </w:t>
      </w:r>
      <w:r>
        <w:t xml:space="preserve">(56%, or 30/54, find art. 63 adequate) a majority finds this should stay the same (the</w:t>
      </w:r>
      <w:r>
        <w:t xml:space="preserve"> </w:t>
      </w:r>
      <w:r>
        <w:t xml:space="preserve">cumulative limits of 150 euros and should remain: 46% or 44/96 and the total of 5</w:t>
      </w:r>
      <w:r>
        <w:t xml:space="preserve"> </w:t>
      </w:r>
      <w:r>
        <w:t xml:space="preserve">transactions 60%, 56/92), although a large group is in favour of higher limits. But consumer</w:t>
      </w:r>
      <w:r>
        <w:t xml:space="preserve"> </w:t>
      </w:r>
      <w:r>
        <w:t xml:space="preserve">organisations argue two things: that consumers should have control and be able to</w:t>
      </w:r>
      <w:r>
        <w:t xml:space="preserve"> </w:t>
      </w:r>
      <w:r>
        <w:t xml:space="preserve">(de)activate this function, or choose their own ceiling (max. 50 €), whereas another</w:t>
      </w:r>
      <w:r>
        <w:t xml:space="preserve"> </w:t>
      </w:r>
      <w:r>
        <w:t xml:space="preserve">organisation argues limits are not needed given new payments means and COVID19-</w:t>
      </w:r>
      <w:r>
        <w:t xml:space="preserve"> </w:t>
      </w:r>
      <w:r>
        <w:t xml:space="preserve">experiences and suggest that PSPs could</w:t>
      </w:r>
      <w:r>
        <w:br/>
      </w:r>
      <w:r>
        <w:t xml:space="preserve">For refunds and liability, the views are more mixed. A large group of stakeholders finds the</w:t>
      </w:r>
      <w:r>
        <w:t xml:space="preserve"> </w:t>
      </w:r>
      <w:r>
        <w:t xml:space="preserve">provisions on liability in PSD2 inadequate (35%, 33/95), mostly banks and banking</w:t>
      </w:r>
      <w:r>
        <w:t xml:space="preserve"> </w:t>
      </w:r>
      <w:r>
        <w:t xml:space="preserve">associations, but also including 3 consumer organisations. For refunds 5 out of the 7</w:t>
      </w:r>
      <w:r>
        <w:t xml:space="preserve"> </w:t>
      </w:r>
      <w:r>
        <w:t xml:space="preserve">consumer organisations find these are inadequate (in total 42% disagree these provisions are</w:t>
      </w:r>
      <w:r>
        <w:t xml:space="preserve"> </w:t>
      </w:r>
      <w:r>
        <w:t xml:space="preserve">adequate; 39/92). A large group also finds that the allocation of responsibility is currently not</w:t>
      </w:r>
    </w:p>
    <w:p>
      <w:pPr>
        <w:pStyle w:val="BodyText"/>
      </w:pPr>
      <w:r>
        <w:t xml:space="preserve">73</w:t>
      </w:r>
    </w:p>
    <w:p>
      <w:pPr>
        <w:pStyle w:val="BodyText"/>
      </w:pPr>
      <w:r>
        <w:t xml:space="preserve">adequate (51% agree, 47/93, but 27% disagree, 25/93), including 3 consumer organisations (2</w:t>
      </w:r>
      <w:r>
        <w:t xml:space="preserve"> </w:t>
      </w:r>
      <w:r>
        <w:t xml:space="preserve">others are neutral, 2 others agree). Another review topic was on the blocking of funds (art.</w:t>
      </w:r>
      <w:r>
        <w:t xml:space="preserve"> </w:t>
      </w:r>
      <w:r>
        <w:t xml:space="preserve">75) in case the final exact amount of the payment is not yet known at payment initiation:</w:t>
      </w:r>
      <w:r>
        <w:t xml:space="preserve"> </w:t>
      </w:r>
      <w:r>
        <w:t xml:space="preserve">views are mixed and it is noteworthy that the largest group of respondents, which includes</w:t>
      </w:r>
      <w:r>
        <w:t xml:space="preserve"> </w:t>
      </w:r>
      <w:r>
        <w:t xml:space="preserve">consumer organisations, banks, TPPs and public authorities indicates they don’t know (45</w:t>
      </w:r>
      <w:r>
        <w:t xml:space="preserve"> </w:t>
      </w:r>
      <w:r>
        <w:t xml:space="preserve">respondents). A few respondents (6) explicitly request a maximum ceiling be introduced,</w:t>
      </w:r>
      <w:r>
        <w:t xml:space="preserve"> </w:t>
      </w:r>
      <w:r>
        <w:t xml:space="preserve">whereas 21 other respondents emphasise that the introduction of such a ceiling would not</w:t>
      </w:r>
      <w:r>
        <w:t xml:space="preserve"> </w:t>
      </w:r>
      <w:r>
        <w:t xml:space="preserve">work in practice. 3 respondents suggest to introduce a maximum time limit for the release of</w:t>
      </w:r>
      <w:r>
        <w:t xml:space="preserve"> </w:t>
      </w:r>
      <w:r>
        <w:t xml:space="preserve">the payer’s funds.</w:t>
      </w:r>
      <w:r>
        <w:t xml:space="preserve"> </w:t>
      </w:r>
      <w:r>
        <w:t xml:space="preserve">For access to accounts (Open Banking, OB), many stakeholders do not the regime successful</w:t>
      </w:r>
      <w:r>
        <w:t xml:space="preserve"> </w:t>
      </w:r>
      <w:r>
        <w:t xml:space="preserve">(29% deem it successful; 32/110; 45% does not, 50/110), with no clear pattern or trend by</w:t>
      </w:r>
      <w:r>
        <w:t xml:space="preserve"> </w:t>
      </w:r>
      <w:r>
        <w:t xml:space="preserve">stakeholder or country. On the other side most stakeholders do find that PSD2 ensures safe</w:t>
      </w:r>
      <w:r>
        <w:t xml:space="preserve"> </w:t>
      </w:r>
      <w:r>
        <w:t xml:space="preserve">sharing of payments data (65%, 72/110), although some noteworthy respondents such as 4</w:t>
      </w:r>
      <w:r>
        <w:t xml:space="preserve"> </w:t>
      </w:r>
      <w:r>
        <w:t xml:space="preserve">consumer organisations (data protection concerns) and some banks disagree. The provisions</w:t>
      </w:r>
      <w:r>
        <w:t xml:space="preserve"> </w:t>
      </w:r>
      <w:r>
        <w:t xml:space="preserve">on consent management and who is liable once consent is given leave room for improvement</w:t>
      </w:r>
      <w:r>
        <w:t xml:space="preserve"> </w:t>
      </w:r>
      <w:r>
        <w:t xml:space="preserve">(51/108 or 47% and 47/103, or 46% are not content with the current provisions). Many</w:t>
      </w:r>
      <w:r>
        <w:t xml:space="preserve"> </w:t>
      </w:r>
      <w:r>
        <w:t xml:space="preserve">respondents, including consumer organisations and banks request for banks to be allowed to</w:t>
      </w:r>
      <w:r>
        <w:t xml:space="preserve"> </w:t>
      </w:r>
      <w:r>
        <w:t xml:space="preserve">provide a consent dashboard in their own interface to allow PSUs to have insight into</w:t>
      </w:r>
      <w:r>
        <w:t xml:space="preserve"> </w:t>
      </w:r>
      <w:r>
        <w:t xml:space="preserve">consents given and the option to remove a consent. Stakeholders are also in favour of further</w:t>
      </w:r>
      <w:r>
        <w:t xml:space="preserve"> </w:t>
      </w:r>
      <w:r>
        <w:t xml:space="preserve">clarifications on key concepts such as ‘obstacle’ (RTS on SCA &amp; CSC, 77% - 64/83 in</w:t>
      </w:r>
      <w:r>
        <w:t xml:space="preserve"> </w:t>
      </w:r>
      <w:r>
        <w:t xml:space="preserve">favour) and “objectively justified and duly evidenced reasons” (art. 68(5), 76% - 64/84).</w:t>
      </w:r>
      <w:r>
        <w:t xml:space="preserve"> </w:t>
      </w:r>
      <w:r>
        <w:t xml:space="preserve">Those against clarifications are mostly active in banking (15/19 and 16/20, respectively).</w:t>
      </w:r>
      <w:r>
        <w:t xml:space="preserve"> </w:t>
      </w:r>
      <w:r>
        <w:t xml:space="preserve">Many stakeholders suggest the confirmation of availability of funds (CAF, art. 65) should no</w:t>
      </w:r>
      <w:r>
        <w:t xml:space="preserve"> </w:t>
      </w:r>
      <w:r>
        <w:t xml:space="preserve">longer be mandatory (or even removed), as this service has not taken off – this was also</w:t>
      </w:r>
      <w:r>
        <w:t xml:space="preserve"> </w:t>
      </w:r>
      <w:r>
        <w:t xml:space="preserve">reported in CEGBPI. A similar request, for the removal of the mandatory requirement, is</w:t>
      </w:r>
      <w:r>
        <w:t xml:space="preserve"> </w:t>
      </w:r>
      <w:r>
        <w:t xml:space="preserve">made for corporate payments (and corporate payment accounts), a request which overlaps</w:t>
      </w:r>
      <w:r>
        <w:t xml:space="preserve"> </w:t>
      </w:r>
      <w:r>
        <w:t xml:space="preserve">with some reports of small or niche ASPSPs that have hardly seen any (or no) traffic on their</w:t>
      </w:r>
      <w:r>
        <w:t xml:space="preserve"> </w:t>
      </w:r>
      <w:r>
        <w:t xml:space="preserve">PSD2 interfaces. When asked whether a common API standard should be included in EU</w:t>
      </w:r>
      <w:r>
        <w:t xml:space="preserve"> </w:t>
      </w:r>
      <w:r>
        <w:t xml:space="preserve">legislation the views were split: 53% (49/92) is in favour – most public authorities and</w:t>
      </w:r>
      <w:r>
        <w:t xml:space="preserve"> </w:t>
      </w:r>
      <w:r>
        <w:t xml:space="preserve">consumer organisations view this positively, 47% is against, consisting of a mix of banks and</w:t>
      </w:r>
      <w:r>
        <w:t xml:space="preserve"> </w:t>
      </w:r>
      <w:r>
        <w:t xml:space="preserve">non-banks (incl. TPPs). In explanations many TPPs explain that APIs, even when following a</w:t>
      </w:r>
      <w:r>
        <w:t xml:space="preserve"> </w:t>
      </w:r>
      <w:r>
        <w:t xml:space="preserve">market standard, still deviate somewhat and do not always work, nor provide the data fields</w:t>
      </w:r>
      <w:r>
        <w:t xml:space="preserve"> </w:t>
      </w:r>
      <w:r>
        <w:t xml:space="preserve">necessary to provide the Open Banking-service. A few respondents also report a reliance of</w:t>
      </w:r>
      <w:r>
        <w:t xml:space="preserve"> </w:t>
      </w:r>
      <w:r>
        <w:t xml:space="preserve">TPPs on technical service providers who provide the service of connecting to PSD2 APIs.</w:t>
      </w:r>
      <w:r>
        <w:t xml:space="preserve"> </w:t>
      </w:r>
      <w:r>
        <w:t xml:space="preserve">Respondents also criticise the (lack of) enforcement in this area. Another important topic in</w:t>
      </w:r>
      <w:r>
        <w:t xml:space="preserve"> </w:t>
      </w:r>
      <w:r>
        <w:t xml:space="preserve">this debate is remuneration (50% (47) in favour, 50 % against (47)), currently not allowed for</w:t>
      </w:r>
      <w:r>
        <w:t xml:space="preserve"> </w:t>
      </w:r>
      <w:r>
        <w:t xml:space="preserve">Open Banking access. Banks are all largely in favour of changing this entirely, requiring a</w:t>
      </w:r>
      <w:r>
        <w:t xml:space="preserve"> </w:t>
      </w:r>
      <w:r>
        <w:t xml:space="preserve">commercial incentive. TPPs appear to be OK with remuneration, but on the condition that</w:t>
      </w:r>
      <w:r>
        <w:t xml:space="preserve"> </w:t>
      </w:r>
      <w:r>
        <w:t xml:space="preserve">only value-added services can be remunerated and that PSD2 “baseline” services remain</w:t>
      </w:r>
      <w:r>
        <w:t xml:space="preserve"> </w:t>
      </w:r>
      <w:r>
        <w:t xml:space="preserve">available without contractual obligations. Many banks demand direct access (screen-scraping,</w:t>
      </w:r>
      <w:r>
        <w:t xml:space="preserve"> </w:t>
      </w:r>
      <w:r>
        <w:t xml:space="preserve">or fallback) should be completely forbidden, whereas various TPPs require this should</w:t>
      </w:r>
      <w:r>
        <w:t xml:space="preserve"> </w:t>
      </w:r>
      <w:r>
        <w:t xml:space="preserve">remain given the current quality of the PSD2 APIs, and require the removal of the fallback</w:t>
      </w:r>
      <w:r>
        <w:t xml:space="preserve"> </w:t>
      </w:r>
      <w:r>
        <w:t xml:space="preserve">exemption too.</w:t>
      </w:r>
      <w:r>
        <w:t xml:space="preserve"> </w:t>
      </w:r>
      <w:r>
        <w:t xml:space="preserve">For operational and security risks, the majority of respondents finds the current provisions</w:t>
      </w:r>
      <w:r>
        <w:t xml:space="preserve"> </w:t>
      </w:r>
      <w:r>
        <w:t xml:space="preserve">adequate (on average 75% agrees – on average 92 respondents provide an answer) and agrees</w:t>
      </w:r>
    </w:p>
    <w:p>
      <w:pPr>
        <w:pStyle w:val="BodyText"/>
      </w:pPr>
      <w:r>
        <w:t xml:space="preserve">74</w:t>
      </w:r>
    </w:p>
    <w:p>
      <w:pPr>
        <w:pStyle w:val="BodyText"/>
      </w:pPr>
      <w:r>
        <w:t xml:space="preserve">with the statement that the framework has made payment service providers more resilient</w:t>
      </w:r>
      <w:r>
        <w:t xml:space="preserve"> </w:t>
      </w:r>
      <w:r>
        <w:t xml:space="preserve">(74/97, or 76% agree). Noteworthy is that some public authorities are neutral (16%) and some</w:t>
      </w:r>
      <w:r>
        <w:t xml:space="preserve"> </w:t>
      </w:r>
      <w:r>
        <w:t xml:space="preserve">don’t know/left the questions blank (35%), with one public authority pointing out that many</w:t>
      </w:r>
      <w:r>
        <w:t xml:space="preserve"> </w:t>
      </w:r>
      <w:r>
        <w:t xml:space="preserve">of PSD2’s security requirements had already been implemented by the industry or through</w:t>
      </w:r>
      <w:r>
        <w:t xml:space="preserve"> </w:t>
      </w:r>
      <w:r>
        <w:t xml:space="preserve">national legislation before the PSD2 went into force. Consumer organisations are less</w:t>
      </w:r>
      <w:r>
        <w:t xml:space="preserve"> </w:t>
      </w:r>
      <w:r>
        <w:t xml:space="preserve">positive and remain either neutral or refrain from answering. With regard to fraud</w:t>
      </w:r>
      <w:r>
        <w:t xml:space="preserve"> </w:t>
      </w:r>
      <w:r>
        <w:t xml:space="preserve">stakeholders indicate to be in favour of tools to enable better fraud detection, such as a data</w:t>
      </w:r>
      <w:r>
        <w:t xml:space="preserve"> </w:t>
      </w:r>
      <w:r>
        <w:t xml:space="preserve">base or by enabling data sharing between PSPs.</w:t>
      </w:r>
      <w:r>
        <w:t xml:space="preserve"> </w:t>
      </w:r>
      <w:r>
        <w:t xml:space="preserve">PSPs also mention frequently that regulatory fraud reporting and operational/security</w:t>
      </w:r>
      <w:r>
        <w:t xml:space="preserve"> </w:t>
      </w:r>
      <w:r>
        <w:t xml:space="preserve">reporting should be better aligned and harmonised internationally as they pose a large burden,</w:t>
      </w:r>
      <w:r>
        <w:t xml:space="preserve"> </w:t>
      </w:r>
      <w:r>
        <w:t xml:space="preserve">also with an eye on DORA. Much feedback is provided on strong customer authentication</w:t>
      </w:r>
      <w:r>
        <w:t xml:space="preserve"> </w:t>
      </w:r>
      <w:r>
        <w:t xml:space="preserve">(SCA): many stakeholders agree SCA has made digital payments safer (83%, 98/116), but do</w:t>
      </w:r>
      <w:r>
        <w:t xml:space="preserve"> </w:t>
      </w:r>
      <w:r>
        <w:t xml:space="preserve">report it negatively impacted their business (51/93, 54%, or 56% report adverse impact), that</w:t>
      </w:r>
      <w:r>
        <w:t xml:space="preserve"> </w:t>
      </w:r>
      <w:r>
        <w:t xml:space="preserve">it led to obstacles in the provision of services towards PSUs (52/77, 68%), including the</w:t>
      </w:r>
      <w:r>
        <w:t xml:space="preserve"> </w:t>
      </w:r>
      <w:r>
        <w:t xml:space="preserve">exclusion of categories of customers/citizens (48/96 – 50%) and request SCA to be changed</w:t>
      </w:r>
      <w:r>
        <w:t xml:space="preserve"> </w:t>
      </w:r>
      <w:r>
        <w:t xml:space="preserve">to a risk-based or outcome based model, to allow for behavioural biometrics and an inherence</w:t>
      </w:r>
      <w:r>
        <w:t xml:space="preserve"> </w:t>
      </w:r>
      <w:r>
        <w:t xml:space="preserve">element and to provide clarity on which factors can be used to make up two-factor</w:t>
      </w:r>
      <w:r>
        <w:t xml:space="preserve"> </w:t>
      </w:r>
      <w:r>
        <w:t xml:space="preserve">authentication. Concerns are reported about the newer types of fraud that SCA does not</w:t>
      </w:r>
      <w:r>
        <w:t xml:space="preserve"> </w:t>
      </w:r>
      <w:r>
        <w:t xml:space="preserve">protect against, such as social engineering and phasing fraud and that Bigtechs and social</w:t>
      </w:r>
      <w:r>
        <w:t xml:space="preserve"> </w:t>
      </w:r>
      <w:r>
        <w:t xml:space="preserve">media platforms should take responsibility too, as they allow malicious parties to use their</w:t>
      </w:r>
      <w:r>
        <w:t xml:space="preserve"> </w:t>
      </w:r>
      <w:r>
        <w:t xml:space="preserve">platforms for fraud, e.g. by including links to those parties in their search engine results. It is</w:t>
      </w:r>
      <w:r>
        <w:t xml:space="preserve"> </w:t>
      </w:r>
      <w:r>
        <w:t xml:space="preserve">deemed important to invest in consumer education and to consider how to deal with these</w:t>
      </w:r>
      <w:r>
        <w:t xml:space="preserve"> </w:t>
      </w:r>
      <w:r>
        <w:t xml:space="preserve">new types of fraud.</w:t>
      </w:r>
      <w:r>
        <w:br/>
      </w:r>
      <w:r>
        <w:t xml:space="preserve">Title V: Delegated Acts and Regulatory Technical Standards</w:t>
      </w:r>
      <w:r>
        <w:t xml:space="preserve"> </w:t>
      </w:r>
      <w:r>
        <w:t xml:space="preserve">Title V (art. 104, 105 and 106) covers the adoption of delegated acts and the obligation to</w:t>
      </w:r>
      <w:r>
        <w:t xml:space="preserve"> </w:t>
      </w:r>
      <w:r>
        <w:t xml:space="preserve">inform consumer of their rights. These questions also returned a low response rate: between</w:t>
      </w:r>
      <w:r>
        <w:t xml:space="preserve"> </w:t>
      </w:r>
      <w:r>
        <w:t xml:space="preserve">56 and 66 respondents left these questions blank, and 43 to 66 respondents did not know/no</w:t>
      </w:r>
      <w:r>
        <w:t xml:space="preserve"> </w:t>
      </w:r>
      <w:r>
        <w:t xml:space="preserve">opinion/n.a. (average response rate to yes/no: 52 respondents). Most examples and arguments</w:t>
      </w:r>
      <w:r>
        <w:t xml:space="preserve"> </w:t>
      </w:r>
      <w:r>
        <w:t xml:space="preserve">provided in this section are anecdotal unless indicator otherwise.</w:t>
      </w:r>
      <w:r>
        <w:br/>
      </w:r>
      <w:r>
        <w:t xml:space="preserve">Overall, 34% (38/113) of the respondents believe the requirements on delegated acts and</w:t>
      </w:r>
      <w:r>
        <w:t xml:space="preserve"> </w:t>
      </w:r>
      <w:r>
        <w:t xml:space="preserve">regulatory technical standards to be adequate and 29% do not (33/113). Some suggestions for</w:t>
      </w:r>
      <w:r>
        <w:t xml:space="preserve"> </w:t>
      </w:r>
      <w:r>
        <w:t xml:space="preserve">improvements were more precise and detailed RTSs, specifically referring to API</w:t>
      </w:r>
      <w:r>
        <w:t xml:space="preserve"> </w:t>
      </w:r>
      <w:r>
        <w:t xml:space="preserve">requirements and SCA (and the related RTS and subsequent guidelines and opinion linked to</w:t>
      </w:r>
      <w:r>
        <w:t xml:space="preserve"> </w:t>
      </w:r>
      <w:r>
        <w:t xml:space="preserve">this), for this type of delegated regulation to be more outcome-based and less prescriptive, to</w:t>
      </w:r>
      <w:r>
        <w:t xml:space="preserve"> </w:t>
      </w:r>
      <w:r>
        <w:t xml:space="preserve">be reviewed more often, and to avoid fragmentation in implementation across Members</w:t>
      </w:r>
      <w:r>
        <w:t xml:space="preserve"> </w:t>
      </w:r>
      <w:r>
        <w:t xml:space="preserve">States. Various stakeholders also comment on the work of the EBA in the field of</w:t>
      </w:r>
      <w:r>
        <w:t xml:space="preserve"> </w:t>
      </w:r>
      <w:r>
        <w:t xml:space="preserve">harmonisation and the proceedings surrounding Q&amp;As.</w:t>
      </w:r>
      <w:r>
        <w:br/>
      </w:r>
      <w:r>
        <w:t xml:space="preserve">In terms of other field in which the EC could or should adopt delegated acts the responses</w:t>
      </w:r>
      <w:r>
        <w:t xml:space="preserve"> </w:t>
      </w:r>
      <w:r>
        <w:t xml:space="preserve">were very limited (8/108 agree, 34/108 disagree and 60%, or 65/108 don’t know). Arguments</w:t>
      </w:r>
      <w:r>
        <w:t xml:space="preserve"> </w:t>
      </w:r>
      <w:r>
        <w:t xml:space="preserve">against include that relevant requirements should rather be set out in Level 1 text, that further</w:t>
      </w:r>
      <w:r>
        <w:t xml:space="preserve"> </w:t>
      </w:r>
      <w:r>
        <w:t xml:space="preserve">delegated acts would only make things more complicated (mentioned multiple times), to</w:t>
      </w:r>
      <w:r>
        <w:t xml:space="preserve"> </w:t>
      </w:r>
      <w:r>
        <w:t xml:space="preserve">review relevant EBA opinions, guidelines and Q&amp;As and consider to incorporate those in a</w:t>
      </w:r>
      <w:r>
        <w:t xml:space="preserve"> </w:t>
      </w:r>
      <w:r>
        <w:t xml:space="preserve">future PSD3.</w:t>
      </w:r>
    </w:p>
    <w:p>
      <w:pPr>
        <w:pStyle w:val="BodyText"/>
      </w:pPr>
      <w:r>
        <w:t xml:space="preserve">75</w:t>
      </w:r>
    </w:p>
    <w:p>
      <w:pPr>
        <w:pStyle w:val="BodyText"/>
      </w:pPr>
      <w:r>
        <w:t xml:space="preserve">Concerning the informing of consumers of their rights (art. 106) the majority of respondents</w:t>
      </w:r>
      <w:r>
        <w:t xml:space="preserve"> </w:t>
      </w:r>
      <w:r>
        <w:t xml:space="preserve">(excl. blanks and don’t knows) is not in favour of changing these requirements, arguing that</w:t>
      </w:r>
      <w:r>
        <w:t xml:space="preserve"> </w:t>
      </w:r>
      <w:r>
        <w:t xml:space="preserve">consumer rights are already covered by the PSD2, and that if any work on this should be</w:t>
      </w:r>
      <w:r>
        <w:t xml:space="preserve"> </w:t>
      </w:r>
      <w:r>
        <w:t xml:space="preserve">done, it should be done at a higher level of EU legislation and ensure harmonisation across</w:t>
      </w:r>
      <w:r>
        <w:t xml:space="preserve"> </w:t>
      </w:r>
      <w:r>
        <w:t xml:space="preserve">Member States to improve on the patchwork of local consumer protection requirements.</w:t>
      </w:r>
      <w:r>
        <w:br/>
      </w:r>
      <w:r>
        <w:t xml:space="preserve">An additional remark was provided on consumer rights leaflets in paper (art. 106(3)) that was</w:t>
      </w:r>
      <w:r>
        <w:t xml:space="preserve"> </w:t>
      </w:r>
      <w:r>
        <w:t xml:space="preserve">already shared with the Commission before the targeted consultation by various stakeholders.</w:t>
      </w:r>
      <w:r>
        <w:t xml:space="preserve"> </w:t>
      </w:r>
      <w:r>
        <w:t xml:space="preserve">The paper leaflets are considered outdated and should be reviewed.</w:t>
      </w:r>
      <w:r>
        <w:br/>
      </w:r>
      <w:r>
        <w:t xml:space="preserve">Title VI: Final provisions</w:t>
      </w:r>
      <w:r>
        <w:t xml:space="preserve"> </w:t>
      </w:r>
      <w:r>
        <w:t xml:space="preserve">The final provisions in Title VI include, amongst others, the provision on full harmonisation</w:t>
      </w:r>
      <w:r>
        <w:t xml:space="preserve"> </w:t>
      </w:r>
      <w:r>
        <w:t xml:space="preserve">(see also question 8), the review clause, transitional provisions and amendments to other</w:t>
      </w:r>
      <w:r>
        <w:t xml:space="preserve"> </w:t>
      </w:r>
      <w:r>
        <w:t xml:space="preserve">pieces of EU legislation. Between 103 and 129 respondents provided a response to these</w:t>
      </w:r>
      <w:r>
        <w:t xml:space="preserve"> </w:t>
      </w:r>
      <w:r>
        <w:t xml:space="preserve">questions (incl. don’t know/no opinion/n.a).</w:t>
      </w:r>
      <w:r>
        <w:br/>
      </w:r>
      <w:r>
        <w:t xml:space="preserve">Regarding full harmonisation (art. 107) views are split – most stakeholders don’t know or</w:t>
      </w:r>
      <w:r>
        <w:t xml:space="preserve"> </w:t>
      </w:r>
      <w:r>
        <w:t xml:space="preserve">don’t have an opinion (33%, 33/115 – mostly payment institutions, TPPs and 3 consumer</w:t>
      </w:r>
      <w:r>
        <w:t xml:space="preserve"> </w:t>
      </w:r>
      <w:r>
        <w:t xml:space="preserve">organisations), an equally large group finds the provisions adequate (32%, 37 – a mix of</w:t>
      </w:r>
      <w:r>
        <w:t xml:space="preserve"> </w:t>
      </w:r>
      <w:r>
        <w:t xml:space="preserve">largely banking-stakeholders, 18, payment institutions, TPPs and 8 supervisory and</w:t>
      </w:r>
      <w:r>
        <w:t xml:space="preserve"> </w:t>
      </w:r>
      <w:r>
        <w:t xml:space="preserve">regulatory authorities), but a large group does not agree (19%, 22), of which most (11) are</w:t>
      </w:r>
      <w:r>
        <w:t xml:space="preserve"> </w:t>
      </w:r>
      <w:r>
        <w:t xml:space="preserve">active in banking. In additional commentary some of the disagreeing stakeholders stated that</w:t>
      </w:r>
      <w:r>
        <w:t xml:space="preserve"> </w:t>
      </w:r>
      <w:r>
        <w:t xml:space="preserve">PSD2 should become a regulation, others note the importance of ensuring harmonisation and</w:t>
      </w:r>
      <w:r>
        <w:t xml:space="preserve"> </w:t>
      </w:r>
      <w:r>
        <w:t xml:space="preserve">the monitoring thereof across Members States.</w:t>
      </w:r>
      <w:r>
        <w:br/>
      </w:r>
      <w:r>
        <w:t xml:space="preserve">Concerning the review clause of art. 108, 24 stakeholders indicated to have further items to</w:t>
      </w:r>
      <w:r>
        <w:t xml:space="preserve"> </w:t>
      </w:r>
      <w:r>
        <w:t xml:space="preserve">be added to this clause (of which 16 unique responses). Items mentioned include the</w:t>
      </w:r>
      <w:r>
        <w:t xml:space="preserve"> </w:t>
      </w:r>
      <w:r>
        <w:t xml:space="preserve">importance of level playing field (mostly by banks), (another review of) the rules on</w:t>
      </w:r>
      <w:r>
        <w:t xml:space="preserve"> </w:t>
      </w:r>
      <w:r>
        <w:t xml:space="preserve">surcharging of article 62, access to payment systems, key payment infrastructure also having</w:t>
      </w:r>
      <w:r>
        <w:t xml:space="preserve"> </w:t>
      </w:r>
      <w:r>
        <w:t xml:space="preserve">to capture providers of mobile devices, gateways and browsers given the changes in payment</w:t>
      </w:r>
      <w:r>
        <w:t xml:space="preserve"> </w:t>
      </w:r>
      <w:r>
        <w:t xml:space="preserve">needs and methods, reviewing the interrelation of other regulations (like GDPR, DORA and</w:t>
      </w:r>
      <w:r>
        <w:t xml:space="preserve"> </w:t>
      </w:r>
      <w:r>
        <w:t xml:space="preserve">AMLD). A consumer organisation finds the review should address the use and</w:t>
      </w:r>
      <w:r>
        <w:t xml:space="preserve"> </w:t>
      </w:r>
      <w:r>
        <w:t xml:space="preserve">commercialisation of consumer data by intervening agents, but does not provide more detail.</w:t>
      </w:r>
      <w:r>
        <w:t xml:space="preserve"> </w:t>
      </w:r>
      <w:r>
        <w:t xml:space="preserve">A large banking association stresses here, as also mentioned before under other titles by other</w:t>
      </w:r>
      <w:r>
        <w:t xml:space="preserve"> </w:t>
      </w:r>
      <w:r>
        <w:t xml:space="preserve">(banking) stakeholders, the particular case of corporate payments and corporate payment</w:t>
      </w:r>
      <w:r>
        <w:t xml:space="preserve"> </w:t>
      </w:r>
      <w:r>
        <w:t xml:space="preserve">service users, and how these differ from retail payments- and users, specifically for the (non-</w:t>
      </w:r>
      <w:r>
        <w:t xml:space="preserve"> </w:t>
      </w:r>
      <w:r>
        <w:t xml:space="preserve">)application of SCA – arguing that corporate clients are more professional and both clients</w:t>
      </w:r>
      <w:r>
        <w:t xml:space="preserve"> </w:t>
      </w:r>
      <w:r>
        <w:t xml:space="preserve">and payments subject to more security anyway.</w:t>
      </w:r>
      <w:r>
        <w:t xml:space="preserve"> </w:t>
      </w:r>
      <w:r>
        <w:t xml:space="preserve">With regard to the provisional provisions of art. 109 most stakeholders refrain from</w:t>
      </w:r>
      <w:r>
        <w:t xml:space="preserve"> </w:t>
      </w:r>
      <w:r>
        <w:t xml:space="preserve">responding (56 don’t knows -50%- and 58 blanks), similar to the question concerning</w:t>
      </w:r>
      <w:r>
        <w:t xml:space="preserve"> </w:t>
      </w:r>
      <w:r>
        <w:t xml:space="preserve">amendments (art. 110, 111 and 112). The small group that responds deems the provisions</w:t>
      </w:r>
      <w:r>
        <w:t xml:space="preserve"> </w:t>
      </w:r>
      <w:r>
        <w:t xml:space="preserve">adequate (29 respondents, 26%).</w:t>
      </w:r>
      <w:r>
        <w:br/>
      </w:r>
      <w:r>
        <w:t xml:space="preserve">Finally, some other topics stakeholders deem important (besides repeating many points</w:t>
      </w:r>
      <w:r>
        <w:t xml:space="preserve"> </w:t>
      </w:r>
      <w:r>
        <w:t xml:space="preserve">already shared in their response) and would want to highlight are the importance of cash to</w:t>
      </w:r>
      <w:r>
        <w:t xml:space="preserve"> </w:t>
      </w:r>
      <w:r>
        <w:t xml:space="preserve">remain available, proportionality (banks vs. payment institutions and EMIs), a proper</w:t>
      </w:r>
      <w:r>
        <w:t xml:space="preserve"> </w:t>
      </w:r>
      <w:r>
        <w:t xml:space="preserve">consideration the implementation time schedules or regulation given past experiences with</w:t>
      </w:r>
      <w:r>
        <w:t xml:space="preserve"> </w:t>
      </w:r>
      <w:r>
        <w:t xml:space="preserve">the PSD2 and the RTS on SCA and CSC, continuously increasing (overlapping) reporting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76</w:t>
      </w:r>
    </w:p>
    <w:p>
      <w:pPr>
        <w:pStyle w:val="Compact"/>
        <w:numPr>
          <w:ilvl w:val="0"/>
          <w:numId w:val="1013"/>
        </w:numPr>
      </w:pPr>
      <w:r>
        <w:t xml:space="preserve">Targeted consultation on the settlement finality directive</w:t>
      </w:r>
      <w:r>
        <w:t xml:space="preserve"> </w:t>
      </w:r>
      <w:r>
        <w:t xml:space="preserve">To support an ongoing review of the SFD, a targeted consultation was conducted between 12</w:t>
      </w:r>
      <w:r>
        <w:t xml:space="preserve"> </w:t>
      </w:r>
      <w:r>
        <w:t xml:space="preserve">February 2021 and 7 May 2021. It covered a number of aspects of SFD, including</w:t>
      </w:r>
      <w:r>
        <w:t xml:space="preserve"> </w:t>
      </w:r>
      <w:r>
        <w:t xml:space="preserve">participants in systems governed by the law of a Member State163. Only this element of the</w:t>
      </w:r>
      <w:r>
        <w:t xml:space="preserve"> </w:t>
      </w:r>
      <w:r>
        <w:t xml:space="preserve">consultation is covered here. The Commission received 72 responses to the targeted</w:t>
      </w:r>
      <w:r>
        <w:t xml:space="preserve"> </w:t>
      </w:r>
      <w:r>
        <w:t xml:space="preserve">consultation (of which 62 covered the topic under discussion here). The majority of</w:t>
      </w:r>
      <w:r>
        <w:t xml:space="preserve"> </w:t>
      </w:r>
      <w:r>
        <w:t xml:space="preserve">respondents were company/business organisation (41 respondents) and business associations</w:t>
      </w:r>
      <w:r>
        <w:t xml:space="preserve"> </w:t>
      </w:r>
      <w:r>
        <w:t xml:space="preserve">(20 respondents). Together they represented 85%. In addition, nine public authorities and two</w:t>
      </w:r>
      <w:r>
        <w:t xml:space="preserve"> </w:t>
      </w:r>
      <w:r>
        <w:t xml:space="preserve">academic/research institutions replied to the targeted consultation. No consumer organisation</w:t>
      </w:r>
      <w:r>
        <w:t xml:space="preserve"> </w:t>
      </w:r>
      <w:r>
        <w:t xml:space="preserve">or citizen responded to the targeted consultation.</w:t>
      </w:r>
      <w:r>
        <w:t xml:space="preserve"> </w:t>
      </w:r>
      <w:r>
        <w:t xml:space="preserve">A majority of respondents agreed to add payment institutions and e-money institutions to the</w:t>
      </w:r>
      <w:r>
        <w:t xml:space="preserve"> </w:t>
      </w:r>
      <w:r>
        <w:t xml:space="preserve">list of eligible (direct) participants in systems governed by the law of a Member State, at least</w:t>
      </w:r>
      <w:r>
        <w:t xml:space="preserve"> </w:t>
      </w:r>
      <w:r>
        <w:t xml:space="preserve">as far as payment systems are concerned, although views varied as to under what conditions</w:t>
      </w:r>
      <w:r>
        <w:t xml:space="preserve"> </w:t>
      </w:r>
      <w:r>
        <w:t xml:space="preserve">and requirements.</w:t>
      </w:r>
      <w:r>
        <w:t xml:space="preserve"> </w:t>
      </w:r>
      <w:r>
        <w:t xml:space="preserve">Of the respondents in favour of adding payment institutions and e-money institutions to the</w:t>
      </w:r>
      <w:r>
        <w:t xml:space="preserve"> </w:t>
      </w:r>
      <w:r>
        <w:t xml:space="preserve">list of participants, the larger part (22 for payment institutions and 23 for e-money</w:t>
      </w:r>
      <w:r>
        <w:t xml:space="preserve"> </w:t>
      </w:r>
      <w:r>
        <w:t xml:space="preserve">institutions) said that they should be allowed to be direct participants or indirect participants</w:t>
      </w:r>
      <w:r>
        <w:t xml:space="preserve"> </w:t>
      </w:r>
      <w:r>
        <w:t xml:space="preserve">who may be considered direct participants if that is justified on the grounds of systemic risk.</w:t>
      </w:r>
      <w:r>
        <w:t xml:space="preserve"> </w:t>
      </w:r>
      <w:r>
        <w:t xml:space="preserve">A smaller part (13 respondents for both payment institutions and e-money institutions)</w:t>
      </w:r>
      <w:r>
        <w:t xml:space="preserve"> </w:t>
      </w:r>
      <w:r>
        <w:t xml:space="preserve">replied that they should only be allowed to be direct participants. One respondent said that</w:t>
      </w:r>
      <w:r>
        <w:t xml:space="preserve"> </w:t>
      </w:r>
      <w:r>
        <w:t xml:space="preserve">they should only be allowed to be indirect participants. One respondent was against payment</w:t>
      </w:r>
      <w:r>
        <w:t xml:space="preserve"> </w:t>
      </w:r>
      <w:r>
        <w:t xml:space="preserve">institutions being direct participants.</w:t>
      </w:r>
      <w:r>
        <w:t xml:space="preserve"> </w:t>
      </w:r>
      <w:r>
        <w:t xml:space="preserve">More than half of those that replied to the question (28 respondents) were against limiting</w:t>
      </w:r>
      <w:r>
        <w:t xml:space="preserve"> </w:t>
      </w:r>
      <w:r>
        <w:t xml:space="preserve">participation to where it is warranted on grounds of systemic risk; 21 considered that such a</w:t>
      </w:r>
      <w:r>
        <w:t xml:space="preserve"> </w:t>
      </w:r>
      <w:r>
        <w:t xml:space="preserve">limitation would be appropriate and 23 respondents were neutral, did not reply or did not</w:t>
      </w:r>
      <w:r>
        <w:t xml:space="preserve"> </w:t>
      </w:r>
      <w:r>
        <w:t xml:space="preserve">express an opinion.</w:t>
      </w:r>
      <w:r>
        <w:t xml:space="preserve"> </w:t>
      </w:r>
      <w:r>
        <w:t xml:space="preserve">For both payment institutions and e-money institutions, a broad majority (35 respondents)</w:t>
      </w:r>
      <w:r>
        <w:t xml:space="preserve"> </w:t>
      </w:r>
      <w:r>
        <w:t xml:space="preserve">rather or fully agreed that payment institutions and e-money institutions should be subject to</w:t>
      </w:r>
      <w:r>
        <w:t xml:space="preserve"> </w:t>
      </w:r>
      <w:r>
        <w:t xml:space="preserve">a risk assessment; a smaller part (15 respondents) rather did not agree or disagreed with a</w:t>
      </w:r>
      <w:r>
        <w:t xml:space="preserve"> </w:t>
      </w:r>
      <w:r>
        <w:t xml:space="preserve">specific risk assessment; four were neutral and 18 did not reply or did not express an opinion.</w:t>
      </w:r>
      <w:r>
        <w:t xml:space="preserve"> </w:t>
      </w:r>
      <w:r>
        <w:t xml:space="preserve">Moreover, a majority (29 respondents) rather did not agree or disagreed that payment</w:t>
      </w:r>
      <w:r>
        <w:t xml:space="preserve"> </w:t>
      </w:r>
      <w:r>
        <w:t xml:space="preserve">institutions and e-money institutions should be subject to a particular risk assessment,</w:t>
      </w:r>
      <w:r>
        <w:t xml:space="preserve"> </w:t>
      </w:r>
      <w:r>
        <w:t xml:space="preserve">adapted to their particular risk profiles; 11 agreed with such a particular risk assessment; 13</w:t>
      </w:r>
      <w:r>
        <w:t xml:space="preserve"> </w:t>
      </w:r>
      <w:r>
        <w:t xml:space="preserve">were opinion and 19 or did nor reply or did not express an opinion.</w:t>
      </w:r>
    </w:p>
    <w:p>
      <w:pPr>
        <w:pStyle w:val="FirstParagraph"/>
      </w:pPr>
      <w:r>
        <w:t xml:space="preserve">163</w:t>
      </w:r>
      <w:r>
        <w:br/>
      </w:r>
      <w:r>
        <w:t xml:space="preserve">The targeted consultation questionnaire is available at the dedicated Commission website:</w:t>
      </w:r>
      <w:r>
        <w:t xml:space="preserve"> </w:t>
      </w:r>
      <w:r>
        <w:t xml:space="preserve">https://ec.europa.eu/info/consultations/finance-2021-settlement-finality-review_en. Other topics covered by the</w:t>
      </w:r>
      <w:r>
        <w:t xml:space="preserve"> </w:t>
      </w:r>
      <w:r>
        <w:t xml:space="preserve">consultation were: third-country systems, technological innovation, protections of collateral security, settlement</w:t>
      </w:r>
      <w:r>
        <w:t xml:space="preserve"> </w:t>
      </w:r>
      <w:r>
        <w:t xml:space="preserve">finality moments and notification of insolvency proceedings. The review of the SFD remains ongoing as regards</w:t>
      </w:r>
      <w:r>
        <w:t xml:space="preserve"> </w:t>
      </w:r>
      <w:r>
        <w:t xml:space="preserve">those topics.</w:t>
      </w:r>
    </w:p>
    <w:p>
      <w:pPr>
        <w:pStyle w:val="BodyText"/>
      </w:pPr>
      <w:r>
        <w:t xml:space="preserve">77</w:t>
      </w:r>
    </w:p>
    <w:p>
      <w:pPr>
        <w:pStyle w:val="Compact"/>
        <w:numPr>
          <w:ilvl w:val="0"/>
          <w:numId w:val="1014"/>
        </w:numPr>
      </w:pPr>
      <w:r>
        <w:t xml:space="preserve">Consultation of stakeholder groups</w:t>
      </w:r>
      <w:r>
        <w:t xml:space="preserve"> </w:t>
      </w:r>
      <w:r>
        <w:t xml:space="preserve">The Payment Systems Market Expert Group (PSMEG) discussed PSD2 on 16 December</w:t>
      </w:r>
      <w:r>
        <w:t xml:space="preserve"> </w:t>
      </w:r>
      <w:r>
        <w:t xml:space="preserve">2021, 5 April and 3 October 2022, and again on 30 March 2023164. A summary is provided</w:t>
      </w:r>
      <w:r>
        <w:t xml:space="preserve"> </w:t>
      </w:r>
      <w:r>
        <w:t xml:space="preserve">by meeting, but topics that were discussed multiple times are not repeated.</w:t>
      </w:r>
      <w:r>
        <w:t xml:space="preserve"> </w:t>
      </w:r>
      <w:r>
        <w:t xml:space="preserve">In the meeting of 16 December 2021, members observed regulatory revisions should not be</w:t>
      </w:r>
      <w:r>
        <w:t xml:space="preserve"> </w:t>
      </w:r>
      <w:r>
        <w:t xml:space="preserve">too prescriptive (focus on the “what”, not the “how”) and should be “time-neutral”. They also</w:t>
      </w:r>
      <w:r>
        <w:t xml:space="preserve"> </w:t>
      </w:r>
      <w:r>
        <w:t xml:space="preserve">found that PSD2 has increased competition, but has not yet reached all its objectives, e.g., the</w:t>
      </w:r>
      <w:r>
        <w:t xml:space="preserve"> </w:t>
      </w:r>
      <w:r>
        <w:t xml:space="preserve">regulatory framework still appears to favour card-based payments over non-card-based</w:t>
      </w:r>
      <w:r>
        <w:t xml:space="preserve"> </w:t>
      </w:r>
      <w:r>
        <w:t xml:space="preserve">payments and more standardisation is needed in terms of APIs, although members are not in</w:t>
      </w:r>
      <w:r>
        <w:t xml:space="preserve"> </w:t>
      </w:r>
      <w:r>
        <w:t xml:space="preserve">favour of full standardisation. Members suggested that EMD2 and PSD2 should be merged</w:t>
      </w:r>
      <w:r>
        <w:t xml:space="preserve"> </w:t>
      </w:r>
      <w:r>
        <w:t xml:space="preserve">and that AIS should be removed from PSD2 as this is data-related (GDPR). It was observed</w:t>
      </w:r>
      <w:r>
        <w:t xml:space="preserve"> </w:t>
      </w:r>
      <w:r>
        <w:t xml:space="preserve">that PSD2 scope review should consider additional services such as Buy Now Pay Later, as</w:t>
      </w:r>
      <w:r>
        <w:t xml:space="preserve"> </w:t>
      </w:r>
      <w:r>
        <w:t xml:space="preserve">well as wallet providers and custody services that are outside the scope of PSD2 currently. As</w:t>
      </w:r>
      <w:r>
        <w:t xml:space="preserve"> </w:t>
      </w:r>
      <w:r>
        <w:t xml:space="preserve">regards technical service providers, some members found that they need not be in the scope,</w:t>
      </w:r>
      <w:r>
        <w:t xml:space="preserve"> </w:t>
      </w:r>
      <w:r>
        <w:t xml:space="preserve">as they do not handle actual payments and only push data (and are covered by GDPR), while</w:t>
      </w:r>
      <w:r>
        <w:t xml:space="preserve"> </w:t>
      </w:r>
      <w:r>
        <w:t xml:space="preserve">other members argued that their inclusion in the scope should depend on the type of their</w:t>
      </w:r>
      <w:r>
        <w:t xml:space="preserve"> </w:t>
      </w:r>
      <w:r>
        <w:t xml:space="preserve">activity. Various members referred to difficulties with implementing and enforcing SCA and</w:t>
      </w:r>
      <w:r>
        <w:t xml:space="preserve"> </w:t>
      </w:r>
      <w:r>
        <w:t xml:space="preserve">to the fact that enforcement varies across the EU and more harmonisation would be necessary</w:t>
      </w:r>
      <w:r>
        <w:t xml:space="preserve"> </w:t>
      </w:r>
      <w:r>
        <w:t xml:space="preserve">(the same applies to AMLD and KYC). Members concurred that PSD2 needs to have</w:t>
      </w:r>
      <w:r>
        <w:t xml:space="preserve"> </w:t>
      </w:r>
      <w:r>
        <w:t xml:space="preserve">sufficient protection measures in place to allow for safe and secure transactions, also in light</w:t>
      </w:r>
      <w:r>
        <w:t xml:space="preserve"> </w:t>
      </w:r>
      <w:r>
        <w:t xml:space="preserve">of new market developments. Retailers observed that the contactless payment limits could be</w:t>
      </w:r>
      <w:r>
        <w:t xml:space="preserve"> </w:t>
      </w:r>
      <w:r>
        <w:t xml:space="preserve">increased.</w:t>
      </w:r>
      <w:r>
        <w:br/>
      </w:r>
      <w:r>
        <w:t xml:space="preserve">Several members observed that SCA has decreased the level of fraud, but whenever fraud</w:t>
      </w:r>
      <w:r>
        <w:t xml:space="preserve"> </w:t>
      </w:r>
      <w:r>
        <w:t xml:space="preserve">occurs, the amount of money that is stolen is higher than before, especially in the access-to-</w:t>
      </w:r>
      <w:r>
        <w:t xml:space="preserve"> </w:t>
      </w:r>
      <w:r>
        <w:t xml:space="preserve">accounts business (via social engineering, not card-based transactions). Many members</w:t>
      </w:r>
      <w:r>
        <w:t xml:space="preserve"> </w:t>
      </w:r>
      <w:r>
        <w:t xml:space="preserve">agreed that PSUs need to be educated on fraud and fraud prevention and that collaboration</w:t>
      </w:r>
      <w:r>
        <w:t xml:space="preserve"> </w:t>
      </w:r>
      <w:r>
        <w:t xml:space="preserve">within the industry would also be important. Members found that behavioural metrics should</w:t>
      </w:r>
      <w:r>
        <w:t xml:space="preserve"> </w:t>
      </w:r>
      <w:r>
        <w:t xml:space="preserve">be considered as an inherence SCA-factor. Members also thought that SCA should not be too</w:t>
      </w:r>
      <w:r>
        <w:t xml:space="preserve"> </w:t>
      </w:r>
      <w:r>
        <w:t xml:space="preserve">prescriptive as fraudsters use the requirements to base their workarounds on. If the</w:t>
      </w:r>
      <w:r>
        <w:t xml:space="preserve"> </w:t>
      </w:r>
      <w:r>
        <w:t xml:space="preserve">framework were to allow for PSPs to determine the best combination of authentication</w:t>
      </w:r>
      <w:r>
        <w:t xml:space="preserve"> </w:t>
      </w:r>
      <w:r>
        <w:t xml:space="preserve">methodologies, this could avoid a single point of failure.</w:t>
      </w:r>
      <w:r>
        <w:br/>
      </w:r>
      <w:r>
        <w:t xml:space="preserve">The meeting of 5 April focused more on access to payment accounts (Open Banking),</w:t>
      </w:r>
      <w:r>
        <w:t xml:space="preserve"> </w:t>
      </w:r>
      <w:r>
        <w:t xml:space="preserve">authorisation, transparency and rights and obligations. Next to issues already noted on 16</w:t>
      </w:r>
      <w:r>
        <w:t xml:space="preserve"> </w:t>
      </w:r>
      <w:r>
        <w:t xml:space="preserve">December, members note data-sharing issues within Open Banking related to the GDPR (e.g. </w:t>
      </w:r>
      <w:r>
        <w:t xml:space="preserve"> </w:t>
      </w:r>
      <w:r>
        <w:t xml:space="preserve">data minimisation vs parity between online banking and PSD2). Furthermore, most issues</w:t>
      </w:r>
      <w:r>
        <w:t xml:space="preserve"> </w:t>
      </w:r>
      <w:r>
        <w:t xml:space="preserve">members have encountered are grounded not in Level 1, PSD2, but in Level 2, the RTS on</w:t>
      </w:r>
      <w:r>
        <w:t xml:space="preserve"> </w:t>
      </w:r>
      <w:r>
        <w:t xml:space="preserve">SCA and CSC. Overall members experience few issues with regard to authorisation, although</w:t>
      </w:r>
      <w:r>
        <w:t xml:space="preserve"> </w:t>
      </w:r>
      <w:r>
        <w:t xml:space="preserve">clarity on some topics, e.g. safeguarding requirements, would be welcome. Concerning</w:t>
      </w:r>
      <w:r>
        <w:t xml:space="preserve"> </w:t>
      </w:r>
      <w:r>
        <w:t xml:space="preserve">transparency some members note how difficult it is to inform the payer upfront of the</w:t>
      </w:r>
    </w:p>
    <w:p>
      <w:pPr>
        <w:pStyle w:val="FirstParagraph"/>
      </w:pPr>
      <w:r>
        <w:t xml:space="preserve">164</w:t>
      </w:r>
      <w:r>
        <w:br/>
      </w:r>
      <w:r>
        <w:t xml:space="preserve">Minutes available at this link : https://ec.europa.eu/transparency/expert-groups-register/screen/expert-</w:t>
      </w:r>
      <w:r>
        <w:t xml:space="preserve"> </w:t>
      </w:r>
      <w:r>
        <w:t xml:space="preserve">groups/consult?lang=en&amp;do=groupDetail.groupDetail&amp;groupID=2287 .</w:t>
      </w:r>
    </w:p>
    <w:p>
      <w:pPr>
        <w:pStyle w:val="BodyText"/>
      </w:pPr>
      <w:r>
        <w:t xml:space="preserve">78</w:t>
      </w:r>
    </w:p>
    <w:p>
      <w:pPr>
        <w:pStyle w:val="BodyText"/>
      </w:pPr>
      <w:r>
        <w:t xml:space="preserve">ultimate costs in case of a cross border payment with currency conversion, due to hidden fees</w:t>
      </w:r>
      <w:r>
        <w:t xml:space="preserve"> </w:t>
      </w:r>
      <w:r>
        <w:t xml:space="preserve">in (inflated) exchange rates. Members support the implementation of IBAN checks to avoid</w:t>
      </w:r>
      <w:r>
        <w:t xml:space="preserve"> </w:t>
      </w:r>
      <w:r>
        <w:t xml:space="preserve">potential mistakes made by the payer, and also warn that a right balance must be found</w:t>
      </w:r>
      <w:r>
        <w:t xml:space="preserve"> </w:t>
      </w:r>
      <w:r>
        <w:t xml:space="preserve">between transparency and information overload for consumers. Also, members stress that</w:t>
      </w:r>
      <w:r>
        <w:t xml:space="preserve"> </w:t>
      </w:r>
      <w:r>
        <w:t xml:space="preserve">framework contracts are not suitable for AIS and PIS. Under rights and obligations low value</w:t>
      </w:r>
      <w:r>
        <w:t xml:space="preserve"> </w:t>
      </w:r>
      <w:r>
        <w:t xml:space="preserve">payment instruments (art. 63) were discussed and the blocking of amounts (art. 75), which</w:t>
      </w:r>
      <w:r>
        <w:t xml:space="preserve"> </w:t>
      </w:r>
      <w:r>
        <w:t xml:space="preserve">leads to issues as funds sometimes take a long time to be released. Additionally, a consumer</w:t>
      </w:r>
      <w:r>
        <w:t xml:space="preserve"> </w:t>
      </w:r>
      <w:r>
        <w:t xml:space="preserve">organisation argued that the limit of 50 euro (for not applying SCA during a contactless</w:t>
      </w:r>
      <w:r>
        <w:t xml:space="preserve"> </w:t>
      </w:r>
      <w:r>
        <w:t xml:space="preserve">payment) should not be further increased and that consumers should be able to control this</w:t>
      </w:r>
      <w:r>
        <w:t xml:space="preserve"> </w:t>
      </w:r>
      <w:r>
        <w:t xml:space="preserve">limit.</w:t>
      </w:r>
      <w:r>
        <w:br/>
      </w:r>
      <w:r>
        <w:t xml:space="preserve">The meeting of 3 October 2022 was dedicated in its entirety to the PSD2 review. A number</w:t>
      </w:r>
      <w:r>
        <w:t xml:space="preserve"> </w:t>
      </w:r>
      <w:r>
        <w:t xml:space="preserve">of subjects were covered:</w:t>
      </w:r>
      <w:r>
        <w:t xml:space="preserve"> </w:t>
      </w:r>
      <w:r>
        <w:t xml:space="preserve"> Regarding the scope, the discussion was about the exclusion of technical service</w:t>
      </w:r>
      <w:r>
        <w:t xml:space="preserve"> </w:t>
      </w:r>
      <w:r>
        <w:t xml:space="preserve">providers, specifically pass-through wallets and payment processors, as they are</w:t>
      </w:r>
      <w:r>
        <w:t xml:space="preserve"> </w:t>
      </w:r>
      <w:r>
        <w:t xml:space="preserve">becoming or have become important players (even when covered by outsourcing</w:t>
      </w:r>
      <w:r>
        <w:t xml:space="preserve"> </w:t>
      </w:r>
      <w:r>
        <w:t xml:space="preserve">rules), and as consumers can confuse the user-facing-TSPs (like wallets) for being a</w:t>
      </w:r>
      <w:r>
        <w:t xml:space="preserve"> </w:t>
      </w:r>
      <w:r>
        <w:t xml:space="preserve">PSP. For cyber resilience, specifically, DORA has a mechanism to allow critical TSPs</w:t>
      </w:r>
      <w:r>
        <w:t xml:space="preserve"> </w:t>
      </w:r>
      <w:r>
        <w:t xml:space="preserve">to be brought into scope. Operators of payment infrastructures pointed to the</w:t>
      </w:r>
      <w:r>
        <w:t xml:space="preserve"> </w:t>
      </w:r>
      <w:r>
        <w:t xml:space="preserve">ECB/Eurosystem oversight, both SIPS and PISA (still new), and stressed the need to</w:t>
      </w:r>
      <w:r>
        <w:t xml:space="preserve"> </w:t>
      </w:r>
      <w:r>
        <w:t xml:space="preserve">avoid duplicate regulation. Entry into possession of funds was regarded as a clear</w:t>
      </w:r>
      <w:r>
        <w:t xml:space="preserve"> </w:t>
      </w:r>
      <w:r>
        <w:t xml:space="preserve">criterion (for being in scope), and any other criterion should be equally clear, to avoid</w:t>
      </w:r>
      <w:r>
        <w:t xml:space="preserve"> </w:t>
      </w:r>
      <w:r>
        <w:t xml:space="preserve">grey zones. It is important to clarify where liability lies and who must perform SCA.</w:t>
      </w:r>
      <w:r>
        <w:t xml:space="preserve"> </w:t>
      </w:r>
      <w:r>
        <w:t xml:space="preserve">Trust is a key issue, but for the moment consumers seem to trust the providers with</w:t>
      </w:r>
      <w:r>
        <w:t xml:space="preserve"> </w:t>
      </w:r>
      <w:r>
        <w:t xml:space="preserve">which they interface; there are few complaints.</w:t>
      </w:r>
      <w:r>
        <w:t xml:space="preserve"> </w:t>
      </w:r>
      <w:r>
        <w:t xml:space="preserve"> Regarding open banking, a majority of PSMEG participants, including many TPPs,</w:t>
      </w:r>
      <w:r>
        <w:t xml:space="preserve"> </w:t>
      </w:r>
      <w:r>
        <w:t xml:space="preserve">opposed a single standardised API for Open Banking purposes, noting that PSD2</w:t>
      </w:r>
      <w:r>
        <w:t xml:space="preserve"> </w:t>
      </w:r>
      <w:r>
        <w:t xml:space="preserve">should be technology neutral and avoid regulating technical issues in great detail.</w:t>
      </w:r>
      <w:r>
        <w:t xml:space="preserve"> </w:t>
      </w:r>
      <w:r>
        <w:t xml:space="preserve">Enforcement should be more proactive and effective. The absence of a dedicated</w:t>
      </w:r>
      <w:r>
        <w:t xml:space="preserve"> </w:t>
      </w:r>
      <w:r>
        <w:t xml:space="preserve">enforcement body was pointed out. Regarding criteria on minimum performance and</w:t>
      </w:r>
      <w:r>
        <w:t xml:space="preserve"> </w:t>
      </w:r>
      <w:r>
        <w:t xml:space="preserve">functionalities, bank PSPs tended to oppose excessive prescriptiveness in the</w:t>
      </w:r>
      <w:r>
        <w:t xml:space="preserve"> </w:t>
      </w:r>
      <w:r>
        <w:t xml:space="preserve">legislation while TPPs tended to support more clarity about essential, or baseline,</w:t>
      </w:r>
      <w:r>
        <w:t xml:space="preserve"> </w:t>
      </w:r>
      <w:r>
        <w:t xml:space="preserve">functionalities. Bank PSPs expressed discontent with the requirement to provide both</w:t>
      </w:r>
      <w:r>
        <w:t xml:space="preserve"> </w:t>
      </w:r>
      <w:r>
        <w:t xml:space="preserve">an API and a fallback access, pointing out that APIs rarely crash; however other</w:t>
      </w:r>
      <w:r>
        <w:t xml:space="preserve"> </w:t>
      </w:r>
      <w:r>
        <w:t xml:space="preserve">speakers challenged this and also added that APIs are not always complete, missing</w:t>
      </w:r>
      <w:r>
        <w:t xml:space="preserve"> </w:t>
      </w:r>
      <w:r>
        <w:t xml:space="preserve">functionalities and/or data needed for AIS/PIS. Regarding possible compensation for</w:t>
      </w:r>
      <w:r>
        <w:t xml:space="preserve"> </w:t>
      </w:r>
      <w:r>
        <w:t xml:space="preserve">access, particularly for value-added, or premium, features, many speakers referred to</w:t>
      </w:r>
      <w:r>
        <w:t xml:space="preserve"> </w:t>
      </w:r>
      <w:r>
        <w:t xml:space="preserve">the SPAA discussions in EPC, and the challenges of both defining baseline and value-</w:t>
      </w:r>
      <w:r>
        <w:t xml:space="preserve"> </w:t>
      </w:r>
      <w:r>
        <w:t xml:space="preserve">added features and determining compensation (while respecting competition rules but</w:t>
      </w:r>
      <w:r>
        <w:t xml:space="preserve"> </w:t>
      </w:r>
      <w:r>
        <w:t xml:space="preserve">avoiding monopoly pricing). The risk of double charging for the same access (to TPPs</w:t>
      </w:r>
      <w:r>
        <w:t xml:space="preserve"> </w:t>
      </w:r>
      <w:r>
        <w:t xml:space="preserve">and to customers) was mentioned. The importance of the Data Act was emphasised.</w:t>
      </w:r>
      <w:r>
        <w:t xml:space="preserve"> </w:t>
      </w:r>
      <w:r>
        <w:t xml:space="preserve">Regarding fraud and consumer protection, the subgroup chair reported on the</w:t>
      </w:r>
      <w:r>
        <w:t xml:space="preserve"> </w:t>
      </w:r>
      <w:r>
        <w:t xml:space="preserve">outcome of discussions on a number of consumer-related topics. No consensus had</w:t>
      </w:r>
      <w:r>
        <w:t xml:space="preserve"> </w:t>
      </w:r>
      <w:r>
        <w:t xml:space="preserve">been found on the user of the commercial or trade name of merchants in statements to</w:t>
      </w:r>
      <w:r>
        <w:t xml:space="preserve"> </w:t>
      </w:r>
      <w:r>
        <w:t xml:space="preserve">users (complicated to implement), the IBAN verification system (costs to implement</w:t>
      </w:r>
      <w:r>
        <w:t xml:space="preserve"> </w:t>
      </w:r>
      <w:r>
        <w:t xml:space="preserve">vs. its potential to reduce fraud), a common definition of “gross negligence” for social</w:t>
      </w:r>
    </w:p>
    <w:p>
      <w:pPr>
        <w:pStyle w:val="BodyText"/>
      </w:pPr>
      <w:r>
        <w:t xml:space="preserve">79</w:t>
      </w:r>
    </w:p>
    <w:p>
      <w:pPr>
        <w:pStyle w:val="BodyText"/>
      </w:pPr>
      <w:r>
        <w:t xml:space="preserve">engineering fraud (although there was agreement on a public awareness campaign,</w:t>
      </w:r>
      <w:r>
        <w:t xml:space="preserve"> </w:t>
      </w:r>
      <w:r>
        <w:t xml:space="preserve">relieving uses of liability could lead to moral hazard issues), blocked amount on</w:t>
      </w:r>
      <w:r>
        <w:t xml:space="preserve"> </w:t>
      </w:r>
      <w:r>
        <w:t xml:space="preserve">payment instruments. Consensus was reached on financial inclusion and SCA</w:t>
      </w:r>
      <w:r>
        <w:t xml:space="preserve"> </w:t>
      </w:r>
      <w:r>
        <w:t xml:space="preserve">(alternative methods of confirmation), increasing the upper limits for contactless</w:t>
      </w:r>
      <w:r>
        <w:t xml:space="preserve"> </w:t>
      </w:r>
      <w:r>
        <w:t xml:space="preserve">payments but subject to user control and that imposing a maximum transaction time</w:t>
      </w:r>
      <w:r>
        <w:t xml:space="preserve"> </w:t>
      </w:r>
      <w:r>
        <w:t xml:space="preserve">on one-leg out transactions would be extraterritorial and unrealistic.</w:t>
      </w:r>
      <w:r>
        <w:br/>
      </w:r>
      <w:r>
        <w:t xml:space="preserve">The Commission asked about SCA circumvention, for example via the MIT or</w:t>
      </w:r>
      <w:r>
        <w:t xml:space="preserve"> </w:t>
      </w:r>
      <w:r>
        <w:t xml:space="preserve">MOTO exemptions. The subgroup had not found examples of circumvention, but had</w:t>
      </w:r>
      <w:r>
        <w:t xml:space="preserve"> </w:t>
      </w:r>
      <w:r>
        <w:t xml:space="preserve">looked mainly at non-EU operations. It was noted that the MOTO exemption was</w:t>
      </w:r>
      <w:r>
        <w:t xml:space="preserve"> </w:t>
      </w:r>
      <w:r>
        <w:t xml:space="preserve">widely used, for example in the travel sector. On direct access for non-banks to</w:t>
      </w:r>
      <w:r>
        <w:t xml:space="preserve"> </w:t>
      </w:r>
      <w:r>
        <w:t xml:space="preserve">payment systems, the lack of direct access of PIs and EMIs to SFD-designated</w:t>
      </w:r>
      <w:r>
        <w:t xml:space="preserve"> </w:t>
      </w:r>
      <w:r>
        <w:t xml:space="preserve">payment systems, is considered problematic in terms of level playing field between</w:t>
      </w:r>
      <w:r>
        <w:t xml:space="preserve"> </w:t>
      </w:r>
      <w:r>
        <w:t xml:space="preserve">banks and non-bank PSPs. The report made recommendations concerning direct</w:t>
      </w:r>
      <w:r>
        <w:t xml:space="preserve"> </w:t>
      </w:r>
      <w:r>
        <w:t xml:space="preserve">access: to amend SFD article 2b and expand the catalogue of institutions following a</w:t>
      </w:r>
      <w:r>
        <w:t xml:space="preserve"> </w:t>
      </w:r>
      <w:r>
        <w:t xml:space="preserve">risk-based approach and adjust article 35 PSD2 to align, and to explore the right for PI</w:t>
      </w:r>
      <w:r>
        <w:t xml:space="preserve"> </w:t>
      </w:r>
      <w:r>
        <w:t xml:space="preserve">and EMI to safeguard client funds at central banks.</w:t>
      </w:r>
      <w:r>
        <w:br/>
      </w:r>
      <w:r>
        <w:t xml:space="preserve">There were also three recommendations concerning indirect access:</w:t>
      </w:r>
      <w:r>
        <w:t xml:space="preserve"> </w:t>
      </w:r>
      <w:r>
        <w:t xml:space="preserve">o Amend article 36 as suggested by EBA: clarify offboarding and refusal to</w:t>
      </w:r>
      <w:r>
        <w:t xml:space="preserve"> </w:t>
      </w:r>
      <w:r>
        <w:t xml:space="preserve">onboard. EBA should receive mandate to develop technical standards to determine</w:t>
      </w:r>
      <w:r>
        <w:t xml:space="preserve"> </w:t>
      </w:r>
      <w:r>
        <w:t xml:space="preserve">criteria.</w:t>
      </w:r>
      <w:r>
        <w:br/>
      </w:r>
      <w:r>
        <w:t xml:space="preserve">o Cover client funds at PI/EMA with DGS guarantee.</w:t>
      </w:r>
      <w:r>
        <w:br/>
      </w:r>
      <w:r>
        <w:t xml:space="preserve">o Establish additional measures in safeguarding options that would create a more</w:t>
      </w:r>
      <w:r>
        <w:t xml:space="preserve"> </w:t>
      </w:r>
      <w:r>
        <w:t xml:space="preserve">level playing field. Investing in low-risk assets, insurance, or a comparable</w:t>
      </w:r>
      <w:r>
        <w:t xml:space="preserve"> </w:t>
      </w:r>
      <w:r>
        <w:t xml:space="preserve">guarantee.</w:t>
      </w:r>
      <w:r>
        <w:br/>
      </w:r>
      <w:r>
        <w:t xml:space="preserve">o No opposition was expressed to direct access for PIs and EMIs, as long as risk-</w:t>
      </w:r>
      <w:r>
        <w:t xml:space="preserve"> </w:t>
      </w:r>
      <w:r>
        <w:t xml:space="preserve">based access criteria are in place. A number of members considered that the</w:t>
      </w:r>
      <w:r>
        <w:t xml:space="preserve"> </w:t>
      </w:r>
      <w:r>
        <w:t xml:space="preserve">existing risk assessment of credit institutions should form the basis for assessment</w:t>
      </w:r>
      <w:r>
        <w:t xml:space="preserve"> </w:t>
      </w:r>
      <w:r>
        <w:t xml:space="preserve">of PIs and EMIs, mutatis mutandis. Non-bank PSPs tended to consider their credit</w:t>
      </w:r>
      <w:r>
        <w:t xml:space="preserve"> </w:t>
      </w:r>
      <w:r>
        <w:t xml:space="preserve">and liquidity risk lower than that of banks (operational risk being the same) but</w:t>
      </w:r>
      <w:r>
        <w:t xml:space="preserve"> </w:t>
      </w:r>
      <w:r>
        <w:t xml:space="preserve">were content to be assessed on the same terms.</w:t>
      </w:r>
      <w:r>
        <w:br/>
      </w:r>
      <w:r>
        <w:t xml:space="preserve">In the meeting of 30 March 2023, in addition to a presentation by VVA/CEPS of its study,</w:t>
      </w:r>
      <w:r>
        <w:t xml:space="preserve"> </w:t>
      </w:r>
      <w:r>
        <w:t xml:space="preserve">and updates from the different subgroups, the Commission presented the options under</w:t>
      </w:r>
      <w:r>
        <w:t xml:space="preserve"> </w:t>
      </w:r>
      <w:r>
        <w:t xml:space="preserve">consideration, but without indication which options were preferred. Stakeholders expressed</w:t>
      </w:r>
      <w:r>
        <w:t xml:space="preserve"> </w:t>
      </w:r>
      <w:r>
        <w:t xml:space="preserve">the following positions:</w:t>
      </w:r>
      <w:r>
        <w:t xml:space="preserve"> </w:t>
      </w:r>
      <w:r>
        <w:t xml:space="preserve"> On access to bank accounts for non-bank PSPs, those stakeholders who spoke</w:t>
      </w:r>
      <w:r>
        <w:t xml:space="preserve"> </w:t>
      </w:r>
      <w:r>
        <w:t xml:space="preserve">were in favour of a combination of all the options. One stakeholder mentioned</w:t>
      </w:r>
      <w:r>
        <w:t xml:space="preserve"> </w:t>
      </w:r>
      <w:r>
        <w:t xml:space="preserve">the need to introduce the possibility of safeguarding of funds with central</w:t>
      </w:r>
      <w:r>
        <w:t xml:space="preserve"> </w:t>
      </w:r>
      <w:r>
        <w:t xml:space="preserve">banks. Another asked if there is any data available on bank refusals of</w:t>
      </w:r>
      <w:r>
        <w:t xml:space="preserve"> </w:t>
      </w:r>
      <w:r>
        <w:t xml:space="preserve">accounts to PIs or EMIs. Another pointed out that PIs and EMIs tend to rely</w:t>
      </w:r>
      <w:r>
        <w:t xml:space="preserve"> </w:t>
      </w:r>
      <w:r>
        <w:t xml:space="preserve">on the same bank, which involves risk in case of failure of that bank.</w:t>
      </w:r>
      <w:r>
        <w:t xml:space="preserve"> </w:t>
      </w:r>
      <w:r>
        <w:t xml:space="preserve"> On open banking, one TPP representative strongly supported the use by TPPs</w:t>
      </w:r>
      <w:r>
        <w:t xml:space="preserve"> </w:t>
      </w:r>
      <w:r>
        <w:t xml:space="preserve">of the customer interface and condemned many APIs as being deliberately</w:t>
      </w:r>
      <w:r>
        <w:t xml:space="preserve"> </w:t>
      </w:r>
      <w:r>
        <w:t xml:space="preserve">designed as unfriendly to TPPs. A different TPP representative expressed a</w:t>
      </w:r>
      <w:r>
        <w:t xml:space="preserve"> </w:t>
      </w:r>
      <w:r>
        <w:t xml:space="preserve">different view, that well-functioning API access is essential and there is a</w:t>
      </w:r>
    </w:p>
    <w:p>
      <w:pPr>
        <w:pStyle w:val="BodyText"/>
      </w:pPr>
      <w:r>
        <w:t xml:space="preserve">80</w:t>
      </w:r>
    </w:p>
    <w:p>
      <w:pPr>
        <w:pStyle w:val="BodyText"/>
      </w:pPr>
      <w:r>
        <w:t xml:space="preserve">need to move away from fallbacks and modified customer interfaces; there is</w:t>
      </w:r>
      <w:r>
        <w:t xml:space="preserve"> </w:t>
      </w:r>
      <w:r>
        <w:t xml:space="preserve">a need for a resolution process in case an API is down, in their view. A</w:t>
      </w:r>
      <w:r>
        <w:t xml:space="preserve"> </w:t>
      </w:r>
      <w:r>
        <w:t xml:space="preserve">banking sector representative opposed mandatory dashboards and supported a</w:t>
      </w:r>
      <w:r>
        <w:t xml:space="preserve"> </w:t>
      </w:r>
      <w:r>
        <w:t xml:space="preserve">generalised move to use of APIs away from customer interfaces. Another</w:t>
      </w:r>
      <w:r>
        <w:t xml:space="preserve"> </w:t>
      </w:r>
      <w:r>
        <w:t xml:space="preserve">PSMEG member pointed out that many smaller ASPSPs spend money on an</w:t>
      </w:r>
      <w:r>
        <w:t xml:space="preserve"> </w:t>
      </w:r>
      <w:r>
        <w:t xml:space="preserve">API which is not used, and was against full API standardisation but in favour</w:t>
      </w:r>
      <w:r>
        <w:t xml:space="preserve"> </w:t>
      </w:r>
      <w:r>
        <w:t xml:space="preserve">of more rules for APIs.</w:t>
      </w:r>
      <w:r>
        <w:t xml:space="preserve"> </w:t>
      </w:r>
      <w:r>
        <w:t xml:space="preserve"> On fraud, there was a presentation of a national initiative in one Member</w:t>
      </w:r>
      <w:r>
        <w:t xml:space="preserve"> </w:t>
      </w:r>
      <w:r>
        <w:t xml:space="preserve">State to compensate consumers, with conditions, where they have been</w:t>
      </w:r>
      <w:r>
        <w:t xml:space="preserve"> </w:t>
      </w:r>
      <w:r>
        <w:t xml:space="preserve">victims of Impersonation of Bank Employee fraud. Various different views</w:t>
      </w:r>
      <w:r>
        <w:t xml:space="preserve"> </w:t>
      </w:r>
      <w:r>
        <w:t xml:space="preserve">were expressed on the appropriate balance of liability between PSPs and users</w:t>
      </w:r>
      <w:r>
        <w:t xml:space="preserve"> </w:t>
      </w:r>
      <w:r>
        <w:t xml:space="preserve">in case of authorised fraudulent payments, and the usefulness of IBAN/name</w:t>
      </w:r>
      <w:r>
        <w:t xml:space="preserve"> </w:t>
      </w:r>
      <w:r>
        <w:t xml:space="preserve">verification as a tool against fraud.</w:t>
      </w:r>
      <w:r>
        <w:t xml:space="preserve"> </w:t>
      </w:r>
      <w:r>
        <w:t xml:space="preserve"> The consumer subgroup considered that for contactless transactions, allowing</w:t>
      </w:r>
      <w:r>
        <w:t xml:space="preserve"> </w:t>
      </w:r>
      <w:r>
        <w:t xml:space="preserve">consumers to set an individual threshold from 10 to up to EUR 50 would be</w:t>
      </w:r>
      <w:r>
        <w:t xml:space="preserve"> </w:t>
      </w:r>
      <w:r>
        <w:t xml:space="preserve">complex and very expensive and not sustainable to implement (however,</w:t>
      </w:r>
      <w:r>
        <w:t xml:space="preserve"> </w:t>
      </w:r>
      <w:r>
        <w:t xml:space="preserve">some PSMEG members expressed disagreement with this position). On</w:t>
      </w:r>
      <w:r>
        <w:t xml:space="preserve"> </w:t>
      </w:r>
      <w:r>
        <w:t xml:space="preserve">Merchant Initiated Transactions (MIT), it was considered that these</w:t>
      </w:r>
      <w:r>
        <w:t xml:space="preserve"> </w:t>
      </w:r>
      <w:r>
        <w:t xml:space="preserve">transactions should fulfil the following three criteria: (i) transaction with a</w:t>
      </w:r>
      <w:r>
        <w:t xml:space="preserve"> </w:t>
      </w:r>
      <w:r>
        <w:t xml:space="preserve">fixed or variable amount and interval, (ii) governed by an agreement subject</w:t>
      </w:r>
      <w:r>
        <w:t xml:space="preserve"> </w:t>
      </w:r>
      <w:r>
        <w:t xml:space="preserve">to SCA, (iii) that allows merchants to initiate subsequent transactions in the</w:t>
      </w:r>
      <w:r>
        <w:t xml:space="preserve"> </w:t>
      </w:r>
      <w:r>
        <w:t xml:space="preserve">absence of the payer who is not available at the PoI (physical or online) to</w:t>
      </w:r>
      <w:r>
        <w:t xml:space="preserve"> </w:t>
      </w:r>
      <w:r>
        <w:t xml:space="preserve">initiate and authenticate the transaction.</w:t>
      </w:r>
      <w:r>
        <w:t xml:space="preserve"> </w:t>
      </w:r>
      <w:r>
        <w:t xml:space="preserve">6. Bilateral contacts with stakeholders</w:t>
      </w:r>
      <w:r>
        <w:t xml:space="preserve"> </w:t>
      </w:r>
      <w:r>
        <w:t xml:space="preserve">A wide range of bilateral contacts were held with various stakeholders during the preparation</w:t>
      </w:r>
      <w:r>
        <w:t xml:space="preserve"> </w:t>
      </w:r>
      <w:r>
        <w:t xml:space="preserve">of this initiative, essentially by videoconference, including BEUC - the European consumer</w:t>
      </w:r>
      <w:r>
        <w:t xml:space="preserve"> </w:t>
      </w:r>
      <w:r>
        <w:t xml:space="preserve">organisation), payment services providers (banks, banking associations, European Payments</w:t>
      </w:r>
      <w:r>
        <w:t xml:space="preserve"> </w:t>
      </w:r>
      <w:r>
        <w:t xml:space="preserve">Council, FinTechs, third party providers (TPPs)), Euro Retail Payments Board (ERPB), ECB,</w:t>
      </w:r>
      <w:r>
        <w:t xml:space="preserve"> </w:t>
      </w:r>
      <w:r>
        <w:t xml:space="preserve">National Payments Committees, national central banks and supervisors, etc.</w:t>
      </w:r>
    </w:p>
    <w:p>
      <w:pPr>
        <w:pStyle w:val="Compact"/>
        <w:numPr>
          <w:ilvl w:val="0"/>
          <w:numId w:val="1015"/>
        </w:numPr>
      </w:pPr>
      <w:r>
        <w:t xml:space="preserve">Consultation of Member States</w:t>
      </w:r>
      <w:r>
        <w:br/>
      </w:r>
      <w:r>
        <w:t xml:space="preserve">National authorities were consulted in the framework of the Commission Expert Group on</w:t>
      </w:r>
      <w:r>
        <w:t xml:space="preserve"> </w:t>
      </w:r>
      <w:r>
        <w:t xml:space="preserve">Banking Payments and Insurance (CEGBPI), which discussed IPs in a number of its meetings</w:t>
      </w:r>
      <w:r>
        <w:t xml:space="preserve"> </w:t>
      </w:r>
      <w:r>
        <w:t xml:space="preserve">and provided input on the positions of Member States on specific elements. The CEGBPI</w:t>
      </w:r>
      <w:r>
        <w:t xml:space="preserve"> </w:t>
      </w:r>
      <w:r>
        <w:t xml:space="preserve">discussed PSD2 in its meetings of on 30 November 2021 7 April 2022, and 16/21 March</w:t>
      </w:r>
    </w:p>
    <w:p>
      <w:pPr>
        <w:pStyle w:val="Compact"/>
        <w:numPr>
          <w:ilvl w:val="0"/>
          <w:numId w:val="1015"/>
        </w:numPr>
      </w:pPr>
      <w:r>
        <w:t xml:space="preserve">CEGBPI members also provided over 260 pages of written commentary, mostly</w:t>
      </w:r>
      <w:r>
        <w:t xml:space="preserve"> </w:t>
      </w:r>
      <w:r>
        <w:t xml:space="preserve">repeating points made during the meetings at a greater level of detail.</w:t>
      </w:r>
    </w:p>
    <w:p>
      <w:pPr>
        <w:pStyle w:val="FirstParagraph"/>
      </w:pPr>
      <w:r>
        <w:t xml:space="preserve">During the session of November 2021 CEGBPI members were asked how they viewed the</w:t>
      </w:r>
      <w:r>
        <w:t xml:space="preserve"> </w:t>
      </w:r>
      <w:r>
        <w:t xml:space="preserve">developments in the payment market. Members reported an increased level of digitisation,</w:t>
      </w:r>
    </w:p>
    <w:p>
      <w:pPr>
        <w:pStyle w:val="BodyText"/>
      </w:pPr>
      <w:r>
        <w:t xml:space="preserve">165 Minutes available at this link: https://ec.europa.eu/transparency/expert-groups-register/screen/expert-</w:t>
      </w:r>
      <w:r>
        <w:t xml:space="preserve"> </w:t>
      </w:r>
      <w:r>
        <w:t xml:space="preserve">groups/consult?do=groupDetail.groupDetail&amp;groupID=2885&amp;Lang=EN .</w:t>
      </w:r>
    </w:p>
    <w:p>
      <w:pPr>
        <w:pStyle w:val="BodyText"/>
      </w:pPr>
      <w:r>
        <w:t xml:space="preserve">81</w:t>
      </w:r>
    </w:p>
    <w:p>
      <w:pPr>
        <w:pStyle w:val="BodyText"/>
      </w:pPr>
      <w:r>
        <w:t xml:space="preserve">which was considered to be reinforced by the COVID-19 pandemic. Many saw a rapid</w:t>
      </w:r>
      <w:r>
        <w:t xml:space="preserve"> </w:t>
      </w:r>
      <w:r>
        <w:t xml:space="preserve">change in the speed of payments/transactions. Concerning the newer regulated Open Banking</w:t>
      </w:r>
      <w:r>
        <w:t xml:space="preserve"> </w:t>
      </w:r>
      <w:r>
        <w:t xml:space="preserve">services members report new licences have been issued to AISPs and PISP, but the uptake of</w:t>
      </w:r>
      <w:r>
        <w:t xml:space="preserve"> </w:t>
      </w:r>
      <w:r>
        <w:t xml:space="preserve">the services remains limited. All members agreed that a thorough review, and even revision</w:t>
      </w:r>
      <w:r>
        <w:t xml:space="preserve"> </w:t>
      </w:r>
      <w:r>
        <w:t xml:space="preserve">of the scope of PSD2 was needed. Members reported that the differences between certain</w:t>
      </w:r>
      <w:r>
        <w:t xml:space="preserve"> </w:t>
      </w:r>
      <w:r>
        <w:t xml:space="preserve">types of payment services have become more difficult to identify, reporting difficulties in</w:t>
      </w:r>
      <w:r>
        <w:t xml:space="preserve"> </w:t>
      </w:r>
      <w:r>
        <w:t xml:space="preserve">assessing whether an entrant needs a licence or falls under an exclusion (in particular</w:t>
      </w:r>
      <w:r>
        <w:t xml:space="preserve"> </w:t>
      </w:r>
      <w:r>
        <w:t xml:space="preserve">referring to TSPs and limited network providers). There was overall consensus that the</w:t>
      </w:r>
      <w:r>
        <w:t xml:space="preserve"> </w:t>
      </w:r>
      <w:r>
        <w:t xml:space="preserve">EMD2 and PSD2 should be merged and the need for alignment of PSD2 with other pieces of</w:t>
      </w:r>
      <w:r>
        <w:t xml:space="preserve"> </w:t>
      </w:r>
      <w:r>
        <w:t xml:space="preserve">legislation such as AMLD, MICA, DORA, Data Act, GDPR, DMFSD, etc. Some questioned</w:t>
      </w:r>
      <w:r>
        <w:t xml:space="preserve"> </w:t>
      </w:r>
      <w:r>
        <w:t xml:space="preserve">whether PSD2 should cover also savings accounts, and others suggested to analyse the</w:t>
      </w:r>
      <w:r>
        <w:t xml:space="preserve"> </w:t>
      </w:r>
      <w:r>
        <w:t xml:space="preserve">necessity of a group supervision similar to the CRD approach and considering a recovery and</w:t>
      </w:r>
      <w:r>
        <w:t xml:space="preserve"> </w:t>
      </w:r>
      <w:r>
        <w:t xml:space="preserve">resolution framework for payment institutions and E-Money Institutions.</w:t>
      </w:r>
    </w:p>
    <w:p>
      <w:pPr>
        <w:pStyle w:val="BodyText"/>
      </w:pPr>
      <w:r>
        <w:t xml:space="preserve">The introduction of the PSD2 has led to banks creating APIs and various members expressed</w:t>
      </w:r>
      <w:r>
        <w:t xml:space="preserve"> </w:t>
      </w:r>
      <w:r>
        <w:t xml:space="preserve">the view that the Regulatory Technical Standards have not always facilitated an easy and</w:t>
      </w:r>
      <w:r>
        <w:t xml:space="preserve"> </w:t>
      </w:r>
      <w:r>
        <w:t xml:space="preserve">sound convergent development of Open Banking across the EU. Some members agreed that</w:t>
      </w:r>
      <w:r>
        <w:t xml:space="preserve"> </w:t>
      </w:r>
      <w:r>
        <w:t xml:space="preserve">having an EU API standard would have been useful. It was pointed out that between the</w:t>
      </w:r>
      <w:r>
        <w:t xml:space="preserve"> </w:t>
      </w:r>
      <w:r>
        <w:t xml:space="preserve">implementation of PSD2 and now, banks have also started to use APIs for purposes other</w:t>
      </w:r>
      <w:r>
        <w:t xml:space="preserve"> </w:t>
      </w:r>
      <w:r>
        <w:t xml:space="preserve">than laid out in the PSD2. Members remarked on the many challenges related to the</w:t>
      </w:r>
      <w:r>
        <w:t xml:space="preserve"> </w:t>
      </w:r>
      <w:r>
        <w:t xml:space="preserve">implementation of the Strong Customer Authentication (SCA) and while it was considered</w:t>
      </w:r>
      <w:r>
        <w:t xml:space="preserve"> </w:t>
      </w:r>
      <w:r>
        <w:t xml:space="preserve">still too early to fully assess its impacts, members have seen a decrease in the fraud rates.</w:t>
      </w:r>
      <w:r>
        <w:t xml:space="preserve"> </w:t>
      </w:r>
      <w:r>
        <w:t xml:space="preserve">However, members remarked that new types of fraud (such as social engineering fraud) are</w:t>
      </w:r>
      <w:r>
        <w:t xml:space="preserve"> </w:t>
      </w:r>
      <w:r>
        <w:t xml:space="preserve">popping up that are not captured by the SCA. Some members saw the need to consider</w:t>
      </w:r>
      <w:r>
        <w:t xml:space="preserve"> </w:t>
      </w:r>
      <w:r>
        <w:t xml:space="preserve">additional SCA exemptions, e.g. if the payer uses an unattended terminal at charging stations</w:t>
      </w:r>
      <w:r>
        <w:t xml:space="preserve"> </w:t>
      </w:r>
      <w:r>
        <w:t xml:space="preserve">for electric vehicles.</w:t>
      </w:r>
    </w:p>
    <w:p>
      <w:pPr>
        <w:pStyle w:val="BodyText"/>
      </w:pPr>
      <w:r>
        <w:t xml:space="preserve">The session of 7 April was almost entirely dedicated to PSD, discussing scope, the</w:t>
      </w:r>
      <w:r>
        <w:t xml:space="preserve"> </w:t>
      </w:r>
      <w:r>
        <w:t xml:space="preserve">supervisory framework, fraud prevention (SCA) and Open Banking. Members stressed the</w:t>
      </w:r>
      <w:r>
        <w:t xml:space="preserve"> </w:t>
      </w:r>
      <w:r>
        <w:t xml:space="preserve">importance that a new PSD-framework would need to be future-proof and cover risks posed</w:t>
      </w:r>
      <w:r>
        <w:t xml:space="preserve"> </w:t>
      </w:r>
      <w:r>
        <w:t xml:space="preserve">to consumers, and that various things could be clarified. Members sometimes struggle to</w:t>
      </w:r>
      <w:r>
        <w:t xml:space="preserve"> </w:t>
      </w:r>
      <w:r>
        <w:t xml:space="preserve">qualify whether an entrant provided a regulated or non-regulated service, so precise</w:t>
      </w:r>
      <w:r>
        <w:t xml:space="preserve"> </w:t>
      </w:r>
      <w:r>
        <w:t xml:space="preserve">definitions on the services of Annex I would be welcomed, as well as a clear definition on</w:t>
      </w:r>
      <w:r>
        <w:t xml:space="preserve"> </w:t>
      </w:r>
      <w:r>
        <w:t xml:space="preserve">“payment account” and on “funds” and by including criteria, e.g. from the EBA Guideline,</w:t>
      </w:r>
      <w:r>
        <w:t xml:space="preserve"> </w:t>
      </w:r>
      <w:r>
        <w:t xml:space="preserve">for the limited network exclusion. Regarding TSPs members are cautious – the PSD should</w:t>
      </w:r>
      <w:r>
        <w:t xml:space="preserve"> </w:t>
      </w:r>
      <w:r>
        <w:t xml:space="preserve">focus on the provision of payment services, not ancillary technical services and referred to</w:t>
      </w:r>
      <w:r>
        <w:t xml:space="preserve"> </w:t>
      </w:r>
      <w:r>
        <w:t xml:space="preserve">Oversight already covering operators of payment systems and schemes. Some members</w:t>
      </w:r>
      <w:r>
        <w:t xml:space="preserve"> </w:t>
      </w:r>
      <w:r>
        <w:t xml:space="preserve">suggested a taxonomy of technical services could be helpful, and to consider targeted</w:t>
      </w:r>
      <w:r>
        <w:t xml:space="preserve"> </w:t>
      </w:r>
      <w:r>
        <w:t xml:space="preserve">requirements (e.g. strong customer authentication). The review should consider any risks</w:t>
      </w:r>
      <w:r>
        <w:t xml:space="preserve"> </w:t>
      </w:r>
      <w:r>
        <w:t xml:space="preserve">coming from new payment solutions, such as digital wallet solutions or Buy-Now-Pay-Later,</w:t>
      </w:r>
      <w:r>
        <w:t xml:space="preserve"> </w:t>
      </w:r>
      <w:r>
        <w:t xml:space="preserve">and if these should be included in PSD2 (members believe BNPL should be covered under</w:t>
      </w:r>
      <w:r>
        <w:t xml:space="preserve"> </w:t>
      </w:r>
      <w:r>
        <w:t xml:space="preserve">the consumer credit directive).</w:t>
      </w:r>
      <w:r>
        <w:t xml:space="preserve"> </w:t>
      </w:r>
      <w:r>
        <w:t xml:space="preserve">As regards the adequacy of supervisory framework members agree that it is overall adequate,</w:t>
      </w:r>
      <w:r>
        <w:t xml:space="preserve"> </w:t>
      </w:r>
      <w:r>
        <w:t xml:space="preserve">also agreeing that the rules for small payment institutions should be maintained, but some</w:t>
      </w:r>
      <w:r>
        <w:t xml:space="preserve"> </w:t>
      </w:r>
      <w:r>
        <w:t xml:space="preserve">improvements/changes could be considered, for example on passporting (this should be</w:t>
      </w:r>
      <w:r>
        <w:t xml:space="preserve"> </w:t>
      </w:r>
      <w:r>
        <w:t xml:space="preserve">timely) and on the professional indemnity insurance required for PISPs and AISPs. Feedback</w:t>
      </w:r>
    </w:p>
    <w:p>
      <w:pPr>
        <w:pStyle w:val="BodyText"/>
      </w:pPr>
      <w:r>
        <w:t xml:space="preserve">82</w:t>
      </w:r>
    </w:p>
    <w:p>
      <w:pPr>
        <w:pStyle w:val="BodyText"/>
      </w:pPr>
      <w:r>
        <w:t xml:space="preserve">was also received in written form, where members stressed that the licensing process should</w:t>
      </w:r>
      <w:r>
        <w:t xml:space="preserve"> </w:t>
      </w:r>
      <w:r>
        <w:t xml:space="preserve">not be subjected to a one-month deadline due to complexity and the quality of applications.</w:t>
      </w:r>
      <w:r>
        <w:t xml:space="preserve"> </w:t>
      </w:r>
      <w:r>
        <w:t xml:space="preserve">From a supervisory point of view the removal of AIS to another framework (instead of</w:t>
      </w:r>
      <w:r>
        <w:t xml:space="preserve"> </w:t>
      </w:r>
      <w:r>
        <w:t xml:space="preserve">PSD2) could lead to difficulties in supervision as different authorities may be in charge.</w:t>
      </w:r>
      <w:r>
        <w:t xml:space="preserve"> </w:t>
      </w:r>
      <w:r>
        <w:t xml:space="preserve">Regarding fraud, members require clarifications to the provisions on SCA, also discussing the</w:t>
      </w:r>
      <w:r>
        <w:t xml:space="preserve"> </w:t>
      </w:r>
      <w:r>
        <w:t xml:space="preserve">new fraud methods (social engineering) that SCA does not protect against. Moreover,</w:t>
      </w:r>
      <w:r>
        <w:t xml:space="preserve"> </w:t>
      </w:r>
      <w:r>
        <w:t xml:space="preserve">members request clarification on mail order/telephone order (MOTO) transactions and the</w:t>
      </w:r>
      <w:r>
        <w:t xml:space="preserve"> </w:t>
      </w:r>
      <w:r>
        <w:t xml:space="preserve">need for legislation to clarify that the use of a mobile phone should not be a prerequisite for</w:t>
      </w:r>
      <w:r>
        <w:t xml:space="preserve"> </w:t>
      </w:r>
      <w:r>
        <w:t xml:space="preserve">SCA and to prevent financial exclusion. Furthermore, it was discussed if the exemptions to</w:t>
      </w:r>
      <w:r>
        <w:t xml:space="preserve"> </w:t>
      </w:r>
      <w:r>
        <w:t xml:space="preserve">SCA should not be moved to Level 1 (currently in RTS) and if more exemptions should be</w:t>
      </w:r>
      <w:r>
        <w:t xml:space="preserve"> </w:t>
      </w:r>
      <w:r>
        <w:t xml:space="preserve">considered, for example for electronic vehicle charging stations.</w:t>
      </w:r>
      <w:r>
        <w:br/>
      </w:r>
      <w:r>
        <w:t xml:space="preserve">For Open Banking many members suggest that having one API standard would be beneficial</w:t>
      </w:r>
      <w:r>
        <w:t xml:space="preserve"> </w:t>
      </w:r>
      <w:r>
        <w:t xml:space="preserve">and, in the long run, facilitate competition, although members acknowledge the</w:t>
      </w:r>
      <w:r>
        <w:t xml:space="preserve"> </w:t>
      </w:r>
      <w:r>
        <w:t xml:space="preserve">implementation might be costly and either designing a new unform standard or selecting one</w:t>
      </w:r>
      <w:r>
        <w:t xml:space="preserve"> </w:t>
      </w:r>
      <w:r>
        <w:t xml:space="preserve">of the existing standards would be challenging. Issues with the amount and type of data to be</w:t>
      </w:r>
      <w:r>
        <w:t xml:space="preserve"> </w:t>
      </w:r>
      <w:r>
        <w:t xml:space="preserve">made available, while remaining compliant with GDPR, were discussed (data minimisation,</w:t>
      </w:r>
      <w:r>
        <w:t xml:space="preserve"> </w:t>
      </w:r>
      <w:r>
        <w:t xml:space="preserve">silent party data, processing of special categories of personal data).</w:t>
      </w:r>
      <w:r>
        <w:t xml:space="preserve"> </w:t>
      </w:r>
      <w:r>
        <w:t xml:space="preserve">It was furthermore considered by CGBPI members that a renewed payment framework might</w:t>
      </w:r>
      <w:r>
        <w:t xml:space="preserve"> </w:t>
      </w:r>
      <w:r>
        <w:t xml:space="preserve">be in the form of a regulation as this might be beneficial for the market, needs a short</w:t>
      </w:r>
      <w:r>
        <w:t xml:space="preserve"> </w:t>
      </w:r>
      <w:r>
        <w:t xml:space="preserve">implementation period and would be in line with other frameworks (e.g. MiCA).</w:t>
      </w:r>
      <w:r>
        <w:t xml:space="preserve"> </w:t>
      </w:r>
      <w:r>
        <w:t xml:space="preserve">In the CEGBPI sessions of 16 and 21 March 2023 (two half-day sessions), broad support was</w:t>
      </w:r>
      <w:r>
        <w:t xml:space="preserve"> </w:t>
      </w:r>
      <w:r>
        <w:t xml:space="preserve">expressed by Member States for the extension of IBAN/name verification to all credit</w:t>
      </w:r>
      <w:r>
        <w:t xml:space="preserve"> </w:t>
      </w:r>
      <w:r>
        <w:t xml:space="preserve">transfers in the EU, and to strengthened transaction monitoring and exchange of information</w:t>
      </w:r>
      <w:r>
        <w:t xml:space="preserve"> </w:t>
      </w:r>
      <w:r>
        <w:t xml:space="preserve">on fraud among PSPs. Certain Member States felt that attribution of liability for fraudulent</w:t>
      </w:r>
      <w:r>
        <w:t xml:space="preserve"> </w:t>
      </w:r>
      <w:r>
        <w:t xml:space="preserve">authorised transactions is a delicate matter, and moral hazard must be avoided. On Open</w:t>
      </w:r>
      <w:r>
        <w:t xml:space="preserve"> </w:t>
      </w:r>
      <w:r>
        <w:t xml:space="preserve">Banking, only seven Member States took the floor, with a wide range of views expressed.</w:t>
      </w:r>
      <w:r>
        <w:t xml:space="preserve"> </w:t>
      </w:r>
      <w:r>
        <w:t xml:space="preserve">Four Member States wished to maintain consumer protection rules in national law, not an EU</w:t>
      </w:r>
      <w:r>
        <w:t xml:space="preserve"> </w:t>
      </w:r>
      <w:r>
        <w:t xml:space="preserve">Regulation, on the grounds that the possibility of adapting the rules to national circumstances</w:t>
      </w:r>
      <w:r>
        <w:t xml:space="preserve"> </w:t>
      </w:r>
      <w:r>
        <w:t xml:space="preserve">is desirable. There was broad openness to the incorporation of rules for e-money institutions</w:t>
      </w:r>
      <w:r>
        <w:t xml:space="preserve"> </w:t>
      </w:r>
      <w:r>
        <w:t xml:space="preserve">and payment institutions together in one legal instrument.</w:t>
      </w:r>
    </w:p>
    <w:p>
      <w:pPr>
        <w:pStyle w:val="BodyText"/>
      </w:pPr>
      <w:r>
        <w:t xml:space="preserve">83</w:t>
      </w:r>
    </w:p>
    <w:p>
      <w:pPr>
        <w:pStyle w:val="BodyText"/>
      </w:pP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1.1 Introduction</w:t>
      </w:r>
      <w:r>
        <w:t xml:space="preserve"> </w:t>
      </w:r>
      <w:r>
        <w:t xml:space="preserve">The costs of the initiative have been kept to a minimum, via the rejection of the most costly</w:t>
      </w:r>
      <w:r>
        <w:t xml:space="preserve"> </w:t>
      </w:r>
      <w:r>
        <w:t xml:space="preserve">options. Costs are mainly one-off implementation (adjustment) costs, and fall largely on</w:t>
      </w:r>
      <w:r>
        <w:t xml:space="preserve"> </w:t>
      </w:r>
      <w:r>
        <w:t xml:space="preserve">ASPSPs (essentially banks). The most costly elements of this initiative, but potentially the</w:t>
      </w:r>
      <w:r>
        <w:t xml:space="preserve"> </w:t>
      </w:r>
      <w:r>
        <w:t xml:space="preserve">ones with the greatest potential for social benefit, are those related to reduction of authorised</w:t>
      </w:r>
      <w:r>
        <w:t xml:space="preserve"> </w:t>
      </w:r>
      <w:r>
        <w:t xml:space="preserve">(APP) fraud and to Open Banking. In Open banking, costs are offset by savings (such as the</w:t>
      </w:r>
      <w:r>
        <w:t xml:space="preserve"> </w:t>
      </w:r>
      <w:r>
        <w:t xml:space="preserve">removal of the fall-back interface and of its exemption procedure) and by the adoption of</w:t>
      </w:r>
      <w:r>
        <w:t xml:space="preserve"> </w:t>
      </w:r>
      <w:r>
        <w:t xml:space="preserve">proportionality measures (possible derogations for niche ASPSPs). The cost of improved</w:t>
      </w:r>
      <w:r>
        <w:t xml:space="preserve"> </w:t>
      </w:r>
      <w:r>
        <w:t xml:space="preserve">enforcement and implementation will be limited and fall on Member States. The costs of</w:t>
      </w:r>
      <w:r>
        <w:t xml:space="preserve"> </w:t>
      </w:r>
      <w:r>
        <w:t xml:space="preserve">direct access to key payment systems for Payment Institutions and E-Money Institutions will</w:t>
      </w:r>
      <w:r>
        <w:t xml:space="preserve"> </w:t>
      </w:r>
      <w:r>
        <w:t xml:space="preserve">again be limited, and fall on the payment systems in question.</w:t>
      </w:r>
      <w:r>
        <w:t xml:space="preserve"> </w:t>
      </w:r>
      <w:r>
        <w:t xml:space="preserve">The benefits, on the other hand, are ongoing benefits and accrue to a wide range of</w:t>
      </w:r>
      <w:r>
        <w:t xml:space="preserve"> </w:t>
      </w:r>
      <w:r>
        <w:t xml:space="preserve">stakeholders, including users of payment services (consumers, businesses, merchants and</w:t>
      </w:r>
      <w:r>
        <w:t xml:space="preserve"> </w:t>
      </w:r>
      <w:r>
        <w:t xml:space="preserve">public administrations) and also PSPs themselves (especially non-bank fintech PSPs). They</w:t>
      </w:r>
      <w:r>
        <w:t xml:space="preserve"> </w:t>
      </w:r>
      <w:r>
        <w:t xml:space="preserve">are harder to quantify, as they involve greater innovation and competition, with potential for</w:t>
      </w:r>
      <w:r>
        <w:t xml:space="preserve"> </w:t>
      </w:r>
      <w:r>
        <w:t xml:space="preserve">lower prices and a greater variety of services on offer, plus reductions in APP fraud. As with</w:t>
      </w:r>
      <w:r>
        <w:t xml:space="preserve"> </w:t>
      </w:r>
      <w:r>
        <w:t xml:space="preserve">PSD2 itself, the benefits are recurrent, while the costs are mainly one-off adjustment costs,</w:t>
      </w:r>
      <w:r>
        <w:t xml:space="preserve"> </w:t>
      </w:r>
      <w:r>
        <w:t xml:space="preserve">therefore the cumulative benefits should exceed the total costs over time.</w:t>
      </w:r>
      <w:r>
        <w:t xml:space="preserve"> </w:t>
      </w:r>
      <w:r>
        <w:t xml:space="preserve">1.2 Payment Service Providers (PSPs) and other businesses</w:t>
      </w:r>
      <w:r>
        <w:t xml:space="preserve"> </w:t>
      </w:r>
      <w:r>
        <w:t xml:space="preserve">PSPs which do not offer euro IPs will be impacted by the cost of offering an IBAN</w:t>
      </w:r>
      <w:r>
        <w:t xml:space="preserve"> </w:t>
      </w:r>
      <w:r>
        <w:t xml:space="preserve">verification service, averaging a few hundreds of thousands of euro per PSP in one-off costs</w:t>
      </w:r>
      <w:r>
        <w:t xml:space="preserve"> </w:t>
      </w:r>
      <w:r>
        <w:t xml:space="preserve">(the cost is higher the bigger and more complex is the PSP), with annual maintenance costs</w:t>
      </w:r>
      <w:r>
        <w:t xml:space="preserve"> </w:t>
      </w:r>
      <w:r>
        <w:t xml:space="preserve">averaging a few tens of thousands of euro per PSP. These costs can be offset by charging</w:t>
      </w:r>
      <w:r>
        <w:t xml:space="preserve"> </w:t>
      </w:r>
      <w:r>
        <w:t xml:space="preserve">users for the use of this facility, and by reduced numbers of fraud-related complaints to deal</w:t>
      </w:r>
      <w:r>
        <w:t xml:space="preserve"> </w:t>
      </w:r>
      <w:r>
        <w:t xml:space="preserve">with.</w:t>
      </w:r>
      <w:r>
        <w:t xml:space="preserve"> </w:t>
      </w:r>
      <w:r>
        <w:t xml:space="preserve">The increases in user rights and information (see Annex 10) will involve a small one-off</w:t>
      </w:r>
      <w:r>
        <w:t xml:space="preserve"> </w:t>
      </w:r>
      <w:r>
        <w:t xml:space="preserve">adjustment cost (adaptation of standard contracts etc.) and limited ongoing costs, for example</w:t>
      </w:r>
      <w:r>
        <w:t xml:space="preserve"> </w:t>
      </w:r>
      <w:r>
        <w:t xml:space="preserve">for provision of information in cases of ATM withdrawals on other networks and one-leg out</w:t>
      </w:r>
      <w:r>
        <w:t xml:space="preserve"> </w:t>
      </w:r>
      <w:r>
        <w:t xml:space="preserve">operations.</w:t>
      </w:r>
      <w:r>
        <w:t xml:space="preserve"> </w:t>
      </w:r>
      <w:r>
        <w:t xml:space="preserve">Certain PSPs will incur a one-off cost for improving their API interfaces for Open Banking</w:t>
      </w:r>
      <w:r>
        <w:t xml:space="preserve"> </w:t>
      </w:r>
      <w:r>
        <w:t xml:space="preserve">TPPs or creating one where one is not in place yet. The total cost of this for the ASPSP sector</w:t>
      </w:r>
      <w:r>
        <w:t xml:space="preserve"> </w:t>
      </w:r>
      <w:r>
        <w:t xml:space="preserve">is estimated at €160 million. This will be offset by the saving of no longer having to make</w:t>
      </w:r>
      <w:r>
        <w:t xml:space="preserve"> </w:t>
      </w:r>
      <w:r>
        <w:t xml:space="preserve">available a fallback interface or suffering additional traffic on the direct customer interface</w:t>
      </w:r>
      <w:r>
        <w:t xml:space="preserve"> </w:t>
      </w:r>
      <w:r>
        <w:t xml:space="preserve">(see Chapter 2.1.2). Ongoing maintenance cost for APIs will not be directly impacted by the</w:t>
      </w:r>
      <w:r>
        <w:t xml:space="preserve"> </w:t>
      </w:r>
      <w:r>
        <w:t xml:space="preserve">proposed changes.</w:t>
      </w:r>
      <w:r>
        <w:t xml:space="preserve"> </w:t>
      </w:r>
      <w:r>
        <w:t xml:space="preserve">PSPs which are Open Banking TPPs will experience the benefits of having defined quality</w:t>
      </w:r>
      <w:r>
        <w:t xml:space="preserve"> </w:t>
      </w:r>
      <w:r>
        <w:t xml:space="preserve">and functionalities for APIs, thus enabling them to offer a better service to their users and</w:t>
      </w:r>
      <w:r>
        <w:t xml:space="preserve"> </w:t>
      </w:r>
      <w:r>
        <w:t xml:space="preserve">supporting consumer adoption of OB. The TPP sector will experience a small cost around</w:t>
      </w:r>
      <w:r>
        <w:t xml:space="preserve"> </w:t>
      </w:r>
      <w:r>
        <w:t xml:space="preserve">€24 million for adapting to new rules on interfaces.</w:t>
      </w:r>
    </w:p>
    <w:p>
      <w:pPr>
        <w:pStyle w:val="BodyText"/>
      </w:pPr>
      <w:r>
        <w:t xml:space="preserve">84</w:t>
      </w:r>
    </w:p>
    <w:p>
      <w:pPr>
        <w:pStyle w:val="BodyText"/>
      </w:pPr>
      <w:r>
        <w:t xml:space="preserve">PSPs will benefit from greater legal certainty due to a more detailed and coherent set of rules</w:t>
      </w:r>
      <w:r>
        <w:t xml:space="preserve"> </w:t>
      </w:r>
      <w:r>
        <w:t xml:space="preserve">on payments which will be applied in a more effective way across the EU e.g. regarding</w:t>
      </w:r>
      <w:r>
        <w:t xml:space="preserve"> </w:t>
      </w:r>
      <w:r>
        <w:t xml:space="preserve">criteria for penalties. They will be exposed to lower compliance costs over time as the rules</w:t>
      </w:r>
      <w:r>
        <w:t xml:space="preserve"> </w:t>
      </w:r>
      <w:r>
        <w:t xml:space="preserve">on payments will be to large extent clear, up to date and self-explanatory and therefore easier</w:t>
      </w:r>
      <w:r>
        <w:t xml:space="preserve"> </w:t>
      </w:r>
      <w:r>
        <w:t xml:space="preserve">to apply by PSPs.</w:t>
      </w:r>
      <w:r>
        <w:t xml:space="preserve"> </w:t>
      </w:r>
      <w:r>
        <w:t xml:space="preserve">PSPs which are PIs or EMIs (non-bank PSPs) will experience the benefits of direct</w:t>
      </w:r>
      <w:r>
        <w:t xml:space="preserve"> </w:t>
      </w:r>
      <w:r>
        <w:t xml:space="preserve">participation in key payment systems and/or secure indirect access, thus enabling them to</w:t>
      </w:r>
      <w:r>
        <w:t xml:space="preserve"> </w:t>
      </w:r>
      <w:r>
        <w:t xml:space="preserve">offer better and cheaper payment services to their users.</w:t>
      </w:r>
      <w:r>
        <w:t xml:space="preserve"> </w:t>
      </w:r>
      <w:r>
        <w:t xml:space="preserve">Operators of certain payment systems, those designated under SFD, whether in the public</w:t>
      </w:r>
      <w:r>
        <w:t xml:space="preserve"> </w:t>
      </w:r>
      <w:r>
        <w:t xml:space="preserve">sector or private sector, will experience a one-off burden of a significant number of new</w:t>
      </w:r>
      <w:r>
        <w:t xml:space="preserve"> </w:t>
      </w:r>
      <w:r>
        <w:t xml:space="preserve">applications for participation from PIs and EMIs, which will have to be processed, including</w:t>
      </w:r>
      <w:r>
        <w:t xml:space="preserve"> </w:t>
      </w:r>
      <w:r>
        <w:t xml:space="preserve">full risk assessment.</w:t>
      </w:r>
      <w:r>
        <w:t xml:space="preserve"> </w:t>
      </w:r>
      <w:r>
        <w:t xml:space="preserve">1.3 Consumers and other payment service users</w:t>
      </w:r>
      <w:r>
        <w:t xml:space="preserve"> </w:t>
      </w:r>
      <w:r>
        <w:t xml:space="preserve">Payment service users will benefit from this initiative both directly and indirectly. As direct</w:t>
      </w:r>
      <w:r>
        <w:t xml:space="preserve"> </w:t>
      </w:r>
      <w:r>
        <w:t xml:space="preserve">benefits, they will enjoy greater rights in the area of information concerning fees for specific</w:t>
      </w:r>
      <w:r>
        <w:t xml:space="preserve"> </w:t>
      </w:r>
      <w:r>
        <w:t xml:space="preserve">transactions and estimated execution times, and improvements as regards blockage of funds</w:t>
      </w:r>
      <w:r>
        <w:t xml:space="preserve"> </w:t>
      </w:r>
      <w:r>
        <w:t xml:space="preserve">(see Annex 10). Another direct benefit will be the generalised availability of IBAN</w:t>
      </w:r>
      <w:r>
        <w:t xml:space="preserve"> </w:t>
      </w:r>
      <w:r>
        <w:t xml:space="preserve">verification services for all credit transfers, not only instant payments, and the resulting</w:t>
      </w:r>
      <w:r>
        <w:t xml:space="preserve"> </w:t>
      </w:r>
      <w:r>
        <w:t xml:space="preserve">reduction of fraud losses.</w:t>
      </w:r>
      <w:r>
        <w:t xml:space="preserve"> </w:t>
      </w:r>
      <w:r>
        <w:t xml:space="preserve">The measures to improve enforcement and implementation of the payments rules will</w:t>
      </w:r>
      <w:r>
        <w:t xml:space="preserve"> </w:t>
      </w:r>
      <w:r>
        <w:t xml:space="preserve">increase the level of protection of consumers and other users, who can be more confident that</w:t>
      </w:r>
      <w:r>
        <w:t xml:space="preserve"> </w:t>
      </w:r>
      <w:r>
        <w:t xml:space="preserve">PSPs adhere to the EU rules and that measures including penalties are imposed by NCAs in</w:t>
      </w:r>
      <w:r>
        <w:t xml:space="preserve"> </w:t>
      </w:r>
      <w:r>
        <w:t xml:space="preserve">cases of breaches.</w:t>
      </w:r>
      <w:r>
        <w:t xml:space="preserve"> </w:t>
      </w:r>
      <w:r>
        <w:t xml:space="preserve">Indirect benefits for users will include a wider range of competitively-priced payment</w:t>
      </w:r>
      <w:r>
        <w:t xml:space="preserve"> </w:t>
      </w:r>
      <w:r>
        <w:t xml:space="preserve">services, including better account services from PIs and EMIs and improved Open Banking</w:t>
      </w:r>
      <w:r>
        <w:t xml:space="preserve"> </w:t>
      </w:r>
      <w:r>
        <w:t xml:space="preserve">account information and payment initiation services. For Open Banking market research</w:t>
      </w:r>
      <w:r>
        <w:t xml:space="preserve"> </w:t>
      </w:r>
      <w:r>
        <w:t xml:space="preserve">already predicts</w:t>
      </w:r>
      <w:r>
        <w:br/>
      </w:r>
      <w:r>
        <w:t xml:space="preserve">Consumers will benefit from the possibility to obtain cash in shops without making a</w:t>
      </w:r>
      <w:r>
        <w:t xml:space="preserve"> </w:t>
      </w:r>
      <w:r>
        <w:t xml:space="preserve">purchase, though this is not a right and will depend on the willingness of the shopkeeper and</w:t>
      </w:r>
      <w:r>
        <w:t xml:space="preserve"> </w:t>
      </w:r>
      <w:r>
        <w:t xml:space="preserve">the availability of cash (see Annex 9).</w:t>
      </w:r>
      <w:r>
        <w:t xml:space="preserve"> </w:t>
      </w:r>
      <w:r>
        <w:t xml:space="preserve">Consumers with disabilities and other challenges to use SCA will enjoy greater financial</w:t>
      </w:r>
      <w:r>
        <w:t xml:space="preserve"> </w:t>
      </w:r>
      <w:r>
        <w:t xml:space="preserve">inclusion as a result of the measure to facilitate their use of SCA described in Annex 10.</w:t>
      </w:r>
      <w:r>
        <w:t xml:space="preserve"> </w:t>
      </w:r>
      <w:r>
        <w:t xml:space="preserve">There are no specific direct costs for users associated with this initiative, other than possible</w:t>
      </w:r>
      <w:r>
        <w:t xml:space="preserve"> </w:t>
      </w:r>
      <w:r>
        <w:t xml:space="preserve">fees for IBAN verification services (which will be optional for users). Competitive forces</w:t>
      </w:r>
      <w:r>
        <w:t xml:space="preserve"> </w:t>
      </w:r>
      <w:r>
        <w:t xml:space="preserve">between banks and other ASPSPs should prevent any increases in general account fees.</w:t>
      </w:r>
      <w:r>
        <w:t xml:space="preserve"> </w:t>
      </w:r>
      <w:r>
        <w:t xml:space="preserve">1.4 SMEs</w:t>
      </w:r>
      <w:r>
        <w:br/>
      </w:r>
      <w:r>
        <w:t xml:space="preserve">SMEs are concerned by this initiative in two capacities, as users of payment services (such as</w:t>
      </w:r>
      <w:r>
        <w:t xml:space="preserve"> </w:t>
      </w:r>
      <w:r>
        <w:t xml:space="preserve">merchants or business users) and as PSPs, including payment fintechs (smaller PSPs, start-</w:t>
      </w:r>
      <w:r>
        <w:t xml:space="preserve"> </w:t>
      </w:r>
      <w:r>
        <w:t xml:space="preserve">ups etc.). They are thus on both the supply and demand side of the payments market.</w:t>
      </w:r>
      <w:r>
        <w:t xml:space="preserve"> </w:t>
      </w:r>
      <w:r>
        <w:t xml:space="preserve">Benefits for SMEs as merchants and other corporate users of payment systems will be the</w:t>
      </w:r>
      <w:r>
        <w:t xml:space="preserve"> </w:t>
      </w:r>
      <w:r>
        <w:t xml:space="preserve">same as those for users identified in the section above.</w:t>
      </w:r>
    </w:p>
    <w:p>
      <w:pPr>
        <w:pStyle w:val="BodyText"/>
      </w:pPr>
      <w:r>
        <w:t xml:space="preserve">85</w:t>
      </w:r>
    </w:p>
    <w:p>
      <w:pPr>
        <w:pStyle w:val="BodyText"/>
      </w:pPr>
      <w:r>
        <w:t xml:space="preserve">SMEs which are PSPs or payment fintechs (Open Banking TPPs or else PIs/EMIs offering</w:t>
      </w:r>
      <w:r>
        <w:t xml:space="preserve"> </w:t>
      </w:r>
      <w:r>
        <w:t xml:space="preserve">payment account services) will experience the benefits for those categories noted above.</w:t>
      </w:r>
      <w:r>
        <w:t xml:space="preserve"> </w:t>
      </w:r>
      <w:r>
        <w:t xml:space="preserve">It should be noted that implementation costs for ASPSPs which are SMEs (for example for</w:t>
      </w:r>
      <w:r>
        <w:t xml:space="preserve"> </w:t>
      </w:r>
      <w:r>
        <w:t xml:space="preserve">IBAN verification or for implementing an API for data access) are often lower than for larger</w:t>
      </w:r>
      <w:r>
        <w:t xml:space="preserve"> </w:t>
      </w:r>
      <w:r>
        <w:t xml:space="preserve">PSPs, since larger PSPs often have a complex internal structure (e.g. resulting from mergers)</w:t>
      </w:r>
      <w:r>
        <w:t xml:space="preserve"> </w:t>
      </w:r>
      <w:r>
        <w:t xml:space="preserve">or old legacy IT systems, which can significantly increase implementation costs and require</w:t>
      </w:r>
      <w:r>
        <w:t xml:space="preserve"> </w:t>
      </w:r>
      <w:r>
        <w:t xml:space="preserve">ad hoc solutions. Smaller, more modern or simpler PSPs can often buy in off-the-shelf IT</w:t>
      </w:r>
      <w:r>
        <w:t xml:space="preserve"> </w:t>
      </w:r>
      <w:r>
        <w:t xml:space="preserve">solutions.</w:t>
      </w:r>
      <w:r>
        <w:t xml:space="preserve"> </w:t>
      </w:r>
      <w:r>
        <w:t xml:space="preserve">Overall, SMEs are expected to be among the net gainers from this initiative, whether as users</w:t>
      </w:r>
      <w:r>
        <w:t xml:space="preserve"> </w:t>
      </w:r>
      <w:r>
        <w:t xml:space="preserve">of payment services (non-financial SMEs) or as PSPs/Open Banking TPPs. Many PIs/EMIs</w:t>
      </w:r>
      <w:r>
        <w:t xml:space="preserve"> </w:t>
      </w:r>
      <w:r>
        <w:t xml:space="preserve">are SMEs, and will benefit from direct access to payment systems; many Open Banking TPPs</w:t>
      </w:r>
      <w:r>
        <w:t xml:space="preserve"> </w:t>
      </w:r>
      <w:r>
        <w:t xml:space="preserve">are SMEs and will benefit from an increased and better defined dataset with mandatory</w:t>
      </w:r>
      <w:r>
        <w:t xml:space="preserve"> </w:t>
      </w:r>
      <w:r>
        <w:t xml:space="preserve">access. Most costs will fall on banks, and relatively few banks are SMEs.</w:t>
      </w:r>
      <w:r>
        <w:br/>
      </w:r>
      <w:r>
        <w:t xml:space="preserve">SMEs - in both capacities as PSPs and users - will moreover benefit as will all actors in the</w:t>
      </w:r>
      <w:r>
        <w:t xml:space="preserve"> </w:t>
      </w:r>
      <w:r>
        <w:t xml:space="preserve">payment market from a detailed and coherent set of rules on payments which will be applied</w:t>
      </w:r>
      <w:r>
        <w:t xml:space="preserve"> </w:t>
      </w:r>
      <w:r>
        <w:t xml:space="preserve">in a coherent way across the EU, e.g. regarding criteria for penalties.</w:t>
      </w:r>
      <w:r>
        <w:t xml:space="preserve"> </w:t>
      </w:r>
      <w:r>
        <w:t xml:space="preserve">For further details about impact on SMEs, see Annex 13.</w:t>
      </w:r>
      <w:r>
        <w:t xml:space="preserve"> </w:t>
      </w:r>
      <w:r>
        <w:t xml:space="preserve">1.5 Public authorities</w:t>
      </w:r>
      <w:r>
        <w:t xml:space="preserve"> </w:t>
      </w:r>
      <w:r>
        <w:t xml:space="preserve">National competent authorities will need to devote more resources to enforcement of PSD as</w:t>
      </w:r>
      <w:r>
        <w:t xml:space="preserve"> </w:t>
      </w:r>
      <w:r>
        <w:t xml:space="preserve">a result of this initiative, with potential extra staff costs as a result, although some NCAs may</w:t>
      </w:r>
      <w:r>
        <w:t xml:space="preserve"> </w:t>
      </w:r>
      <w:r>
        <w:t xml:space="preserve">be able to improve PSD enforcement within current staffing levels. This will especially be the</w:t>
      </w:r>
      <w:r>
        <w:t xml:space="preserve"> </w:t>
      </w:r>
      <w:r>
        <w:t xml:space="preserve">case as regards Open Banking, as each NCA will need a specialised enforcement team with</w:t>
      </w:r>
      <w:r>
        <w:t xml:space="preserve"> </w:t>
      </w:r>
      <w:r>
        <w:t xml:space="preserve">knowledge in the area of APIs. This could cost in the hundreds of thousands of euro per year</w:t>
      </w:r>
      <w:r>
        <w:t xml:space="preserve"> </w:t>
      </w:r>
      <w:r>
        <w:t xml:space="preserve">per NCA, which can be offset with charges to PSPs for specific services (licensing,</w:t>
      </w:r>
      <w:r>
        <w:t xml:space="preserve"> </w:t>
      </w:r>
      <w:r>
        <w:t xml:space="preserve">authorisations, derogations etc.).</w:t>
      </w:r>
      <w:r>
        <w:t xml:space="preserve"> </w:t>
      </w:r>
      <w:r>
        <w:t xml:space="preserve">NCAs will furthermore benefit from a detailed and coherent set of rules on payments which</w:t>
      </w:r>
      <w:r>
        <w:t xml:space="preserve"> </w:t>
      </w:r>
      <w:r>
        <w:t xml:space="preserve">will lead to easier and more cost-effective implementation of the rules.</w:t>
      </w:r>
      <w:r>
        <w:t xml:space="preserve"> </w:t>
      </w:r>
      <w:r>
        <w:t xml:space="preserve">Public authorities should benefit from improved payment services in their capacity of</w:t>
      </w:r>
      <w:r>
        <w:t xml:space="preserve"> </w:t>
      </w:r>
      <w:r>
        <w:t xml:space="preserve">payment system users.</w:t>
      </w:r>
      <w:r>
        <w:t xml:space="preserve"> </w:t>
      </w:r>
      <w:r>
        <w:t xml:space="preserve">1.6 Geographical dimension of impact</w:t>
      </w:r>
      <w:r>
        <w:t xml:space="preserve"> </w:t>
      </w:r>
      <w:r>
        <w:t xml:space="preserve">The requirement to offer an IBAN verification service will proportionately have a greater</w:t>
      </w:r>
      <w:r>
        <w:t xml:space="preserve"> </w:t>
      </w:r>
      <w:r>
        <w:t xml:space="preserve">cost in non-euro area Member States, since in those Member States there are fewer PSPs</w:t>
      </w:r>
      <w:r>
        <w:t xml:space="preserve"> </w:t>
      </w:r>
      <w:r>
        <w:t xml:space="preserve">offering euro instant payments, and therefore fewer PSPs which have already incurred the</w:t>
      </w:r>
      <w:r>
        <w:t xml:space="preserve"> </w:t>
      </w:r>
      <w:r>
        <w:t xml:space="preserve">cost of implementing IBAN verification, in line with the Commission legislative proposal on</w:t>
      </w:r>
      <w:r>
        <w:t xml:space="preserve"> </w:t>
      </w:r>
      <w:r>
        <w:t xml:space="preserve">euro IPs. No other specific elements regarding the geographical impact have been identified.</w:t>
      </w:r>
    </w:p>
    <w:p>
      <w:pPr>
        <w:pStyle w:val="BodyText"/>
      </w:pPr>
      <w:r>
        <w:t xml:space="preserve">86</w:t>
      </w:r>
    </w:p>
    <w:p>
      <w:pPr>
        <w:pStyle w:val="Compact"/>
        <w:numPr>
          <w:ilvl w:val="0"/>
          <w:numId w:val="1016"/>
        </w:numPr>
      </w:pPr>
      <w:r>
        <w:t xml:space="preserve">SUMMARY OF COSTS AND BENEFITS</w:t>
      </w:r>
      <w:r>
        <w:t xml:space="preserve"> </w:t>
      </w:r>
      <w:r>
        <w:t xml:space="preserve">The tables below summarise the costs and benefits described above, based on the package of</w:t>
      </w:r>
      <w:r>
        <w:t xml:space="preserve"> </w:t>
      </w:r>
      <w:r>
        <w:t xml:space="preserve">preferred options.</w:t>
      </w:r>
    </w:p>
    <w:p>
      <w:pPr>
        <w:pStyle w:val="FirstParagraph"/>
      </w:pP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Reduction of payment fraud</w:t>
      </w:r>
      <w:r>
        <w:t xml:space="preserve"> </w:t>
      </w:r>
      <w:r>
        <w:t xml:space="preserve">The</w:t>
      </w:r>
      <w:r>
        <w:t xml:space="preserve"> </w:t>
      </w:r>
      <w:r>
        <w:t xml:space="preserve">combined</w:t>
      </w:r>
      <w:r>
        <w:t xml:space="preserve"> </w:t>
      </w:r>
      <w:r>
        <w:t xml:space="preserve">effect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proposed anti-fraud measures can</w:t>
      </w:r>
      <w:r>
        <w:t xml:space="preserve"> </w:t>
      </w:r>
      <w:r>
        <w:t xml:space="preserve">be anticipated as a reduction of a</w:t>
      </w:r>
      <w:r>
        <w:t xml:space="preserve"> </w:t>
      </w:r>
      <w:r>
        <w:t xml:space="preserve">few percentage points in APP fraud</w:t>
      </w:r>
      <w:r>
        <w:t xml:space="preserve"> </w:t>
      </w:r>
      <w:r>
        <w:t xml:space="preserve">(for example, a 10% reduction</w:t>
      </w:r>
      <w:r>
        <w:t xml:space="preserve"> </w:t>
      </w:r>
      <w:r>
        <w:t xml:space="preserve">would represent €32 million of</w:t>
      </w:r>
      <w:r>
        <w:t xml:space="preserve"> </w:t>
      </w:r>
      <w:r>
        <w:t xml:space="preserve">benefit annually). Wider use of</w:t>
      </w:r>
      <w:r>
        <w:t xml:space="preserve"> </w:t>
      </w:r>
      <w:r>
        <w:t xml:space="preserve">SCA will also contribute to a</w:t>
      </w:r>
      <w:r>
        <w:t xml:space="preserve"> </w:t>
      </w:r>
      <w:r>
        <w:t xml:space="preserve">reduction in all payment fraud.</w:t>
      </w:r>
      <w:r>
        <w:t xml:space="preserve"> </w:t>
      </w:r>
      <w:r>
        <w:t xml:space="preserve">The value of APP fraud in 2020 for all SEPA</w:t>
      </w:r>
      <w:r>
        <w:t xml:space="preserve"> </w:t>
      </w:r>
      <w:r>
        <w:t xml:space="preserve">euro credit transfers in the EU is estimated</w:t>
      </w:r>
      <w:r>
        <w:t xml:space="preserve"> </w:t>
      </w:r>
      <w:r>
        <w:t xml:space="preserve">by Commission services on the basis of EBA</w:t>
      </w:r>
      <w:r>
        <w:t xml:space="preserve"> </w:t>
      </w:r>
      <w:r>
        <w:t xml:space="preserve">data at approximately € 323 million.</w:t>
      </w:r>
      <w:r>
        <w:t xml:space="preserve"> </w:t>
      </w:r>
      <w:r>
        <w:t xml:space="preserve">Better legal framework for</w:t>
      </w:r>
      <w:r>
        <w:t xml:space="preserve"> </w:t>
      </w:r>
      <w:r>
        <w:t xml:space="preserve">Open Banking</w:t>
      </w:r>
      <w:r>
        <w:t xml:space="preserve"> </w:t>
      </w:r>
      <w:r>
        <w:t xml:space="preserve">The proposed changes are intended</w:t>
      </w:r>
      <w:r>
        <w:t xml:space="preserve"> </w:t>
      </w:r>
      <w:r>
        <w:t xml:space="preserve">to support further growth of the OB</w:t>
      </w:r>
      <w:r>
        <w:t xml:space="preserve"> </w:t>
      </w:r>
      <w:r>
        <w:t xml:space="preserve">sector in addition to the projected</w:t>
      </w:r>
      <w:r>
        <w:t xml:space="preserve"> </w:t>
      </w:r>
      <w:r>
        <w:t xml:space="preserve">growth with no legislative change</w:t>
      </w:r>
      <w:r>
        <w:t xml:space="preserve"> </w:t>
      </w:r>
      <w:r>
        <w:t xml:space="preserve">(baseline). Assuming the changes</w:t>
      </w:r>
      <w:r>
        <w:t xml:space="preserve"> </w:t>
      </w:r>
      <w:r>
        <w:t xml:space="preserve">can increase the existing growth</w:t>
      </w:r>
      <w:r>
        <w:t xml:space="preserve"> </w:t>
      </w:r>
      <w:r>
        <w:t xml:space="preserve">trend of Open Banking by, for</w:t>
      </w:r>
      <w:r>
        <w:t xml:space="preserve"> </w:t>
      </w:r>
      <w:r>
        <w:t xml:space="preserve">example, 10%, it would create an</w:t>
      </w:r>
      <w:r>
        <w:t xml:space="preserve"> </w:t>
      </w:r>
      <w:r>
        <w:t xml:space="preserve">additional €2 bn of OB market</w:t>
      </w:r>
      <w:r>
        <w:t xml:space="preserve"> </w:t>
      </w:r>
      <w:r>
        <w:t xml:space="preserve">value by end 2027.</w:t>
      </w:r>
      <w:r>
        <w:br/>
      </w:r>
      <w:r>
        <w:t xml:space="preserve">Various market research projects OB will</w:t>
      </w:r>
      <w:r>
        <w:t xml:space="preserve"> </w:t>
      </w:r>
      <w:r>
        <w:t xml:space="preserve">grow. Some research explicitly include</w:t>
      </w:r>
      <w:r>
        <w:t xml:space="preserve"> </w:t>
      </w:r>
      <w:r>
        <w:t xml:space="preserve">legislative changes in their predication,</w:t>
      </w:r>
      <w:r>
        <w:t xml:space="preserve"> </w:t>
      </w:r>
      <w:r>
        <w:t xml:space="preserve">others do not. Taking these reports as a</w:t>
      </w:r>
      <w:r>
        <w:t xml:space="preserve"> </w:t>
      </w:r>
      <w:r>
        <w:t xml:space="preserve">baseline, the EU OB users would grow from</w:t>
      </w:r>
      <w:r>
        <w:t xml:space="preserve"> </w:t>
      </w:r>
      <w:r>
        <w:t xml:space="preserve">15.5 mln users end 2021 to about 60 mln end</w:t>
      </w:r>
      <w:r>
        <w:t xml:space="preserve"> </w:t>
      </w:r>
      <w:r>
        <w:t xml:space="preserve">2024 and 80 mln end 2027. OB market value</w:t>
      </w:r>
      <w:r>
        <w:t xml:space="preserve"> </w:t>
      </w:r>
      <w:r>
        <w:t xml:space="preserve">is estimated to increase from €5.5 bn end of</w:t>
      </w:r>
      <w:r>
        <w:t xml:space="preserve"> </w:t>
      </w:r>
      <w:r>
        <w:t xml:space="preserve">2021 to €11 bn end 2024 and €20.5 bn end</w:t>
      </w:r>
      <w:r>
        <w:t xml:space="preserve"> </w:t>
      </w:r>
      <w:r>
        <w:t xml:space="preserve">2027. With TPPs reported to have made</w:t>
      </w:r>
      <w:r>
        <w:t xml:space="preserve"> </w:t>
      </w:r>
      <w:r>
        <w:t xml:space="preserve">additional revenues (recurring) of €1.9 bn for</w:t>
      </w:r>
      <w:r>
        <w:t xml:space="preserve"> </w:t>
      </w:r>
      <w:r>
        <w:t xml:space="preserve">2021 (35% of €5.5 bn, based on €1.6</w:t>
      </w:r>
      <w:r>
        <w:t xml:space="preserve"> </w:t>
      </w:r>
      <w:r>
        <w:t xml:space="preserve">revenues reported for 2020). Cumulative OB</w:t>
      </w:r>
      <w:r>
        <w:t xml:space="preserve"> </w:t>
      </w:r>
      <w:r>
        <w:t xml:space="preserve">benefits, using the same assumptions as for</w:t>
      </w:r>
      <w:r>
        <w:t xml:space="preserve"> </w:t>
      </w:r>
      <w:r>
        <w:t xml:space="preserve">users and market value, is estimated to be</w:t>
      </w:r>
      <w:r>
        <w:t xml:space="preserve"> </w:t>
      </w:r>
      <w:r>
        <w:t xml:space="preserve">around 12 bn € end of 2024 and 30 bn € by</w:t>
      </w:r>
      <w:r>
        <w:t xml:space="preserve"> </w:t>
      </w:r>
      <w:r>
        <w:t xml:space="preserve">2027.</w:t>
      </w:r>
      <w:r>
        <w:t xml:space="preserve"> </w:t>
      </w:r>
      <w:r>
        <w:t xml:space="preserve">See also chapter 7.2</w:t>
      </w:r>
      <w:r>
        <w:br/>
      </w:r>
      <w:r>
        <w:t xml:space="preserve">Fairer competition between</w:t>
      </w:r>
      <w:r>
        <w:t xml:space="preserve"> </w:t>
      </w:r>
      <w:r>
        <w:t xml:space="preserve">banks and non-bank PSPs</w:t>
      </w:r>
      <w:r>
        <w:t xml:space="preserve"> </w:t>
      </w:r>
      <w:r>
        <w:t xml:space="preserve">Many PIs and EMIs will be able to</w:t>
      </w:r>
      <w:r>
        <w:t xml:space="preserve"> </w:t>
      </w:r>
      <w:r>
        <w:t xml:space="preserve">offer credit transfers, including</w:t>
      </w:r>
      <w:r>
        <w:t xml:space="preserve"> </w:t>
      </w:r>
      <w:r>
        <w:t xml:space="preserve">instant payments, to customers for</w:t>
      </w:r>
      <w:r>
        <w:t xml:space="preserve"> </w:t>
      </w:r>
      <w:r>
        <w:t xml:space="preserve">the first time.</w:t>
      </w:r>
    </w:p>
    <w:p>
      <w:pPr>
        <w:pStyle w:val="BodyText"/>
      </w:pPr>
      <w:r>
        <w:t xml:space="preserve">87</w:t>
      </w:r>
    </w:p>
    <w:p>
      <w:pPr>
        <w:pStyle w:val="BodyText"/>
      </w:pPr>
      <w:r>
        <w:t xml:space="preserve">Better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harmonised</w:t>
      </w:r>
      <w:r>
        <w:t xml:space="preserve"> </w:t>
      </w:r>
      <w:r>
        <w:t xml:space="preserve">application</w:t>
      </w:r>
      <w:r>
        <w:t xml:space="preserve"> </w:t>
      </w:r>
      <w:r>
        <w:t xml:space="preserve">of</w:t>
      </w:r>
      <w:r>
        <w:t xml:space="preserve"> </w:t>
      </w:r>
      <w:r>
        <w:t xml:space="preserve">PSD2</w:t>
      </w:r>
      <w:r>
        <w:t xml:space="preserve"> </w:t>
      </w:r>
      <w:r>
        <w:t xml:space="preserve">Difficult to quantify. Qualitative</w:t>
      </w:r>
      <w:r>
        <w:t xml:space="preserve"> </w:t>
      </w:r>
      <w:r>
        <w:t xml:space="preserve">benefits will include:</w:t>
      </w:r>
      <w:r>
        <w:t xml:space="preserve"> </w:t>
      </w:r>
      <w:r>
        <w:t xml:space="preserve"></w:t>
      </w:r>
      <w:r>
        <w:t xml:space="preserve"> </w:t>
      </w:r>
      <w:r>
        <w:t xml:space="preserve">A detailed and coherent set of</w:t>
      </w:r>
      <w:r>
        <w:t xml:space="preserve"> </w:t>
      </w:r>
      <w:r>
        <w:t xml:space="preserve">rules for entities subject to EU</w:t>
      </w:r>
      <w:r>
        <w:t xml:space="preserve"> </w:t>
      </w:r>
      <w:r>
        <w:t xml:space="preserve">payments legislation</w:t>
      </w:r>
      <w:r>
        <w:t xml:space="preserve"> </w:t>
      </w:r>
      <w:r>
        <w:t xml:space="preserve"></w:t>
      </w:r>
      <w:r>
        <w:t xml:space="preserve"> </w:t>
      </w:r>
      <w:r>
        <w:t xml:space="preserve">Further</w:t>
      </w:r>
      <w:r>
        <w:t xml:space="preserve"> </w:t>
      </w:r>
      <w:r>
        <w:t xml:space="preserve">removal</w:t>
      </w:r>
      <w:r>
        <w:t xml:space="preserve"> </w:t>
      </w:r>
      <w:r>
        <w:t xml:space="preserve">of</w:t>
      </w:r>
      <w:r>
        <w:t xml:space="preserve"> </w:t>
      </w:r>
      <w:r>
        <w:t xml:space="preserve">fragmentation</w:t>
      </w:r>
      <w:r>
        <w:t xml:space="preserve"> </w:t>
      </w:r>
      <w:r>
        <w:t xml:space="preserve">including</w:t>
      </w:r>
      <w:r>
        <w:t xml:space="preserve"> </w:t>
      </w:r>
      <w:r>
        <w:t xml:space="preserve">of</w:t>
      </w:r>
      <w:r>
        <w:t xml:space="preserve"> </w:t>
      </w:r>
      <w:r>
        <w:t xml:space="preserve">gold-plating in the Internal</w:t>
      </w:r>
      <w:r>
        <w:t xml:space="preserve"> </w:t>
      </w:r>
      <w:r>
        <w:t xml:space="preserve">Market</w:t>
      </w:r>
      <w:r>
        <w:t xml:space="preserve"> </w:t>
      </w:r>
      <w:r>
        <w:t xml:space="preserve"></w:t>
      </w:r>
      <w:r>
        <w:t xml:space="preserve"> </w:t>
      </w:r>
      <w:r>
        <w:t xml:space="preserve">Lower compliance costs over</w:t>
      </w:r>
      <w:r>
        <w:t xml:space="preserve"> </w:t>
      </w:r>
      <w:r>
        <w:t xml:space="preserve">time (as the EU payments</w:t>
      </w:r>
      <w:r>
        <w:t xml:space="preserve"> </w:t>
      </w:r>
      <w:r>
        <w:t xml:space="preserve">legislation is to large extent</w:t>
      </w:r>
      <w:r>
        <w:t xml:space="preserve"> </w:t>
      </w:r>
      <w:r>
        <w:t xml:space="preserve">clear, up to date and self-</w:t>
      </w:r>
      <w:r>
        <w:t xml:space="preserve"> </w:t>
      </w:r>
      <w:r>
        <w:t xml:space="preserve">explaining and therefore easy</w:t>
      </w:r>
      <w:r>
        <w:t xml:space="preserve"> </w:t>
      </w:r>
      <w:r>
        <w:t xml:space="preserve">to apply)</w:t>
      </w:r>
      <w:r>
        <w:t xml:space="preserve"> </w:t>
      </w:r>
      <w:r>
        <w:t xml:space="preserve"></w:t>
      </w:r>
      <w:r>
        <w:t xml:space="preserve"> </w:t>
      </w:r>
      <w:r>
        <w:t xml:space="preserve">Higher legal certainty</w:t>
      </w:r>
      <w:r>
        <w:br/>
      </w:r>
      <w:r>
        <w:t xml:space="preserve"></w:t>
      </w:r>
      <w:r>
        <w:t xml:space="preserve"> </w:t>
      </w:r>
      <w:r>
        <w:t xml:space="preserve">Reduction in waiting time for</w:t>
      </w:r>
      <w:r>
        <w:t xml:space="preserve"> </w:t>
      </w:r>
      <w:r>
        <w:t xml:space="preserve">action</w:t>
      </w:r>
      <w:r>
        <w:t xml:space="preserve"> </w:t>
      </w:r>
      <w:r>
        <w:t xml:space="preserve">by</w:t>
      </w:r>
      <w:r>
        <w:t xml:space="preserve"> </w:t>
      </w:r>
      <w:r>
        <w:t xml:space="preserve">PSPs</w:t>
      </w:r>
      <w:r>
        <w:t xml:space="preserve"> </w:t>
      </w:r>
      <w:r>
        <w:t xml:space="preserve">with</w:t>
      </w:r>
      <w:r>
        <w:t xml:space="preserve"> </w:t>
      </w:r>
      <w:r>
        <w:t xml:space="preserve">complaints to NCAs.</w:t>
      </w:r>
      <w:r>
        <w:t xml:space="preserve"> </w:t>
      </w:r>
      <w:r>
        <w:t xml:space="preserve">This topic combines the measures discussed</w:t>
      </w:r>
      <w:r>
        <w:t xml:space="preserve"> </w:t>
      </w:r>
      <w:r>
        <w:t xml:space="preserve">in the main impact assessment under</w:t>
      </w:r>
      <w:r>
        <w:t xml:space="preserve"> </w:t>
      </w:r>
      <w:r>
        <w:t xml:space="preserve">“improvement</w:t>
      </w:r>
      <w:r>
        <w:t xml:space="preserve"> </w:t>
      </w:r>
      <w:r>
        <w:t xml:space="preserve">of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implementation” and also the technical</w:t>
      </w:r>
      <w:r>
        <w:t xml:space="preserve"> </w:t>
      </w:r>
      <w:r>
        <w:t xml:space="preserve">clarifications described in Annex 7.</w:t>
      </w:r>
      <w:r>
        <w:t xml:space="preserve"> </w:t>
      </w:r>
      <w:r>
        <w:t xml:space="preserve">Greater consumer rights and</w:t>
      </w:r>
      <w:r>
        <w:t xml:space="preserve"> </w:t>
      </w:r>
      <w:r>
        <w:t xml:space="preserve">information</w:t>
      </w:r>
      <w:r>
        <w:t xml:space="preserve"> </w:t>
      </w:r>
      <w:r>
        <w:t xml:space="preserve">Greater level of reimbursement</w:t>
      </w:r>
      <w:r>
        <w:t xml:space="preserve"> </w:t>
      </w:r>
      <w:r>
        <w:t xml:space="preserve">from</w:t>
      </w:r>
      <w:r>
        <w:t xml:space="preserve"> </w:t>
      </w:r>
      <w:r>
        <w:t xml:space="preserve">ASPSPs</w:t>
      </w:r>
      <w:r>
        <w:t xml:space="preserve"> </w:t>
      </w:r>
      <w:r>
        <w:t xml:space="preserve">for</w:t>
      </w:r>
      <w:r>
        <w:t xml:space="preserve"> </w:t>
      </w:r>
      <w:r>
        <w:t xml:space="preserve">fraudulent</w:t>
      </w:r>
      <w:r>
        <w:t xml:space="preserve"> </w:t>
      </w:r>
      <w:r>
        <w:t xml:space="preserve">authorised transactions, up to €1 bn</w:t>
      </w:r>
      <w:r>
        <w:t xml:space="preserve"> </w:t>
      </w:r>
      <w:r>
        <w:t xml:space="preserve">EU-wide.</w:t>
      </w:r>
      <w:r>
        <w:t xml:space="preserve"> </w:t>
      </w:r>
      <w:r>
        <w:t xml:space="preserve">See Annex 10</w:t>
      </w:r>
      <w:r>
        <w:t xml:space="preserve"> </w:t>
      </w:r>
      <w:r>
        <w:t xml:space="preserve">Merger</w:t>
      </w:r>
      <w:r>
        <w:t xml:space="preserve"> </w:t>
      </w:r>
      <w:r>
        <w:t xml:space="preserve">of</w:t>
      </w:r>
      <w:r>
        <w:t xml:space="preserve"> </w:t>
      </w:r>
      <w:r>
        <w:t xml:space="preserve">regimes</w:t>
      </w:r>
      <w:r>
        <w:t xml:space="preserve"> </w:t>
      </w:r>
      <w:r>
        <w:t xml:space="preserve">for</w:t>
      </w:r>
      <w:r>
        <w:t xml:space="preserve"> </w:t>
      </w:r>
      <w:r>
        <w:t xml:space="preserve">Payment Institutions and E-</w:t>
      </w:r>
      <w:r>
        <w:t xml:space="preserve"> </w:t>
      </w:r>
      <w:r>
        <w:t xml:space="preserve">money Institutions</w:t>
      </w:r>
      <w:r>
        <w:t xml:space="preserve"> </w:t>
      </w:r>
      <w:r>
        <w:t xml:space="preserve">Administrative cost savings for PIs</w:t>
      </w:r>
      <w:r>
        <w:t xml:space="preserve"> </w:t>
      </w:r>
      <w:r>
        <w:t xml:space="preserve">and EMIs</w:t>
      </w:r>
      <w:r>
        <w:t xml:space="preserve"> </w:t>
      </w:r>
      <w:r>
        <w:t xml:space="preserve">These two regimes will be combined and</w:t>
      </w:r>
      <w:r>
        <w:t xml:space="preserve"> </w:t>
      </w:r>
      <w:r>
        <w:t xml:space="preserve">simplified (see Annex 8)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A wider range of better priced</w:t>
      </w:r>
      <w:r>
        <w:t xml:space="preserve"> </w:t>
      </w:r>
      <w:r>
        <w:t xml:space="preserve">payment services available</w:t>
      </w:r>
      <w:r>
        <w:t xml:space="preserve"> </w:t>
      </w:r>
      <w:r>
        <w:t xml:space="preserve">Not quantifiable</w:t>
      </w:r>
      <w:r>
        <w:t xml:space="preserve"> </w:t>
      </w:r>
      <w:r>
        <w:t xml:space="preserve">In particular, new OB services and new</w:t>
      </w:r>
      <w:r>
        <w:t xml:space="preserve"> </w:t>
      </w:r>
      <w:r>
        <w:t xml:space="preserve">services from PIs and EMIs</w:t>
      </w:r>
      <w:r>
        <w:t xml:space="preserve"> </w:t>
      </w:r>
      <w:r>
        <w:t xml:space="preserve">Reduced costs for PSP of fraud</w:t>
      </w:r>
      <w:r>
        <w:t xml:space="preserve"> </w:t>
      </w:r>
      <w:r>
        <w:t xml:space="preserve">complaints handling</w:t>
      </w:r>
      <w:r>
        <w:br/>
      </w:r>
      <w:r>
        <w:t xml:space="preserve">Not quantifiable</w:t>
      </w:r>
    </w:p>
    <w:p>
      <w:pPr>
        <w:pStyle w:val="BodyText"/>
      </w:pPr>
      <w:r>
        <w:t xml:space="preserve">Reduced complaints for NCAs</w:t>
      </w:r>
      <w:r>
        <w:t xml:space="preserve"> </w:t>
      </w:r>
      <w:r>
        <w:t xml:space="preserve">to handle</w:t>
      </w:r>
      <w:r>
        <w:t xml:space="preserve"> </w:t>
      </w:r>
      <w:r>
        <w:t xml:space="preserve">Not quantifiable</w:t>
      </w:r>
    </w:p>
    <w:p>
      <w:pPr>
        <w:pStyle w:val="BodyText"/>
      </w:pPr>
      <w:r>
        <w:t xml:space="preserve">88</w:t>
      </w:r>
    </w:p>
    <w:p>
      <w:pPr>
        <w:pStyle w:val="Compact"/>
        <w:numPr>
          <w:ilvl w:val="0"/>
          <w:numId w:val="1017"/>
        </w:numPr>
      </w:pPr>
      <w:r>
        <w:t xml:space="preserve">Overview of costs – Preferred option</w:t>
      </w:r>
    </w:p>
    <w:p>
      <w:pPr>
        <w:pStyle w:val="Compact"/>
        <w:numPr>
          <w:ilvl w:val="0"/>
          <w:numId w:val="1017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br/>
      </w:r>
      <w:r>
        <w:t xml:space="preserve">Businesses166</w:t>
      </w:r>
      <w:r>
        <w:t xml:space="preserve"> </w:t>
      </w:r>
      <w:r>
        <w:t xml:space="preserve">Administrations</w:t>
      </w:r>
    </w:p>
    <w:p>
      <w:pPr>
        <w:pStyle w:val="BodyText"/>
      </w:pPr>
      <w:r>
        <w:t xml:space="preserve">One-</w:t>
      </w:r>
      <w:r>
        <w:t xml:space="preserve"> </w:t>
      </w:r>
      <w:r>
        <w:t xml:space="preserve">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Fraud</w:t>
      </w:r>
      <w:r>
        <w:t xml:space="preserve"> </w:t>
      </w:r>
      <w:r>
        <w:t xml:space="preserve">reduction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Possible fees</w:t>
      </w:r>
      <w:r>
        <w:t xml:space="preserve"> </w:t>
      </w:r>
      <w:r>
        <w:t xml:space="preserve">as users of the</w:t>
      </w:r>
      <w:r>
        <w:t xml:space="preserve"> </w:t>
      </w:r>
      <w:r>
        <w:t xml:space="preserve">IBAN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service</w:t>
      </w:r>
    </w:p>
    <w:p>
      <w:pPr>
        <w:pStyle w:val="BodyText"/>
      </w:pPr>
      <w:r>
        <w:t xml:space="preserve">IBAN</w:t>
      </w:r>
      <w:r>
        <w:t xml:space="preserve"> </w:t>
      </w:r>
      <w:r>
        <w:t xml:space="preserve">verification: for</w:t>
      </w:r>
      <w:r>
        <w:t xml:space="preserve"> </w:t>
      </w:r>
      <w:r>
        <w:t xml:space="preserve">those PSPs not</w:t>
      </w:r>
      <w:r>
        <w:t xml:space="preserve"> </w:t>
      </w:r>
      <w:r>
        <w:t xml:space="preserve">already obliged</w:t>
      </w:r>
      <w:r>
        <w:t xml:space="preserve"> </w:t>
      </w:r>
      <w:r>
        <w:t xml:space="preserve">to offer this</w:t>
      </w:r>
      <w:r>
        <w:t xml:space="preserve"> </w:t>
      </w:r>
      <w:r>
        <w:t xml:space="preserve">service, about</w:t>
      </w:r>
      <w:r>
        <w:t xml:space="preserve"> </w:t>
      </w:r>
      <w:r>
        <w:t xml:space="preserve">1200-1300 in</w:t>
      </w:r>
      <w:r>
        <w:t xml:space="preserve"> </w:t>
      </w:r>
      <w:r>
        <w:t xml:space="preserve">number, a total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 of the</w:t>
      </w:r>
      <w:r>
        <w:t xml:space="preserve"> </w:t>
      </w:r>
      <w:r>
        <w:t xml:space="preserve">order of €50m</w:t>
      </w:r>
      <w:r>
        <w:t xml:space="preserve"> </w:t>
      </w:r>
      <w:r>
        <w:t xml:space="preserve">(see section</w:t>
      </w:r>
      <w:r>
        <w:t xml:space="preserve"> </w:t>
      </w:r>
      <w:r>
        <w:t xml:space="preserve">6.1.c)). The</w:t>
      </w:r>
      <w:r>
        <w:t xml:space="preserve"> </w:t>
      </w:r>
      <w:r>
        <w:t xml:space="preserve">IBAN</w:t>
      </w:r>
      <w:r>
        <w:t xml:space="preserve"> </w:t>
      </w:r>
      <w:r>
        <w:t xml:space="preserve">verification</w:t>
      </w:r>
      <w:r>
        <w:t xml:space="preserve"> </w:t>
      </w:r>
      <w:r>
        <w:t xml:space="preserve">required for</w:t>
      </w:r>
      <w:r>
        <w:t xml:space="preserve"> </w:t>
      </w:r>
      <w:r>
        <w:t xml:space="preserve">euro instant</w:t>
      </w:r>
      <w:r>
        <w:t xml:space="preserve"> </w:t>
      </w:r>
      <w:r>
        <w:t xml:space="preserve">payments can</w:t>
      </w:r>
      <w:r>
        <w:t xml:space="preserve"> </w:t>
      </w:r>
      <w:r>
        <w:t xml:space="preserve">be significantly</w:t>
      </w:r>
      <w:r>
        <w:t xml:space="preserve"> </w:t>
      </w:r>
      <w:r>
        <w:t xml:space="preserve">leveraged to</w:t>
      </w:r>
      <w:r>
        <w:t xml:space="preserve"> </w:t>
      </w:r>
      <w:r>
        <w:t xml:space="preserve">reduce</w:t>
      </w:r>
      <w:r>
        <w:t xml:space="preserve"> </w:t>
      </w:r>
      <w:r>
        <w:t xml:space="preserve">implementation</w:t>
      </w:r>
      <w:r>
        <w:t xml:space="preserve"> </w:t>
      </w:r>
      <w:r>
        <w:t xml:space="preserve">cost</w:t>
      </w:r>
    </w:p>
    <w:p>
      <w:pPr>
        <w:pStyle w:val="BodyText"/>
      </w:pPr>
      <w:r>
        <w:t xml:space="preserve">IBAN</w:t>
      </w:r>
      <w:r>
        <w:t xml:space="preserve"> </w:t>
      </w:r>
      <w:r>
        <w:t xml:space="preserve">verification:</w:t>
      </w:r>
      <w:r>
        <w:t xml:space="preserve"> </w:t>
      </w:r>
      <w:r>
        <w:t xml:space="preserve">for those</w:t>
      </w:r>
      <w:r>
        <w:t xml:space="preserve"> </w:t>
      </w:r>
      <w:r>
        <w:t xml:space="preserve">PSPs not</w:t>
      </w:r>
      <w:r>
        <w:t xml:space="preserve"> </w:t>
      </w:r>
      <w:r>
        <w:t xml:space="preserve">already</w:t>
      </w:r>
      <w:r>
        <w:t xml:space="preserve"> </w:t>
      </w:r>
      <w:r>
        <w:t xml:space="preserve">obliged to</w:t>
      </w:r>
      <w:r>
        <w:t xml:space="preserve"> </w:t>
      </w:r>
      <w:r>
        <w:t xml:space="preserve">offer this</w:t>
      </w:r>
      <w:r>
        <w:t xml:space="preserve"> </w:t>
      </w:r>
      <w:r>
        <w:t xml:space="preserve">service, costs</w:t>
      </w:r>
      <w:r>
        <w:t xml:space="preserve"> </w:t>
      </w:r>
      <w:r>
        <w:t xml:space="preserve">off a few</w:t>
      </w:r>
      <w:r>
        <w:t xml:space="preserve"> </w:t>
      </w:r>
      <w:r>
        <w:t xml:space="preserve">thousand euro</w:t>
      </w:r>
      <w:r>
        <w:t xml:space="preserve"> </w:t>
      </w:r>
      <w:r>
        <w:t xml:space="preserve">per year</w:t>
      </w:r>
      <w:r>
        <w:t xml:space="preserve"> </w:t>
      </w:r>
      <w:r>
        <w:t xml:space="preserve">(assuming a</w:t>
      </w:r>
      <w:r>
        <w:t xml:space="preserve"> </w:t>
      </w:r>
      <w:r>
        <w:t xml:space="preserve">model with no</w:t>
      </w:r>
      <w:r>
        <w:t xml:space="preserve"> </w:t>
      </w:r>
      <w:r>
        <w:t xml:space="preserve">charging by a</w:t>
      </w:r>
      <w:r>
        <w:t xml:space="preserve"> </w:t>
      </w:r>
      <w:r>
        <w:t xml:space="preserve">service</w:t>
      </w:r>
      <w:r>
        <w:t xml:space="preserve"> </w:t>
      </w:r>
      <w:r>
        <w:t xml:space="preserve">provider per</w:t>
      </w:r>
      <w:r>
        <w:t xml:space="preserve"> </w:t>
      </w:r>
      <w:r>
        <w:t xml:space="preserve">check).</w:t>
      </w:r>
      <w:r>
        <w:t xml:space="preserve"> </w:t>
      </w:r>
      <w:r>
        <w:t xml:space="preserve">Possibility to</w:t>
      </w:r>
      <w:r>
        <w:t xml:space="preserve"> </w:t>
      </w:r>
      <w:r>
        <w:t xml:space="preserve">recover some</w:t>
      </w:r>
      <w:r>
        <w:t xml:space="preserve"> </w:t>
      </w:r>
      <w:r>
        <w:t xml:space="preserve">costs from</w:t>
      </w:r>
      <w:r>
        <w:t xml:space="preserve"> </w:t>
      </w:r>
      <w:r>
        <w:t xml:space="preserve">customer fees.</w:t>
      </w:r>
    </w:p>
    <w:p>
      <w:pPr>
        <w:pStyle w:val="BodyText"/>
      </w:pPr>
      <w:r>
        <w:t xml:space="preserve">Costs of</w:t>
      </w:r>
      <w:r>
        <w:t xml:space="preserve"> </w:t>
      </w:r>
      <w:r>
        <w:t xml:space="preserve">exchanging</w:t>
      </w:r>
      <w:r>
        <w:t xml:space="preserve"> </w:t>
      </w:r>
      <w:r>
        <w:t xml:space="preserve">data on fraud</w:t>
      </w:r>
      <w:r>
        <w:t xml:space="preserve"> </w:t>
      </w:r>
      <w:r>
        <w:t xml:space="preserve">(voluntary)</w:t>
      </w:r>
      <w:r>
        <w:t xml:space="preserve"> </w:t>
      </w:r>
      <w:r>
        <w:t xml:space="preserve">None</w:t>
      </w:r>
      <w:r>
        <w:t xml:space="preserve"> </w:t>
      </w:r>
      <w:r>
        <w:t xml:space="preserve">Possible fees as</w:t>
      </w:r>
      <w:r>
        <w:t xml:space="preserve"> </w:t>
      </w:r>
      <w:r>
        <w:t xml:space="preserve">users of the</w:t>
      </w:r>
      <w:r>
        <w:t xml:space="preserve"> </w:t>
      </w:r>
      <w:r>
        <w:t xml:space="preserve">IBAN</w:t>
      </w:r>
      <w:r>
        <w:t xml:space="preserve"> </w:t>
      </w:r>
      <w:r>
        <w:t xml:space="preserve">verification</w:t>
      </w:r>
      <w:r>
        <w:t xml:space="preserve"> </w:t>
      </w:r>
      <w:r>
        <w:t xml:space="preserve">service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ASPSPs:</w:t>
      </w:r>
      <w:r>
        <w:t xml:space="preserve"> </w:t>
      </w:r>
      <w:r>
        <w:t xml:space="preserve">possible</w:t>
      </w:r>
      <w:r>
        <w:t xml:space="preserve"> </w:t>
      </w:r>
      <w:r>
        <w:t xml:space="preserve">compensation</w:t>
      </w:r>
      <w:r>
        <w:t xml:space="preserve"> </w:t>
      </w:r>
      <w:r>
        <w:t xml:space="preserve">to payers in</w:t>
      </w:r>
      <w:r>
        <w:t xml:space="preserve"> </w:t>
      </w:r>
      <w:r>
        <w:t xml:space="preserve">cases where</w:t>
      </w:r>
      <w:r>
        <w:t xml:space="preserve"> </w:t>
      </w:r>
      <w:r>
        <w:t xml:space="preserve">IBAN/name</w:t>
      </w:r>
      <w:r>
        <w:t xml:space="preserve"> </w:t>
      </w:r>
      <w:r>
        <w:t xml:space="preserve">check failed</w:t>
      </w:r>
      <w:r>
        <w:t xml:space="preserve"> </w:t>
      </w:r>
      <w:r>
        <w:t xml:space="preserve">and in case of</w:t>
      </w:r>
      <w:r>
        <w:t xml:space="preserve"> </w:t>
      </w:r>
      <w:r>
        <w:t xml:space="preserve">impersonation</w:t>
      </w:r>
      <w:r>
        <w:t xml:space="preserve"> </w:t>
      </w:r>
      <w:r>
        <w:t xml:space="preserve">fraud (up to</w:t>
      </w:r>
      <w:r>
        <w:t xml:space="preserve"> </w:t>
      </w:r>
      <w:r>
        <w:t xml:space="preserve">€1bn)</w:t>
      </w:r>
      <w:r>
        <w:br/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166 This category includes both business users of IPs and the PSPs.</w:t>
      </w:r>
    </w:p>
    <w:p>
      <w:pPr>
        <w:pStyle w:val="BodyText"/>
      </w:pPr>
      <w:r>
        <w:t xml:space="preserve">89</w:t>
      </w:r>
    </w:p>
    <w:p>
      <w:pPr>
        <w:pStyle w:val="BodyText"/>
      </w:pPr>
      <w:r>
        <w:t xml:space="preserve">Improvements</w:t>
      </w:r>
      <w:r>
        <w:t xml:space="preserve"> </w:t>
      </w:r>
      <w:r>
        <w:t xml:space="preserve">to user rights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Min. 123m €.</w:t>
      </w:r>
      <w:r>
        <w:t xml:space="preserve"> </w:t>
      </w:r>
      <w:r>
        <w:t xml:space="preserve">Education</w:t>
      </w:r>
      <w:r>
        <w:t xml:space="preserve"> </w:t>
      </w:r>
      <w:r>
        <w:t xml:space="preserve">campaigns for</w:t>
      </w:r>
      <w:r>
        <w:t xml:space="preserve"> </w:t>
      </w:r>
      <w:r>
        <w:t xml:space="preserve">customers on</w:t>
      </w:r>
      <w:r>
        <w:t xml:space="preserve"> </w:t>
      </w:r>
      <w:r>
        <w:t xml:space="preserve">their rights/</w:t>
      </w:r>
      <w:r>
        <w:t xml:space="preserve"> </w:t>
      </w:r>
      <w:r>
        <w:t xml:space="preserve">obligations,</w:t>
      </w:r>
      <w:r>
        <w:t xml:space="preserve"> </w:t>
      </w:r>
      <w:r>
        <w:t xml:space="preserve">improving</w:t>
      </w:r>
      <w:r>
        <w:t xml:space="preserve"> </w:t>
      </w:r>
      <w:r>
        <w:t xml:space="preserve">financial</w:t>
      </w:r>
      <w:r>
        <w:t xml:space="preserve"> </w:t>
      </w:r>
      <w:r>
        <w:t xml:space="preserve">literacy, and</w:t>
      </w:r>
      <w:r>
        <w:t xml:space="preserve"> </w:t>
      </w:r>
      <w:r>
        <w:t xml:space="preserve">alerting on</w:t>
      </w:r>
      <w:r>
        <w:t xml:space="preserve"> </w:t>
      </w:r>
      <w:r>
        <w:t xml:space="preserve">fraud</w:t>
      </w:r>
      <w:r>
        <w:t xml:space="preserve"> </w:t>
      </w:r>
      <w:r>
        <w:t xml:space="preserve">schemes. Cost</w:t>
      </w:r>
      <w:r>
        <w:t xml:space="preserve"> </w:t>
      </w:r>
      <w:r>
        <w:t xml:space="preserve">based on the</w:t>
      </w:r>
      <w:r>
        <w:t xml:space="preserve"> </w:t>
      </w:r>
      <w:r>
        <w:t xml:space="preserve">VVA/CEPS’</w:t>
      </w:r>
      <w:r>
        <w:t xml:space="preserve"> </w:t>
      </w:r>
      <w:r>
        <w:t xml:space="preserve">study</w:t>
      </w:r>
      <w:r>
        <w:t xml:space="preserve"> </w:t>
      </w:r>
      <w:r>
        <w:t xml:space="preserve">estimates for</w:t>
      </w:r>
      <w:r>
        <w:t xml:space="preserve"> </w:t>
      </w:r>
      <w:r>
        <w:t xml:space="preserve">ASPSPs.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Cost of</w:t>
      </w:r>
      <w:r>
        <w:t xml:space="preserve"> </w:t>
      </w:r>
      <w:r>
        <w:t xml:space="preserve">complaints</w:t>
      </w:r>
      <w:r>
        <w:t xml:space="preserve"> </w:t>
      </w:r>
      <w:r>
        <w:t xml:space="preserve">handling for</w:t>
      </w:r>
      <w:r>
        <w:t xml:space="preserve"> </w:t>
      </w:r>
      <w:r>
        <w:t xml:space="preserve">NCAs</w:t>
      </w:r>
      <w:r>
        <w:t xml:space="preserve"> </w:t>
      </w:r>
      <w:r>
        <w:t xml:space="preserve">Open Banking</w:t>
      </w:r>
      <w:r>
        <w:t xml:space="preserve"> </w:t>
      </w:r>
      <w:r>
        <w:t xml:space="preserve">improvements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For some</w:t>
      </w:r>
      <w:r>
        <w:t xml:space="preserve"> </w:t>
      </w:r>
      <w:r>
        <w:t xml:space="preserve">ASPSPs, cost</w:t>
      </w:r>
      <w:r>
        <w:t xml:space="preserve"> </w:t>
      </w:r>
      <w:r>
        <w:t xml:space="preserve">of upgrading</w:t>
      </w:r>
      <w:r>
        <w:t xml:space="preserve"> </w:t>
      </w:r>
      <w:r>
        <w:t xml:space="preserve">OB APIs or of</w:t>
      </w:r>
      <w:r>
        <w:t xml:space="preserve"> </w:t>
      </w:r>
      <w:r>
        <w:t xml:space="preserve">creating new</w:t>
      </w:r>
      <w:r>
        <w:t xml:space="preserve"> </w:t>
      </w:r>
      <w:r>
        <w:t xml:space="preserve">dedicated</w:t>
      </w:r>
      <w:r>
        <w:t xml:space="preserve"> </w:t>
      </w:r>
      <w:r>
        <w:t xml:space="preserve">interfaces</w:t>
      </w:r>
      <w:r>
        <w:t xml:space="preserve"> </w:t>
      </w:r>
      <w:r>
        <w:t xml:space="preserve">where there is</w:t>
      </w:r>
      <w:r>
        <w:t xml:space="preserve"> </w:t>
      </w:r>
      <w:r>
        <w:t xml:space="preserve">none (options</w:t>
      </w:r>
      <w:r>
        <w:t xml:space="preserve"> </w:t>
      </w:r>
      <w:r>
        <w:t xml:space="preserve">2a+2d),</w:t>
      </w:r>
      <w:r>
        <w:t xml:space="preserve"> </w:t>
      </w:r>
      <w:r>
        <w:t xml:space="preserve">estimated at</w:t>
      </w:r>
      <w:r>
        <w:t xml:space="preserve"> </w:t>
      </w:r>
      <w:r>
        <w:t xml:space="preserve">€190 ml net.</w:t>
      </w:r>
    </w:p>
    <w:p>
      <w:pPr>
        <w:pStyle w:val="BodyText"/>
      </w:pPr>
      <w:r>
        <w:t xml:space="preserve">For all ASPSPs,</w:t>
      </w:r>
      <w:r>
        <w:t xml:space="preserve"> </w:t>
      </w:r>
      <w:r>
        <w:t xml:space="preserve">cost of creating</w:t>
      </w:r>
      <w:r>
        <w:t xml:space="preserve"> </w:t>
      </w:r>
      <w:r>
        <w:t xml:space="preserve">permissions</w:t>
      </w:r>
      <w:r>
        <w:t xml:space="preserve"> </w:t>
      </w:r>
      <w:r>
        <w:t xml:space="preserve">dashboards,</w:t>
      </w:r>
      <w:r>
        <w:t xml:space="preserve"> </w:t>
      </w:r>
      <w:r>
        <w:t xml:space="preserve">total cost from</w:t>
      </w:r>
      <w:r>
        <w:t xml:space="preserve"> </w:t>
      </w:r>
      <w:r>
        <w:t xml:space="preserve">€12ml to €48ml</w:t>
      </w:r>
    </w:p>
    <w:p>
      <w:pPr>
        <w:pStyle w:val="BodyText"/>
      </w:pPr>
      <w:r>
        <w:t xml:space="preserve">For TPPs, total</w:t>
      </w:r>
      <w:r>
        <w:t xml:space="preserve"> </w:t>
      </w:r>
      <w:r>
        <w:t xml:space="preserve">cost of adapting</w:t>
      </w:r>
      <w:r>
        <w:t xml:space="preserve"> </w:t>
      </w:r>
      <w:r>
        <w:t xml:space="preserve">to API changes</w:t>
      </w:r>
      <w:r>
        <w:t xml:space="preserve"> </w:t>
      </w:r>
      <w:r>
        <w:t xml:space="preserve">up to €26 ml,</w:t>
      </w:r>
      <w:r>
        <w:t xml:space="preserve"> </w:t>
      </w:r>
      <w:r>
        <w:t xml:space="preserve">offset by</w:t>
      </w:r>
      <w:r>
        <w:t xml:space="preserve"> </w:t>
      </w:r>
      <w:r>
        <w:t xml:space="preserve">savings from</w:t>
      </w:r>
      <w:r>
        <w:t xml:space="preserve"> </w:t>
      </w:r>
      <w:r>
        <w:t xml:space="preserve">better APIs and</w:t>
      </w:r>
      <w:r>
        <w:t xml:space="preserve"> </w:t>
      </w:r>
      <w:r>
        <w:t xml:space="preserve">no fallback</w:t>
      </w:r>
    </w:p>
    <w:p>
      <w:pPr>
        <w:pStyle w:val="BodyText"/>
      </w:pPr>
      <w:r>
        <w:t xml:space="preserve">Any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costs of a</w:t>
      </w:r>
      <w:r>
        <w:t xml:space="preserve"> </w:t>
      </w:r>
      <w:r>
        <w:t xml:space="preserve">dedicated</w:t>
      </w:r>
      <w:r>
        <w:t xml:space="preserve"> </w:t>
      </w:r>
      <w:r>
        <w:t xml:space="preserve">interface</w:t>
      </w:r>
      <w:r>
        <w:t xml:space="preserve"> </w:t>
      </w:r>
      <w:r>
        <w:t xml:space="preserve">should be</w:t>
      </w:r>
      <w:r>
        <w:t xml:space="preserve"> </w:t>
      </w:r>
      <w:r>
        <w:t xml:space="preserve">offset by the</w:t>
      </w:r>
      <w:r>
        <w:t xml:space="preserve"> </w:t>
      </w:r>
      <w:r>
        <w:t xml:space="preserve">fact that a</w:t>
      </w:r>
      <w:r>
        <w:t xml:space="preserve"> </w:t>
      </w:r>
      <w:r>
        <w:t xml:space="preserve">fallback</w:t>
      </w:r>
      <w:r>
        <w:t xml:space="preserve"> </w:t>
      </w:r>
      <w:r>
        <w:t xml:space="preserve">interface is no</w:t>
      </w:r>
      <w:r>
        <w:t xml:space="preserve"> </w:t>
      </w:r>
      <w:r>
        <w:t xml:space="preserve">longer</w:t>
      </w:r>
      <w:r>
        <w:t xml:space="preserve"> </w:t>
      </w:r>
      <w:r>
        <w:t xml:space="preserve">required</w:t>
      </w:r>
    </w:p>
    <w:p>
      <w:pPr>
        <w:pStyle w:val="BodyText"/>
      </w:pPr>
      <w:r>
        <w:t xml:space="preserve">Limited</w:t>
      </w:r>
      <w:r>
        <w:t xml:space="preserve"> </w:t>
      </w:r>
      <w:r>
        <w:t xml:space="preserve">maintenance</w:t>
      </w:r>
      <w:r>
        <w:t xml:space="preserve"> </w:t>
      </w:r>
      <w:r>
        <w:t xml:space="preserve">cost of</w:t>
      </w:r>
      <w:r>
        <w:t xml:space="preserve"> </w:t>
      </w:r>
      <w:r>
        <w:t xml:space="preserve">permissions</w:t>
      </w:r>
      <w:r>
        <w:t xml:space="preserve"> </w:t>
      </w:r>
      <w:r>
        <w:t xml:space="preserve">dashboards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90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</w:t>
      </w:r>
      <w:r>
        <w:br/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Cost of</w:t>
      </w:r>
      <w:r>
        <w:t xml:space="preserve"> </w:t>
      </w:r>
      <w:r>
        <w:t xml:space="preserve">complaints</w:t>
      </w:r>
      <w:r>
        <w:t xml:space="preserve"> </w:t>
      </w:r>
      <w:r>
        <w:t xml:space="preserve">handling for</w:t>
      </w:r>
      <w:r>
        <w:t xml:space="preserve"> </w:t>
      </w:r>
      <w:r>
        <w:t xml:space="preserve">NCAs</w:t>
      </w:r>
    </w:p>
    <w:p>
      <w:pPr>
        <w:pStyle w:val="BodyText"/>
      </w:pPr>
      <w:r>
        <w:t xml:space="preserve">Better</w:t>
      </w:r>
      <w:r>
        <w:t xml:space="preserve"> </w:t>
      </w:r>
      <w:r>
        <w:t xml:space="preserve">enforcement</w:t>
      </w:r>
      <w:r>
        <w:t xml:space="preserve"> </w:t>
      </w:r>
      <w:r>
        <w:t xml:space="preserve">and</w:t>
      </w:r>
      <w:r>
        <w:t xml:space="preserve"> </w:t>
      </w:r>
      <w:r>
        <w:t xml:space="preserve">application in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In some</w:t>
      </w:r>
      <w:r>
        <w:t xml:space="preserve"> </w:t>
      </w:r>
      <w:r>
        <w:t xml:space="preserve">cases,</w:t>
      </w:r>
      <w:r>
        <w:t xml:space="preserve"> </w:t>
      </w:r>
      <w:r>
        <w:t xml:space="preserve">higher</w:t>
      </w:r>
      <w:r>
        <w:t xml:space="preserve"> </w:t>
      </w:r>
      <w:r>
        <w:t xml:space="preserve">penalties for</w:t>
      </w:r>
      <w:r>
        <w:t xml:space="preserve"> </w:t>
      </w:r>
      <w:r>
        <w:t xml:space="preserve">breaches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of</w:t>
      </w:r>
      <w:r>
        <w:t xml:space="preserve"> </w:t>
      </w:r>
      <w:r>
        <w:t xml:space="preserve">familiarisation</w:t>
      </w:r>
      <w:r>
        <w:t xml:space="preserve"> </w:t>
      </w:r>
      <w:r>
        <w:t xml:space="preserve">with new rules</w:t>
      </w:r>
      <w:r>
        <w:t xml:space="preserve"> </w:t>
      </w:r>
      <w:r>
        <w:t xml:space="preserve">(for example</w:t>
      </w:r>
      <w:r>
        <w:t xml:space="preserve"> </w:t>
      </w:r>
      <w:r>
        <w:t xml:space="preserve">Open</w:t>
      </w:r>
      <w:r>
        <w:t xml:space="preserve"> </w:t>
      </w:r>
      <w:r>
        <w:t xml:space="preserve">banking), and</w:t>
      </w:r>
      <w:r>
        <w:t xml:space="preserve"> </w:t>
      </w:r>
      <w:r>
        <w:t xml:space="preserve">recruitment of</w:t>
      </w:r>
      <w:r>
        <w:t xml:space="preserve"> </w:t>
      </w:r>
      <w:r>
        <w:t xml:space="preserve">extra staff in</w:t>
      </w:r>
      <w:r>
        <w:t xml:space="preserve"> </w:t>
      </w:r>
      <w:r>
        <w:t xml:space="preserve">some cases</w:t>
      </w:r>
      <w:r>
        <w:t xml:space="preserve"> </w:t>
      </w:r>
      <w:r>
        <w:t xml:space="preserve">Enforcement of</w:t>
      </w:r>
      <w:r>
        <w:t xml:space="preserve"> </w:t>
      </w:r>
      <w:r>
        <w:t xml:space="preserve">compliance;</w:t>
      </w:r>
      <w:r>
        <w:t xml:space="preserve"> </w:t>
      </w:r>
      <w:r>
        <w:t xml:space="preserve">costs for NCAs</w:t>
      </w:r>
      <w:r>
        <w:t xml:space="preserve"> </w:t>
      </w:r>
      <w:r>
        <w:t xml:space="preserve">for human</w:t>
      </w:r>
      <w:r>
        <w:t xml:space="preserve"> </w:t>
      </w:r>
      <w:r>
        <w:t xml:space="preserve">resources e.g. </w:t>
      </w:r>
      <w:r>
        <w:t xml:space="preserve"> </w:t>
      </w:r>
      <w:r>
        <w:t xml:space="preserve">for maintaining</w:t>
      </w:r>
      <w:r>
        <w:t xml:space="preserve"> </w:t>
      </w:r>
      <w:r>
        <w:t xml:space="preserve">specialised</w:t>
      </w:r>
      <w:r>
        <w:t xml:space="preserve"> </w:t>
      </w:r>
      <w:r>
        <w:t xml:space="preserve">teams</w:t>
      </w:r>
      <w:r>
        <w:t xml:space="preserve"> </w:t>
      </w:r>
      <w:r>
        <w:t xml:space="preserve">supervising the</w:t>
      </w:r>
      <w:r>
        <w:t xml:space="preserve"> </w:t>
      </w:r>
      <w:r>
        <w:t xml:space="preserve">various clarified</w:t>
      </w:r>
      <w:r>
        <w:t xml:space="preserve"> </w:t>
      </w:r>
      <w:r>
        <w:t xml:space="preserve">provisions on</w:t>
      </w:r>
      <w:r>
        <w:t xml:space="preserve"> </w:t>
      </w:r>
      <w:r>
        <w:t xml:space="preserve">open banking</w:t>
      </w:r>
      <w:r>
        <w:t xml:space="preserve"> </w:t>
      </w:r>
      <w:r>
        <w:t xml:space="preserve">and fraud</w:t>
      </w:r>
      <w:r>
        <w:t xml:space="preserve"> </w:t>
      </w:r>
      <w:r>
        <w:t xml:space="preserve">prevention,</w:t>
      </w:r>
      <w:r>
        <w:t xml:space="preserve"> </w:t>
      </w:r>
      <w:r>
        <w:t xml:space="preserve">possibly offset</w:t>
      </w:r>
      <w:r>
        <w:t xml:space="preserve"> </w:t>
      </w:r>
      <w:r>
        <w:t xml:space="preserve">by fees levied to</w:t>
      </w:r>
      <w:r>
        <w:t xml:space="preserve"> </w:t>
      </w:r>
      <w:r>
        <w:t xml:space="preserve">the supervised</w:t>
      </w:r>
      <w:r>
        <w:t xml:space="preserve"> </w:t>
      </w:r>
      <w:r>
        <w:t xml:space="preserve">entities.</w:t>
      </w:r>
    </w:p>
    <w:p>
      <w:pPr>
        <w:pStyle w:val="BodyText"/>
      </w:pPr>
      <w:r>
        <w:t xml:space="preserve">Possible 10%</w:t>
      </w:r>
      <w:r>
        <w:t xml:space="preserve"> </w:t>
      </w:r>
      <w:r>
        <w:t xml:space="preserve">rise in cost of</w:t>
      </w:r>
      <w:r>
        <w:t xml:space="preserve"> </w:t>
      </w:r>
      <w:r>
        <w:t xml:space="preserve">supervision</w:t>
      </w:r>
      <w:r>
        <w:t xml:space="preserve"> </w:t>
      </w:r>
      <w:r>
        <w:t xml:space="preserve">(estimated by</w:t>
      </w:r>
      <w:r>
        <w:t xml:space="preserve"> </w:t>
      </w:r>
      <w:r>
        <w:t xml:space="preserve">the VVA/CEPS</w:t>
      </w:r>
      <w:r>
        <w:t xml:space="preserve"> </w:t>
      </w:r>
      <w:r>
        <w:t xml:space="preserve">study about</w:t>
      </w:r>
      <w:r>
        <w:t xml:space="preserve"> </w:t>
      </w:r>
      <w:r>
        <w:t xml:space="preserve">€28m/€30m per</w:t>
      </w:r>
      <w:r>
        <w:t xml:space="preserve"> </w:t>
      </w:r>
      <w:r>
        <w:t xml:space="preserve">year EU-wide)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See above</w:t>
      </w:r>
      <w:r>
        <w:t xml:space="preserve"> </w:t>
      </w:r>
      <w:r>
        <w:t xml:space="preserve">None</w:t>
      </w:r>
      <w:r>
        <w:t xml:space="preserve"> </w:t>
      </w:r>
      <w:r>
        <w:t xml:space="preserve">See above</w:t>
      </w:r>
      <w:r>
        <w:t xml:space="preserve"> </w:t>
      </w:r>
      <w:r>
        <w:t xml:space="preserve">See above</w:t>
      </w:r>
      <w:r>
        <w:t xml:space="preserve"> </w:t>
      </w:r>
      <w:r>
        <w:t xml:space="preserve">Non-bank PSP</w:t>
      </w:r>
      <w:r>
        <w:t xml:space="preserve"> </w:t>
      </w:r>
      <w:r>
        <w:t xml:space="preserve">access to</w:t>
      </w:r>
      <w:r>
        <w:t xml:space="preserve"> </w:t>
      </w:r>
      <w:r>
        <w:t xml:space="preserve">payment</w:t>
      </w:r>
      <w:r>
        <w:t xml:space="preserve"> </w:t>
      </w:r>
      <w:r>
        <w:t xml:space="preserve">systems</w:t>
      </w:r>
      <w:r>
        <w:t xml:space="preserve"> </w:t>
      </w:r>
      <w:r>
        <w:t xml:space="preserve">Direct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For payment</w:t>
      </w:r>
      <w:r>
        <w:t xml:space="preserve"> </w:t>
      </w:r>
      <w:r>
        <w:t xml:space="preserve">system</w:t>
      </w:r>
      <w:r>
        <w:t xml:space="preserve"> </w:t>
      </w:r>
      <w:r>
        <w:t xml:space="preserve">operators, cost</w:t>
      </w:r>
      <w:r>
        <w:t xml:space="preserve"> </w:t>
      </w:r>
      <w:r>
        <w:t xml:space="preserve">of risk</w:t>
      </w:r>
      <w:r>
        <w:t xml:space="preserve"> </w:t>
      </w:r>
      <w:r>
        <w:t xml:space="preserve">assessment and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 for</w:t>
      </w:r>
      <w:r>
        <w:t xml:space="preserve"> </w:t>
      </w:r>
      <w:r>
        <w:t xml:space="preserve">PIs and EMIs</w:t>
      </w:r>
      <w:r>
        <w:t xml:space="preserve"> </w:t>
      </w:r>
      <w:r>
        <w:t xml:space="preserve">For payment</w:t>
      </w:r>
      <w:r>
        <w:t xml:space="preserve"> </w:t>
      </w:r>
      <w:r>
        <w:t xml:space="preserve">system</w:t>
      </w:r>
      <w:r>
        <w:t xml:space="preserve"> </w:t>
      </w:r>
      <w:r>
        <w:t xml:space="preserve">operators,</w:t>
      </w:r>
      <w:r>
        <w:t xml:space="preserve"> </w:t>
      </w:r>
      <w:r>
        <w:t xml:space="preserve">ongoing</w:t>
      </w:r>
      <w:r>
        <w:t xml:space="preserve"> </w:t>
      </w:r>
      <w:r>
        <w:t xml:space="preserve">monitoring of</w:t>
      </w:r>
      <w:r>
        <w:t xml:space="preserve"> </w:t>
      </w:r>
      <w:r>
        <w:t xml:space="preserve">new</w:t>
      </w:r>
      <w:r>
        <w:t xml:space="preserve"> </w:t>
      </w:r>
      <w:r>
        <w:t xml:space="preserve">participants</w:t>
      </w:r>
      <w:r>
        <w:t xml:space="preserve"> </w:t>
      </w:r>
      <w:r>
        <w:t xml:space="preserve">For central</w:t>
      </w:r>
      <w:r>
        <w:t xml:space="preserve"> </w:t>
      </w:r>
      <w:r>
        <w:t xml:space="preserve">banks as</w:t>
      </w:r>
      <w:r>
        <w:t xml:space="preserve"> </w:t>
      </w:r>
      <w:r>
        <w:t xml:space="preserve">payment system</w:t>
      </w:r>
      <w:r>
        <w:t xml:space="preserve"> </w:t>
      </w:r>
      <w:r>
        <w:t xml:space="preserve">operators, cost</w:t>
      </w:r>
      <w:r>
        <w:t xml:space="preserve"> </w:t>
      </w:r>
      <w:r>
        <w:t xml:space="preserve">of risk</w:t>
      </w:r>
      <w:r>
        <w:t xml:space="preserve"> </w:t>
      </w:r>
      <w:r>
        <w:t xml:space="preserve">assessment and</w:t>
      </w:r>
      <w:r>
        <w:t xml:space="preserve"> </w:t>
      </w:r>
      <w:r>
        <w:t xml:space="preserve">admission</w:t>
      </w:r>
      <w:r>
        <w:t xml:space="preserve"> </w:t>
      </w:r>
      <w:r>
        <w:t xml:space="preserve">procedure for</w:t>
      </w:r>
      <w:r>
        <w:t xml:space="preserve"> </w:t>
      </w:r>
      <w:r>
        <w:t xml:space="preserve">PIs and EMIs</w:t>
      </w:r>
      <w:r>
        <w:t xml:space="preserve"> </w:t>
      </w:r>
      <w:r>
        <w:t xml:space="preserve">For central banks</w:t>
      </w:r>
      <w:r>
        <w:t xml:space="preserve"> </w:t>
      </w:r>
      <w:r>
        <w:t xml:space="preserve">as payment</w:t>
      </w:r>
      <w:r>
        <w:t xml:space="preserve"> </w:t>
      </w:r>
      <w:r>
        <w:t xml:space="preserve">system operators,</w:t>
      </w:r>
      <w:r>
        <w:t xml:space="preserve"> </w:t>
      </w:r>
      <w:r>
        <w:t xml:space="preserve">ongoing</w:t>
      </w:r>
      <w:r>
        <w:t xml:space="preserve"> </w:t>
      </w:r>
      <w:r>
        <w:t xml:space="preserve">monitoring of</w:t>
      </w:r>
      <w:r>
        <w:t xml:space="preserve"> </w:t>
      </w:r>
      <w:r>
        <w:t xml:space="preserve">new participants</w:t>
      </w:r>
    </w:p>
    <w:p>
      <w:pPr>
        <w:pStyle w:val="BodyText"/>
      </w:pPr>
      <w:r>
        <w:t xml:space="preserve">91</w:t>
      </w:r>
    </w:p>
    <w:p>
      <w:pPr>
        <w:pStyle w:val="BodyText"/>
      </w:pPr>
      <w:r>
        <w:t xml:space="preserve">Indirect costs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BodyText"/>
      </w:pPr>
      <w:r>
        <w:t xml:space="preserve">Enforcement</w:t>
      </w:r>
      <w:r>
        <w:t xml:space="preserve"> </w:t>
      </w:r>
      <w:r>
        <w:t xml:space="preserve">cost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For NCAs, cost</w:t>
      </w:r>
      <w:r>
        <w:t xml:space="preserve"> </w:t>
      </w:r>
      <w:r>
        <w:t xml:space="preserve">of enforcement</w:t>
      </w:r>
      <w:r>
        <w:t xml:space="preserve"> </w:t>
      </w: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18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9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Target</w:t>
      </w:r>
      <w:r>
        <w:t xml:space="preserve"> </w:t>
      </w:r>
      <w:r>
        <w:t xml:space="preserve">8.2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</w:t>
      </w:r>
      <w:r>
        <w:t xml:space="preserve"> </w:t>
      </w:r>
      <w:r>
        <w:t xml:space="preserve">Sustainability Development</w:t>
      </w:r>
      <w:r>
        <w:t xml:space="preserve"> </w:t>
      </w:r>
      <w:r>
        <w:t xml:space="preserve">Goals: “To achieve higher</w:t>
      </w:r>
      <w:r>
        <w:t xml:space="preserve"> </w:t>
      </w:r>
      <w:r>
        <w:t xml:space="preserve">levels</w:t>
      </w:r>
      <w:r>
        <w:t xml:space="preserve"> </w:t>
      </w:r>
      <w:r>
        <w:t xml:space="preserve">of</w:t>
      </w:r>
      <w:r>
        <w:t xml:space="preserve"> </w:t>
      </w:r>
      <w:r>
        <w:t xml:space="preserve">economic</w:t>
      </w:r>
      <w:r>
        <w:t xml:space="preserve"> </w:t>
      </w:r>
      <w:r>
        <w:t xml:space="preserve">productivity</w:t>
      </w:r>
      <w:r>
        <w:t xml:space="preserve"> </w:t>
      </w:r>
      <w:r>
        <w:t xml:space="preserve">through</w:t>
      </w:r>
      <w:r>
        <w:t xml:space="preserve"> </w:t>
      </w:r>
      <w:r>
        <w:t xml:space="preserve">diversification, technological</w:t>
      </w:r>
      <w:r>
        <w:t xml:space="preserve"> </w:t>
      </w:r>
      <w:r>
        <w:t xml:space="preserve">upgrading and innovation,</w:t>
      </w:r>
      <w:r>
        <w:t xml:space="preserve"> </w:t>
      </w:r>
      <w:r>
        <w:t xml:space="preserve">including through a focus on</w:t>
      </w:r>
      <w:r>
        <w:t xml:space="preserve"> </w:t>
      </w:r>
      <w:r>
        <w:t xml:space="preserve">high-value</w:t>
      </w:r>
      <w:r>
        <w:t xml:space="preserve"> </w:t>
      </w:r>
      <w:r>
        <w:t xml:space="preserve">added</w:t>
      </w:r>
      <w:r>
        <w:t xml:space="preserve"> </w:t>
      </w:r>
      <w:r>
        <w:t xml:space="preserve">and</w:t>
      </w:r>
      <w:r>
        <w:t xml:space="preserve"> </w:t>
      </w:r>
      <w:r>
        <w:t xml:space="preserve">labour-intensive sectors”</w:t>
      </w:r>
      <w:r>
        <w:t xml:space="preserve"> </w:t>
      </w:r>
      <w:r>
        <w:t xml:space="preserve">Improved functioning of payment systems and</w:t>
      </w:r>
      <w:r>
        <w:t xml:space="preserve"> </w:t>
      </w:r>
      <w:r>
        <w:t xml:space="preserve">better payment services.</w:t>
      </w:r>
    </w:p>
    <w:p>
      <w:pPr>
        <w:pStyle w:val="FirstParagraph"/>
      </w:pPr>
      <w:r>
        <w:t xml:space="preserve">92</w:t>
      </w:r>
    </w:p>
    <w:p>
      <w:pPr>
        <w:pStyle w:val="BodyText"/>
      </w:pPr>
      <w:r>
        <w:t xml:space="preserve">ANNEX 4: ANALYTICAL METHODS</w:t>
      </w:r>
      <w:r>
        <w:t xml:space="preserve"> </w:t>
      </w:r>
      <w:r>
        <w:t xml:space="preserve">To adequately assess the impact of this proposal, this report builds on the analysis of the</w:t>
      </w:r>
      <w:r>
        <w:t xml:space="preserve"> </w:t>
      </w:r>
      <w:r>
        <w:t xml:space="preserve">following sources of data:</w:t>
      </w:r>
      <w:r>
        <w:t xml:space="preserve"> </w:t>
      </w:r>
      <w:r>
        <w:t xml:space="preserve">1) The Commission’s stakeholder consultation strategy, as outlined in Annex 2;</w:t>
      </w:r>
      <w:r>
        <w:t xml:space="preserve"> </w:t>
      </w:r>
      <w:r>
        <w:t xml:space="preserve">2) A study carried out by a consortium composed of VVA Brussels SPRL and the Centre</w:t>
      </w:r>
      <w:r>
        <w:t xml:space="preserve"> </w:t>
      </w:r>
      <w:r>
        <w:t xml:space="preserve">for European Policy Studies (CEPS) with the support of the Nicolaus Copernicus</w:t>
      </w:r>
      <w:r>
        <w:t xml:space="preserve"> </w:t>
      </w:r>
      <w:r>
        <w:t xml:space="preserve">University in Toruń.</w:t>
      </w:r>
      <w:r>
        <w:br/>
      </w:r>
      <w:r>
        <w:t xml:space="preserve">3) EBA’s Advice in response to the Call for Advice on a number of specific topics</w:t>
      </w:r>
      <w:r>
        <w:t xml:space="preserve"> </w:t>
      </w:r>
      <w:r>
        <w:t xml:space="preserve">related to the impact and application of specific areas of the PSD2. Response to the</w:t>
      </w:r>
      <w:r>
        <w:t xml:space="preserve"> </w:t>
      </w:r>
      <w:r>
        <w:t xml:space="preserve">Call for Advice was based on input received from NCAs.</w:t>
      </w:r>
      <w:r>
        <w:t xml:space="preserve"> </w:t>
      </w:r>
      <w:r>
        <w:t xml:space="preserve">This Annex outlines the analytical framework and methods employed in the collection and</w:t>
      </w:r>
      <w:r>
        <w:t xml:space="preserve"> </w:t>
      </w:r>
      <w:r>
        <w:t xml:space="preserve">analysis of data within the scope of each of the above components.</w:t>
      </w:r>
    </w:p>
    <w:p>
      <w:pPr>
        <w:pStyle w:val="Compact"/>
        <w:numPr>
          <w:ilvl w:val="0"/>
          <w:numId w:val="1020"/>
        </w:numPr>
      </w:pPr>
      <w:r>
        <w:t xml:space="preserve">The Commission’s stakeholder consultation strategy</w:t>
      </w:r>
    </w:p>
    <w:p>
      <w:pPr>
        <w:pStyle w:val="FirstParagraph"/>
      </w:pPr>
      <w:r>
        <w:t xml:space="preserve">To ensure that views of different stakeholders were adequately taken into account in the</w:t>
      </w:r>
      <w:r>
        <w:t xml:space="preserve"> </w:t>
      </w:r>
      <w:r>
        <w:t xml:space="preserve">impact assessment, a stakeholder consultation plan was adopted that comprised the following</w:t>
      </w:r>
      <w:r>
        <w:t xml:space="preserve"> </w:t>
      </w:r>
      <w:r>
        <w:t xml:space="preserve">components, and of which the findings have been described in Annex 2.</w:t>
      </w:r>
    </w:p>
    <w:p>
      <w:pPr>
        <w:pStyle w:val="BodyText"/>
      </w:pPr>
      <w:r>
        <w:t xml:space="preserve">Data collected via the various consultations informed both quantitative and qualitative</w:t>
      </w:r>
      <w:r>
        <w:t xml:space="preserve"> </w:t>
      </w:r>
      <w:r>
        <w:t xml:space="preserve">analysis. Quantitative insights were drawn by deploying a) the clustering and summary tools</w:t>
      </w:r>
      <w:r>
        <w:t xml:space="preserve"> </w:t>
      </w:r>
      <w:r>
        <w:t xml:space="preserve">available in the DORIS consultation dashboard, b) frequency analysis of answers to closed</w:t>
      </w:r>
      <w:r>
        <w:t xml:space="preserve"> </w:t>
      </w:r>
      <w:r>
        <w:t xml:space="preserve">questions elicited through the public consultation, and c) the cost- benefit analysis (cf. Annex</w:t>
      </w:r>
      <w:r>
        <w:t xml:space="preserve"> </w:t>
      </w:r>
      <w:r>
        <w:t xml:space="preserve">3).</w:t>
      </w:r>
    </w:p>
    <w:p>
      <w:pPr>
        <w:pStyle w:val="BodyText"/>
      </w:pPr>
      <w:r>
        <w:t xml:space="preserve">Qualitative analysis focused on responses to open-ended questions elicited through the public</w:t>
      </w:r>
      <w:r>
        <w:t xml:space="preserve"> </w:t>
      </w:r>
      <w:r>
        <w:t xml:space="preserve">consultation, as well as minutes and reports from thematic sub-groups in Payment Systems</w:t>
      </w:r>
      <w:r>
        <w:t xml:space="preserve"> </w:t>
      </w:r>
      <w:r>
        <w:t xml:space="preserve">Market Expert Group (PSMEG) meetings, as well as the ad-hoc bilateral stakeholder</w:t>
      </w:r>
      <w:r>
        <w:t xml:space="preserve"> </w:t>
      </w:r>
      <w:r>
        <w:t xml:space="preserve">meetings. More precisely, with regard to contributions to open-ended questions in the</w:t>
      </w:r>
      <w:r>
        <w:t xml:space="preserve"> </w:t>
      </w:r>
      <w:r>
        <w:t xml:space="preserve">targeted consultation, responses were analysed and coded attending to a) key topics</w:t>
      </w:r>
      <w:r>
        <w:t xml:space="preserve"> </w:t>
      </w:r>
      <w:r>
        <w:t xml:space="preserve">and/views (e.g. customer protection, enforcement, open banking), as well as b) the distinct</w:t>
      </w:r>
      <w:r>
        <w:t xml:space="preserve"> </w:t>
      </w:r>
      <w:r>
        <w:t xml:space="preserve">type of stakeholder (e.g. Competent Authority, ASPSPs, TPPs, consumer organizations).</w:t>
      </w:r>
    </w:p>
    <w:p>
      <w:pPr>
        <w:pStyle w:val="BodyText"/>
      </w:pPr>
      <w:r>
        <w:t xml:space="preserve">Finally, insights from both quantitative and qualitative analysis were systematically brought</w:t>
      </w:r>
      <w:r>
        <w:t xml:space="preserve"> </w:t>
      </w:r>
      <w:r>
        <w:t xml:space="preserve">together according to frameworks and tools prescribed in the Better Regulation Guidelines</w:t>
      </w:r>
      <w:r>
        <w:t xml:space="preserve"> </w:t>
      </w:r>
      <w:r>
        <w:t xml:space="preserve">and Toolbox.</w:t>
      </w:r>
    </w:p>
    <w:p>
      <w:pPr>
        <w:pStyle w:val="Compact"/>
        <w:numPr>
          <w:ilvl w:val="0"/>
          <w:numId w:val="1021"/>
        </w:numPr>
      </w:pPr>
      <w:r>
        <w:t xml:space="preserve">The VVA/CEPS study</w:t>
      </w:r>
    </w:p>
    <w:p>
      <w:pPr>
        <w:pStyle w:val="FirstParagraph"/>
      </w:pPr>
      <w:r>
        <w:t xml:space="preserve">This study was based on desk-based research, fieldwork, and analysis. The consultation</w:t>
      </w:r>
      <w:r>
        <w:t xml:space="preserve"> </w:t>
      </w:r>
      <w:r>
        <w:t xml:space="preserve">activities included 8 scoping interviews, 232 stakeholder interviews, an online survey with 65</w:t>
      </w:r>
      <w:r>
        <w:t xml:space="preserve"> </w:t>
      </w:r>
      <w:r>
        <w:t xml:space="preserve">responses and 13 follow-up interviews. The study was prepared in accordance with the Better</w:t>
      </w:r>
      <w:r>
        <w:t xml:space="preserve"> </w:t>
      </w:r>
      <w:r>
        <w:t xml:space="preserve">Regulation Guidelines and Toolbox.The study comprises three tasks, namely: i) Desk-based</w:t>
      </w:r>
      <w:r>
        <w:t xml:space="preserve"> </w:t>
      </w:r>
      <w:r>
        <w:t xml:space="preserve">research; ii) Fieldwork; and iii) analysis.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Task 1 was dedicated to the review of the literature relevant to answering each of the</w:t>
      </w:r>
      <w:r>
        <w:t xml:space="preserve"> </w:t>
      </w:r>
      <w:r>
        <w:t xml:space="preserve">evaluation questions. Desk research was based on different sources, including policy and</w:t>
      </w:r>
      <w:r>
        <w:t xml:space="preserve"> </w:t>
      </w:r>
      <w:r>
        <w:t xml:space="preserve">academic texts, national and international datasets from both public and private stakeholders.</w:t>
      </w:r>
      <w:r>
        <w:t xml:space="preserve"> </w:t>
      </w:r>
      <w:r>
        <w:t xml:space="preserve">The desk-based research fed into the answers to all evaluation questions and into the</w:t>
      </w:r>
      <w:r>
        <w:t xml:space="preserve"> </w:t>
      </w:r>
      <w:r>
        <w:t xml:space="preserve">preparation of a survey, interview questionnaires and follow-up interviews.</w:t>
      </w:r>
    </w:p>
    <w:p>
      <w:pPr>
        <w:pStyle w:val="BodyText"/>
      </w:pPr>
      <w:r>
        <w:t xml:space="preserve">The aim of Task 2 was to collect all the necessary legal and primary evidence to respond to</w:t>
      </w:r>
      <w:r>
        <w:t xml:space="preserve"> </w:t>
      </w:r>
      <w:r>
        <w:t xml:space="preserve">the evaluation questions. In this regard, national legal experts conducted legal desk research</w:t>
      </w:r>
      <w:r>
        <w:t xml:space="preserve"> </w:t>
      </w:r>
      <w:r>
        <w:t xml:space="preserve">in ten selected Member States, namely Belgium, France, Germany, Ireland, Italy, Lithuania,</w:t>
      </w:r>
      <w:r>
        <w:t xml:space="preserve"> </w:t>
      </w:r>
      <w:r>
        <w:t xml:space="preserve">the Netherlands, Poland, Spain and Sweden.</w:t>
      </w:r>
    </w:p>
    <w:p>
      <w:pPr>
        <w:pStyle w:val="BodyText"/>
      </w:pPr>
      <w:r>
        <w:t xml:space="preserve">The aim of the in-depth fieldwork was to gain a comprehensive picture of different views and</w:t>
      </w:r>
      <w:r>
        <w:t xml:space="preserve"> </w:t>
      </w:r>
      <w:r>
        <w:t xml:space="preserve">perspectives on the study questions. The stakeholder consultation envisaged under the study</w:t>
      </w:r>
      <w:r>
        <w:t xml:space="preserve"> </w:t>
      </w:r>
      <w:r>
        <w:t xml:space="preserve">aimed to collect both qualitative and quantitative data, to assess the implementation and</w:t>
      </w:r>
      <w:r>
        <w:t xml:space="preserve"> </w:t>
      </w:r>
      <w:r>
        <w:t xml:space="preserve">application of the Directive (EU) 2015/2366 on Payment Services (PSD2). The consultation</w:t>
      </w:r>
      <w:r>
        <w:t xml:space="preserve"> </w:t>
      </w:r>
      <w:r>
        <w:t xml:space="preserve">activities were varied and designed in a way to target a wide range of stakeholders through a</w:t>
      </w:r>
      <w:r>
        <w:t xml:space="preserve"> </w:t>
      </w:r>
      <w:r>
        <w:t xml:space="preserve">series of key activities, using multiple tools and channels, in order to gather insights from as</w:t>
      </w:r>
      <w:r>
        <w:t xml:space="preserve"> </w:t>
      </w:r>
      <w:r>
        <w:t xml:space="preserve">many relevant views as possible. The consultation activities included:</w:t>
      </w:r>
      <w:r>
        <w:br/>
      </w:r>
      <w:r>
        <w:t xml:space="preserve">i. Scoping interviews (January 2022)</w:t>
      </w:r>
      <w:r>
        <w:t xml:space="preserve"> </w:t>
      </w:r>
      <w:r>
        <w:t xml:space="preserve">ii. Stakeholder interviews (16 March to 11 July 2022)</w:t>
      </w:r>
      <w:r>
        <w:br/>
      </w:r>
      <w:r>
        <w:t xml:space="preserve">iii. Online survey (21 March to 15 July 2022)</w:t>
      </w:r>
      <w:r>
        <w:t xml:space="preserve"> </w:t>
      </w:r>
      <w:r>
        <w:t xml:space="preserve">iv. Follow-up interviews (21 March to 15 July 2022)</w:t>
      </w:r>
    </w:p>
    <w:p>
      <w:pPr>
        <w:pStyle w:val="BodyText"/>
      </w:pPr>
      <w:r>
        <w:t xml:space="preserve">The sample covered a wide range of actors which are impacted by the PSD2 to different</w:t>
      </w:r>
      <w:r>
        <w:t xml:space="preserve"> </w:t>
      </w:r>
      <w:r>
        <w:t xml:space="preserve">extents, namely: i) payment services providers (e.g., banks, payment institutions); ii) payment</w:t>
      </w:r>
      <w:r>
        <w:t xml:space="preserve"> </w:t>
      </w:r>
      <w:r>
        <w:t xml:space="preserve">services users (e.g., via consumer protection bodies); iii) national competent authorities (e.g.,</w:t>
      </w:r>
      <w:r>
        <w:t xml:space="preserve"> </w:t>
      </w:r>
      <w:r>
        <w:t xml:space="preserve">Ministries of Finance, Economics, Justice and Supervisory Authorities); iv) EU associations</w:t>
      </w:r>
      <w:r>
        <w:t xml:space="preserve"> </w:t>
      </w:r>
      <w:r>
        <w:t xml:space="preserve">(e.g., banking associations, consumer associations); v) other actors involved in the payments</w:t>
      </w:r>
      <w:r>
        <w:t xml:space="preserve"> </w:t>
      </w:r>
      <w:r>
        <w:t xml:space="preserve">market (e.g., merchants); vi) and other relevant stakeholders (e.g., national associations, such</w:t>
      </w:r>
      <w:r>
        <w:t xml:space="preserve"> </w:t>
      </w:r>
      <w:r>
        <w:t xml:space="preserve">as associations representing persons with special needs). Further details on the participation</w:t>
      </w:r>
      <w:r>
        <w:t xml:space="preserve"> </w:t>
      </w:r>
      <w:r>
        <w:t xml:space="preserve">of the different stakeholders in the different consultation activities in the study are provided</w:t>
      </w:r>
      <w:r>
        <w:t xml:space="preserve"> </w:t>
      </w:r>
      <w:r>
        <w:t xml:space="preserve">in Annex I of the study167.</w:t>
      </w:r>
    </w:p>
    <w:p>
      <w:pPr>
        <w:pStyle w:val="Compact"/>
        <w:numPr>
          <w:ilvl w:val="0"/>
          <w:numId w:val="1022"/>
        </w:numPr>
      </w:pPr>
      <w:r>
        <w:t xml:space="preserve">Scoping interviews</w:t>
      </w:r>
    </w:p>
    <w:p>
      <w:pPr>
        <w:pStyle w:val="FirstParagraph"/>
      </w:pPr>
      <w:r>
        <w:t xml:space="preserve">The objective of the scoping interviews was to gather as much first-hand experience, with as</w:t>
      </w:r>
      <w:r>
        <w:t xml:space="preserve"> </w:t>
      </w:r>
      <w:r>
        <w:t xml:space="preserve">many details as possible from various stakeholder groups. Throughout the month of January</w:t>
      </w:r>
      <w:r>
        <w:t xml:space="preserve"> </w:t>
      </w:r>
      <w:r>
        <w:t xml:space="preserve">2022, eight scoping interviews were carried out. These were primarily with EU associations</w:t>
      </w:r>
      <w:r>
        <w:t xml:space="preserve"> </w:t>
      </w:r>
      <w:r>
        <w:t xml:space="preserve">Payment Service Providers (PSPs) and a consumer association. The interviews were</w:t>
      </w:r>
      <w:r>
        <w:t xml:space="preserve"> </w:t>
      </w:r>
      <w:r>
        <w:t xml:space="preserve">performed in a semi-structured format to encourage two-way communication to raise</w:t>
      </w:r>
      <w:r>
        <w:t xml:space="preserve"> </w:t>
      </w:r>
      <w:r>
        <w:t xml:space="preserve">awareness of the study and obtain stakeholders’ contact details for further phases of the</w:t>
      </w:r>
      <w:r>
        <w:t xml:space="preserve"> </w:t>
      </w:r>
      <w:r>
        <w:t xml:space="preserve">study.</w:t>
      </w:r>
    </w:p>
    <w:p>
      <w:pPr>
        <w:pStyle w:val="BodyText"/>
      </w:pPr>
      <w:r>
        <w:t xml:space="preserve">167 The VVA/CEPS study can be accessed here, and its Annexes can be accessed here.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The scoping interviews allowed to further define data needs, impact identification,</w:t>
      </w:r>
      <w:r>
        <w:t xml:space="preserve"> </w:t>
      </w:r>
      <w:r>
        <w:t xml:space="preserve">stakeholder mapping168 and other questions related to the methodology development based on</w:t>
      </w:r>
      <w:r>
        <w:t xml:space="preserve"> </w:t>
      </w:r>
      <w:r>
        <w:t xml:space="preserve">the stakeholders’ experience in the field. The interviews provided qualitative data on key</w:t>
      </w:r>
      <w:r>
        <w:t xml:space="preserve"> </w:t>
      </w:r>
      <w:r>
        <w:t xml:space="preserve">aspects to better understand the challenges linked to the PSD2, as well as areas for its</w:t>
      </w:r>
      <w:r>
        <w:t xml:space="preserve"> </w:t>
      </w:r>
      <w:r>
        <w:t xml:space="preserve">improvement.</w:t>
      </w:r>
    </w:p>
    <w:p>
      <w:pPr>
        <w:pStyle w:val="Compact"/>
        <w:numPr>
          <w:ilvl w:val="0"/>
          <w:numId w:val="1023"/>
        </w:numPr>
      </w:pPr>
      <w:r>
        <w:t xml:space="preserve">Stakeholder interviews</w:t>
      </w:r>
      <w:r>
        <w:t xml:space="preserve"> </w:t>
      </w:r>
      <w:r>
        <w:t xml:space="preserve">The aim of the stakeholder interviews was to: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Gather legal and economic evidence on the application and impact of the PSD2 on the</w:t>
      </w:r>
      <w:r>
        <w:t xml:space="preserve"> </w:t>
      </w:r>
      <w:r>
        <w:t xml:space="preserve">payments market and on any benefits and challenges which may have arisen from</w:t>
      </w:r>
      <w:r>
        <w:t xml:space="preserve"> </w:t>
      </w:r>
      <w:r>
        <w:t xml:space="preserve">PSD2;</w:t>
      </w:r>
    </w:p>
    <w:p>
      <w:pPr>
        <w:pStyle w:val="Compact"/>
        <w:numPr>
          <w:ilvl w:val="0"/>
          <w:numId w:val="1024"/>
        </w:numPr>
      </w:pPr>
      <w:r>
        <w:t xml:space="preserve">Where modifications to PSD2 might be considered appropriate, in particular in the</w:t>
      </w:r>
      <w:r>
        <w:t xml:space="preserve"> </w:t>
      </w:r>
      <w:r>
        <w:t xml:space="preserve">context of a possible proposal to revise PSD2.</w:t>
      </w:r>
    </w:p>
    <w:p>
      <w:pPr>
        <w:pStyle w:val="FirstParagraph"/>
      </w:pPr>
      <w:r>
        <w:t xml:space="preserve">As a result, the information collected during the interviews contributed to the review of PSD2</w:t>
      </w:r>
      <w:r>
        <w:t xml:space="preserve"> </w:t>
      </w:r>
      <w:r>
        <w:t xml:space="preserve">by assessing its effectiveness, efficiency, relevance, coherence with other legislative acts, and</w:t>
      </w:r>
      <w:r>
        <w:t xml:space="preserve"> </w:t>
      </w:r>
      <w:r>
        <w:t xml:space="preserve">EU value-added. It provided to the research team an insight concerning the difficulties of</w:t>
      </w:r>
      <w:r>
        <w:t xml:space="preserve"> </w:t>
      </w:r>
      <w:r>
        <w:t xml:space="preserve">implementing the Directive and allowed to verify findings of the legal desk research. The</w:t>
      </w:r>
      <w:r>
        <w:t xml:space="preserve"> </w:t>
      </w:r>
      <w:r>
        <w:t xml:space="preserve">Member States where the implementation of the Directive triggered issues and difficulties,</w:t>
      </w:r>
      <w:r>
        <w:t xml:space="preserve"> </w:t>
      </w:r>
      <w:r>
        <w:t xml:space="preserve">and the interviews with National Competent Authorities (NCAs) confirmed why this is the</w:t>
      </w:r>
      <w:r>
        <w:t xml:space="preserve"> </w:t>
      </w:r>
      <w:r>
        <w:t xml:space="preserve">case and how it affects the validity of data collected in these countries for the evaluation</w:t>
      </w:r>
      <w:r>
        <w:t xml:space="preserve"> </w:t>
      </w:r>
      <w:r>
        <w:t xml:space="preserve">indicators. In order to reflect the different requirements and to have a better understanding of</w:t>
      </w:r>
      <w:r>
        <w:t xml:space="preserve"> </w:t>
      </w:r>
      <w:r>
        <w:t xml:space="preserve">each stakeholder’s position and experience with the Directive, stakeholder-specific</w:t>
      </w:r>
      <w:r>
        <w:t xml:space="preserve"> </w:t>
      </w:r>
      <w:r>
        <w:t xml:space="preserve">questionnaires were produced. In this way, the interviews covered all relevant issues and</w:t>
      </w:r>
      <w:r>
        <w:t xml:space="preserve"> </w:t>
      </w:r>
      <w:r>
        <w:t xml:space="preserve">gave the flexibility for interviewees to go into greater depth on issues where the interviewees</w:t>
      </w:r>
      <w:r>
        <w:t xml:space="preserve"> </w:t>
      </w:r>
      <w:r>
        <w:t xml:space="preserve">are particularly knowledgeable. The interviewees also had the possibility to send their replies</w:t>
      </w:r>
      <w:r>
        <w:t xml:space="preserve"> </w:t>
      </w:r>
      <w:r>
        <w:t xml:space="preserve">in written form, as well as to provide the study team with any documentation deemed useful</w:t>
      </w:r>
      <w:r>
        <w:t xml:space="preserve"> </w:t>
      </w:r>
      <w:r>
        <w:t xml:space="preserve">for the purposes of the study. The questionnaires were oriented to a large extent around the</w:t>
      </w:r>
      <w:r>
        <w:t xml:space="preserve"> </w:t>
      </w:r>
      <w:r>
        <w:t xml:space="preserve">questions indicated in the Terms of Reference, along with the insights gathered in the scoping</w:t>
      </w:r>
      <w:r>
        <w:t xml:space="preserve"> </w:t>
      </w:r>
      <w:r>
        <w:t xml:space="preserve">interviews, desk research and literature review. Seven different types of questionnaires were</w:t>
      </w:r>
      <w:r>
        <w:t xml:space="preserve"> </w:t>
      </w:r>
      <w:r>
        <w:t xml:space="preserve">designed for different types of stakeholders (Cf. Annex I of the VVA/CEPS study).</w:t>
      </w:r>
    </w:p>
    <w:p>
      <w:pPr>
        <w:pStyle w:val="Compact"/>
        <w:numPr>
          <w:ilvl w:val="0"/>
          <w:numId w:val="1025"/>
        </w:numPr>
      </w:pPr>
      <w:r>
        <w:t xml:space="preserve">Survey</w:t>
      </w:r>
      <w:r>
        <w:t xml:space="preserve"> </w:t>
      </w:r>
      <w:r>
        <w:t xml:space="preserve">In terms of content, the survey covered the questions from the Terms of Reference, as well as</w:t>
      </w:r>
      <w:r>
        <w:t xml:space="preserve"> </w:t>
      </w:r>
      <w:r>
        <w:t xml:space="preserve">insights gathered from scoping interviews. Once the survey design had been finalised, the</w:t>
      </w:r>
      <w:r>
        <w:t xml:space="preserve"> </w:t>
      </w:r>
      <w:r>
        <w:t xml:space="preserve">first few invitations were taken into account as a pilot. Through this approach, the research</w:t>
      </w:r>
      <w:r>
        <w:t xml:space="preserve"> </w:t>
      </w:r>
      <w:r>
        <w:t xml:space="preserve">team had the opportunity to adjust and edit the questionnaire where necessary. The analysis</w:t>
      </w:r>
      <w:r>
        <w:t xml:space="preserve"> </w:t>
      </w:r>
      <w:r>
        <w:t xml:space="preserve">on the survey responses helped to shed light on the evaluation questions to be addressed (i.e. </w:t>
      </w:r>
      <w:r>
        <w:t xml:space="preserve"> </w:t>
      </w:r>
      <w:r>
        <w:t xml:space="preserve">relevance, effectiveness, efficiency, EU added value and coherence) and to complement the</w:t>
      </w:r>
      <w:r>
        <w:t xml:space="preserve"> </w:t>
      </w:r>
      <w:r>
        <w:t xml:space="preserve">interviews, especially in the countries that were not among the focus countries. The survey</w:t>
      </w:r>
      <w:r>
        <w:t xml:space="preserve"> </w:t>
      </w:r>
      <w:r>
        <w:t xml:space="preserve">thus allowed to complete and triangulate the results of the interviews.</w:t>
      </w:r>
    </w:p>
    <w:p>
      <w:pPr>
        <w:pStyle w:val="FirstParagraph"/>
      </w:pPr>
      <w:r>
        <w:t xml:space="preserve">168 It enabled the research team to take into consideration a range of stakeholders. This includes, NCAs, National</w:t>
      </w:r>
      <w:r>
        <w:t xml:space="preserve"> </w:t>
      </w:r>
      <w:r>
        <w:t xml:space="preserve">ministries, consumer associations, payment service providers i.e banks, TPPs etc (both big and small market</w:t>
      </w:r>
      <w:r>
        <w:t xml:space="preserve"> </w:t>
      </w:r>
      <w:r>
        <w:t xml:space="preserve">players), Payment service users (of both big and small merchants)</w:t>
      </w:r>
    </w:p>
    <w:p>
      <w:pPr>
        <w:pStyle w:val="BodyText"/>
      </w:pPr>
      <w:r>
        <w:t xml:space="preserve">95</w:t>
      </w:r>
    </w:p>
    <w:p>
      <w:pPr>
        <w:pStyle w:val="Compact"/>
        <w:numPr>
          <w:ilvl w:val="0"/>
          <w:numId w:val="1026"/>
        </w:numPr>
      </w:pPr>
      <w:r>
        <w:t xml:space="preserve">Follow-up interviews</w:t>
      </w:r>
      <w:r>
        <w:t xml:space="preserve"> </w:t>
      </w:r>
      <w:r>
        <w:t xml:space="preserve">The last step in the data collection was to carry out follow-up interviews in the 10 focus</w:t>
      </w:r>
      <w:r>
        <w:t xml:space="preserve"> </w:t>
      </w:r>
      <w:r>
        <w:t xml:space="preserve">Member States. A total of 13 stakeholders provided replies to the survey, which was</w:t>
      </w:r>
      <w:r>
        <w:t xml:space="preserve"> </w:t>
      </w:r>
      <w:r>
        <w:t xml:space="preserve">targeting National Competent Authorities (Ministries of Finance, Economics, Justice and</w:t>
      </w:r>
      <w:r>
        <w:t xml:space="preserve"> </w:t>
      </w:r>
      <w:r>
        <w:t xml:space="preserve">Supervisory Authorities); EU and National associations; Payment Service Providers (e.g.,</w:t>
      </w:r>
      <w:r>
        <w:t xml:space="preserve"> </w:t>
      </w:r>
      <w:r>
        <w:t xml:space="preserve">banks, payment institutions) and Payment Services Users (i.e. consumer associations and</w:t>
      </w:r>
      <w:r>
        <w:t xml:space="preserve"> </w:t>
      </w:r>
      <w:r>
        <w:t xml:space="preserve">merchants).</w:t>
      </w:r>
    </w:p>
    <w:p>
      <w:pPr>
        <w:pStyle w:val="FirstParagraph"/>
      </w:pPr>
      <w:r>
        <w:t xml:space="preserve">The follow-up interviews were aimed at gaining deeper qualitative insight on the functioning</w:t>
      </w:r>
      <w:r>
        <w:t xml:space="preserve"> </w:t>
      </w:r>
      <w:r>
        <w:t xml:space="preserve">of the Directive. These interviews were conducted following the same questionnaire as the</w:t>
      </w:r>
      <w:r>
        <w:t xml:space="preserve"> </w:t>
      </w:r>
      <w:r>
        <w:t xml:space="preserve">one conceived for the main interviews, while applying a more semi-structured approach. This</w:t>
      </w:r>
      <w:r>
        <w:t xml:space="preserve"> </w:t>
      </w:r>
      <w:r>
        <w:t xml:space="preserve">gave the flexibility to stakeholders to go into greater depth on issues where the interviewee</w:t>
      </w:r>
      <w:r>
        <w:t xml:space="preserve"> </w:t>
      </w:r>
      <w:r>
        <w:t xml:space="preserve">had particular knowledge on. The qualitative assessment from interviews and desk research</w:t>
      </w:r>
      <w:r>
        <w:t xml:space="preserve"> </w:t>
      </w:r>
      <w:r>
        <w:t xml:space="preserve">was cross-analysed with quantitative information collected as part of CBA.</w:t>
      </w:r>
    </w:p>
    <w:p>
      <w:pPr>
        <w:pStyle w:val="BodyText"/>
      </w:pPr>
      <w:r>
        <w:t xml:space="preserve">Cost Benefit Analysis</w:t>
      </w:r>
      <w:r>
        <w:br/>
      </w:r>
      <w:r>
        <w:t xml:space="preserve">Data for the cost-benefit analysis was collected as part of the data collection stages of Tasks 1</w:t>
      </w:r>
      <w:r>
        <w:t xml:space="preserve"> </w:t>
      </w:r>
      <w:r>
        <w:t xml:space="preserve">and 2. The different CBA steps are briefly described below.</w:t>
      </w:r>
    </w:p>
    <w:p>
      <w:pPr>
        <w:numPr>
          <w:ilvl w:val="0"/>
          <w:numId w:val="1027"/>
        </w:numPr>
      </w:pPr>
      <w:r>
        <w:t xml:space="preserve">Step 1: Definition of scope and methods</w:t>
      </w:r>
      <w:r>
        <w:br/>
      </w:r>
      <w:r>
        <w:t xml:space="preserve">As a first step, the analysis began with the identification of the key cost and benefit items to</w:t>
      </w:r>
      <w:r>
        <w:t xml:space="preserve"> </w:t>
      </w:r>
      <w:r>
        <w:t xml:space="preserve">be assessed, as well as the related data sources and assumptions to be made. Next, a typology</w:t>
      </w:r>
      <w:r>
        <w:t xml:space="preserve"> </w:t>
      </w:r>
      <w:r>
        <w:t xml:space="preserve">was created based on an assessment of two dimensions, namely (1) the identification of</w:t>
      </w:r>
      <w:r>
        <w:t xml:space="preserve"> </w:t>
      </w:r>
      <w:r>
        <w:t xml:space="preserve">affected stakeholders and (2) the classification of potential costs and benefits that accrue to</w:t>
      </w:r>
      <w:r>
        <w:t xml:space="preserve"> </w:t>
      </w:r>
      <w:r>
        <w:t xml:space="preserve">each of these stakeholder groups.</w:t>
      </w:r>
    </w:p>
    <w:p>
      <w:pPr>
        <w:numPr>
          <w:ilvl w:val="0"/>
          <w:numId w:val="1027"/>
        </w:numPr>
      </w:pPr>
      <w:r>
        <w:t xml:space="preserve">Step 2: Data collection</w:t>
      </w:r>
      <w:r>
        <w:t xml:space="preserve"> </w:t>
      </w:r>
      <w:r>
        <w:t xml:space="preserve">The main tools for collecting information for the CBA were developed as part of the</w:t>
      </w:r>
      <w:r>
        <w:t xml:space="preserve"> </w:t>
      </w:r>
      <w:r>
        <w:t xml:space="preserve">stakeholder consultation, namely the questionnaires for interviews with actors on the</w:t>
      </w:r>
      <w:r>
        <w:t xml:space="preserve"> </w:t>
      </w:r>
      <w:r>
        <w:t xml:space="preserve">payments market. The semi-structured nature of the interviews made it possible to obtain</w:t>
      </w:r>
      <w:r>
        <w:t xml:space="preserve"> </w:t>
      </w:r>
      <w:r>
        <w:t xml:space="preserve">some quantitative information (either during the discussion or in the follow-up), while the</w:t>
      </w:r>
      <w:r>
        <w:t xml:space="preserve"> </w:t>
      </w:r>
      <w:r>
        <w:t xml:space="preserve">questionnaire contained explicitly quantitative questions. The work undertaken for the</w:t>
      </w:r>
      <w:r>
        <w:t xml:space="preserve"> </w:t>
      </w:r>
      <w:r>
        <w:t xml:space="preserve">literature review, especially the input from surveys, interviews and data sources, was critical</w:t>
      </w:r>
      <w:r>
        <w:t xml:space="preserve"> </w:t>
      </w:r>
      <w:r>
        <w:t xml:space="preserve">for the estimation of the costs and benefits.</w:t>
      </w:r>
      <w:r>
        <w:br/>
      </w:r>
      <w:r>
        <w:t xml:space="preserve">Additional data required to conduct the CBA was obtained from several sources. Data on the</w:t>
      </w:r>
      <w:r>
        <w:t xml:space="preserve"> </w:t>
      </w:r>
      <w:r>
        <w:t xml:space="preserve">number of relevant stakeholders was downloaded from the EBA’s Credit Institution and</w:t>
      </w:r>
      <w:r>
        <w:t xml:space="preserve"> </w:t>
      </w:r>
      <w:r>
        <w:t xml:space="preserve">payment and E-Money Institutions registers169 and was combined with Orbis data for size,</w:t>
      </w:r>
      <w:r>
        <w:t xml:space="preserve"> </w:t>
      </w:r>
      <w:r>
        <w:t xml:space="preserve">turnover and earnings before interest and taxes (EBIT) figures. The affected TPP population</w:t>
      </w:r>
      <w:r>
        <w:t xml:space="preserve"> </w:t>
      </w:r>
      <w:r>
        <w:t xml:space="preserve">was derived from three categories, namely E-Money Institutions, payment institutions and</w:t>
      </w:r>
      <w:r>
        <w:t xml:space="preserve"> </w:t>
      </w:r>
      <w:r>
        <w:t xml:space="preserve">AISPs with code values PS_070 (Payment initiation services) and PS_080 (Account</w:t>
      </w:r>
      <w:r>
        <w:t xml:space="preserve"> </w:t>
      </w:r>
      <w:r>
        <w:t xml:space="preserve">information services), yielding 189 TPPs in the EU, with 151 registered after PSD2</w:t>
      </w:r>
    </w:p>
    <w:p>
      <w:pPr>
        <w:pStyle w:val="FirstParagraph"/>
      </w:pPr>
      <w:r>
        <w:t xml:space="preserve">169 The definition used for TPPs is more restrictive (i.e. excludes exempted entities) than reported under some</w:t>
      </w:r>
      <w:r>
        <w:t xml:space="preserve"> </w:t>
      </w:r>
      <w:r>
        <w:t xml:space="preserve">other sources. Therefore the overall costs and benefits for these entities could be higher.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transposition in 2018. These values are generally lower than what is reported in the literature.</w:t>
      </w:r>
      <w:r>
        <w:t xml:space="preserve"> </w:t>
      </w:r>
      <w:r>
        <w:t xml:space="preserve">This is because the definition applied here does not include exempted TPPs (PSD_EPI and</w:t>
      </w:r>
      <w:r>
        <w:t xml:space="preserve"> </w:t>
      </w:r>
      <w:r>
        <w:t xml:space="preserve">PSD_EEMI). Data from the Orbis database was used to classify TPPs by size (in terms of</w:t>
      </w:r>
      <w:r>
        <w:t xml:space="preserve"> </w:t>
      </w:r>
      <w:r>
        <w:t xml:space="preserve">employees170 – micro (&lt;10) and other undertakings (&gt;10). This was necessary because of</w:t>
      </w:r>
      <w:r>
        <w:t xml:space="preserve"> </w:t>
      </w:r>
      <w:r>
        <w:t xml:space="preserve">assumptions derived from interviews and the survey.</w:t>
      </w:r>
      <w:r>
        <w:t xml:space="preserve"> </w:t>
      </w:r>
      <w:r>
        <w:t xml:space="preserve">As there is no publicly available source indicating payment institution registration fees for all</w:t>
      </w:r>
      <w:r>
        <w:t xml:space="preserve"> </w:t>
      </w:r>
      <w:r>
        <w:t xml:space="preserve">EU countries, where available, registration costs were collected from diverse online sources.</w:t>
      </w:r>
      <w:r>
        <w:t xml:space="preserve"> </w:t>
      </w:r>
      <w:r>
        <w:t xml:space="preserve">For the rest, an unweighted average of the countries for which the registration fees were</w:t>
      </w:r>
      <w:r>
        <w:t xml:space="preserve"> </w:t>
      </w:r>
      <w:r>
        <w:t xml:space="preserve">available was applied.</w:t>
      </w:r>
    </w:p>
    <w:p>
      <w:pPr>
        <w:pStyle w:val="BodyText"/>
      </w:pPr>
      <w:r>
        <w:t xml:space="preserve">Regarding credit institutions, it is assumed that credit institutions active in corporate groups</w:t>
      </w:r>
      <w:r>
        <w:t xml:space="preserve"> </w:t>
      </w:r>
      <w:r>
        <w:t xml:space="preserve">and/or networks have some scale advantages in the implementation of the requirements. The</w:t>
      </w:r>
      <w:r>
        <w:t xml:space="preserve"> </w:t>
      </w:r>
      <w:r>
        <w:t xml:space="preserve">number of banking groups/networks was identified by using the criterion of at least € 30bn in</w:t>
      </w:r>
      <w:r>
        <w:t xml:space="preserve"> </w:t>
      </w:r>
      <w:r>
        <w:t xml:space="preserve">turnover to make their number comparable to that of significant supervised entities under the</w:t>
      </w:r>
      <w:r>
        <w:t xml:space="preserve"> </w:t>
      </w:r>
      <w:r>
        <w:t xml:space="preserve">SSM for each country (which, besides this threshold, are also selected based on additional</w:t>
      </w:r>
      <w:r>
        <w:t xml:space="preserve"> </w:t>
      </w:r>
      <w:r>
        <w:t xml:space="preserve">criteria not considered here).</w:t>
      </w:r>
    </w:p>
    <w:p>
      <w:pPr>
        <w:pStyle w:val="BodyText"/>
      </w:pPr>
      <w:r>
        <w:t xml:space="preserve">Payment data, in particular on card transactions, credit transfers and number of POS</w:t>
      </w:r>
      <w:r>
        <w:t xml:space="preserve"> </w:t>
      </w:r>
      <w:r>
        <w:t xml:space="preserve">terminals came from ECB statistics171. EU-wide API call information is based on Konsentus</w:t>
      </w:r>
      <w:r>
        <w:t xml:space="preserve"> </w:t>
      </w:r>
      <w:r>
        <w:t xml:space="preserve">estimates172, while some ASPSPs provided data on API calls recorded. This information was</w:t>
      </w:r>
      <w:r>
        <w:t xml:space="preserve"> </w:t>
      </w:r>
      <w:r>
        <w:t xml:space="preserve">used for the extrapolation of API maintenance costs. E-commerce data was estimated based</w:t>
      </w:r>
      <w:r>
        <w:t xml:space="preserve"> </w:t>
      </w:r>
      <w:r>
        <w:t xml:space="preserve">on EuroCommerce reports173. Data on fraud rates related to SCA and non-SCA authenticated</w:t>
      </w:r>
      <w:r>
        <w:t xml:space="preserve"> </w:t>
      </w:r>
      <w:r>
        <w:t xml:space="preserve">payments are based on the EBA’s preliminary observations174. Finally, labour costs are</w:t>
      </w:r>
      <w:r>
        <w:t xml:space="preserve"> </w:t>
      </w:r>
      <w:r>
        <w:t xml:space="preserve">estimated based on data available on Eurostat. The data was used to calculate daily labour</w:t>
      </w:r>
      <w:r>
        <w:t xml:space="preserve"> </w:t>
      </w:r>
      <w:r>
        <w:t xml:space="preserve">costs for finance/insurance activities and public administration in each country, as well as an</w:t>
      </w:r>
      <w:r>
        <w:t xml:space="preserve"> </w:t>
      </w:r>
      <w:r>
        <w:t xml:space="preserve">EU average. As per the recommendation of the Better Regulation Toolbox (# 58), the labour</w:t>
      </w:r>
      <w:r>
        <w:t xml:space="preserve"> </w:t>
      </w:r>
      <w:r>
        <w:t xml:space="preserve">costs were increased by 25% to reflect overhead cost.</w:t>
      </w:r>
    </w:p>
    <w:p>
      <w:pPr>
        <w:pStyle w:val="Compact"/>
        <w:numPr>
          <w:ilvl w:val="0"/>
          <w:numId w:val="1028"/>
        </w:numPr>
      </w:pPr>
      <w:r>
        <w:t xml:space="preserve">Step 3 - Analysis and triangulation of data</w:t>
      </w:r>
      <w:r>
        <w:br/>
      </w:r>
      <w:r>
        <w:t xml:space="preserve">The third step of the CBA consisted of the data analysis, which was split into two parts: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 qualitative analysis, based on semi-structured stakeholder interviews and</w:t>
      </w:r>
      <w:r>
        <w:t xml:space="preserve"> </w:t>
      </w:r>
      <w:r>
        <w:t xml:space="preserve">qualitative findings from desk research,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a quantitative analysis, based on the questionnaire and data available online,</w:t>
      </w:r>
      <w:r>
        <w:t xml:space="preserve"> </w:t>
      </w:r>
      <w:r>
        <w:t xml:space="preserve">complemented with interviews and quantitative findings from desk research.</w:t>
      </w:r>
      <w:r>
        <w:t xml:space="preserve"> </w:t>
      </w:r>
      <w:r>
        <w:t xml:space="preserve">The methodology for estimating costs and benefits varies across the typology. The majority</w:t>
      </w:r>
      <w:r>
        <w:t xml:space="preserve"> </w:t>
      </w:r>
      <w:r>
        <w:t xml:space="preserve">of costs were estimated through the Standard Cost Model (SCM, as detailed below), and in</w:t>
      </w:r>
      <w:r>
        <w:t xml:space="preserve"> </w:t>
      </w:r>
      <w:r>
        <w:t xml:space="preserve">accordance with the Better Regulation Toolbox (# 58). To meet the proportionality principle,</w:t>
      </w:r>
      <w:r>
        <w:t xml:space="preserve"> </w:t>
      </w:r>
      <w:r>
        <w:t xml:space="preserve">obligations with a clearly marginal aggregated economic impact did not undergo a full-</w:t>
      </w:r>
      <w:r>
        <w:t xml:space="preserve"> </w:t>
      </w:r>
      <w:r>
        <w:t xml:space="preserve">fledged SCM-based quantification. Instead, they are subject to a simplified assessment,</w:t>
      </w:r>
      <w:r>
        <w:t xml:space="preserve"> </w:t>
      </w:r>
      <w:r>
        <w:t xml:space="preserve">focused on the stakeholders that would be most affected in relative terms.</w:t>
      </w:r>
    </w:p>
    <w:p>
      <w:pPr>
        <w:pStyle w:val="FirstParagraph"/>
      </w:pPr>
      <w:r>
        <w:t xml:space="preserve">170 See defintions here</w:t>
      </w:r>
      <w:r>
        <w:t xml:space="preserve"> </w:t>
      </w:r>
      <w:r>
        <w:t xml:space="preserve">171 Report available here. Data used includes credit transfer, card payment, e-commerce volume and value.</w:t>
      </w:r>
      <w:r>
        <w:t xml:space="preserve"> </w:t>
      </w:r>
      <w:r>
        <w:t xml:space="preserve">172 See TPP tracker.</w:t>
      </w:r>
      <w:r>
        <w:t xml:space="preserve"> </w:t>
      </w:r>
      <w:r>
        <w:t xml:space="preserve">173 See 2022 report here.</w:t>
      </w:r>
      <w:r>
        <w:t xml:space="preserve"> </w:t>
      </w:r>
      <w:r>
        <w:t xml:space="preserve">174 See here.</w:t>
      </w:r>
    </w:p>
    <w:p>
      <w:pPr>
        <w:pStyle w:val="BodyText"/>
      </w:pPr>
      <w:r>
        <w:t xml:space="preserve">97</w:t>
      </w:r>
    </w:p>
    <w:p>
      <w:pPr>
        <w:pStyle w:val="BodyText"/>
      </w:pPr>
      <w:r>
        <w:t xml:space="preserve">The quantitative CBA data was assessed in a disaggregated form for each Member State to</w:t>
      </w:r>
      <w:r>
        <w:t xml:space="preserve"> </w:t>
      </w:r>
      <w:r>
        <w:t xml:space="preserve">allow for a comparison and assessment of potential correlations between costs/benefits. The</w:t>
      </w:r>
      <w:r>
        <w:t xml:space="preserve"> </w:t>
      </w:r>
      <w:r>
        <w:t xml:space="preserve">formulas used in calculating the actual administrative costs allow to weigh direct and indirect</w:t>
      </w:r>
      <w:r>
        <w:t xml:space="preserve"> </w:t>
      </w:r>
      <w:r>
        <w:t xml:space="preserve">costs and benefits, based on size and type of businesses/stakeholders assessed. Annex 8 of the</w:t>
      </w:r>
      <w:r>
        <w:t xml:space="preserve"> </w:t>
      </w:r>
      <w:r>
        <w:t xml:space="preserve">VVA/CEPS study provides further detail on the assumptions and formulas for the calculation</w:t>
      </w:r>
      <w:r>
        <w:t xml:space="preserve"> </w:t>
      </w:r>
      <w:r>
        <w:t xml:space="preserve">of the different cost and benefit items estimated by the evaluation.</w:t>
      </w:r>
    </w:p>
    <w:p>
      <w:pPr>
        <w:pStyle w:val="Compact"/>
        <w:numPr>
          <w:ilvl w:val="0"/>
          <w:numId w:val="1030"/>
        </w:numPr>
      </w:pPr>
      <w:r>
        <w:t xml:space="preserve">Step 4 - Revision and finalisation of findings</w:t>
      </w:r>
      <w:r>
        <w:t xml:space="preserve"> </w:t>
      </w:r>
      <w:r>
        <w:t xml:space="preserve">The last step of the CBA consisted of the development of the cost-benefit analysis output.</w:t>
      </w:r>
      <w:r>
        <w:t xml:space="preserve"> </w:t>
      </w:r>
      <w:r>
        <w:t xml:space="preserve">The CBA findings were circulated across the senior members of the project team, discussed</w:t>
      </w:r>
      <w:r>
        <w:t xml:space="preserve"> </w:t>
      </w:r>
      <w:r>
        <w:t xml:space="preserve">in a peer-review format, and were tested and finalised.</w:t>
      </w:r>
    </w:p>
    <w:p>
      <w:pPr>
        <w:pStyle w:val="Compact"/>
        <w:numPr>
          <w:ilvl w:val="0"/>
          <w:numId w:val="1031"/>
        </w:numPr>
      </w:pPr>
      <w:r>
        <w:t xml:space="preserve">EBA Advice</w:t>
      </w:r>
      <w:r>
        <w:t xml:space="preserve"> </w:t>
      </w:r>
      <w:r>
        <w:t xml:space="preserve">On 20 October 2021, the Commission submitted to the EBA a Call for Advice regarding the</w:t>
      </w:r>
      <w:r>
        <w:t xml:space="preserve"> </w:t>
      </w:r>
      <w:r>
        <w:t xml:space="preserve">review of PSD2. The objective of the Cal for Advice was to gather evidence on the</w:t>
      </w:r>
      <w:r>
        <w:t xml:space="preserve"> </w:t>
      </w:r>
      <w:r>
        <w:t xml:space="preserve">application and impact of PSD2, including any benefits and challenges that may have arisen</w:t>
      </w:r>
      <w:r>
        <w:t xml:space="preserve"> </w:t>
      </w:r>
      <w:r>
        <w:t xml:space="preserve">with regard to the implementation and application of the Directive. Moreover, the</w:t>
      </w:r>
      <w:r>
        <w:t xml:space="preserve"> </w:t>
      </w:r>
      <w:r>
        <w:t xml:space="preserve">Commission invited the EBA, based on the experience and EBA’s mandate, to identify areas</w:t>
      </w:r>
      <w:r>
        <w:t xml:space="preserve"> </w:t>
      </w:r>
      <w:r>
        <w:t xml:space="preserve">where amendments to the PSD2 might be appropriate. The EBA was invited to deliver the</w:t>
      </w:r>
      <w:r>
        <w:t xml:space="preserve"> </w:t>
      </w:r>
      <w:r>
        <w:t xml:space="preserve">report by 30 June 2022. The scope of the Call for Advice comprised 28 questions under the</w:t>
      </w:r>
      <w:r>
        <w:t xml:space="preserve"> </w:t>
      </w:r>
      <w:r>
        <w:t xml:space="preserve">following nine sections:</w:t>
      </w:r>
    </w:p>
    <w:p>
      <w:pPr>
        <w:pStyle w:val="Compact"/>
        <w:numPr>
          <w:ilvl w:val="0"/>
          <w:numId w:val="1032"/>
        </w:numPr>
      </w:pPr>
      <w:r>
        <w:t xml:space="preserve">Scope and definitions;</w:t>
      </w:r>
    </w:p>
    <w:p>
      <w:pPr>
        <w:pStyle w:val="Compact"/>
        <w:numPr>
          <w:ilvl w:val="0"/>
          <w:numId w:val="1032"/>
        </w:numPr>
      </w:pPr>
      <w:r>
        <w:t xml:space="preserve">Licensing of PIs and supervision of PSPs under PSD2;</w:t>
      </w:r>
    </w:p>
    <w:p>
      <w:pPr>
        <w:pStyle w:val="Compact"/>
        <w:numPr>
          <w:ilvl w:val="0"/>
          <w:numId w:val="1032"/>
        </w:numPr>
      </w:pPr>
      <w:r>
        <w:t xml:space="preserve">Transparency of conditions and information requirements;</w:t>
      </w:r>
    </w:p>
    <w:p>
      <w:pPr>
        <w:pStyle w:val="Compact"/>
        <w:numPr>
          <w:ilvl w:val="0"/>
          <w:numId w:val="1032"/>
        </w:numPr>
      </w:pPr>
      <w:r>
        <w:t xml:space="preserve">Rights and obligations;</w:t>
      </w:r>
    </w:p>
    <w:p>
      <w:pPr>
        <w:pStyle w:val="Compact"/>
        <w:numPr>
          <w:ilvl w:val="0"/>
          <w:numId w:val="1032"/>
        </w:numPr>
      </w:pPr>
      <w:r>
        <w:t xml:space="preserve">Strong customer authentication;</w:t>
      </w:r>
    </w:p>
    <w:p>
      <w:pPr>
        <w:pStyle w:val="Compact"/>
        <w:numPr>
          <w:ilvl w:val="0"/>
          <w:numId w:val="1032"/>
        </w:numPr>
      </w:pPr>
      <w:r>
        <w:t xml:space="preserve">Access to and use of payment accounts data in relation to AIS and PIS;</w:t>
      </w:r>
    </w:p>
    <w:p>
      <w:pPr>
        <w:pStyle w:val="Compact"/>
        <w:numPr>
          <w:ilvl w:val="0"/>
          <w:numId w:val="1032"/>
        </w:numPr>
      </w:pPr>
      <w:r>
        <w:t xml:space="preserve">Access to payment systems and accounts maintained with a credit institution;</w:t>
      </w:r>
    </w:p>
    <w:p>
      <w:pPr>
        <w:pStyle w:val="Compact"/>
        <w:numPr>
          <w:ilvl w:val="0"/>
          <w:numId w:val="1032"/>
        </w:numPr>
      </w:pPr>
      <w:r>
        <w:t xml:space="preserve">Cross-sectoral topics;</w:t>
      </w:r>
    </w:p>
    <w:p>
      <w:pPr>
        <w:pStyle w:val="Compact"/>
        <w:numPr>
          <w:ilvl w:val="0"/>
          <w:numId w:val="1032"/>
        </w:numPr>
      </w:pPr>
      <w:r>
        <w:t xml:space="preserve">Enforcement of PSD2.</w:t>
      </w:r>
    </w:p>
    <w:p>
      <w:pPr>
        <w:pStyle w:val="FirstParagraph"/>
      </w:pPr>
      <w:r>
        <w:t xml:space="preserve">The EBA decided to follow a methodological approach whereby the EBA first identified the</w:t>
      </w:r>
      <w:r>
        <w:t xml:space="preserve"> </w:t>
      </w:r>
      <w:r>
        <w:t xml:space="preserve">most significant and controversial issues related to the interpretation and application of the</w:t>
      </w:r>
      <w:r>
        <w:t xml:space="preserve"> </w:t>
      </w:r>
      <w:r>
        <w:t xml:space="preserve">legal requirements of PSD2 and the EBA legal instruments within the scope of each question</w:t>
      </w:r>
      <w:r>
        <w:t xml:space="preserve"> </w:t>
      </w:r>
      <w:r>
        <w:t xml:space="preserve">posed in the Call for Advice. Second, the EBA collected feedback from CAs on these issues,</w:t>
      </w:r>
      <w:r>
        <w:t xml:space="preserve"> </w:t>
      </w:r>
      <w:r>
        <w:t xml:space="preserve">together with the proposed solutions on how to address them. Finally, the EBA assessed the</w:t>
      </w:r>
      <w:r>
        <w:t xml:space="preserve"> </w:t>
      </w:r>
      <w:r>
        <w:t xml:space="preserve">feedback received, discussed it with the CAs and agreed on the response to each question.</w:t>
      </w:r>
    </w:p>
    <w:p>
      <w:pPr>
        <w:pStyle w:val="BodyText"/>
      </w:pPr>
      <w:r>
        <w:t xml:space="preserve">The EBA also leveraged on the experience accrued during the development and monitoring</w:t>
      </w:r>
      <w:r>
        <w:t xml:space="preserve"> </w:t>
      </w:r>
      <w:r>
        <w:t xml:space="preserve">of the application of the EBA legal instruments under PSD2 and the additional own-initiative</w:t>
      </w:r>
      <w:r>
        <w:t xml:space="preserve"> </w:t>
      </w:r>
      <w:r>
        <w:t xml:space="preserve">Guidelines, as well as the clarifications provided through a number of EBA Opinions and</w:t>
      </w:r>
      <w:r>
        <w:t xml:space="preserve"> </w:t>
      </w:r>
      <w:r>
        <w:t xml:space="preserve">more than 200 answers to questions posed in the EBA Q&amp;A tool.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5: EVALUATION REPORT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 INTRODUCTION…………………………………………………………………………………………..99</w:t>
      </w:r>
      <w:r>
        <w:t xml:space="preserve"> </w:t>
      </w:r>
      <w:r>
        <w:t xml:space="preserve">1.1</w:t>
      </w:r>
      <w:r>
        <w:t xml:space="preserve"> </w:t>
      </w:r>
      <w:r>
        <w:t xml:space="preserve">Purpose of the PSD2 evaluation …………………………………………………………..99</w:t>
      </w:r>
      <w:r>
        <w:t xml:space="preserve"> </w:t>
      </w:r>
      <w:r>
        <w:t xml:space="preserve">1.2 Scope of the PSD2 evaluation ……………………………………………………………100</w:t>
      </w:r>
      <w:r>
        <w:t xml:space="preserve"> </w:t>
      </w:r>
      <w:r>
        <w:t xml:space="preserve">1.3</w:t>
      </w:r>
      <w:r>
        <w:t xml:space="preserve"> </w:t>
      </w:r>
      <w:r>
        <w:t xml:space="preserve">Description of the methodology ………………………………………………………..100</w:t>
      </w:r>
      <w:r>
        <w:t xml:space="preserve"> </w:t>
      </w:r>
      <w:r>
        <w:t xml:space="preserve">1.4</w:t>
      </w:r>
      <w:r>
        <w:t xml:space="preserve"> </w:t>
      </w:r>
      <w:r>
        <w:t xml:space="preserve">Limitations and robustness of the methodology ………………………………..101</w:t>
      </w:r>
      <w:r>
        <w:t xml:space="preserve"> </w:t>
      </w:r>
      <w:r>
        <w:t xml:space="preserve">2.WHAT WAS THE EXPECTED OUTCOME OF THE INTERVENTION? …….102</w:t>
      </w:r>
      <w:r>
        <w:t xml:space="preserve"> </w:t>
      </w:r>
      <w:r>
        <w:t xml:space="preserve">2.1</w:t>
      </w:r>
      <w:r>
        <w:t xml:space="preserve"> </w:t>
      </w:r>
      <w:r>
        <w:t xml:space="preserve">Description of the intervention and its objectives ………………………………102</w:t>
      </w:r>
      <w:r>
        <w:t xml:space="preserve"> </w:t>
      </w:r>
      <w:r>
        <w:t xml:space="preserve">2.2</w:t>
      </w:r>
      <w:r>
        <w:t xml:space="preserve"> </w:t>
      </w:r>
      <w:r>
        <w:t xml:space="preserve">Point(s) of comparison ……………………………………………………………………..105</w:t>
      </w:r>
      <w:r>
        <w:t xml:space="preserve"> </w:t>
      </w:r>
      <w:r>
        <w:t xml:space="preserve">3.HOW HAS THE SITUATION EVOLVED OVER THE EVALUATION</w:t>
      </w:r>
      <w:r>
        <w:t xml:space="preserve"> </w:t>
      </w:r>
      <w:r>
        <w:t xml:space="preserve">PERIOD? ………………………………………………………………………………………………….106</w:t>
      </w:r>
      <w:r>
        <w:t xml:space="preserve"> </w:t>
      </w:r>
      <w:r>
        <w:t xml:space="preserve">3.1</w:t>
      </w:r>
      <w:r>
        <w:t xml:space="preserve"> </w:t>
      </w:r>
      <w:r>
        <w:t xml:space="preserve">Implementation of PSD2 ………………………………………………………………….106</w:t>
      </w:r>
      <w:r>
        <w:t xml:space="preserve"> </w:t>
      </w:r>
      <w:r>
        <w:t xml:space="preserve">3.2</w:t>
      </w:r>
      <w:r>
        <w:t xml:space="preserve"> </w:t>
      </w:r>
      <w:r>
        <w:t xml:space="preserve">Description of current situation ………………………………………………………….99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 (ANALYTICAL PART) …………………………………118</w:t>
      </w:r>
      <w:r>
        <w:t xml:space="preserve"> </w:t>
      </w:r>
      <w:r>
        <w:t xml:space="preserve">4.1</w:t>
      </w:r>
      <w:r>
        <w:t xml:space="preserve"> </w:t>
      </w:r>
      <w:r>
        <w:t xml:space="preserve">To what extent was the intervention successful and why? ………………….118</w:t>
      </w:r>
      <w:r>
        <w:t xml:space="preserve"> </w:t>
      </w:r>
      <w:r>
        <w:t xml:space="preserve">4.1.1 Effectiveness ……………………………………………………………………………………118</w:t>
      </w:r>
      <w:r>
        <w:t xml:space="preserve"> </w:t>
      </w:r>
      <w:r>
        <w:t xml:space="preserve">4.1.2 Efficiency ………………………………………………………………………………………..134</w:t>
      </w:r>
      <w:r>
        <w:t xml:space="preserve"> </w:t>
      </w:r>
      <w:r>
        <w:t xml:space="preserve">4.1.3 Coherence ……………………………………………………………………………………….138</w:t>
      </w:r>
      <w:r>
        <w:t xml:space="preserve"> </w:t>
      </w:r>
      <w:r>
        <w:t xml:space="preserve">4.1.3.1</w:t>
      </w:r>
      <w:r>
        <w:t xml:space="preserve"> </w:t>
      </w:r>
      <w:r>
        <w:t xml:space="preserve">Internal coherence …………………………………………………………………….138</w:t>
      </w:r>
      <w:r>
        <w:t xml:space="preserve"> </w:t>
      </w:r>
      <w:r>
        <w:t xml:space="preserve">4.1.3.2</w:t>
      </w:r>
      <w:r>
        <w:t xml:space="preserve"> </w:t>
      </w:r>
      <w:r>
        <w:t xml:space="preserve">External coherence ……………………………………………………………………139</w:t>
      </w:r>
      <w:r>
        <w:t xml:space="preserve"> </w:t>
      </w:r>
      <w:r>
        <w:t xml:space="preserve">4.2</w:t>
      </w:r>
      <w:r>
        <w:t xml:space="preserve"> </w:t>
      </w:r>
      <w:r>
        <w:t xml:space="preserve">How did the EU intervention make a difference and to whom? ………….143</w:t>
      </w:r>
      <w:r>
        <w:t xml:space="preserve"> </w:t>
      </w:r>
      <w:r>
        <w:t xml:space="preserve">4.3</w:t>
      </w:r>
      <w:r>
        <w:t xml:space="preserve"> </w:t>
      </w:r>
      <w:r>
        <w:t xml:space="preserve">Is the intervention still relevant? ………………………………………………………145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 …………….156</w:t>
      </w:r>
      <w:r>
        <w:t xml:space="preserve"> </w:t>
      </w:r>
      <w:r>
        <w:t xml:space="preserve">5.1. Conclusions ………………………………………………………………………………………157</w:t>
      </w:r>
      <w:r>
        <w:t xml:space="preserve"> </w:t>
      </w:r>
      <w:r>
        <w:t xml:space="preserve">5.2. Lessons learned ………………………………………………………………………………..159</w:t>
      </w:r>
    </w:p>
    <w:p>
      <w:pPr>
        <w:pStyle w:val="BodyText"/>
      </w:pPr>
      <w:r>
        <w:t xml:space="preserve">99</w:t>
      </w:r>
    </w:p>
    <w:p>
      <w:pPr>
        <w:pStyle w:val="Compact"/>
        <w:numPr>
          <w:ilvl w:val="0"/>
          <w:numId w:val="1033"/>
        </w:numPr>
      </w:pPr>
      <w:r>
        <w:t xml:space="preserve">INTRODUCTION</w:t>
      </w:r>
      <w:r>
        <w:t xml:space="preserve"> </w:t>
      </w:r>
      <w:r>
        <w:t xml:space="preserve">The revised Payment Services Directive175 (PSD2 – Directive (EU) 2015/2366) adopted in</w:t>
      </w:r>
      <w:r>
        <w:t xml:space="preserve"> </w:t>
      </w:r>
      <w:r>
        <w:t xml:space="preserve">2015 aims to develop a competitive and innovative single market for payment services with a</w:t>
      </w:r>
      <w:r>
        <w:t xml:space="preserve"> </w:t>
      </w:r>
      <w:r>
        <w:t xml:space="preserve">high level of security and protection for consumers and businesses by improving the previous</w:t>
      </w:r>
      <w:r>
        <w:t xml:space="preserve"> </w:t>
      </w:r>
      <w:r>
        <w:t xml:space="preserve">rules (PSD1). In particular, the Directive aims to:</w:t>
      </w:r>
      <w:r>
        <w:t xml:space="preserve"> </w:t>
      </w:r>
      <w:r>
        <w:t xml:space="preserve"> make it easier and safer to use online payment services;</w:t>
      </w:r>
      <w:r>
        <w:t xml:space="preserve"> </w:t>
      </w:r>
      <w:r>
        <w:t xml:space="preserve"> better protect payment services users against fraud, abuse, and payment problems;</w:t>
      </w:r>
      <w:r>
        <w:t xml:space="preserve"> </w:t>
      </w:r>
      <w:r>
        <w:t xml:space="preserve"> promote innovative payment services;</w:t>
      </w:r>
      <w:r>
        <w:t xml:space="preserve"> </w:t>
      </w:r>
      <w:r>
        <w:t xml:space="preserve"> strengthen the rights of payment services users.</w:t>
      </w:r>
      <w:r>
        <w:t xml:space="preserve"> </w:t>
      </w:r>
      <w:r>
        <w:t xml:space="preserve">Most of the provisions in PSD2 have been applicable since January 2018, but some</w:t>
      </w:r>
      <w:r>
        <w:t xml:space="preserve"> </w:t>
      </w:r>
      <w:r>
        <w:t xml:space="preserve">provisions on strong customer authentication (SCA) and access to payment accounts data</w:t>
      </w:r>
      <w:r>
        <w:t xml:space="preserve"> </w:t>
      </w:r>
      <w:r>
        <w:t xml:space="preserve">apply since September 2019.</w:t>
      </w:r>
      <w:r>
        <w:t xml:space="preserve"> </w:t>
      </w:r>
      <w:r>
        <w:t xml:space="preserve">1.1</w:t>
      </w:r>
      <w:r>
        <w:t xml:space="preserve"> </w:t>
      </w:r>
      <w:r>
        <w:t xml:space="preserve">Purpose of the PSD2 evaluation</w:t>
      </w:r>
      <w:r>
        <w:t xml:space="preserve"> </w:t>
      </w:r>
      <w:r>
        <w:t xml:space="preserve">This evaluation differs from the review report foreseen by PSD2, whose Article 108 requires</w:t>
      </w:r>
      <w:r>
        <w:t xml:space="preserve"> </w:t>
      </w:r>
      <w:r>
        <w:t xml:space="preserve">the Commission to report on the application and impact of the Directive by 13 January</w:t>
      </w:r>
      <w:r>
        <w:t xml:space="preserve"> </w:t>
      </w:r>
      <w:r>
        <w:t xml:space="preserve">2021176, in particular with regard to the rules on charges, the scope of application, certain</w:t>
      </w:r>
      <w:r>
        <w:t xml:space="preserve"> </w:t>
      </w:r>
      <w:r>
        <w:t xml:space="preserve">thresholds, the access to payment systems and the introduction of maximum limits for the</w:t>
      </w:r>
      <w:r>
        <w:t xml:space="preserve"> </w:t>
      </w:r>
      <w:r>
        <w:t xml:space="preserve">amounts to be blocked on the payer’s payment account. Furthermore, the review clause</w:t>
      </w:r>
      <w:r>
        <w:t xml:space="preserve"> </w:t>
      </w:r>
      <w:r>
        <w:t xml:space="preserve">mandates the Commission to submit a legislative proposal, if appropriate. The review report</w:t>
      </w:r>
      <w:r>
        <w:t xml:space="preserve"> </w:t>
      </w:r>
      <w:r>
        <w:t xml:space="preserve">will be published together with the revision of PSD2.</w:t>
      </w:r>
      <w:r>
        <w:t xml:space="preserve"> </w:t>
      </w:r>
      <w:r>
        <w:t xml:space="preserve">The PSD2 evaluation presented in this document is retrospective. It has been conducted for</w:t>
      </w:r>
      <w:r>
        <w:t xml:space="preserve"> </w:t>
      </w:r>
      <w:r>
        <w:t xml:space="preserve">the purpose of and in parallel (‘back-to-back’) with the impact assessment accompanying the</w:t>
      </w:r>
      <w:r>
        <w:t xml:space="preserve"> </w:t>
      </w:r>
      <w:r>
        <w:t xml:space="preserve">proposal revising PSD2. The results of this evaluation have been incorporated in the problem</w:t>
      </w:r>
      <w:r>
        <w:t xml:space="preserve"> </w:t>
      </w:r>
      <w:r>
        <w:t xml:space="preserve">definition of the impact assessment.</w:t>
      </w:r>
      <w:r>
        <w:t xml:space="preserve"> </w:t>
      </w:r>
      <w:r>
        <w:t xml:space="preserve">The evaluation covers the period from the application of the PSD2 (13 January 2018) until</w:t>
      </w:r>
      <w:r>
        <w:t xml:space="preserve"> </w:t>
      </w:r>
      <w:r>
        <w:t xml:space="preserve">end 2022. In line with the Better Regulation Toolbox177, it examines whether the objectives</w:t>
      </w:r>
      <w:r>
        <w:t xml:space="preserve"> </w:t>
      </w:r>
      <w:r>
        <w:t xml:space="preserve">of the Directive were met during the period of its application (effectiveness) and continue to</w:t>
      </w:r>
      <w:r>
        <w:t xml:space="preserve"> </w:t>
      </w:r>
      <w:r>
        <w:t xml:space="preserve">be appropriate (relevance) and whether the PSD2, taking account of the costs and benefits</w:t>
      </w:r>
      <w:r>
        <w:t xml:space="preserve"> </w:t>
      </w:r>
      <w:r>
        <w:t xml:space="preserve">associated with applying it, was efficient in achieving its objectives (efficiency). The</w:t>
      </w:r>
      <w:r>
        <w:t xml:space="preserve"> </w:t>
      </w:r>
      <w:r>
        <w:t xml:space="preserve">evaluation also considers whether the Directive, as legislation at EU level, provided added</w:t>
      </w:r>
      <w:r>
        <w:t xml:space="preserve"> </w:t>
      </w:r>
      <w:r>
        <w:t xml:space="preserve">value (EU added value) and is consistent with other related pieces of legislation (coherence).</w:t>
      </w:r>
    </w:p>
    <w:p>
      <w:pPr>
        <w:pStyle w:val="FirstParagraph"/>
      </w:pPr>
      <w:r>
        <w:t xml:space="preserve">175</w:t>
      </w:r>
      <w:r>
        <w:br/>
      </w:r>
      <w:r>
        <w:t xml:space="preserve">Directive (EU) 2015/2366 of the European Parliament and of the Council of 25 November 2015 on</w:t>
      </w:r>
      <w:r>
        <w:t xml:space="preserve"> </w:t>
      </w:r>
      <w:r>
        <w:t xml:space="preserve">payment services in the internal market, amending Directives 2002/65/EC, 2009/110/EC and 2013/36/EU and</w:t>
      </w:r>
      <w:r>
        <w:t xml:space="preserve"> </w:t>
      </w:r>
      <w:r>
        <w:t xml:space="preserve">Regulation (EU) No 1093/2010, and repealing Directive 2007/64/EC (OJ L 337, 23.12.2015, p. 35–127).</w:t>
      </w:r>
      <w:r>
        <w:t xml:space="preserve"> </w:t>
      </w:r>
      <w:r>
        <w:t xml:space="preserve">176</w:t>
      </w:r>
      <w:r>
        <w:br/>
      </w:r>
      <w:r>
        <w:t xml:space="preserve">This review could not take place by the date provided for in the Directive due to its late transposition</w:t>
      </w:r>
      <w:r>
        <w:t xml:space="preserve"> </w:t>
      </w:r>
      <w:r>
        <w:t xml:space="preserve">by some Member States and the delay in applying some of its rules.</w:t>
      </w:r>
      <w:r>
        <w:t xml:space="preserve"> </w:t>
      </w:r>
      <w:r>
        <w:t xml:space="preserve">177</w:t>
      </w:r>
      <w:r>
        <w:br/>
      </w:r>
      <w:r>
        <w:t xml:space="preserve">European Commission (2021) Better Regulation Toolbox, Chapter 6, Tool #47.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This evaluation is part of the general PSD2 review process, announced in the Digital Finance</w:t>
      </w:r>
      <w:r>
        <w:t xml:space="preserve"> </w:t>
      </w:r>
      <w:r>
        <w:t xml:space="preserve">Strategy178, the Retail Payments Strategy179 and the 2023 Commission work programme180.</w:t>
      </w:r>
      <w:r>
        <w:t xml:space="preserve"> </w:t>
      </w:r>
      <w:r>
        <w:t xml:space="preserve">1.2</w:t>
      </w:r>
    </w:p>
    <w:p>
      <w:pPr>
        <w:pStyle w:val="BodyText"/>
      </w:pPr>
      <w:r>
        <w:t xml:space="preserve">Scope of the PSD2 evaluation</w:t>
      </w:r>
      <w:r>
        <w:t xml:space="preserve"> </w:t>
      </w:r>
      <w:r>
        <w:t xml:space="preserve">The scope of the present evaluation includes the PSD2 in its entirety.</w:t>
      </w:r>
      <w:r>
        <w:t xml:space="preserve"> </w:t>
      </w:r>
      <w:r>
        <w:t xml:space="preserve">The Directive is accompanied by a number of Delegated and Implementing Acts and further</w:t>
      </w:r>
      <w:r>
        <w:t xml:space="preserve"> </w:t>
      </w:r>
      <w:r>
        <w:t xml:space="preserve">guidance in the form of Guidelines, Opinions and more than 200 Q&amp;As provided by the</w:t>
      </w:r>
      <w:r>
        <w:t xml:space="preserve"> </w:t>
      </w:r>
      <w:r>
        <w:t xml:space="preserve">European Banking Authority (EBA). Related delegated and/or implementing acts were not</w:t>
      </w:r>
      <w:r>
        <w:t xml:space="preserve"> </w:t>
      </w:r>
      <w:r>
        <w:t xml:space="preserve">assessed on a standalone basis.</w:t>
      </w:r>
      <w:r>
        <w:br/>
      </w:r>
      <w:r>
        <w:t xml:space="preserve">The geographical scope of the evaluation extends to all EU Member States. By virtue of</w:t>
      </w:r>
      <w:r>
        <w:t xml:space="preserve"> </w:t>
      </w:r>
      <w:r>
        <w:t xml:space="preserve">Article 288 TFEU the Directive is binding, as to the result to be achieved, upon each Member</w:t>
      </w:r>
      <w:r>
        <w:t xml:space="preserve"> </w:t>
      </w:r>
      <w:r>
        <w:t xml:space="preserve">State to which it is addressed, but shall leave to the national authorities the choice of form</w:t>
      </w:r>
      <w:r>
        <w:t xml:space="preserve"> </w:t>
      </w:r>
      <w:r>
        <w:t xml:space="preserve">and methods. PSD2 is of EEA relevance and was incorporated into the EEA Agreement.</w:t>
      </w:r>
      <w:r>
        <w:t xml:space="preserve"> </w:t>
      </w:r>
      <w:r>
        <w:t xml:space="preserve">However, the evaluation does not extend to Iceland, Liechtenstein and Norway.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Description of the methodology</w:t>
      </w:r>
      <w:r>
        <w:t xml:space="preserve"> </w:t>
      </w:r>
      <w:r>
        <w:t xml:space="preserve">The evaluation, being part of the general review process of the Directive, was supported by a</w:t>
      </w:r>
      <w:r>
        <w:t xml:space="preserve"> </w:t>
      </w:r>
      <w:r>
        <w:t xml:space="preserve">study carried out by an external contractor, a Consortium composed of VVA Brussels SPRL</w:t>
      </w:r>
      <w:r>
        <w:t xml:space="preserve"> </w:t>
      </w:r>
      <w:r>
        <w:t xml:space="preserve">(lead) and the Centre for European Policy Studies (CEPS) with the support of the Nicolaus</w:t>
      </w:r>
      <w:r>
        <w:t xml:space="preserve"> </w:t>
      </w:r>
      <w:r>
        <w:t xml:space="preserve">Copernicus University in Toruń. The final ‘Study on the application and impact of Directive</w:t>
      </w:r>
      <w:r>
        <w:t xml:space="preserve"> </w:t>
      </w:r>
      <w:r>
        <w:t xml:space="preserve">(EU) 2015/2366 on Payment Services (PSD2)’181 (hereafter ‘the VVA/CEPS study’), which</w:t>
      </w:r>
      <w:r>
        <w:t xml:space="preserve"> </w:t>
      </w:r>
      <w:r>
        <w:t xml:space="preserve">was delivered to the Commission on 7 October 2022, provides a comprehensive assessment</w:t>
      </w:r>
      <w:r>
        <w:t xml:space="preserve"> </w:t>
      </w:r>
      <w:r>
        <w:t xml:space="preserve">of the application and impact of PSD2 and is based on three methodological approaches:</w:t>
      </w:r>
      <w:r>
        <w:t xml:space="preserve"> </w:t>
      </w:r>
      <w:r>
        <w:t xml:space="preserve">desk-based research, fieldwork, and analysis. The consultation activities included 8 scoping</w:t>
      </w:r>
      <w:r>
        <w:t xml:space="preserve"> </w:t>
      </w:r>
      <w:r>
        <w:t xml:space="preserve">interviews, 232 stakeholder interviews, an online survey with 65 responses and 13 follow-up</w:t>
      </w:r>
      <w:r>
        <w:t xml:space="preserve"> </w:t>
      </w:r>
      <w:r>
        <w:t xml:space="preserve">interviews. The study was prepared in accordance with the Better Regulation Guidelines and</w:t>
      </w:r>
      <w:r>
        <w:t xml:space="preserve"> </w:t>
      </w:r>
      <w:r>
        <w:t xml:space="preserve">Toolbox.</w:t>
      </w:r>
      <w:r>
        <w:t xml:space="preserve"> </w:t>
      </w:r>
      <w:r>
        <w:t xml:space="preserve">The evaluation also builds on feedback received (195 responses) in the context of the Call for</w:t>
      </w:r>
      <w:r>
        <w:t xml:space="preserve"> </w:t>
      </w:r>
      <w:r>
        <w:t xml:space="preserve">Evidence (see Annex 2).</w:t>
      </w:r>
    </w:p>
    <w:p>
      <w:pPr>
        <w:pStyle w:val="BodyText"/>
      </w:pPr>
      <w:r>
        <w:t xml:space="preserve">178</w:t>
      </w:r>
      <w:r>
        <w:br/>
      </w:r>
      <w:r>
        <w:t xml:space="preserve">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On A Digital Finance Strategy For The</w:t>
      </w:r>
      <w:r>
        <w:t xml:space="preserve"> </w:t>
      </w:r>
      <w:r>
        <w:t xml:space="preserve">EU, COM(2020) 591 final, 24.9.2020.</w:t>
      </w:r>
      <w:r>
        <w:t xml:space="preserve"> </w:t>
      </w:r>
      <w:r>
        <w:t xml:space="preserve">179</w:t>
      </w:r>
      <w:r>
        <w:br/>
      </w:r>
      <w:r>
        <w:t xml:space="preserve">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On A Retail Payments Strategy for the</w:t>
      </w:r>
      <w:r>
        <w:t xml:space="preserve"> </w:t>
      </w:r>
      <w:r>
        <w:t xml:space="preserve">EU, COM(2020) 592 final, 24.9.2020.</w:t>
      </w:r>
      <w:r>
        <w:t xml:space="preserve"> </w:t>
      </w:r>
      <w:r>
        <w:t xml:space="preserve">180</w:t>
      </w:r>
      <w:r>
        <w:br/>
      </w:r>
      <w:r>
        <w:t xml:space="preserve">Annexes To The Communication From The Commission To The European Parliament, The Council,</w:t>
      </w:r>
      <w:r>
        <w:t xml:space="preserve"> </w:t>
      </w:r>
      <w:r>
        <w:t xml:space="preserve">The European Economic And Social Committee And The Committee Of The Regions, Commission work</w:t>
      </w:r>
      <w:r>
        <w:t xml:space="preserve"> </w:t>
      </w:r>
      <w:r>
        <w:t xml:space="preserve">programme 2023, COM(2022) 548 final, 18.10.2022.</w:t>
      </w:r>
      <w:r>
        <w:t xml:space="preserve"> </w:t>
      </w:r>
      <w:r>
        <w:t xml:space="preserve">181</w:t>
      </w:r>
      <w:r>
        <w:br/>
      </w:r>
      <w:r>
        <w:t xml:space="preserve">FISMA/2021/OP/0002, A study on the application and impact of Directive (EU) 2015/2366 on</w:t>
      </w:r>
      <w:r>
        <w:t xml:space="preserve"> </w:t>
      </w:r>
      <w:r>
        <w:t xml:space="preserve">Payment Services (PSD2). Available here.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 public consultation on the PSD2 review was organised on the ‘Have your say’-website</w:t>
      </w:r>
      <w:r>
        <w:t xml:space="preserve"> </w:t>
      </w:r>
      <w:r>
        <w:t xml:space="preserve">(hereafter ‘the public consultation’), which ran between 10 May and 2 August 2022 and</w:t>
      </w:r>
      <w:r>
        <w:t xml:space="preserve"> </w:t>
      </w:r>
      <w:r>
        <w:t xml:space="preserve">received 101 responses. This consultation includes questions for a broader audience that does</w:t>
      </w:r>
      <w:r>
        <w:t xml:space="preserve"> </w:t>
      </w:r>
      <w:r>
        <w:t xml:space="preserve">not necessarily possess specific knowledge of payment services. In parallel, a separate</w:t>
      </w:r>
      <w:r>
        <w:t xml:space="preserve"> </w:t>
      </w:r>
      <w:r>
        <w:t xml:space="preserve">targeted public consultation (hereafter ‘the targeted consultation’) ran between 10 May and 5</w:t>
      </w:r>
      <w:r>
        <w:t xml:space="preserve"> </w:t>
      </w:r>
      <w:r>
        <w:t xml:space="preserve">July 2022 and gathered input from professional stakeholders such as payment service</w:t>
      </w:r>
      <w:r>
        <w:t xml:space="preserve"> </w:t>
      </w:r>
      <w:r>
        <w:t xml:space="preserve">providers, national- and EU authorities and regulators or payment experts. The targeted</w:t>
      </w:r>
      <w:r>
        <w:t xml:space="preserve"> </w:t>
      </w:r>
      <w:r>
        <w:t xml:space="preserve">consultation attracted 169 responses. See Annex 2 for further details on these consultations.</w:t>
      </w:r>
      <w:r>
        <w:t xml:space="preserve"> </w:t>
      </w:r>
      <w:r>
        <w:t xml:space="preserve">On 20 October 2021, DG FISMA sent a Call for Advice to the EBA on a number of specific</w:t>
      </w:r>
      <w:r>
        <w:t xml:space="preserve"> </w:t>
      </w:r>
      <w:r>
        <w:t xml:space="preserve">topics related to the impact and application of specific areas of the PSD2. These topics</w:t>
      </w:r>
      <w:r>
        <w:t xml:space="preserve"> </w:t>
      </w:r>
      <w:r>
        <w:t xml:space="preserve">include (i) the scope and definitions of PSD2, (ii) authorisation, supervision and enforcement,</w:t>
      </w:r>
      <w:r>
        <w:t xml:space="preserve"> </w:t>
      </w:r>
      <w:r>
        <w:t xml:space="preserve">(iii) transparency of conditions and information requirements, (iv) rights and obligations, (v)</w:t>
      </w:r>
      <w:r>
        <w:t xml:space="preserve"> </w:t>
      </w:r>
      <w:r>
        <w:t xml:space="preserve">SCA, (vi) access to and use of payment accounts data in relation to payment initiation</w:t>
      </w:r>
      <w:r>
        <w:t xml:space="preserve"> </w:t>
      </w:r>
      <w:r>
        <w:t xml:space="preserve">services and account information services, (vii) access to accounts of payment institutions</w:t>
      </w:r>
      <w:r>
        <w:t xml:space="preserve"> </w:t>
      </w:r>
      <w:r>
        <w:t xml:space="preserve">maintained with a credit institution and (viii) cross-sectoral topics. On 23 June 2022, the EBA</w:t>
      </w:r>
      <w:r>
        <w:t xml:space="preserve"> </w:t>
      </w:r>
      <w:r>
        <w:t xml:space="preserve">published an ‘Opinion on its technical advice on the review of Directive (EU) 2015/2366 on</w:t>
      </w:r>
      <w:r>
        <w:t xml:space="preserve"> </w:t>
      </w:r>
      <w:r>
        <w:t xml:space="preserve">payment services in the internal market (PSD2)’182 in response to the Call for Advice</w:t>
      </w:r>
      <w:r>
        <w:t xml:space="preserve"> </w:t>
      </w:r>
      <w:r>
        <w:t xml:space="preserve">(hereafter ‘the EBA Advice’).</w:t>
      </w:r>
      <w:r>
        <w:br/>
      </w:r>
      <w:r>
        <w:t xml:space="preserve">These topics were also discussed in two dedicated meetings with Member States in the</w:t>
      </w:r>
      <w:r>
        <w:t xml:space="preserve"> </w:t>
      </w:r>
      <w:r>
        <w:t xml:space="preserve">Commission Expert Group on Banking, Payments and Insurance (CEGBPI) on 30 November</w:t>
      </w:r>
      <w:r>
        <w:t xml:space="preserve"> </w:t>
      </w:r>
      <w:r>
        <w:t xml:space="preserve">2021 and 7 April 2022, completed by written contributions from the experts. The Payment</w:t>
      </w:r>
      <w:r>
        <w:t xml:space="preserve"> </w:t>
      </w:r>
      <w:r>
        <w:t xml:space="preserve">Systems Market Expert Group (PSMEG) was also consulted in three meetings on 16</w:t>
      </w:r>
      <w:r>
        <w:t xml:space="preserve"> </w:t>
      </w:r>
      <w:r>
        <w:t xml:space="preserve">December 2021, 5 April 2022 and 3 October 2022 and its members provided comprehensive</w:t>
      </w:r>
      <w:r>
        <w:t xml:space="preserve"> </w:t>
      </w:r>
      <w:r>
        <w:t xml:space="preserve">written input183.</w:t>
      </w:r>
      <w:r>
        <w:br/>
      </w:r>
      <w:r>
        <w:t xml:space="preserve">In addition, the involvement of stakeholders took place through a large number of bilateral</w:t>
      </w:r>
      <w:r>
        <w:t xml:space="preserve"> </w:t>
      </w:r>
      <w:r>
        <w:t xml:space="preserve">meetings with numerous stakeholders.</w:t>
      </w:r>
      <w:r>
        <w:br/>
      </w:r>
      <w:r>
        <w:t xml:space="preserve">1.4</w:t>
      </w:r>
    </w:p>
    <w:p>
      <w:pPr>
        <w:pStyle w:val="BodyText"/>
      </w:pPr>
      <w:r>
        <w:t xml:space="preserve">Limitations and robustness of the methodology</w:t>
      </w:r>
      <w:r>
        <w:t xml:space="preserve"> </w:t>
      </w:r>
      <w:r>
        <w:t xml:space="preserve">The efficiency analysis presented in the VVA/CEPS study is based on the results of the cost-</w:t>
      </w:r>
      <w:r>
        <w:t xml:space="preserve"> </w:t>
      </w:r>
      <w:r>
        <w:t xml:space="preserve">benefit analysis and stakeholder consultation as well as an analysis of the relevant</w:t>
      </w:r>
      <w:r>
        <w:t xml:space="preserve"> </w:t>
      </w:r>
      <w:r>
        <w:t xml:space="preserve">literature184. The currently available evidence on the costs and benefits of PSD2 is scarce and</w:t>
      </w:r>
      <w:r>
        <w:t xml:space="preserve"> </w:t>
      </w:r>
      <w:r>
        <w:t xml:space="preserve">the literature generally considers the expected impacts rather than providing actual</w:t>
      </w:r>
      <w:r>
        <w:t xml:space="preserve"> </w:t>
      </w:r>
      <w:r>
        <w:t xml:space="preserve">costs/benefits or specific estimates. Stakeholder feedback is largely focused on early-stage</w:t>
      </w:r>
    </w:p>
    <w:p>
      <w:pPr>
        <w:pStyle w:val="BodyText"/>
      </w:pPr>
      <w:r>
        <w:t xml:space="preserve">182</w:t>
      </w:r>
      <w:r>
        <w:br/>
      </w:r>
      <w:r>
        <w:t xml:space="preserve">European Banking Authority (EBA/Op/2022/06) Opinion of the European Banking Authority on its</w:t>
      </w:r>
      <w:r>
        <w:t xml:space="preserve"> </w:t>
      </w:r>
      <w:r>
        <w:t xml:space="preserve">technical advice on the review of Directive (EU) 2015/2366 on payment services in the internal market (PSD2),</w:t>
      </w:r>
      <w:r>
        <w:t xml:space="preserve"> </w:t>
      </w:r>
      <w:r>
        <w:t xml:space="preserve">of 23 June 2022.</w:t>
      </w:r>
      <w:r>
        <w:t xml:space="preserve"> </w:t>
      </w:r>
      <w:r>
        <w:t xml:space="preserve">183</w:t>
      </w:r>
      <w:r>
        <w:br/>
      </w:r>
      <w:r>
        <w:t xml:space="preserve">The PSMEG consists of a maximum of 40 Members and represents in balanced proportions the</w:t>
      </w:r>
      <w:r>
        <w:t xml:space="preserve"> </w:t>
      </w:r>
      <w:r>
        <w:t xml:space="preserve">payment services industry and users of payment services.</w:t>
      </w:r>
      <w:r>
        <w:t xml:space="preserve"> </w:t>
      </w:r>
      <w:r>
        <w:t xml:space="preserve">184</w:t>
      </w:r>
      <w:r>
        <w:br/>
      </w:r>
      <w:r>
        <w:t xml:space="preserve">VVA/CEPS study, Annex 8: Cost-benefit analysis methodological note.</w:t>
      </w:r>
    </w:p>
    <w:p>
      <w:pPr>
        <w:pStyle w:val="BodyText"/>
      </w:pPr>
      <w:r>
        <w:t xml:space="preserve">102</w:t>
      </w:r>
    </w:p>
    <w:p>
      <w:pPr>
        <w:pStyle w:val="BodyText"/>
      </w:pPr>
      <w:r>
        <w:t xml:space="preserve">effects. This is not unexpected, as these impacts are only now becoming visible due to late</w:t>
      </w:r>
      <w:r>
        <w:t xml:space="preserve"> </w:t>
      </w:r>
      <w:r>
        <w:t xml:space="preserve">transposition by Member States and the late entry into force of some key provisions such as</w:t>
      </w:r>
      <w:r>
        <w:t xml:space="preserve"> </w:t>
      </w:r>
      <w:r>
        <w:t xml:space="preserve">SCA. Therefore, the longer-term effects can still only be estimated. In addition, costs and</w:t>
      </w:r>
      <w:r>
        <w:t xml:space="preserve"> </w:t>
      </w:r>
      <w:r>
        <w:t xml:space="preserve">benefits may vary between Member States. However, the findings from studies and more</w:t>
      </w:r>
      <w:r>
        <w:t xml:space="preserve"> </w:t>
      </w:r>
      <w:r>
        <w:t xml:space="preserve">recent surveys185 do provide an indication of the most critical aspects, which account for the</w:t>
      </w:r>
      <w:r>
        <w:t xml:space="preserve"> </w:t>
      </w:r>
      <w:r>
        <w:t xml:space="preserve">bulk of the costs arising from the implementation of the Directive.</w:t>
      </w:r>
      <w:r>
        <w:t xml:space="preserve"> </w:t>
      </w:r>
      <w:r>
        <w:t xml:space="preserve">2.WHAT WAS THE EXPECTED OUTCOME OF THE INTERVENTION186?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Description of the intervention and its objectives</w:t>
      </w:r>
      <w:r>
        <w:t xml:space="preserve"> </w:t>
      </w:r>
      <w:r>
        <w:t xml:space="preserve">In the Commission’s 2012 Communication “Single Market Act II – Together for new</w:t>
      </w:r>
      <w:r>
        <w:t xml:space="preserve"> </w:t>
      </w:r>
      <w:r>
        <w:t xml:space="preserve">growth”187, the modernisation of the legislative framework for retail payments was identified</w:t>
      </w:r>
      <w:r>
        <w:t xml:space="preserve"> </w:t>
      </w:r>
      <w:r>
        <w:t xml:space="preserve">as a key priority in light of its potential for new growth and innovation. The revision of the</w:t>
      </w:r>
      <w:r>
        <w:t xml:space="preserve"> </w:t>
      </w:r>
      <w:r>
        <w:t xml:space="preserve">PSD1188 and the preparation of a legislative proposal on multilateral interchange fees for card</w:t>
      </w:r>
      <w:r>
        <w:t xml:space="preserve"> </w:t>
      </w:r>
      <w:r>
        <w:t xml:space="preserve">payments189 were defined as one of the key actions of the Commission for 2013.</w:t>
      </w:r>
      <w:r>
        <w:t xml:space="preserve"> </w:t>
      </w:r>
      <w:r>
        <w:t xml:space="preserve">PSD2 is the most comprehensive and relevant set of EU rules in the field of retail payments.</w:t>
      </w:r>
      <w:r>
        <w:t xml:space="preserve"> </w:t>
      </w:r>
      <w:r>
        <w:t xml:space="preserve">It provides the legal basis for the supervision of payment institutions and defines the</w:t>
      </w:r>
      <w:r>
        <w:t xml:space="preserve"> </w:t>
      </w:r>
      <w:r>
        <w:t xml:space="preserve">information requirements and the rights and obligations between payment services providers</w:t>
      </w:r>
      <w:r>
        <w:t xml:space="preserve"> </w:t>
      </w:r>
      <w:r>
        <w:t xml:space="preserve">(including banks, payment institutions, and e-money institutions) and payment services users</w:t>
      </w:r>
      <w:r>
        <w:t xml:space="preserve"> </w:t>
      </w:r>
      <w:r>
        <w:t xml:space="preserve">(including consumers and merchants).</w:t>
      </w:r>
      <w:r>
        <w:br/>
      </w:r>
      <w:r>
        <w:t xml:space="preserve">PSD2 widens the scope of PSD1 for example by adding two new payment services that are</w:t>
      </w:r>
      <w:r>
        <w:t xml:space="preserve"> </w:t>
      </w:r>
      <w:r>
        <w:t xml:space="preserve">based on access by third party providers (TPPs) to customer data held primarily by credit</w:t>
      </w:r>
      <w:r>
        <w:t xml:space="preserve"> </w:t>
      </w:r>
      <w:r>
        <w:t xml:space="preserve">institutions, namely payment initiation services (PIS) and account information services (AIS).</w:t>
      </w:r>
      <w:r>
        <w:t xml:space="preserve"> </w:t>
      </w:r>
      <w:r>
        <w:t xml:space="preserve">PSD2 also updates the exemption for telecom operators [Article 3(l)]190 by limiting it mainly</w:t>
      </w:r>
      <w:r>
        <w:t xml:space="preserve"> </w:t>
      </w:r>
      <w:r>
        <w:t xml:space="preserve">to micro-payments for digital services and includes transactions with third countries when</w:t>
      </w:r>
      <w:r>
        <w:t xml:space="preserve"> </w:t>
      </w:r>
      <w:r>
        <w:t xml:space="preserve">only one of the payment service providers is located within the EU (</w:t>
      </w:r>
      <w:r>
        <w:t xml:space="preserve">“one-leg transactions”</w:t>
      </w:r>
      <w:r>
        <w:t xml:space="preserve">).</w:t>
      </w:r>
      <w:r>
        <w:t xml:space="preserve"> </w:t>
      </w:r>
      <w:r>
        <w:t xml:space="preserve">It also enhances cooperation and information exchange between authorities in the context of</w:t>
      </w:r>
      <w:r>
        <w:t xml:space="preserve"> </w:t>
      </w:r>
      <w:r>
        <w:t xml:space="preserve">authorisation and supervision of payment institutions. The EBA is mandated to develop a</w:t>
      </w:r>
      <w:r>
        <w:t xml:space="preserve"> </w:t>
      </w:r>
      <w:r>
        <w:t xml:space="preserve">central register of authorised and registered payment institutions.</w:t>
      </w:r>
    </w:p>
    <w:p>
      <w:pPr>
        <w:pStyle w:val="BodyText"/>
      </w:pPr>
      <w:r>
        <w:t xml:space="preserve">185</w:t>
      </w:r>
      <w:r>
        <w:br/>
      </w:r>
      <w:r>
        <w:t xml:space="preserve">Ibid.</w:t>
      </w:r>
      <w:r>
        <w:t xml:space="preserve"> </w:t>
      </w:r>
      <w:r>
        <w:t xml:space="preserve">186</w:t>
      </w:r>
      <w:r>
        <w:br/>
      </w:r>
      <w:r>
        <w:t xml:space="preserve">PSD2 is referred to in this Evaluation Report as</w:t>
      </w:r>
      <w:r>
        <w:t xml:space="preserve"> </w:t>
      </w:r>
      <w:r>
        <w:t xml:space="preserve">“the intervention”</w:t>
      </w:r>
      <w:r>
        <w:t xml:space="preserve">.</w:t>
      </w:r>
      <w:r>
        <w:t xml:space="preserve"> </w:t>
      </w:r>
      <w:r>
        <w:t xml:space="preserve">187</w:t>
      </w:r>
      <w:r>
        <w:br/>
      </w:r>
      <w:r>
        <w:t xml:space="preserve">European Commission Communication</w:t>
      </w:r>
      <w:r>
        <w:t xml:space="preserve"> </w:t>
      </w:r>
      <w:r>
        <w:t xml:space="preserve">“Single Market Act II - Together for new growth”</w:t>
      </w:r>
      <w:r>
        <w:t xml:space="preserve">, COM(2012)</w:t>
      </w:r>
      <w:r>
        <w:t xml:space="preserve"> </w:t>
      </w:r>
      <w:r>
        <w:t xml:space="preserve">573 final.</w:t>
      </w:r>
      <w:r>
        <w:t xml:space="preserve"> </w:t>
      </w:r>
      <w:r>
        <w:t xml:space="preserve">188</w:t>
      </w:r>
      <w:r>
        <w:br/>
      </w:r>
      <w:r>
        <w:t xml:space="preserve">Directive 2007/64/EC of the European Parliament and of the Council of 13 November 2007 on</w:t>
      </w:r>
      <w:r>
        <w:t xml:space="preserve"> </w:t>
      </w:r>
      <w:r>
        <w:t xml:space="preserve">payment services in the internal market.</w:t>
      </w:r>
      <w:r>
        <w:t xml:space="preserve"> </w:t>
      </w:r>
      <w:r>
        <w:t xml:space="preserve">189</w:t>
      </w:r>
      <w:r>
        <w:br/>
      </w:r>
      <w:r>
        <w:t xml:space="preserve">Regulation (EU) 2015/751 of the European Parliament and of the Council of 29 April 2015 on</w:t>
      </w:r>
      <w:r>
        <w:t xml:space="preserve"> </w:t>
      </w:r>
      <w:r>
        <w:t xml:space="preserve">interchange fees for card-based payment transactions.</w:t>
      </w:r>
      <w:r>
        <w:br/>
      </w:r>
      <w:r>
        <w:t xml:space="preserve">190</w:t>
      </w:r>
      <w:r>
        <w:br/>
      </w:r>
      <w:r>
        <w:t xml:space="preserve">PSD: frequently asked questions (point 9).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To ensure a high degree of consumer protection with regard to electronic payments, PSD2</w:t>
      </w:r>
      <w:r>
        <w:t xml:space="preserve"> </w:t>
      </w:r>
      <w:r>
        <w:t xml:space="preserve">introduces enhanced security measures to be implemented by all payment service providers,</w:t>
      </w:r>
      <w:r>
        <w:t xml:space="preserve"> </w:t>
      </w:r>
      <w:r>
        <w:t xml:space="preserve">including banks. In particular, PSD2 requires payment service providers to apply SCA for</w:t>
      </w:r>
      <w:r>
        <w:t xml:space="preserve"> </w:t>
      </w:r>
      <w:r>
        <w:t xml:space="preserve">electronic payment transactions as a general rule.</w:t>
      </w:r>
      <w:r>
        <w:t xml:space="preserve"> </w:t>
      </w:r>
      <w:r>
        <w:t xml:space="preserve">The proposal was published by the Commission on 24 July 2013, agreed by the co-legislators</w:t>
      </w:r>
      <w:r>
        <w:t xml:space="preserve"> </w:t>
      </w:r>
      <w:r>
        <w:t xml:space="preserve">on 5 May 2015, and published in the Official Journal of the European Union on 23 December</w:t>
      </w:r>
      <w:r>
        <w:t xml:space="preserve"> </w:t>
      </w:r>
      <w:r>
        <w:t xml:space="preserve">2015. The Directive entered into force on 12 January 2016. Member States had to transpose</w:t>
      </w:r>
      <w:r>
        <w:t xml:space="preserve"> </w:t>
      </w:r>
      <w:r>
        <w:t xml:space="preserve">the provisions of the Directive into their national laws and regulations by 13 January 2018.</w:t>
      </w:r>
      <w:r>
        <w:t xml:space="preserve"> </w:t>
      </w:r>
      <w:r>
        <w:t xml:space="preserve">The intervention logic includes seven ‘needs’, which link back to the main problems</w:t>
      </w:r>
      <w:r>
        <w:t xml:space="preserve"> </w:t>
      </w:r>
      <w:r>
        <w:t xml:space="preserve">identified in the PSD2 Impact Assessment191 before the introduction of PSD2, when PSD1</w:t>
      </w:r>
      <w:r>
        <w:t xml:space="preserve"> </w:t>
      </w:r>
      <w:r>
        <w:t xml:space="preserve">was still in force. These needs, or problems, relate to three problem drivers:</w:t>
      </w:r>
      <w:r>
        <w:t xml:space="preserve"> </w:t>
      </w:r>
      <w:r>
        <w:t xml:space="preserve">1) Market failures: 1.1. a fragmented market for innovative solutions (Need 1), and 1.2.</w:t>
      </w:r>
      <w:r>
        <w:t xml:space="preserve"> </w:t>
      </w:r>
      <w:r>
        <w:t xml:space="preserve">competition issues in some payment areas (Need 2);</w:t>
      </w:r>
      <w:r>
        <w:t xml:space="preserve"> </w:t>
      </w:r>
      <w:r>
        <w:t xml:space="preserve">2) Regulatory and supervisory gaps: 2.1. diverse charging practices between Member States</w:t>
      </w:r>
      <w:r>
        <w:t xml:space="preserve"> </w:t>
      </w:r>
      <w:r>
        <w:t xml:space="preserve">(Need 3), 2.2. legal vacuum for certain PSPs (Need 4), 2.3. the inconsistent application of</w:t>
      </w:r>
      <w:r>
        <w:t xml:space="preserve"> </w:t>
      </w:r>
      <w:r>
        <w:t xml:space="preserve">PSD1 (Need 5), and 2.4. diverging supervisory and licencing rules and practices (Need 6);</w:t>
      </w:r>
      <w:r>
        <w:t xml:space="preserve"> </w:t>
      </w:r>
      <w:r>
        <w:t xml:space="preserve">3) Lagging consumer protection (Need 7).</w:t>
      </w:r>
      <w:r>
        <w:t xml:space="preserve"> </w:t>
      </w:r>
      <w:r>
        <w:t xml:space="preserve">The intervention logic builds on these needs and identifies five main and six specific policy</w:t>
      </w:r>
      <w:r>
        <w:t xml:space="preserve"> </w:t>
      </w:r>
      <w:r>
        <w:t xml:space="preserve">objectives, as outlined in the PSD2 Impact Assessment192. The main objectives are:</w:t>
      </w:r>
      <w:r>
        <w:t xml:space="preserve"> </w:t>
      </w:r>
      <w:r>
        <w:t xml:space="preserve">6. To ensure a level playing field between incumbent and new providers of card, internet</w:t>
      </w:r>
      <w:r>
        <w:t xml:space="preserve"> </w:t>
      </w:r>
      <w:r>
        <w:t xml:space="preserve">and mobile payments;</w:t>
      </w:r>
      <w:r>
        <w:t xml:space="preserve"> </w:t>
      </w:r>
      <w:r>
        <w:t xml:space="preserve">7. To increase the efficiency, transparency and choice of payment instruments for</w:t>
      </w:r>
      <w:r>
        <w:t xml:space="preserve"> </w:t>
      </w:r>
      <w:r>
        <w:t xml:space="preserve">payment service users (consumers and merchants);</w:t>
      </w:r>
      <w:r>
        <w:t xml:space="preserve"> </w:t>
      </w:r>
      <w:r>
        <w:t xml:space="preserve">8. To facilitate the provision of card, internet and mobile payment services across</w:t>
      </w:r>
      <w:r>
        <w:t xml:space="preserve"> </w:t>
      </w:r>
      <w:r>
        <w:t xml:space="preserve">borders within the EU by ensuring a Single Market for payments;</w:t>
      </w:r>
      <w:r>
        <w:br/>
      </w:r>
      <w:r>
        <w:t xml:space="preserve">9. To create an environment which helps innovative payment services to reach a broader</w:t>
      </w:r>
      <w:r>
        <w:t xml:space="preserve"> </w:t>
      </w:r>
      <w:r>
        <w:t xml:space="preserve">market;</w:t>
      </w:r>
      <w:r>
        <w:t xml:space="preserve"> </w:t>
      </w:r>
      <w:r>
        <w:t xml:space="preserve">10. To ensure a high-level protection for PSUs across all Member States of the EU.</w:t>
      </w:r>
      <w:r>
        <w:t xml:space="preserve"> </w:t>
      </w:r>
      <w:r>
        <w:t xml:space="preserve">These main objectives are supplemented by the following specific objectives:</w:t>
      </w:r>
    </w:p>
    <w:p>
      <w:pPr>
        <w:pStyle w:val="BodyText"/>
      </w:pPr>
      <w:r>
        <w:t xml:space="preserve">191</w:t>
      </w:r>
      <w:r>
        <w:br/>
      </w:r>
      <w:r>
        <w:t xml:space="preserve">SWD(2013) 288 final, p. 15 et seq.</w:t>
      </w:r>
      <w:r>
        <w:br/>
      </w:r>
      <w:r>
        <w:t xml:space="preserve">Commission Staff Working Document Impact Assessment</w:t>
      </w:r>
      <w:r>
        <w:t xml:space="preserve"> </w:t>
      </w:r>
      <w:r>
        <w:t xml:space="preserve">Accompanying the document Proposal for a directive of the European parliament and of the Council on</w:t>
      </w:r>
      <w:r>
        <w:t xml:space="preserve"> </w:t>
      </w:r>
      <w:r>
        <w:t xml:space="preserve">payment services in the internal market, SWD(2013) 288 final, p. 15 et seq.</w:t>
      </w:r>
      <w:r>
        <w:br/>
      </w:r>
      <w:r>
        <w:t xml:space="preserve">192</w:t>
      </w:r>
      <w:r>
        <w:br/>
      </w:r>
      <w:r>
        <w:t xml:space="preserve">Ibid., p. 35 et seq.</w:t>
      </w:r>
    </w:p>
    <w:p>
      <w:pPr>
        <w:pStyle w:val="BodyText"/>
      </w:pPr>
      <w:r>
        <w:t xml:space="preserve">104</w:t>
      </w:r>
    </w:p>
    <w:p>
      <w:pPr>
        <w:pStyle w:val="Compact"/>
        <w:numPr>
          <w:ilvl w:val="0"/>
          <w:numId w:val="1034"/>
        </w:numPr>
      </w:pPr>
      <w:r>
        <w:t xml:space="preserve">To address standardisation and interoperability gaps for card, internet and mobile</w:t>
      </w:r>
      <w:r>
        <w:t xml:space="preserve"> </w:t>
      </w:r>
      <w:r>
        <w:t xml:space="preserve">payments;</w:t>
      </w:r>
    </w:p>
    <w:p>
      <w:pPr>
        <w:pStyle w:val="Compact"/>
        <w:numPr>
          <w:ilvl w:val="0"/>
          <w:numId w:val="1034"/>
        </w:numPr>
      </w:pPr>
      <w:r>
        <w:t xml:space="preserve">To eliminate hurdles for competition, in particular for card and internet payments;</w:t>
      </w:r>
    </w:p>
    <w:p>
      <w:pPr>
        <w:pStyle w:val="Compact"/>
        <w:numPr>
          <w:ilvl w:val="0"/>
          <w:numId w:val="1034"/>
        </w:numPr>
      </w:pPr>
      <w:r>
        <w:t xml:space="preserve">To better align charging and steering practices for payment services across the EU;</w:t>
      </w:r>
    </w:p>
    <w:p>
      <w:pPr>
        <w:pStyle w:val="Compact"/>
        <w:numPr>
          <w:ilvl w:val="0"/>
          <w:numId w:val="1034"/>
        </w:numPr>
      </w:pPr>
      <w:r>
        <w:t xml:space="preserve">To ensure that emerging payment service providers are covered by the regulatory</w:t>
      </w:r>
      <w:r>
        <w:t xml:space="preserve"> </w:t>
      </w:r>
      <w:r>
        <w:t xml:space="preserve">framework governing retail payments in the EU;</w:t>
      </w:r>
    </w:p>
    <w:p>
      <w:pPr>
        <w:pStyle w:val="Compact"/>
        <w:numPr>
          <w:ilvl w:val="0"/>
          <w:numId w:val="1034"/>
        </w:numPr>
      </w:pPr>
      <w:r>
        <w:t xml:space="preserve">To improve the consistent application of the legislative framework (PSD1) across</w:t>
      </w:r>
      <w:r>
        <w:t xml:space="preserve"> </w:t>
      </w:r>
      <w:r>
        <w:t xml:space="preserve">Member States and to better align licensing and supervisory rules for payment</w:t>
      </w:r>
      <w:r>
        <w:t xml:space="preserve"> </w:t>
      </w:r>
      <w:r>
        <w:t xml:space="preserve">services across Member States;</w:t>
      </w:r>
    </w:p>
    <w:p>
      <w:pPr>
        <w:pStyle w:val="Compact"/>
        <w:numPr>
          <w:ilvl w:val="0"/>
          <w:numId w:val="1034"/>
        </w:numPr>
      </w:pPr>
      <w:r>
        <w:t xml:space="preserve">To protect the consumer interests in view of regulatory changes in the card business</w:t>
      </w:r>
      <w:r>
        <w:t xml:space="preserve"> </w:t>
      </w:r>
      <w:r>
        <w:t xml:space="preserve">and to extend the regulatory protection to new channels and innovative payment</w:t>
      </w:r>
      <w:r>
        <w:t xml:space="preserve"> </w:t>
      </w:r>
      <w:r>
        <w:t xml:space="preserve">services.</w:t>
      </w:r>
      <w:r>
        <w:t xml:space="preserve"> </w:t>
      </w:r>
      <w:r>
        <w:t xml:space="preserve">These main and specific objectives, in turn, define the expected outputs and outcomes</w:t>
      </w:r>
      <w:r>
        <w:t xml:space="preserve"> </w:t>
      </w:r>
      <w:r>
        <w:t xml:space="preserve">following the changes introduced by the PSD2. The four ‘outputs’ (improving the level</w:t>
      </w:r>
      <w:r>
        <w:t xml:space="preserve"> </w:t>
      </w:r>
      <w:r>
        <w:t xml:space="preserve">playing field, lower payment fees, removal of barriers to cross-border payments, improved</w:t>
      </w:r>
      <w:r>
        <w:t xml:space="preserve"> </w:t>
      </w:r>
      <w:r>
        <w:t xml:space="preserve">customer protection and payment safety) summarise the key expected results following the</w:t>
      </w:r>
      <w:r>
        <w:t xml:space="preserve"> </w:t>
      </w:r>
      <w:r>
        <w:t xml:space="preserve">introduction of the Directive. The ‘outcomes’ show the wider impacts on the payments</w:t>
      </w:r>
      <w:r>
        <w:t xml:space="preserve"> </w:t>
      </w:r>
      <w:r>
        <w:t xml:space="preserve">market and the Internal Market. Besides market integration, innovation and a more consistent</w:t>
      </w:r>
      <w:r>
        <w:t xml:space="preserve"> </w:t>
      </w:r>
      <w:r>
        <w:t xml:space="preserve">application of the rules, they also include reference to the broader goal of facilitating further</w:t>
      </w:r>
      <w:r>
        <w:t xml:space="preserve"> </w:t>
      </w:r>
      <w:r>
        <w:t xml:space="preserve">uptake of non-cash payments.</w:t>
      </w:r>
      <w:r>
        <w:t xml:space="preserve"> </w:t>
      </w:r>
      <w:r>
        <w:t xml:space="preserve">In order to achieve these outputs and outcomes, the intervention logic succinctly lists a set of</w:t>
      </w:r>
      <w:r>
        <w:t xml:space="preserve"> </w:t>
      </w:r>
      <w:r>
        <w:t xml:space="preserve">‘inputs’, i.e. the key changes introduced by PSD2, namely: i) regulation and harmonisation of</w:t>
      </w:r>
      <w:r>
        <w:t xml:space="preserve"> </w:t>
      </w:r>
      <w:r>
        <w:t xml:space="preserve">the status of TPPs, ii) laying down access to payment accounts rules, including the lawful use</w:t>
      </w:r>
      <w:r>
        <w:t xml:space="preserve"> </w:t>
      </w:r>
      <w:r>
        <w:t xml:space="preserve">of consumer data, iii) prohibition of surcharges regarding specific payment methods, iv)</w:t>
      </w:r>
      <w:r>
        <w:t xml:space="preserve"> </w:t>
      </w:r>
      <w:r>
        <w:t xml:space="preserve">laying down a better claim resolution and reporting on security incidents, v) laying down</w:t>
      </w:r>
      <w:r>
        <w:t xml:space="preserve"> </w:t>
      </w:r>
      <w:r>
        <w:t xml:space="preserve">requirements for SCA, vi) setting low ceilings for unauthorised transactions and laying down</w:t>
      </w:r>
      <w:r>
        <w:t xml:space="preserve"> </w:t>
      </w:r>
      <w:r>
        <w:t xml:space="preserve">protection against theft or misappropriation of funds.</w:t>
      </w:r>
    </w:p>
    <w:p>
      <w:pPr>
        <w:pStyle w:val="FirstParagraph"/>
      </w:pPr>
      <w:r>
        <w:t xml:space="preserve">105</w:t>
      </w:r>
    </w:p>
    <w:p>
      <w:pPr>
        <w:pStyle w:val="BodyText"/>
      </w:pPr>
      <w:r>
        <w:t xml:space="preserve">Figure 5: Logic of the intervention</w:t>
      </w:r>
    </w:p>
    <w:p>
      <w:pPr>
        <w:pStyle w:val="BodyText"/>
      </w:pPr>
      <w:r>
        <w:t xml:space="preserve">Source: VVA/CEPS study, based on the PSD2 Impact Assessment</w:t>
      </w:r>
      <w:r>
        <w:t xml:space="preserve"> </w:t>
      </w:r>
      <w:r>
        <w:t xml:space="preserve">2.2</w:t>
      </w:r>
    </w:p>
    <w:p>
      <w:pPr>
        <w:pStyle w:val="BodyText"/>
      </w:pPr>
      <w:r>
        <w:t xml:space="preserve">Point(s) of comparison</w:t>
      </w:r>
      <w:r>
        <w:t xml:space="preserve"> </w:t>
      </w:r>
      <w:r>
        <w:t xml:space="preserve">The present evaluation assesses the PSD2 against the baseline under its predecessor Directive</w:t>
      </w:r>
      <w:r>
        <w:t xml:space="preserve"> </w:t>
      </w:r>
      <w:r>
        <w:t xml:space="preserve">2007/64/EC (PSD1), which was adopted in December 2007 on the basis of a Commission</w:t>
      </w:r>
      <w:r>
        <w:t xml:space="preserve"> </w:t>
      </w:r>
      <w:r>
        <w:t xml:space="preserve">proposal of December 2005.</w:t>
      </w:r>
      <w:r>
        <w:t xml:space="preserve"> </w:t>
      </w:r>
      <w:r>
        <w:t xml:space="preserve">PSD1 provided the legal foundation for an EU single market for payments, to establish a</w:t>
      </w:r>
      <w:r>
        <w:t xml:space="preserve"> </w:t>
      </w:r>
      <w:r>
        <w:t xml:space="preserve">harmonised legal framework supporting safer and more innovative payment services across</w:t>
      </w:r>
      <w:r>
        <w:t xml:space="preserve"> </w:t>
      </w:r>
      <w:r>
        <w:t xml:space="preserve">the EU. The objective was to make cross-border payments as easy, efficient and secure as</w:t>
      </w:r>
      <w:r>
        <w:t xml:space="preserve"> </w:t>
      </w:r>
      <w:r>
        <w:t xml:space="preserve">domestic payments within a Member State. Since 2007, this Directive has brought substantial</w:t>
      </w:r>
      <w:r>
        <w:t xml:space="preserve"> </w:t>
      </w:r>
      <w:r>
        <w:t xml:space="preserve">benefits to the European economy, easing access for new market entrants, including payment</w:t>
      </w:r>
      <w:r>
        <w:t xml:space="preserve"> </w:t>
      </w:r>
      <w:r>
        <w:t xml:space="preserve">institutions, and offering more competition and choice to consumers. By providing a</w:t>
      </w:r>
      <w:r>
        <w:t xml:space="preserve"> </w:t>
      </w:r>
      <w:r>
        <w:t xml:space="preserve">harmonised set of rules for the provision of payment services in a consistent manner</w:t>
      </w:r>
      <w:r>
        <w:t xml:space="preserve"> </w:t>
      </w:r>
      <w:r>
        <w:t xml:space="preserve">throughout the EU, it enabled companies to benefit from economies of scale and facilitated</w:t>
      </w:r>
      <w:r>
        <w:t xml:space="preserve"> </w:t>
      </w:r>
      <w:r>
        <w:t xml:space="preserve">the operational implementation of the Single Euro Payments Area (SEPA). PSD1 brought</w:t>
      </w:r>
      <w:r>
        <w:t xml:space="preserve"> </w:t>
      </w:r>
      <w:r>
        <w:t xml:space="preserve">more transparency and information for consumers, for example about fees. It increased</w:t>
      </w:r>
    </w:p>
    <w:p>
      <w:pPr>
        <w:pStyle w:val="BodyText"/>
      </w:pPr>
      <w:r>
        <w:t xml:space="preserve">106</w:t>
      </w:r>
    </w:p>
    <w:p>
      <w:pPr>
        <w:pStyle w:val="BodyText"/>
      </w:pPr>
      <w:r>
        <w:t xml:space="preserve">efficiency by for instance cutting execution times. It also strengthened refund rights and</w:t>
      </w:r>
      <w:r>
        <w:t xml:space="preserve"> </w:t>
      </w:r>
      <w:r>
        <w:t xml:space="preserve">clarified the respective liability of consumers and payment service providers. A very tangible</w:t>
      </w:r>
      <w:r>
        <w:t xml:space="preserve"> </w:t>
      </w:r>
      <w:r>
        <w:t xml:space="preserve">benefit was that payments were made easier and quicker throughout the whole EU: in</w:t>
      </w:r>
      <w:r>
        <w:t xml:space="preserve"> </w:t>
      </w:r>
      <w:r>
        <w:t xml:space="preserve">principle, payments were credited to the payment receiver’s account within the next day.</w:t>
      </w:r>
      <w:r>
        <w:t xml:space="preserve"> </w:t>
      </w:r>
      <w:r>
        <w:t xml:space="preserve">The analysis of the impact of PSD1 and the consultation on the Commission Green Paper of</w:t>
      </w:r>
      <w:r>
        <w:t xml:space="preserve"> </w:t>
      </w:r>
      <w:r>
        <w:t xml:space="preserve">11 January 2012, entitled, ‘Towards an integrated European market for card, internet and</w:t>
      </w:r>
      <w:r>
        <w:t xml:space="preserve"> </w:t>
      </w:r>
      <w:r>
        <w:t xml:space="preserve">mobile payments’193, have shown that market developments have given rise to significant</w:t>
      </w:r>
      <w:r>
        <w:t xml:space="preserve"> </w:t>
      </w:r>
      <w:r>
        <w:t xml:space="preserve">challenges from a regulatory perspective. As outlined in recital 4 of PSD2, “significant areas</w:t>
      </w:r>
      <w:r>
        <w:t xml:space="preserve"> </w:t>
      </w:r>
      <w:r>
        <w:t xml:space="preserve">of the payments market, in particular card, internet and mobile payments, remained</w:t>
      </w:r>
      <w:r>
        <w:t xml:space="preserve"> </w:t>
      </w:r>
      <w:r>
        <w:t xml:space="preserve">fragmented along national borders. Many innovative payment products or services (such as</w:t>
      </w:r>
      <w:r>
        <w:t xml:space="preserve"> </w:t>
      </w:r>
      <w:r>
        <w:t xml:space="preserve">payment initiation or account information services) did not fall, entirely or in large part,</w:t>
      </w:r>
      <w:r>
        <w:t xml:space="preserve"> </w:t>
      </w:r>
      <w:r>
        <w:t xml:space="preserve">within the scope of PSD1. Furthermore, the scope of PSD1 and, in particular, its exclusions,</w:t>
      </w:r>
      <w:r>
        <w:t xml:space="preserve"> </w:t>
      </w:r>
      <w:r>
        <w:t xml:space="preserve">such as certain payment-related activities (e.g. payment services provided within a “limited</w:t>
      </w:r>
      <w:r>
        <w:t xml:space="preserve"> </w:t>
      </w:r>
      <w:r>
        <w:t xml:space="preserve">network” or through mobile phones or other IT devices), had proved in some cases to be too</w:t>
      </w:r>
      <w:r>
        <w:t xml:space="preserve"> </w:t>
      </w:r>
      <w:r>
        <w:t xml:space="preserve">ambiguous, too general or simply outdated, taking into account market developments. This</w:t>
      </w:r>
      <w:r>
        <w:t xml:space="preserve"> </w:t>
      </w:r>
      <w:r>
        <w:t xml:space="preserve">had resulted in legal uncertainty, potential security risks in the payment chain and a lack of</w:t>
      </w:r>
      <w:r>
        <w:t xml:space="preserve"> </w:t>
      </w:r>
      <w:r>
        <w:t xml:space="preserve">consumer protection in certain areas. It had proven difficult for payment service providers to</w:t>
      </w:r>
      <w:r>
        <w:t xml:space="preserve"> </w:t>
      </w:r>
      <w:r>
        <w:t xml:space="preserve">launch innovative, safe and easy-to-use digital payment services and to provide consumers</w:t>
      </w:r>
      <w:r>
        <w:t xml:space="preserve"> </w:t>
      </w:r>
      <w:r>
        <w:t xml:space="preserve">and retailers with effective, convenient and secure payment methods in the Union”.</w:t>
      </w:r>
      <w:r>
        <w:br/>
      </w:r>
      <w:r>
        <w:t xml:space="preserve">PSD2 was adopted to address these problems by setting out the measures identified above.</w:t>
      </w:r>
      <w:r>
        <w:t xml:space="preserve"> </w:t>
      </w:r>
      <w:r>
        <w:t xml:space="preserve">3.HOW HAS THE SITUATION EVOLVED OVER THE EVALUATION PERIOD?</w:t>
      </w:r>
      <w:r>
        <w:t xml:space="preserve"> </w:t>
      </w:r>
      <w:r>
        <w:t xml:space="preserve">3.1</w:t>
      </w:r>
    </w:p>
    <w:p>
      <w:pPr>
        <w:pStyle w:val="BodyText"/>
      </w:pPr>
      <w:r>
        <w:t xml:space="preserve">Implementation of PSD2</w:t>
      </w:r>
      <w:r>
        <w:t xml:space="preserve"> </w:t>
      </w:r>
      <w:r>
        <w:t xml:space="preserve">The deadline for transposing PSD2 was 13 January 2018, whereas the deadline for the</w:t>
      </w:r>
      <w:r>
        <w:t xml:space="preserve"> </w:t>
      </w:r>
      <w:r>
        <w:t xml:space="preserve">migration to SCA was 14 September 2019.</w:t>
      </w:r>
      <w:r>
        <w:br/>
      </w:r>
      <w:r>
        <w:t xml:space="preserve">In March 2018, the Commission launched infringement procedures against 16 Member States</w:t>
      </w:r>
      <w:r>
        <w:t xml:space="preserve"> </w:t>
      </w:r>
      <w:r>
        <w:t xml:space="preserve">for non-communication of transposition measures, of which 14 were closed.</w:t>
      </w:r>
      <w:r>
        <w:t xml:space="preserve"> </w:t>
      </w:r>
      <w:r>
        <w:t xml:space="preserve">To date, all Member States have notified full transposition of the Directive. The last three</w:t>
      </w:r>
      <w:r>
        <w:t xml:space="preserve"> </w:t>
      </w:r>
      <w:r>
        <w:t xml:space="preserve">Member States only notified full transposition of the Directive in January and February 2020.</w:t>
      </w:r>
      <w:r>
        <w:t xml:space="preserve"> </w:t>
      </w:r>
      <w:r>
        <w:t xml:space="preserve">The late transposition by Member States not only led to a postponement of the completeness</w:t>
      </w:r>
      <w:r>
        <w:t xml:space="preserve"> </w:t>
      </w:r>
      <w:r>
        <w:t xml:space="preserve">and conformity assessment, but also had an unfavourable impact on the timing of the review</w:t>
      </w:r>
      <w:r>
        <w:t xml:space="preserve"> </w:t>
      </w:r>
      <w:r>
        <w:t xml:space="preserve">process.</w:t>
      </w:r>
      <w:r>
        <w:t xml:space="preserve"> </w:t>
      </w:r>
      <w:r>
        <w:t xml:space="preserve">The completeness assessment was finalised in 2021. Since November 2019, informal</w:t>
      </w:r>
      <w:r>
        <w:t xml:space="preserve"> </w:t>
      </w:r>
      <w:r>
        <w:t xml:space="preserve">clarification requests were sent to a total of 23 Member States. The Commission concluded</w:t>
      </w:r>
    </w:p>
    <w:p>
      <w:pPr>
        <w:pStyle w:val="BodyText"/>
      </w:pPr>
      <w:r>
        <w:t xml:space="preserve">193</w:t>
      </w:r>
      <w:r>
        <w:br/>
      </w:r>
      <w:r>
        <w:t xml:space="preserve">European Commission, Green Paper Towards an integrated European market for card, internet and</w:t>
      </w:r>
      <w:r>
        <w:t xml:space="preserve"> </w:t>
      </w:r>
      <w:r>
        <w:t xml:space="preserve">mobile payments, COM(2011) 941 final, 11.1.2012.</w:t>
      </w:r>
    </w:p>
    <w:p>
      <w:pPr>
        <w:pStyle w:val="BodyText"/>
      </w:pPr>
      <w:r>
        <w:t xml:space="preserve">107</w:t>
      </w:r>
    </w:p>
    <w:p>
      <w:pPr>
        <w:pStyle w:val="BodyText"/>
      </w:pPr>
      <w:r>
        <w:t xml:space="preserve">that the national transposition measures of 24 Member States were complete. However,</w:t>
      </w:r>
      <w:r>
        <w:t xml:space="preserve"> </w:t>
      </w:r>
      <w:r>
        <w:t xml:space="preserve">completeness checks for 3 Member States are still pending.</w:t>
      </w:r>
      <w:r>
        <w:t xml:space="preserve"> </w:t>
      </w:r>
      <w:r>
        <w:t xml:space="preserve">The Commission is currently finalizing the conformity checks. In this context, informal</w:t>
      </w:r>
      <w:r>
        <w:t xml:space="preserve"> </w:t>
      </w:r>
      <w:r>
        <w:t xml:space="preserve">clarification requests were sent to 20 Member States in December 2022 on the transposition</w:t>
      </w:r>
      <w:r>
        <w:t xml:space="preserve"> </w:t>
      </w:r>
      <w:r>
        <w:t xml:space="preserve">of a number of PSD2 key provisions.</w:t>
      </w:r>
      <w:r>
        <w:t xml:space="preserve"> </w:t>
      </w:r>
      <w:r>
        <w:t xml:space="preserve">Since the entry into force of the Directive on 12 January 2016, the EBA has supported the</w:t>
      </w:r>
      <w:r>
        <w:t xml:space="preserve"> </w:t>
      </w:r>
      <w:r>
        <w:t xml:space="preserve">implementation of the Directive through the development of seven Technical Standards194,</w:t>
      </w:r>
      <w:r>
        <w:t xml:space="preserve"> </w:t>
      </w:r>
      <w:r>
        <w:t xml:space="preserve">eight sets of Guidelines, eight Opinions, and more than 200 Q&amp;As. While the Q&amp;A process</w:t>
      </w:r>
      <w:r>
        <w:t xml:space="preserve"> </w:t>
      </w:r>
      <w:r>
        <w:t xml:space="preserve">proved to be an efficient tool for interpreting the PSD2 legal framework, due to its non-</w:t>
      </w:r>
      <w:r>
        <w:t xml:space="preserve"> </w:t>
      </w:r>
      <w:r>
        <w:t xml:space="preserve">binding nature there is no guarantee that the answers to the Q&amp;As will be enforced in all</w:t>
      </w:r>
      <w:r>
        <w:t xml:space="preserve"> </w:t>
      </w:r>
      <w:r>
        <w:t xml:space="preserve">Member States.</w:t>
      </w:r>
      <w:r>
        <w:br/>
      </w:r>
      <w:r>
        <w:t xml:space="preserve">The implementation of the SCA provisions proved to be particularly difficult due to the</w:t>
      </w:r>
      <w:r>
        <w:t xml:space="preserve"> </w:t>
      </w:r>
      <w:r>
        <w:t xml:space="preserve">challenges arising from the changes that were required, especially by actors that were not</w:t>
      </w:r>
      <w:r>
        <w:t xml:space="preserve"> </w:t>
      </w:r>
      <w:r>
        <w:t xml:space="preserve">payment service providers (PSPs), such as e-merchants, which lead to some actors in the</w:t>
      </w:r>
      <w:r>
        <w:t xml:space="preserve"> </w:t>
      </w:r>
      <w:r>
        <w:t xml:space="preserve">payments chain not being ready by 14 September 2019. SCA must be based on two or more</w:t>
      </w:r>
      <w:r>
        <w:t xml:space="preserve"> </w:t>
      </w:r>
      <w:r>
        <w:t xml:space="preserve">elements categorised as knowledge (something only the user knows), possession (something</w:t>
      </w:r>
      <w:r>
        <w:t xml:space="preserve"> </w:t>
      </w:r>
      <w:r>
        <w:t xml:space="preserve">only the user possesses) and inherence (something the user is), which are independent of each</w:t>
      </w:r>
      <w:r>
        <w:t xml:space="preserve"> </w:t>
      </w:r>
      <w:r>
        <w:t xml:space="preserve">other. To ensure a smooth migration to SCA-compliant solutions for card-based payment</w:t>
      </w:r>
      <w:r>
        <w:t xml:space="preserve"> </w:t>
      </w:r>
      <w:r>
        <w:t xml:space="preserve">transactions in internet commerce, the EBA granted on an exceptional basis supervisory</w:t>
      </w:r>
      <w:r>
        <w:t xml:space="preserve"> </w:t>
      </w:r>
      <w:r>
        <w:t xml:space="preserve">flexibility for National Competent Authorities (NCAs) not to enforce the security</w:t>
      </w:r>
      <w:r>
        <w:t xml:space="preserve"> </w:t>
      </w:r>
      <w:r>
        <w:t xml:space="preserve">requirements from its legal application date (on 14 September 2019), but as of 31 December</w:t>
      </w:r>
      <w:r>
        <w:t xml:space="preserve"> </w:t>
      </w:r>
      <w:r>
        <w:t xml:space="preserve">2020195. In return, the EBA set out actions to be taken by NCAs and affected payment</w:t>
      </w:r>
      <w:r>
        <w:t xml:space="preserve"> </w:t>
      </w:r>
      <w:r>
        <w:t xml:space="preserve">services providers (PSPs), which had to report on a regular basis to NCAs on the progress</w:t>
      </w:r>
      <w:r>
        <w:t xml:space="preserve"> </w:t>
      </w:r>
      <w:r>
        <w:t xml:space="preserve">made. Some industry stakeholders interviewed by VVA/CEPS reported that the overall delay</w:t>
      </w:r>
      <w:r>
        <w:t xml:space="preserve"> </w:t>
      </w:r>
      <w:r>
        <w:t xml:space="preserve">in implementation of SCA, as well as the publication of additional standards and multiple</w:t>
      </w:r>
      <w:r>
        <w:t xml:space="preserve"> </w:t>
      </w:r>
      <w:r>
        <w:t xml:space="preserve">opinions by EBA created legal uncertainty, complexity and implementation challenges196.</w:t>
      </w:r>
      <w:r>
        <w:br/>
      </w:r>
      <w:r>
        <w:t xml:space="preserve">3.2</w:t>
      </w:r>
    </w:p>
    <w:p>
      <w:pPr>
        <w:pStyle w:val="BodyText"/>
      </w:pPr>
      <w:r>
        <w:t xml:space="preserve">Description of current situation</w:t>
      </w:r>
      <w:r>
        <w:t xml:space="preserve"> </w:t>
      </w:r>
      <w:r>
        <w:t xml:space="preserve">Since the adoption of PSD2, new players and new services have emerged in the retail</w:t>
      </w:r>
      <w:r>
        <w:t xml:space="preserve"> </w:t>
      </w:r>
      <w:r>
        <w:t xml:space="preserve">payments market. More specialised non-bank providers (payment fintechs) have entered the</w:t>
      </w:r>
      <w:r>
        <w:t xml:space="preserve"> </w:t>
      </w:r>
      <w:r>
        <w:t xml:space="preserve">market and provide newly regulated services (account information and payment initiation).</w:t>
      </w:r>
      <w:r>
        <w:t xml:space="preserve"> </w:t>
      </w:r>
      <w:r>
        <w:t xml:space="preserve">Large technology companies have extended their activities into the payments domain. Big</w:t>
      </w:r>
    </w:p>
    <w:p>
      <w:pPr>
        <w:pStyle w:val="BodyText"/>
      </w:pPr>
      <w:r>
        <w:t xml:space="preserve">194</w:t>
      </w:r>
      <w:r>
        <w:br/>
      </w:r>
      <w:r>
        <w:t xml:space="preserve">Regulatory Technical Standards on Home-Host cooperation under PSD2; Regulatory and</w:t>
      </w:r>
      <w:r>
        <w:t xml:space="preserve"> </w:t>
      </w:r>
      <w:r>
        <w:t xml:space="preserve">Implementing Technical Standards on the EBA Register under PSD2; Regulatory Technical Standards on</w:t>
      </w:r>
      <w:r>
        <w:t xml:space="preserve"> </w:t>
      </w:r>
      <w:r>
        <w:t xml:space="preserve">central contact points under PSD2; Regulatory Technical Standards on passporting under PSD2; Regulatory</w:t>
      </w:r>
      <w:r>
        <w:t xml:space="preserve"> </w:t>
      </w:r>
      <w:r>
        <w:t xml:space="preserve">Technical Standards on strong customer authentication and secure communication under PSD2; and Regulatory</w:t>
      </w:r>
      <w:r>
        <w:t xml:space="preserve"> </w:t>
      </w:r>
      <w:r>
        <w:t xml:space="preserve">Technical Standards on payment card schemes and processing entities under the IFR.</w:t>
      </w:r>
      <w:r>
        <w:t xml:space="preserve"> </w:t>
      </w:r>
      <w:r>
        <w:t xml:space="preserve">195</w:t>
      </w:r>
      <w:r>
        <w:br/>
      </w:r>
      <w:r>
        <w:t xml:space="preserve">European Banking Authority (EBA-Op-2019-11) Opinion of the European Banking Authority on the</w:t>
      </w:r>
      <w:r>
        <w:t xml:space="preserve"> </w:t>
      </w:r>
      <w:r>
        <w:t xml:space="preserve">deadline for the migration to SCA for e-commerce card-based payment transactions, of October 2019.</w:t>
      </w:r>
      <w:r>
        <w:br/>
      </w:r>
      <w:r>
        <w:t xml:space="preserve">196</w:t>
      </w:r>
      <w:r>
        <w:br/>
      </w:r>
      <w:r>
        <w:t xml:space="preserve">VVA/CEPS study, p. 137.</w:t>
      </w:r>
    </w:p>
    <w:p>
      <w:pPr>
        <w:pStyle w:val="BodyText"/>
      </w:pPr>
      <w:r>
        <w:t xml:space="preserve">108</w:t>
      </w:r>
    </w:p>
    <w:p>
      <w:pPr>
        <w:pStyle w:val="BodyText"/>
      </w:pPr>
      <w:r>
        <w:t xml:space="preserve">hybrid groups have emerged, providing both PSD2-regulated and non-regulated services such</w:t>
      </w:r>
      <w:r>
        <w:t xml:space="preserve"> </w:t>
      </w:r>
      <w:r>
        <w:t xml:space="preserve">as payment processing. New types of digital payment solutions, such as those based on e-</w:t>
      </w:r>
      <w:r>
        <w:t xml:space="preserve"> </w:t>
      </w:r>
      <w:r>
        <w:t xml:space="preserve">money, on digital wallets or on traditional payment instruments such as cards are increasingly</w:t>
      </w:r>
      <w:r>
        <w:t xml:space="preserve"> </w:t>
      </w:r>
      <w:r>
        <w:t xml:space="preserve">popular. Crypto-assets and stablecoins have appeared in the payments landscape.</w:t>
      </w:r>
      <w:r>
        <w:br/>
      </w:r>
      <w:r>
        <w:t xml:space="preserve">This entry of new players has occurred in a context where the retail payments market197 has</w:t>
      </w:r>
      <w:r>
        <w:t xml:space="preserve"> </w:t>
      </w:r>
      <w:r>
        <w:t xml:space="preserve">been undergoing key changes largely related to the increasing use of cards and other</w:t>
      </w:r>
      <w:r>
        <w:t xml:space="preserve"> </w:t>
      </w:r>
      <w:r>
        <w:t xml:space="preserve">electronic payment methods. Compared with 2018, when PSD2 entered into force, the total</w:t>
      </w:r>
      <w:r>
        <w:t xml:space="preserve"> </w:t>
      </w:r>
      <w:r>
        <w:t xml:space="preserve">number of non-cash payments in the EU, comprising all types of payment services, increased</w:t>
      </w:r>
      <w:r>
        <w:t xml:space="preserve"> </w:t>
      </w:r>
      <w:r>
        <w:t xml:space="preserve">by 2.5% in 2021 to 143.2 bn, despite the total value decrease by 15% to EUR 239.9 trillion.</w:t>
      </w:r>
      <w:r>
        <w:t xml:space="preserve"> </w:t>
      </w:r>
      <w:r>
        <w:t xml:space="preserve">Payment cards are the most popular means of cashless payments in terms of number of</w:t>
      </w:r>
      <w:r>
        <w:t xml:space="preserve"> </w:t>
      </w:r>
      <w:r>
        <w:t xml:space="preserve">transactions (Figure 3). In 2021, card payments represented 52% of all cashless transactions</w:t>
      </w:r>
      <w:r>
        <w:t xml:space="preserve"> </w:t>
      </w:r>
      <w:r>
        <w:t xml:space="preserve">in the EU, although this share has decreased since 2018 (when card payments constituted</w:t>
      </w:r>
      <w:r>
        <w:t xml:space="preserve"> </w:t>
      </w:r>
      <w:r>
        <w:t xml:space="preserve">55.5% of all cashless payments)198.</w:t>
      </w:r>
      <w:r>
        <w:t xml:space="preserve"> </w:t>
      </w:r>
      <w:r>
        <w:t xml:space="preserve">Figure 6: Cashless payments in billion (EU)</w:t>
      </w:r>
    </w:p>
    <w:p>
      <w:pPr>
        <w:pStyle w:val="BodyText"/>
      </w:pP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2020</w:t>
      </w:r>
      <w:r>
        <w:t xml:space="preserve"> </w:t>
      </w:r>
      <w:r>
        <w:t xml:space="preserve">2021</w:t>
      </w:r>
      <w:r>
        <w:t xml:space="preserve"> </w:t>
      </w:r>
      <w:r>
        <w:t xml:space="preserve">Total</w:t>
      </w:r>
      <w:r>
        <w:t xml:space="preserve"> </w:t>
      </w:r>
      <w:r>
        <w:t xml:space="preserve">number</w:t>
      </w:r>
      <w:r>
        <w:t xml:space="preserve"> </w:t>
      </w:r>
      <w:r>
        <w:t xml:space="preserve">(bn)</w:t>
      </w:r>
      <w:r>
        <w:t xml:space="preserve"> </w:t>
      </w:r>
      <w:r>
        <w:t xml:space="preserve">114.3</w:t>
      </w:r>
      <w:r>
        <w:t xml:space="preserve"> </w:t>
      </w:r>
      <w:r>
        <w:t xml:space="preserve">123.2</w:t>
      </w:r>
      <w:r>
        <w:t xml:space="preserve"> </w:t>
      </w:r>
      <w:r>
        <w:t xml:space="preserve">128.1</w:t>
      </w:r>
      <w:r>
        <w:t xml:space="preserve"> </w:t>
      </w:r>
      <w:r>
        <w:t xml:space="preserve">139.7</w:t>
      </w:r>
      <w:r>
        <w:t xml:space="preserve"> </w:t>
      </w:r>
      <w:r>
        <w:t xml:space="preserve">152.0</w:t>
      </w:r>
      <w:r>
        <w:t xml:space="preserve"> </w:t>
      </w:r>
      <w:r>
        <w:t xml:space="preserve">126.9</w:t>
      </w:r>
      <w:r>
        <w:br/>
      </w:r>
      <w:r>
        <w:t xml:space="preserve">143.2</w:t>
      </w:r>
      <w:r>
        <w:t xml:space="preserve"> </w:t>
      </w:r>
      <w:r>
        <w:t xml:space="preserve">Total</w:t>
      </w:r>
      <w:r>
        <w:t xml:space="preserve"> </w:t>
      </w:r>
      <w:r>
        <w:t xml:space="preserve">value (tn)</w:t>
      </w:r>
      <w:r>
        <w:t xml:space="preserve"> </w:t>
      </w:r>
      <w:r>
        <w:t xml:space="preserve">276.7</w:t>
      </w:r>
      <w:r>
        <w:t xml:space="preserve"> </w:t>
      </w:r>
      <w:r>
        <w:t xml:space="preserve">281.4</w:t>
      </w:r>
      <w:r>
        <w:t xml:space="preserve"> </w:t>
      </w:r>
      <w:r>
        <w:t xml:space="preserve">289.3</w:t>
      </w:r>
      <w:r>
        <w:t xml:space="preserve"> </w:t>
      </w:r>
      <w:r>
        <w:t xml:space="preserve">282.8</w:t>
      </w:r>
      <w:r>
        <w:t xml:space="preserve"> </w:t>
      </w:r>
      <w:r>
        <w:t xml:space="preserve">290.3</w:t>
      </w:r>
      <w:r>
        <w:t xml:space="preserve"> </w:t>
      </w:r>
      <w:r>
        <w:t xml:space="preserve">202.0</w:t>
      </w:r>
      <w:r>
        <w:t xml:space="preserve"> </w:t>
      </w:r>
      <w:r>
        <w:t xml:space="preserve">239.9</w:t>
      </w:r>
      <w:r>
        <w:t xml:space="preserve"> </w:t>
      </w:r>
      <w:r>
        <w:t xml:space="preserve">Source: ECB Statistical Data Warehouse; figures are for EU (changing composition); Value figures</w:t>
      </w:r>
      <w:r>
        <w:t xml:space="preserve"> </w:t>
      </w:r>
      <w:r>
        <w:t xml:space="preserve">are for all currencies combined - denominated in Euro</w:t>
      </w:r>
      <w:r>
        <w:t xml:space="preserve"> </w:t>
      </w:r>
      <w:r>
        <w:t xml:space="preserve">While focusing on the euro area only, the ECB’s 2022 study on the payment attitudes of</w:t>
      </w:r>
      <w:r>
        <w:t xml:space="preserve"> </w:t>
      </w:r>
      <w:r>
        <w:t xml:space="preserve">consumers in the euro area (SPACE)199 offers more nuanced insights. Notably, it shows that,</w:t>
      </w:r>
      <w:r>
        <w:t xml:space="preserve"> </w:t>
      </w:r>
      <w:r>
        <w:t xml:space="preserve">while cash (banknotes and coins) remains the most used means of payment at POS and P2P</w:t>
      </w:r>
      <w:r>
        <w:t xml:space="preserve"> </w:t>
      </w:r>
      <w:r>
        <w:t xml:space="preserve">proximity payments (both in terms of number and value), its share in overall turnover has</w:t>
      </w:r>
      <w:r>
        <w:t xml:space="preserve"> </w:t>
      </w:r>
      <w:r>
        <w:t xml:space="preserve">been declining. Accordingly, in 2022, cash was used in 59% of POS transactions in the euro</w:t>
      </w:r>
      <w:r>
        <w:t xml:space="preserve"> </w:t>
      </w:r>
      <w:r>
        <w:t xml:space="preserve">area, significantly down from 72% in 2019200 and 79% in 2016201. More precisely, cash</w:t>
      </w:r>
      <w:r>
        <w:t xml:space="preserve"> </w:t>
      </w:r>
      <w:r>
        <w:t xml:space="preserve">remains most frequently used for small value payments at the POS, in line with the previous</w:t>
      </w:r>
    </w:p>
    <w:p>
      <w:pPr>
        <w:pStyle w:val="BodyText"/>
      </w:pPr>
      <w:r>
        <w:t xml:space="preserve">197</w:t>
      </w:r>
      <w:r>
        <w:br/>
      </w:r>
      <w:r>
        <w:t xml:space="preserve">Retail payments designate payment services used by non-MFIs (monetary and financial institutions),</w:t>
      </w:r>
      <w:r>
        <w:t xml:space="preserve"> </w:t>
      </w:r>
      <w:r>
        <w:t xml:space="preserve">including cards, credit transfers, direct debits, e-money and cheques.</w:t>
      </w:r>
      <w:r>
        <w:br/>
      </w:r>
      <w:r>
        <w:t xml:space="preserve">198</w:t>
      </w:r>
      <w:r>
        <w:br/>
      </w:r>
      <w:r>
        <w:t xml:space="preserve">ECB Statistical Data Warehouse. Figures designate cards issued by resident PSPs, all cards except e-</w:t>
      </w:r>
      <w:r>
        <w:t xml:space="preserve"> </w:t>
      </w:r>
      <w:r>
        <w:t xml:space="preserve">money function.</w:t>
      </w:r>
      <w:r>
        <w:t xml:space="preserve"> </w:t>
      </w:r>
      <w:r>
        <w:t xml:space="preserve">199</w:t>
      </w:r>
      <w:r>
        <w:t xml:space="preserve"> </w:t>
      </w:r>
      <w:r>
        <w:t xml:space="preserve">ECB’s 2022 Study on the payment attitudes of consumers in the euro area (SPACE) builds on data</w:t>
      </w:r>
      <w:r>
        <w:t xml:space="preserve"> </w:t>
      </w:r>
      <w:r>
        <w:t xml:space="preserve">collected through a survey of a random sample of the population in all euro area countries. It follows an</w:t>
      </w:r>
      <w:r>
        <w:t xml:space="preserve"> </w:t>
      </w:r>
      <w:r>
        <w:t xml:space="preserve">identical SPACE from 2020 and 2016 study on the use of cash by households in the euro area (SUCH).</w:t>
      </w:r>
      <w:r>
        <w:t xml:space="preserve"> </w:t>
      </w:r>
      <w:r>
        <w:t xml:space="preserve">200</w:t>
      </w:r>
      <w:r>
        <w:br/>
      </w:r>
      <w:r>
        <w:t xml:space="preserve">Data from the 2020 Study on the payment attitudes of consumers in the euro area (SPACE)</w:t>
      </w:r>
      <w:r>
        <w:t xml:space="preserve"> </w:t>
      </w:r>
      <w:r>
        <w:t xml:space="preserve">201</w:t>
      </w:r>
      <w:r>
        <w:br/>
      </w:r>
      <w:r>
        <w:t xml:space="preserve">Data from the 2017 survey on the use of cash by households (SUCH).</w:t>
      </w:r>
    </w:p>
    <w:p>
      <w:pPr>
        <w:pStyle w:val="BodyText"/>
      </w:pPr>
      <w:r>
        <w:t xml:space="preserve">109</w:t>
      </w:r>
    </w:p>
    <w:p>
      <w:pPr>
        <w:pStyle w:val="BodyText"/>
      </w:pPr>
      <w:r>
        <w:t xml:space="preserve">studies whereas for payments over EUR 50 cards were the most frequently used method.</w:t>
      </w:r>
      <w:r>
        <w:t xml:space="preserve"> </w:t>
      </w:r>
      <w:r>
        <w:t xml:space="preserve">Most noticeably, although cards were used in 34% of POS transactions (up from 25% in 2019</w:t>
      </w:r>
      <w:r>
        <w:t xml:space="preserve"> </w:t>
      </w:r>
      <w:r>
        <w:t xml:space="preserve">and 19% in 2016), in terms of value of payments, they accounted for a higher share of</w:t>
      </w:r>
      <w:r>
        <w:t xml:space="preserve"> </w:t>
      </w:r>
      <w:r>
        <w:t xml:space="preserve">transactions than cash (46% compared to 42%). This contrasts with 2019 and 2016, when</w:t>
      </w:r>
      <w:r>
        <w:t xml:space="preserve"> </w:t>
      </w:r>
      <w:r>
        <w:t xml:space="preserve">cash payments accounted for a higher share of value of payments than card transactions (47%</w:t>
      </w:r>
      <w:r>
        <w:t xml:space="preserve"> </w:t>
      </w:r>
      <w:r>
        <w:t xml:space="preserve">compared to 43% in 2019 and 54% compared to 39% in 2016).</w:t>
      </w:r>
      <w:r>
        <w:br/>
      </w:r>
      <w:r>
        <w:t xml:space="preserve">According to the same report, this trend of increase of cashless payments is also found in P2P</w:t>
      </w:r>
      <w:r>
        <w:t xml:space="preserve"> </w:t>
      </w:r>
      <w:r>
        <w:t xml:space="preserve">(proximity) payments. In 2022, while cash remained the dominant means of payment in</w:t>
      </w:r>
      <w:r>
        <w:t xml:space="preserve"> </w:t>
      </w:r>
      <w:r>
        <w:t xml:space="preserve">person-to-person (P2P) transactions in the euro area, its share in the total number of payments</w:t>
      </w:r>
      <w:r>
        <w:t xml:space="preserve"> </w:t>
      </w:r>
      <w:r>
        <w:t xml:space="preserve">declined from 86% in 2019 to 73% in 2022 (from 65% to 59% in terms of value). In contrast,</w:t>
      </w:r>
      <w:r>
        <w:t xml:space="preserve"> </w:t>
      </w:r>
      <w:r>
        <w:t xml:space="preserve">cashless means of payments have increased in P2P payments between 2019 and 2022.</w:t>
      </w:r>
      <w:r>
        <w:t xml:space="preserve"> </w:t>
      </w:r>
      <w:r>
        <w:t xml:space="preserve">Particularly, the share of payments using mobile phone apps more than tripled in terms of</w:t>
      </w:r>
      <w:r>
        <w:t xml:space="preserve"> </w:t>
      </w:r>
      <w:r>
        <w:t xml:space="preserve">number during this period from 3% to 10%, and in terms of value, from 4% to 11%.</w:t>
      </w:r>
      <w:r>
        <w:br/>
      </w:r>
      <w:r>
        <w:t xml:space="preserve">This evolution towards cashless payments does not materialize evenly across all EU. For</w:t>
      </w:r>
      <w:r>
        <w:t xml:space="preserve"> </w:t>
      </w:r>
      <w:r>
        <w:t xml:space="preserve">instance, the share of card payments is well above 52% in Portugal (72.2%) and Romania</w:t>
      </w:r>
      <w:r>
        <w:t xml:space="preserve"> </w:t>
      </w:r>
      <w:r>
        <w:t xml:space="preserve">(71.8%), where it has not changed significantly compared to 2017. In contrast, the use of</w:t>
      </w:r>
      <w:r>
        <w:t xml:space="preserve"> </w:t>
      </w:r>
      <w:r>
        <w:t xml:space="preserve">cards is also below the EU average in Germany (30.3%) and Bulgaria (35%), although in</w:t>
      </w:r>
      <w:r>
        <w:t xml:space="preserve"> </w:t>
      </w:r>
      <w:r>
        <w:t xml:space="preserve">both cases these figures represent an increase of about 10p.p when compared to 2017.</w:t>
      </w:r>
      <w:r>
        <w:t xml:space="preserve"> </w:t>
      </w:r>
      <w:r>
        <w:t xml:space="preserve">Moreover, the trend towards cashless payments has not only been characterized by an</w:t>
      </w:r>
      <w:r>
        <w:t xml:space="preserve"> </w:t>
      </w:r>
      <w:r>
        <w:t xml:space="preserve">increase in card payments, but also by the increasing uptake of e-money payments (5.2% of</w:t>
      </w:r>
      <w:r>
        <w:t xml:space="preserve"> </w:t>
      </w:r>
      <w:r>
        <w:t xml:space="preserve">overall transactions in the EU in 2021 compared with 3.3% in 2017). However, here too</w:t>
      </w:r>
      <w:r>
        <w:t xml:space="preserve"> </w:t>
      </w:r>
      <w:r>
        <w:t xml:space="preserve">staggering differences can be found across Member States. Indeed, Luxembourg stands out,</w:t>
      </w:r>
      <w:r>
        <w:t xml:space="preserve"> </w:t>
      </w:r>
      <w:r>
        <w:t xml:space="preserve">with the highest number of e-money transactions (5 billion in 2021, representing a 93.3%</w:t>
      </w:r>
      <w:r>
        <w:t xml:space="preserve"> </w:t>
      </w:r>
      <w:r>
        <w:t xml:space="preserve">share of all transactions in 2021), while e-money payments also have a higher relative</w:t>
      </w:r>
      <w:r>
        <w:t xml:space="preserve"> </w:t>
      </w:r>
      <w:r>
        <w:t xml:space="preserve">importance than the EU average (5.2%) in Italy (15.7%), Ireland (11.7%) and Malta (11.6%).</w:t>
      </w:r>
      <w:r>
        <w:t xml:space="preserve"> </w:t>
      </w:r>
      <w:r>
        <w:t xml:space="preserve">In contrast, this instrument has gained comparatively little traction in the Netherlands (0%),</w:t>
      </w:r>
      <w:r>
        <w:t xml:space="preserve"> </w:t>
      </w:r>
      <w:r>
        <w:t xml:space="preserve">Austria (0.2%) and France (0.2%), as well as in non-Euro Member States Denmark (0.1%)</w:t>
      </w:r>
      <w:r>
        <w:t xml:space="preserve"> </w:t>
      </w:r>
      <w:r>
        <w:t xml:space="preserve">and Sweden (0%)202.</w:t>
      </w:r>
      <w:r>
        <w:br/>
      </w:r>
      <w:r>
        <w:t xml:space="preserve">Among cashless payments, some developments have been identified with regard to</w:t>
      </w:r>
      <w:r>
        <w:t xml:space="preserve"> </w:t>
      </w:r>
      <w:r>
        <w:t xml:space="preserve">contactless cards, mobile wallets and instant payments. The most used contactless payment</w:t>
      </w:r>
      <w:r>
        <w:t xml:space="preserve"> </w:t>
      </w:r>
      <w:r>
        <w:t xml:space="preserve">solutions in the EU are NFC-based, while other technologies such as QR (Quick Response)</w:t>
      </w:r>
      <w:r>
        <w:t xml:space="preserve"> </w:t>
      </w:r>
      <w:r>
        <w:t xml:space="preserve">codes, are also slowly gaining traction. In particular, contactless card payments at the POS</w:t>
      </w:r>
      <w:r>
        <w:t xml:space="preserve"> </w:t>
      </w:r>
      <w:r>
        <w:t xml:space="preserve">increased significantly in three years, from 41% of all card payments in 2019 to 62% in 2022.</w:t>
      </w:r>
      <w:r>
        <w:t xml:space="preserve"> </w:t>
      </w:r>
      <w:r>
        <w:t xml:space="preserve">Regarding mobile payments, while consumers are making payments using mobile phone apps</w:t>
      </w:r>
      <w:r>
        <w:t xml:space="preserve"> </w:t>
      </w:r>
      <w:r>
        <w:t xml:space="preserve">more often than before, their share in total POS payments in 2022 was still relatively low</w:t>
      </w:r>
      <w:r>
        <w:t xml:space="preserve"> </w:t>
      </w:r>
      <w:r>
        <w:t xml:space="preserve">compared to cash and card payments. Accordingly, mobile payments accounted for 3% of the</w:t>
      </w:r>
      <w:r>
        <w:t xml:space="preserve"> </w:t>
      </w:r>
      <w:r>
        <w:t xml:space="preserve">number of transactions in 2022 (up from 1% in 2019) and 4% of the value (up from 1%).</w:t>
      </w:r>
    </w:p>
    <w:p>
      <w:pPr>
        <w:pStyle w:val="BodyText"/>
      </w:pPr>
      <w:r>
        <w:t xml:space="preserve">202</w:t>
      </w:r>
      <w:r>
        <w:br/>
      </w:r>
      <w:r>
        <w:t xml:space="preserve">ECB, Statistical Data Warehouse, Payment statistics report, July 2022.</w:t>
      </w:r>
    </w:p>
    <w:p>
      <w:pPr>
        <w:pStyle w:val="BodyText"/>
      </w:pPr>
      <w:r>
        <w:t xml:space="preserve">110</w:t>
      </w:r>
    </w:p>
    <w:p>
      <w:pPr>
        <w:pStyle w:val="BodyText"/>
      </w:pPr>
      <w:r>
        <w:t xml:space="preserve">Also, digital wallets are becoming popular at point of sale. In 2021, mobile wallets203</w:t>
      </w:r>
      <w:r>
        <w:t xml:space="preserve"> </w:t>
      </w:r>
      <w:r>
        <w:t xml:space="preserve">accounted for 7.7% of POS value spent in the EU204.</w:t>
      </w:r>
      <w:r>
        <w:br/>
      </w:r>
      <w:r>
        <w:t xml:space="preserve">Figure 7: Share of payment instruments used at the POS in terms of number of</w:t>
      </w:r>
      <w:r>
        <w:t xml:space="preserve"> </w:t>
      </w:r>
      <w:r>
        <w:t xml:space="preserve">transactions, 2016-2022, euro area</w:t>
      </w:r>
    </w:p>
    <w:p>
      <w:pPr>
        <w:pStyle w:val="BodyText"/>
      </w:pPr>
      <w:r>
        <w:t xml:space="preserve">Source: ECB 2022 SPACE</w:t>
      </w:r>
    </w:p>
    <w:p>
      <w:pPr>
        <w:pStyle w:val="BodyText"/>
      </w:pPr>
      <w:r>
        <w:t xml:space="preserve">203</w:t>
      </w:r>
      <w:r>
        <w:br/>
      </w:r>
      <w:r>
        <w:t xml:space="preserve">Wallets can be funded directly via cash, cards, bank transfer or other methods like cryptocurrencies, or</w:t>
      </w:r>
      <w:r>
        <w:t xml:space="preserve"> </w:t>
      </w:r>
      <w:r>
        <w:t xml:space="preserve">wallets act as pass-through mechanism and are linked to cards or bank accounts.</w:t>
      </w:r>
      <w:r>
        <w:t xml:space="preserve"> </w:t>
      </w:r>
      <w:r>
        <w:t xml:space="preserve">204</w:t>
      </w:r>
      <w:r>
        <w:br/>
      </w:r>
      <w:r>
        <w:t xml:space="preserve">Worldpay-FIS, 2022 Global payments Report.</w:t>
      </w:r>
    </w:p>
    <w:p>
      <w:pPr>
        <w:pStyle w:val="BodyText"/>
      </w:pPr>
      <w:r>
        <w:t xml:space="preserve">111</w:t>
      </w:r>
    </w:p>
    <w:p>
      <w:pPr>
        <w:pStyle w:val="BodyText"/>
      </w:pPr>
      <w:r>
        <w:t xml:space="preserve">Figure 8: Share of payment instruments used at the POS in terms of value of</w:t>
      </w:r>
      <w:r>
        <w:t xml:space="preserve"> </w:t>
      </w:r>
      <w:r>
        <w:t xml:space="preserve">transactions, 2016-2022, euro area</w:t>
      </w:r>
    </w:p>
    <w:p>
      <w:pPr>
        <w:pStyle w:val="BodyText"/>
      </w:pPr>
      <w:r>
        <w:t xml:space="preserve">Source: ECB 2022 SPACE</w:t>
      </w:r>
      <w:r>
        <w:t xml:space="preserve"> </w:t>
      </w:r>
      <w:r>
        <w:t xml:space="preserve">More efficient payment infrastructures permitting credit transfers to take place within</w:t>
      </w:r>
      <w:r>
        <w:t xml:space="preserve"> </w:t>
      </w:r>
      <w:r>
        <w:t xml:space="preserve">seconds have been developed, notably the Eurosystem’s TARGET Instant Payment</w:t>
      </w:r>
      <w:r>
        <w:t xml:space="preserve"> </w:t>
      </w:r>
      <w:r>
        <w:t xml:space="preserve">Settlement (TIPS) and EBA CLEARING’s pan-European instant payment system, RT1.</w:t>
      </w:r>
      <w:r>
        <w:t xml:space="preserve"> </w:t>
      </w:r>
      <w:r>
        <w:t xml:space="preserve">According to data from the European Payments Council for Q3 2022, instant payments (IPs)</w:t>
      </w:r>
      <w:r>
        <w:t xml:space="preserve"> </w:t>
      </w:r>
      <w:r>
        <w:t xml:space="preserve">represented 13% of total volume of euro credit transfers in the EU.205</w:t>
      </w:r>
      <w:r>
        <w:t xml:space="preserve"> </w:t>
      </w:r>
      <w:r>
        <w:t xml:space="preserve">COVID-19 accelerated the rise of e-commerce, with 22% of EU enterprises reporting e-</w:t>
      </w:r>
      <w:r>
        <w:t xml:space="preserve"> </w:t>
      </w:r>
      <w:r>
        <w:t xml:space="preserve">commerce sales in 2020206, of which 19% reported that their online sales made at least 1% of</w:t>
      </w:r>
      <w:r>
        <w:t xml:space="preserve"> </w:t>
      </w:r>
      <w:r>
        <w:t xml:space="preserve">their total turnover, one p.p. increase compared with 2019. In 2021, card payments were the</w:t>
      </w:r>
      <w:r>
        <w:t xml:space="preserve"> </w:t>
      </w:r>
      <w:r>
        <w:t xml:space="preserve">most preferred payment method in e-commerce: credit cards accounted for 25% and debit</w:t>
      </w:r>
      <w:r>
        <w:t xml:space="preserve"> </w:t>
      </w:r>
      <w:r>
        <w:t xml:space="preserve">cards for 17% of the total e-commerce transaction value in the EU207. Card payments were</w:t>
      </w:r>
      <w:r>
        <w:t xml:space="preserve"> </w:t>
      </w:r>
      <w:r>
        <w:t xml:space="preserve">followed by digital payment wallets (including pass-through wallets; e.g. Apple Pay, Google</w:t>
      </w:r>
      <w:r>
        <w:t xml:space="preserve"> </w:t>
      </w:r>
      <w:r>
        <w:t xml:space="preserve">Pay), which represented 27% of the transaction value in 2021.</w:t>
      </w:r>
      <w:r>
        <w:t xml:space="preserve"> </w:t>
      </w:r>
      <w:r>
        <w:t xml:space="preserve">Offering more granular insights for the euro area, the 2022 ECB’s SPACE report observes</w:t>
      </w:r>
      <w:r>
        <w:t xml:space="preserve"> </w:t>
      </w:r>
      <w:r>
        <w:t xml:space="preserve">that online payments have become more frequent in comparison to POS and P2P across the</w:t>
      </w:r>
      <w:r>
        <w:t xml:space="preserve"> </w:t>
      </w:r>
      <w:r>
        <w:t xml:space="preserve">euro area. In 2022, 17% of all day-to-day payments in 2022 were made online, compared</w:t>
      </w:r>
      <w:r>
        <w:t xml:space="preserve"> </w:t>
      </w:r>
      <w:r>
        <w:t xml:space="preserve">with only 6% in 2019. In terms of value, the share of online payments was 28% (up from</w:t>
      </w:r>
      <w:r>
        <w:t xml:space="preserve"> </w:t>
      </w:r>
      <w:r>
        <w:t xml:space="preserve">14%) in 2022, suggesting that online payments were more frequently used for larger payment</w:t>
      </w:r>
    </w:p>
    <w:p>
      <w:pPr>
        <w:pStyle w:val="BodyText"/>
      </w:pPr>
      <w:r>
        <w:t xml:space="preserve">205</w:t>
      </w:r>
      <w:r>
        <w:br/>
      </w:r>
      <w:r>
        <w:t xml:space="preserve">European Payments Council, SCT Inst scheme – where are we now and where are we heading?</w:t>
      </w:r>
      <w:r>
        <w:t xml:space="preserve"> </w:t>
      </w:r>
      <w:r>
        <w:t xml:space="preserve">206</w:t>
      </w:r>
      <w:r>
        <w:br/>
      </w:r>
      <w:r>
        <w:t xml:space="preserve">Eurostat, Online sales continue to grow among EU enterprises, December 2021.</w:t>
      </w:r>
      <w:r>
        <w:t xml:space="preserve"> </w:t>
      </w:r>
      <w:r>
        <w:t xml:space="preserve">207</w:t>
      </w:r>
      <w:r>
        <w:br/>
      </w:r>
      <w:r>
        <w:t xml:space="preserve">Ibid.</w:t>
      </w:r>
    </w:p>
    <w:p>
      <w:pPr>
        <w:pStyle w:val="BodyText"/>
      </w:pPr>
      <w:r>
        <w:t xml:space="preserve">112</w:t>
      </w:r>
    </w:p>
    <w:p>
      <w:pPr>
        <w:pStyle w:val="BodyText"/>
      </w:pPr>
      <w:r>
        <w:t xml:space="preserve">amounts. As noted in the report, at least 10% of all non-recurring transactions were online</w:t>
      </w:r>
      <w:r>
        <w:t xml:space="preserve"> </w:t>
      </w:r>
      <w:r>
        <w:t xml:space="preserve">payments in every euro area country, a notable change, since online payments accounted for</w:t>
      </w:r>
      <w:r>
        <w:t xml:space="preserve"> </w:t>
      </w:r>
      <w:r>
        <w:t xml:space="preserve">less than 5% of non-recurring payments in some countries (Malta, Cyprus and Germany) in</w:t>
      </w:r>
      <w:r>
        <w:t xml:space="preserve"> </w:t>
      </w:r>
      <w:r>
        <w:t xml:space="preserve">2019. In several countries the share of online payments in 2022 was over 20% (Belgium,</w:t>
      </w:r>
      <w:r>
        <w:t xml:space="preserve"> </w:t>
      </w:r>
      <w:r>
        <w:t xml:space="preserve">Austria, Ireland and France). Whereas more than half of these online payments were still</w:t>
      </w:r>
      <w:r>
        <w:t xml:space="preserve"> </w:t>
      </w:r>
      <w:r>
        <w:t xml:space="preserve">made with cards in 2022 (51%), this share has declined (even if only slightly, by 3p.p)</w:t>
      </w:r>
      <w:r>
        <w:t xml:space="preserve"> </w:t>
      </w:r>
      <w:r>
        <w:t xml:space="preserve">between 2019 and 2022. The use of E-payment solutions including PayPal and other online</w:t>
      </w:r>
      <w:r>
        <w:t xml:space="preserve"> </w:t>
      </w:r>
      <w:r>
        <w:t xml:space="preserve">or mobile payment method has also decreased slightly, whilst the share of a growing variety</w:t>
      </w:r>
      <w:r>
        <w:t xml:space="preserve"> </w:t>
      </w:r>
      <w:r>
        <w:t xml:space="preserve">of other online payment methods (including direct debit, loyalty points, vouchers and gift</w:t>
      </w:r>
      <w:r>
        <w:t xml:space="preserve"> </w:t>
      </w:r>
      <w:r>
        <w:t xml:space="preserve">cards, crypto assets, and any other methods) has risen to 17% (up from 10% in 2019) in terms</w:t>
      </w:r>
      <w:r>
        <w:t xml:space="preserve"> </w:t>
      </w:r>
      <w:r>
        <w:t xml:space="preserve">of number of transactions and to 14% in terms of value (up from 8% in 2019).</w:t>
      </w:r>
      <w:r>
        <w:t xml:space="preserve"> </w:t>
      </w:r>
      <w:r>
        <w:t xml:space="preserve">Figure 9: Breakdown of number of online payments by payment instrument, 2019-</w:t>
      </w:r>
      <w:r>
        <w:t xml:space="preserve"> </w:t>
      </w:r>
      <w:r>
        <w:t xml:space="preserve">2022, euro area</w:t>
      </w:r>
    </w:p>
    <w:p>
      <w:pPr>
        <w:pStyle w:val="BodyText"/>
      </w:pPr>
      <w:r>
        <w:t xml:space="preserve">Source: ECB 2022 SPACE</w:t>
      </w:r>
    </w:p>
    <w:p>
      <w:pPr>
        <w:pStyle w:val="BodyText"/>
      </w:pPr>
      <w:r>
        <w:t xml:space="preserve">113</w:t>
      </w:r>
    </w:p>
    <w:p>
      <w:pPr>
        <w:pStyle w:val="BodyText"/>
      </w:pPr>
      <w:r>
        <w:t xml:space="preserve">Figure 10: Breakdown of value of online payments by payment instrument, 2019- 2022,</w:t>
      </w:r>
      <w:r>
        <w:t xml:space="preserve"> </w:t>
      </w:r>
      <w:r>
        <w:t xml:space="preserve">euro area</w:t>
      </w:r>
    </w:p>
    <w:p>
      <w:pPr>
        <w:pStyle w:val="BodyText"/>
      </w:pPr>
      <w:r>
        <w:t xml:space="preserve">Source: ECB 2022 SPACE</w:t>
      </w:r>
      <w:r>
        <w:t xml:space="preserve"> </w:t>
      </w:r>
      <w:r>
        <w:t xml:space="preserve">EU market for payment services</w:t>
      </w:r>
      <w:r>
        <w:br/>
      </w:r>
      <w:r>
        <w:t xml:space="preserve">The PSD2 aimed at improving the provision of payment services across borders within the</w:t>
      </w:r>
      <w:r>
        <w:t xml:space="preserve"> </w:t>
      </w:r>
      <w:r>
        <w:t xml:space="preserve">EU. With respect to this goal, a number of efforts have been made over the last years, such as</w:t>
      </w:r>
      <w:r>
        <w:t xml:space="preserve"> </w:t>
      </w:r>
      <w:r>
        <w:t xml:space="preserve">the introduction of single euro payment area (SEPA) standards for euro transactions, the</w:t>
      </w:r>
      <w:r>
        <w:t xml:space="preserve"> </w:t>
      </w:r>
      <w:r>
        <w:t xml:space="preserve">cross-border payment regulation208, which equalised fees for cross-border and national</w:t>
      </w:r>
      <w:r>
        <w:t xml:space="preserve"> </w:t>
      </w:r>
      <w:r>
        <w:t xml:space="preserve">payments in euros, and more recently with the current proposal on Instant Payments</w:t>
      </w:r>
      <w:r>
        <w:t xml:space="preserve"> </w:t>
      </w:r>
      <w:r>
        <w:t xml:space="preserve">Regulation209. The ability for payment service providers to access the single market for</w:t>
      </w:r>
      <w:r>
        <w:t xml:space="preserve"> </w:t>
      </w:r>
      <w:r>
        <w:t xml:space="preserve">payments through passporting rights has also contributed towards this goal. In particular, the</w:t>
      </w:r>
      <w:r>
        <w:t xml:space="preserve"> </w:t>
      </w:r>
      <w:r>
        <w:t xml:space="preserve">number of third-party providers of payment services newly regulated under PSD2 which offer</w:t>
      </w:r>
      <w:r>
        <w:t xml:space="preserve"> </w:t>
      </w:r>
      <w:r>
        <w:t xml:space="preserve">their services across borders beyond their home registration country has increased. According</w:t>
      </w:r>
      <w:r>
        <w:t xml:space="preserve"> </w:t>
      </w:r>
      <w:r>
        <w:t xml:space="preserve">to Konsentus210, out of the 353 fintech TPPs regulated in the EEA in Q4 2022, half of them</w:t>
      </w:r>
      <w:r>
        <w:t xml:space="preserve"> </w:t>
      </w:r>
      <w:r>
        <w:t xml:space="preserve">passport their services into countries other than their home regulated market, which</w:t>
      </w:r>
      <w:r>
        <w:t xml:space="preserve"> </w:t>
      </w:r>
      <w:r>
        <w:t xml:space="preserve">represents a 30% increase in relation to 2021211. More generally, the rise of online e-</w:t>
      </w:r>
    </w:p>
    <w:p>
      <w:pPr>
        <w:pStyle w:val="BodyText"/>
      </w:pPr>
      <w:r>
        <w:t xml:space="preserve">208</w:t>
      </w:r>
      <w:r>
        <w:br/>
      </w:r>
      <w:r>
        <w:t xml:space="preserve">Regulation (EU) 2021/1230EC No 924/2009.</w:t>
      </w:r>
      <w:r>
        <w:t xml:space="preserve"> </w:t>
      </w:r>
      <w:r>
        <w:t xml:space="preserve">209</w:t>
      </w:r>
      <w:r>
        <w:br/>
      </w:r>
      <w:r>
        <w:t xml:space="preserve">Proposal for a Regulation Of The European Parliament And Of The Council amending Regulations</w:t>
      </w:r>
      <w:r>
        <w:t xml:space="preserve"> </w:t>
      </w:r>
      <w:r>
        <w:t xml:space="preserve">(EU) No 260/2012 and (EU) 2021/1230 as regards instant credit transfers in euro, COM(2022) 546 final,</w:t>
      </w:r>
      <w:r>
        <w:t xml:space="preserve"> </w:t>
      </w:r>
      <w:r>
        <w:t xml:space="preserve">26.10.2022.</w:t>
      </w:r>
      <w:r>
        <w:t xml:space="preserve"> </w:t>
      </w:r>
      <w:r>
        <w:t xml:space="preserve">210</w:t>
      </w:r>
      <w:r>
        <w:br/>
      </w:r>
      <w:r>
        <w:t xml:space="preserve">About Konsentus | Helping Open Banking Stay Open &amp; Secure. Konsentus provides insights into how</w:t>
      </w:r>
      <w:r>
        <w:t xml:space="preserve"> </w:t>
      </w:r>
      <w:r>
        <w:t xml:space="preserve">Open Banking is developing in the EU and the UK, including a quarterly TPP tracker and country reports. In</w:t>
      </w:r>
      <w:r>
        <w:t xml:space="preserve"> </w:t>
      </w:r>
      <w:r>
        <w:t xml:space="preserve">their research Konsentus only included the pure-TPPs, i.e. providers of only AIS and/or PIS, so not including</w:t>
      </w:r>
      <w:r>
        <w:t xml:space="preserve"> </w:t>
      </w:r>
      <w:r>
        <w:t xml:space="preserve">banks (ASPSPs) that could also acts as TPPs.</w:t>
      </w:r>
      <w:r>
        <w:t xml:space="preserve"> </w:t>
      </w:r>
      <w:r>
        <w:t xml:space="preserve">211</w:t>
      </w:r>
      <w:r>
        <w:br/>
      </w:r>
      <w:r>
        <w:t xml:space="preserve">Konsentus TPP Tracker, Q4 2022.</w:t>
      </w:r>
    </w:p>
    <w:p>
      <w:pPr>
        <w:pStyle w:val="BodyText"/>
      </w:pPr>
      <w:r>
        <w:t xml:space="preserve">114</w:t>
      </w:r>
    </w:p>
    <w:p>
      <w:pPr>
        <w:pStyle w:val="BodyText"/>
      </w:pPr>
      <w:r>
        <w:t xml:space="preserve">commerce platforms has led to increasing demand for cheap and secure solutions for low-</w:t>
      </w:r>
      <w:r>
        <w:t xml:space="preserve"> </w:t>
      </w:r>
      <w:r>
        <w:t xml:space="preserve">value transactions across borders212.</w:t>
      </w:r>
      <w:r>
        <w:t xml:space="preserve"> </w:t>
      </w:r>
      <w:r>
        <w:t xml:space="preserve">Notwithstanding, the European payments landscape remains fragmented along national lines,</w:t>
      </w:r>
      <w:r>
        <w:t xml:space="preserve"> </w:t>
      </w:r>
      <w:r>
        <w:t xml:space="preserve">with the uptake of innovative, digital solutions happening, to an important extent, in</w:t>
      </w:r>
      <w:r>
        <w:t xml:space="preserve"> </w:t>
      </w:r>
      <w:r>
        <w:t xml:space="preserve">connection with. With regard to card payments, as noted by the ECB213, a number of factors</w:t>
      </w:r>
      <w:r>
        <w:t xml:space="preserve"> </w:t>
      </w:r>
      <w:r>
        <w:t xml:space="preserve">have contributed to the continued fragmentation of the market along national lines. First,</w:t>
      </w:r>
      <w:r>
        <w:t xml:space="preserve"> </w:t>
      </w:r>
      <w:r>
        <w:t xml:space="preserve">while European cardholders are generally able to use their national cards at any terminal in</w:t>
      </w:r>
      <w:r>
        <w:t xml:space="preserve"> </w:t>
      </w:r>
      <w:r>
        <w:t xml:space="preserve">Europe, the acceptance of cards issued under national card schemes across Europe has</w:t>
      </w:r>
      <w:r>
        <w:t xml:space="preserve"> </w:t>
      </w:r>
      <w:r>
        <w:t xml:space="preserve">generally relied on co-badging with a very limited number of International Card Schemes</w:t>
      </w:r>
      <w:r>
        <w:t xml:space="preserve"> </w:t>
      </w:r>
      <w:r>
        <w:t xml:space="preserve">(ICS). In the absence of a pan-European scheme for cards, co-badging has enabled PSPs to</w:t>
      </w:r>
      <w:r>
        <w:t xml:space="preserve"> </w:t>
      </w:r>
      <w:r>
        <w:t xml:space="preserve">offer a user-friendly solution to the demand for a single payment instrument for national and</w:t>
      </w:r>
      <w:r>
        <w:t xml:space="preserve"> </w:t>
      </w:r>
      <w:r>
        <w:t xml:space="preserve">cross-border payments214. Moreover, with the aim of facilitating cross-border acceptance,</w:t>
      </w:r>
      <w:r>
        <w:t xml:space="preserve"> </w:t>
      </w:r>
      <w:r>
        <w:t xml:space="preserve">new banks often opt to issue cards with only ICS, including in countries where a national</w:t>
      </w:r>
      <w:r>
        <w:t xml:space="preserve"> </w:t>
      </w:r>
      <w:r>
        <w:t xml:space="preserve">card scheme is available215. Finally, the introduction of interchange fee caps in 2015 has</w:t>
      </w:r>
      <w:r>
        <w:t xml:space="preserve"> </w:t>
      </w:r>
      <w:r>
        <w:t xml:space="preserve">reduced national card schemes’ price advantage on the acquiring side vis-à-vis international</w:t>
      </w:r>
      <w:r>
        <w:t xml:space="preserve"> </w:t>
      </w:r>
      <w:r>
        <w:t xml:space="preserve">schemes.</w:t>
      </w:r>
      <w:r>
        <w:t xml:space="preserve"> </w:t>
      </w:r>
      <w:r>
        <w:t xml:space="preserve">With regard to credit transfers, the uptake of innovative payment solutions entailed with</w:t>
      </w:r>
      <w:r>
        <w:t xml:space="preserve"> </w:t>
      </w:r>
      <w:r>
        <w:t xml:space="preserve">credit transfers (notably, PIS) and has been closely linked with the growth of domestic</w:t>
      </w:r>
      <w:r>
        <w:t xml:space="preserve"> </w:t>
      </w:r>
      <w:r>
        <w:t xml:space="preserve">account-to-account (A2A) schemes. A2A schemes designate payments built on credit transfer</w:t>
      </w:r>
      <w:r>
        <w:t xml:space="preserve"> </w:t>
      </w:r>
      <w:r>
        <w:t xml:space="preserve">rails offering consumers and merchants an alternative to cards. These have been importantly</w:t>
      </w:r>
      <w:r>
        <w:t xml:space="preserve"> </w:t>
      </w:r>
      <w:r>
        <w:t xml:space="preserve">driven by domestic efforts, with many such schemes owned by ASPSPs or ASPSPs coalitions</w:t>
      </w:r>
      <w:r>
        <w:t xml:space="preserve"> </w:t>
      </w:r>
      <w:r>
        <w:t xml:space="preserve">(although not all, e.g. Trustly, Klarna). For instance, schemes such as Giropay (Germany),</w:t>
      </w:r>
      <w:r>
        <w:t xml:space="preserve"> </w:t>
      </w:r>
      <w:r>
        <w:t xml:space="preserve">iDeal (Netherlands), Swish (Sweden) and Bizum (Spain), facilitate A2A payments across the</w:t>
      </w:r>
      <w:r>
        <w:t xml:space="preserve"> </w:t>
      </w:r>
      <w:r>
        <w:t xml:space="preserve">major banks in the respective countries. These schemes have grown considerably in terms of</w:t>
      </w:r>
      <w:r>
        <w:t xml:space="preserve"> </w:t>
      </w:r>
      <w:r>
        <w:t xml:space="preserve">transaction volumes over the last few years, with Netherlands- based iDeal (from EUR 33bn</w:t>
      </w:r>
      <w:r>
        <w:t xml:space="preserve"> </w:t>
      </w:r>
      <w:r>
        <w:t xml:space="preserve">in 2017 to EUR 99bn in 2021), Spanish Bizum (from EUR 1bn in 2018 to EUR 26bn in</w:t>
      </w:r>
      <w:r>
        <w:t xml:space="preserve"> </w:t>
      </w:r>
      <w:r>
        <w:t xml:space="preserve">2021) or Poland- based Blik (from EUR 1bn in 2017 to EUR 23bn in 2021) as illustrative</w:t>
      </w:r>
      <w:r>
        <w:t xml:space="preserve"> </w:t>
      </w:r>
      <w:r>
        <w:t xml:space="preserve">examples216. In terms of market shares, these schemes still do not represent a large proportion</w:t>
      </w:r>
      <w:r>
        <w:t xml:space="preserve"> </w:t>
      </w:r>
      <w:r>
        <w:t xml:space="preserve">of POS transactions (with Polish Blik presenting the most significant share, 15%, amongst a</w:t>
      </w:r>
      <w:r>
        <w:t xml:space="preserve"> </w:t>
      </w:r>
      <w:r>
        <w:t xml:space="preserve">sample of recently surveyed markets217). This changes in terms of C2B e-commerce, with the</w:t>
      </w:r>
      <w:r>
        <w:t xml:space="preserve"> </w:t>
      </w:r>
      <w:r>
        <w:t xml:space="preserve">cases of the Netherlands (75%), Poland (53%) and Belgium (47%) as the most prominent.</w:t>
      </w:r>
      <w:r>
        <w:t xml:space="preserve"> </w:t>
      </w:r>
      <w:r>
        <w:t xml:space="preserve">The significance of these schemes is expectable to grow, with recent industry- led research218</w:t>
      </w:r>
    </w:p>
    <w:p>
      <w:pPr>
        <w:pStyle w:val="BodyText"/>
      </w:pPr>
      <w:r>
        <w:t xml:space="preserve">212</w:t>
      </w:r>
      <w:r>
        <w:br/>
      </w:r>
      <w:r>
        <w:t xml:space="preserve">Swift. (2018). The transformation of the European payments landscape. Swift White Paper, cited in the</w:t>
      </w:r>
      <w:r>
        <w:t xml:space="preserve"> </w:t>
      </w:r>
      <w:r>
        <w:t xml:space="preserve">VVA/CEPS study, p.32.</w:t>
      </w:r>
      <w:r>
        <w:t xml:space="preserve"> </w:t>
      </w:r>
      <w:r>
        <w:t xml:space="preserve">213</w:t>
      </w:r>
      <w:r>
        <w:br/>
      </w:r>
      <w:r>
        <w:t xml:space="preserve">ECB, “Card payments in Europe – current landscape and future prospects: a Eurosystem perspective”,</w:t>
      </w:r>
      <w:r>
        <w:t xml:space="preserve"> </w:t>
      </w:r>
      <w:r>
        <w:t xml:space="preserve">April 2019.</w:t>
      </w:r>
      <w:r>
        <w:t xml:space="preserve"> </w:t>
      </w:r>
      <w:r>
        <w:t xml:space="preserve">214</w:t>
      </w:r>
      <w:r>
        <w:br/>
      </w:r>
      <w:r>
        <w:t xml:space="preserve">Ibid.</w:t>
      </w:r>
      <w:r>
        <w:t xml:space="preserve"> </w:t>
      </w:r>
      <w:r>
        <w:t xml:space="preserve">215</w:t>
      </w:r>
      <w:r>
        <w:br/>
      </w:r>
      <w:r>
        <w:t xml:space="preserve">Ibid.</w:t>
      </w:r>
      <w:r>
        <w:t xml:space="preserve"> </w:t>
      </w:r>
      <w:r>
        <w:t xml:space="preserve">216</w:t>
      </w:r>
      <w:r>
        <w:br/>
      </w:r>
      <w:r>
        <w:t xml:space="preserve">Van Arsdale, J., Majumdar, A., and Van Hoorn, M., European A2A Schemes Thriving, Not Yet Open</w:t>
      </w:r>
      <w:r>
        <w:t xml:space="preserve"> </w:t>
      </w:r>
      <w:r>
        <w:t xml:space="preserve">Banking Payments, Flagship Advisory Partners, 28 October 2022.</w:t>
      </w:r>
      <w:r>
        <w:br/>
      </w:r>
      <w:r>
        <w:t xml:space="preserve">217</w:t>
      </w:r>
      <w:r>
        <w:br/>
      </w:r>
      <w:r>
        <w:t xml:space="preserve">Ibid.</w:t>
      </w:r>
      <w:r>
        <w:t xml:space="preserve"> </w:t>
      </w:r>
      <w:r>
        <w:t xml:space="preserve">218</w:t>
      </w:r>
      <w:r>
        <w:br/>
      </w:r>
      <w:r>
        <w:t xml:space="preserve">Token.io, Who will pay by bank: Token and Open Banking Expo Survey Report, June 2022.</w:t>
      </w:r>
    </w:p>
    <w:p>
      <w:pPr>
        <w:pStyle w:val="BodyText"/>
      </w:pPr>
      <w:r>
        <w:t xml:space="preserve">115</w:t>
      </w:r>
    </w:p>
    <w:p>
      <w:pPr>
        <w:pStyle w:val="BodyText"/>
      </w:pPr>
      <w:r>
        <w:t xml:space="preserve">finding that 81% of EU consumers report they are “likely” to make an A2A payment in</w:t>
      </w:r>
      <w:r>
        <w:t xml:space="preserve"> </w:t>
      </w:r>
      <w:r>
        <w:t xml:space="preserve">future.</w:t>
      </w:r>
      <w:r>
        <w:t xml:space="preserve"> </w:t>
      </w:r>
      <w:r>
        <w:t xml:space="preserve">However, while they build on the SEPA SCT and SCT Inst schemes, domestic A2A schemes</w:t>
      </w:r>
      <w:r>
        <w:t xml:space="preserve"> </w:t>
      </w:r>
      <w:r>
        <w:t xml:space="preserve">pose issues of interoperability at the front-end across countries. In this context, the choice of</w:t>
      </w:r>
      <w:r>
        <w:t xml:space="preserve"> </w:t>
      </w:r>
      <w:r>
        <w:t xml:space="preserve">payment options for cross-border transactions in the EU has remained limited for PSUs, with</w:t>
      </w:r>
      <w:r>
        <w:t xml:space="preserve"> </w:t>
      </w:r>
      <w:r>
        <w:t xml:space="preserve">the majority of electronic PoI payments carried out or facilitated by a very limited number of</w:t>
      </w:r>
      <w:r>
        <w:t xml:space="preserve"> </w:t>
      </w:r>
      <w:r>
        <w:t xml:space="preserve">ICS and BigTechs providing mobile payment applications based on ICS (e.g. Apple Pay,</w:t>
      </w:r>
      <w:r>
        <w:t xml:space="preserve"> </w:t>
      </w:r>
      <w:r>
        <w:t xml:space="preserve">Google Pay, PayPal)219.</w:t>
      </w:r>
      <w:r>
        <w:t xml:space="preserve"> </w:t>
      </w:r>
      <w:r>
        <w:t xml:space="preserve">Open Banking</w:t>
      </w:r>
      <w:r>
        <w:t xml:space="preserve"> </w:t>
      </w:r>
      <w:r>
        <w:t xml:space="preserve">As detailed in Annex 11, Open Banking under PSD2 covers account information services</w:t>
      </w:r>
      <w:r>
        <w:t xml:space="preserve"> </w:t>
      </w:r>
      <w:r>
        <w:t xml:space="preserve">(AIS) and payment initiation services (PIS). AIS provide users with consolidated and/or</w:t>
      </w:r>
      <w:r>
        <w:t xml:space="preserve"> </w:t>
      </w:r>
      <w:r>
        <w:t xml:space="preserve">analytical information on the basis of their payment accounts, while PIS offer account-to-</w:t>
      </w:r>
      <w:r>
        <w:t xml:space="preserve"> </w:t>
      </w:r>
      <w:r>
        <w:t xml:space="preserve">account, non-card-based electronic payment solutions, notably in e-commerce. The</w:t>
      </w:r>
      <w:r>
        <w:t xml:space="preserve"> </w:t>
      </w:r>
      <w:r>
        <w:t xml:space="preserve">regulatory framework of PSD2 has also allowed the emergence of ‘API-aggregators’. In a</w:t>
      </w:r>
      <w:r>
        <w:t xml:space="preserve"> </w:t>
      </w:r>
      <w:r>
        <w:t xml:space="preserve">context where the technical specifications of the data access interface available to TPPs have</w:t>
      </w:r>
      <w:r>
        <w:t xml:space="preserve"> </w:t>
      </w:r>
      <w:r>
        <w:t xml:space="preserve">been left to ASPSPs, ‘API aggregators’ provide a single integrated API connection allowing</w:t>
      </w:r>
      <w:r>
        <w:t xml:space="preserve"> </w:t>
      </w:r>
      <w:r>
        <w:t xml:space="preserve">Open Banking services providers to integrate with the different APIs provided by ASPSPs. In</w:t>
      </w:r>
      <w:r>
        <w:t xml:space="preserve"> </w:t>
      </w:r>
      <w:r>
        <w:t xml:space="preserve">addition to API aggregation, some of these API aggregators also act as TPPs by offering their</w:t>
      </w:r>
      <w:r>
        <w:t xml:space="preserve"> </w:t>
      </w:r>
      <w:r>
        <w:t xml:space="preserve">PSD2 license as a service to unlicensed fourth party Open Banking services providers.</w:t>
      </w:r>
      <w:r>
        <w:t xml:space="preserve"> </w:t>
      </w:r>
      <w:r>
        <w:t xml:space="preserve">When characterizing the current situation regarding the use of Open Banking in the EU, one</w:t>
      </w:r>
      <w:r>
        <w:t xml:space="preserve"> </w:t>
      </w:r>
      <w:r>
        <w:t xml:space="preserve">difficulty concerns the lack of data on the use of TPP services. This is partly because</w:t>
      </w:r>
      <w:r>
        <w:t xml:space="preserve"> </w:t>
      </w:r>
      <w:r>
        <w:t xml:space="preserve">institutions prefer to keep some user-data confidential, but also because there is no</w:t>
      </w:r>
      <w:r>
        <w:t xml:space="preserve"> </w:t>
      </w:r>
      <w:r>
        <w:t xml:space="preserve">centralized regulatory database on the use of TPP services. Notwithstanding, data made</w:t>
      </w:r>
      <w:r>
        <w:t xml:space="preserve"> </w:t>
      </w:r>
      <w:r>
        <w:t xml:space="preserve">available by industry research give an indication of how the EU landscape of Open Banking</w:t>
      </w:r>
      <w:r>
        <w:t xml:space="preserve"> </w:t>
      </w:r>
      <w:r>
        <w:t xml:space="preserve">is evolving in terms of number of TPPs, users of Open Banking services220 and API calls221.</w:t>
      </w:r>
      <w:r>
        <w:t xml:space="preserve"> </w:t>
      </w:r>
      <w:r>
        <w:t xml:space="preserve">Moreover, the comparatively higher availability of data for the UK (through its Open</w:t>
      </w:r>
      <w:r>
        <w:t xml:space="preserve"> </w:t>
      </w:r>
      <w:r>
        <w:t xml:space="preserve">Banking Implementation Entity) allows for reflections on how Open Banking in the EU</w:t>
      </w:r>
      <w:r>
        <w:t xml:space="preserve"> </w:t>
      </w:r>
      <w:r>
        <w:t xml:space="preserve">compares with this non-EU market (cf. Annex 11).</w:t>
      </w:r>
      <w:r>
        <w:t xml:space="preserve"> </w:t>
      </w:r>
      <w:r>
        <w:t xml:space="preserve">According to Konsentus222, the total number of TPPs in the EEA almost tripled in the period</w:t>
      </w:r>
      <w:r>
        <w:t xml:space="preserve"> </w:t>
      </w:r>
      <w:r>
        <w:t xml:space="preserve">from September 2019 to Q4 2022, from 124 to 353 (of which 10 in non-EU countries)223.</w:t>
      </w:r>
    </w:p>
    <w:p>
      <w:pPr>
        <w:pStyle w:val="BodyText"/>
      </w:pPr>
      <w:r>
        <w:t xml:space="preserve">219</w:t>
      </w:r>
      <w:r>
        <w:br/>
      </w:r>
      <w:r>
        <w:t xml:space="preserve">Commission Staff Working Document Impact Assessment Report Accompanying The Document</w:t>
      </w:r>
      <w:r>
        <w:t xml:space="preserve"> </w:t>
      </w:r>
      <w:r>
        <w:t xml:space="preserve">Proposal For A Regulation Of The European Parliament And Of The Council amending Regulations (EU) No</w:t>
      </w:r>
      <w:r>
        <w:t xml:space="preserve"> </w:t>
      </w:r>
      <w:r>
        <w:t xml:space="preserve">260/2012 and (EU) No 2021/1230 as regards instant credit transfers in euro; SWD(2022)546, p.12.</w:t>
      </w:r>
      <w:r>
        <w:t xml:space="preserve"> </w:t>
      </w:r>
      <w:r>
        <w:t xml:space="preserve">220</w:t>
      </w:r>
      <w:r>
        <w:t xml:space="preserve"> </w:t>
      </w:r>
      <w:r>
        <w:t xml:space="preserve">‘Users’ refers here to natural or legal persons using Open Banking services.</w:t>
      </w:r>
      <w:r>
        <w:t xml:space="preserve"> </w:t>
      </w:r>
      <w:r>
        <w:t xml:space="preserve">221</w:t>
      </w:r>
      <w:r>
        <w:br/>
      </w:r>
      <w:r>
        <w:t xml:space="preserve">An API call, or API request, is a message sent to a server requesting an API to provide a service or</w:t>
      </w:r>
      <w:r>
        <w:t xml:space="preserve"> </w:t>
      </w:r>
      <w:r>
        <w:t xml:space="preserve">information. In the context of PSD2, an API call refers to the request sent by a TPP to the API of the ASPSP</w:t>
      </w:r>
      <w:r>
        <w:t xml:space="preserve"> </w:t>
      </w:r>
      <w:r>
        <w:t xml:space="preserve">requesting access to account data.</w:t>
      </w:r>
      <w:r>
        <w:t xml:space="preserve"> </w:t>
      </w:r>
      <w:r>
        <w:t xml:space="preserve">222</w:t>
      </w:r>
      <w:r>
        <w:br/>
      </w:r>
      <w:r>
        <w:t xml:space="preserve">Konsentus is “an infrastructure platform enabling safe and secure data exchange within open banking</w:t>
      </w:r>
      <w:r>
        <w:t xml:space="preserve"> </w:t>
      </w:r>
      <w:r>
        <w:t xml:space="preserve">and open finance ecosystems” - About Konsentus | Helping Open Banking Stay Open &amp; Secure. Konsentus</w:t>
      </w:r>
    </w:p>
    <w:p>
      <w:pPr>
        <w:pStyle w:val="BodyText"/>
      </w:pPr>
      <w:r>
        <w:t xml:space="preserve">116</w:t>
      </w:r>
    </w:p>
    <w:p>
      <w:pPr>
        <w:pStyle w:val="BodyText"/>
      </w:pPr>
      <w:r>
        <w:t xml:space="preserve">TPPs in the EEA mostly provide either AIS (130), or a combination of AIS and PIS (202)224.</w:t>
      </w:r>
      <w:r>
        <w:t xml:space="preserve"> </w:t>
      </w:r>
      <w:r>
        <w:t xml:space="preserve">This growth in the number of TPPs is not evenly distributed across the EU. In this regard,</w:t>
      </w:r>
      <w:r>
        <w:t xml:space="preserve"> </w:t>
      </w:r>
      <w:r>
        <w:t xml:space="preserve">Konsentus data show that Sweden, Germany and Poland are the EU countries with more</w:t>
      </w:r>
      <w:r>
        <w:t xml:space="preserve"> </w:t>
      </w:r>
      <w:r>
        <w:t xml:space="preserve">home registered TPPs (with 38, 36 and 30, respectively), while Spain, Italy and Germany</w:t>
      </w:r>
      <w:r>
        <w:t xml:space="preserve"> </w:t>
      </w:r>
      <w:r>
        <w:t xml:space="preserve">have the highest number of passported TPPs (129, 128, 127).</w:t>
      </w:r>
      <w:r>
        <w:t xml:space="preserve"> </w:t>
      </w:r>
      <w:r>
        <w:t xml:space="preserve">With regard to the number of users of Open Banking services225, there were 18.8 million</w:t>
      </w:r>
      <w:r>
        <w:t xml:space="preserve"> </w:t>
      </w:r>
      <w:r>
        <w:t xml:space="preserve">users in Europe in 2021, up from 12.2 million in 2020, and forecast to grow up to nearly 64</w:t>
      </w:r>
      <w:r>
        <w:t xml:space="preserve"> </w:t>
      </w:r>
      <w:r>
        <w:t xml:space="preserve">million users by the end of 2024 (Figure 11)226. With regard to the number of API calls,</w:t>
      </w:r>
      <w:r>
        <w:t xml:space="preserve"> </w:t>
      </w:r>
      <w:r>
        <w:t xml:space="preserve">research published in December 2021 by Konsentus estimated there were 570 million</w:t>
      </w:r>
      <w:r>
        <w:t xml:space="preserve"> </w:t>
      </w:r>
      <w:r>
        <w:t xml:space="preserve">monthly API calls in Europe as of December 2019227. They expressed the expectation this</w:t>
      </w:r>
      <w:r>
        <w:t xml:space="preserve"> </w:t>
      </w:r>
      <w:r>
        <w:t xml:space="preserve">would exceed 2 bn by December 2021, an increase of 350%, naming demand for Buy-Now-</w:t>
      </w:r>
      <w:r>
        <w:t xml:space="preserve"> </w:t>
      </w:r>
      <w:r>
        <w:t xml:space="preserve">Pay-Later and Variable Recurring Payments as examples driving this increase. In an industry</w:t>
      </w:r>
      <w:r>
        <w:t xml:space="preserve"> </w:t>
      </w:r>
      <w:r>
        <w:t xml:space="preserve">position paper by MoneyLIVE and Aiia (September 2022228), various Open Banking services</w:t>
      </w:r>
      <w:r>
        <w:t xml:space="preserve"> </w:t>
      </w:r>
      <w:r>
        <w:t xml:space="preserve">providers refer to an increase in their API calls as of late. Aiia states that “Open Banking</w:t>
      </w:r>
      <w:r>
        <w:t xml:space="preserve"> </w:t>
      </w:r>
      <w:r>
        <w:t xml:space="preserve">payments have reached a tipping point” in Europe, where it is no longer mostly the Nordics</w:t>
      </w:r>
      <w:r>
        <w:t xml:space="preserve"> </w:t>
      </w:r>
      <w:r>
        <w:t xml:space="preserve">and the UK, but other countries are following.</w:t>
      </w:r>
    </w:p>
    <w:p>
      <w:pPr>
        <w:pStyle w:val="BodyText"/>
      </w:pPr>
      <w:r>
        <w:t xml:space="preserve">provides insights into how Open Banking is developing in the EU and the UK, including a quarterly TPP tracker</w:t>
      </w:r>
      <w:r>
        <w:t xml:space="preserve"> </w:t>
      </w:r>
      <w:r>
        <w:t xml:space="preserve">and country reports. In their research Konsentus only included the pure-TPPs, i.e. providers of only AIS and/or</w:t>
      </w:r>
      <w:r>
        <w:t xml:space="preserve"> </w:t>
      </w:r>
      <w:r>
        <w:t xml:space="preserve">PIS, so not including banks (ASPSPs) that could also acts as TPPs.</w:t>
      </w:r>
      <w:r>
        <w:t xml:space="preserve"> </w:t>
      </w:r>
      <w:r>
        <w:t xml:space="preserve">223</w:t>
      </w:r>
      <w:r>
        <w:br/>
      </w:r>
      <w:r>
        <w:t xml:space="preserve">Konsentus, Q4 2022 Konsentus Third Party Provider Open Banking Tracker.</w:t>
      </w:r>
      <w:r>
        <w:br/>
      </w:r>
      <w:r>
        <w:t xml:space="preserve">224</w:t>
      </w:r>
      <w:r>
        <w:t xml:space="preserve"> </w:t>
      </w:r>
      <w:r>
        <w:t xml:space="preserve">Ibid.; data made available by Konsentus on type of TPP activity is not given per country and therefore</w:t>
      </w:r>
      <w:r>
        <w:t xml:space="preserve"> </w:t>
      </w:r>
      <w:r>
        <w:t xml:space="preserve">does not allow to infer for EU countries only.</w:t>
      </w:r>
      <w:r>
        <w:t xml:space="preserve"> </w:t>
      </w:r>
      <w:r>
        <w:t xml:space="preserve">225</w:t>
      </w:r>
      <w:r>
        <w:t xml:space="preserve"> </w:t>
      </w:r>
      <w:r>
        <w:t xml:space="preserve">‘Users’ refers here to natural or legal persons using Open Banking services.</w:t>
      </w:r>
      <w:r>
        <w:t xml:space="preserve"> </w:t>
      </w:r>
      <w:r>
        <w:t xml:space="preserve">226</w:t>
      </w:r>
      <w:r>
        <w:br/>
      </w:r>
      <w:r>
        <w:t xml:space="preserve">Statista, citing Juniper Research March 2021; available here.</w:t>
      </w:r>
      <w:r>
        <w:t xml:space="preserve"> </w:t>
      </w:r>
      <w:r>
        <w:t xml:space="preserve">227</w:t>
      </w:r>
      <w:r>
        <w:br/>
      </w:r>
      <w:r>
        <w:t xml:space="preserve">Konsentus, Open Banking in Review: Trends and Progress, December 2021.</w:t>
      </w:r>
      <w:r>
        <w:t xml:space="preserve"> </w:t>
      </w:r>
      <w:r>
        <w:t xml:space="preserve">228</w:t>
      </w:r>
      <w:r>
        <w:br/>
      </w:r>
      <w:r>
        <w:t xml:space="preserve">MoneyLIVE &amp; Aiia, The Future of Open Banking Payments, 30 September 2022.</w:t>
      </w:r>
    </w:p>
    <w:p>
      <w:pPr>
        <w:pStyle w:val="BodyText"/>
      </w:pPr>
      <w:r>
        <w:t xml:space="preserve">117</w:t>
      </w:r>
    </w:p>
    <w:p>
      <w:pPr>
        <w:pStyle w:val="BodyText"/>
      </w:pPr>
      <w:r>
        <w:t xml:space="preserve">Figure 11: Number of Open Banking users worldwide in 2020 with forecasts from 2021</w:t>
      </w:r>
      <w:r>
        <w:t xml:space="preserve"> </w:t>
      </w:r>
      <w:r>
        <w:t xml:space="preserve">to 2024, by region (in millions)</w:t>
      </w:r>
    </w:p>
    <w:p>
      <w:pPr>
        <w:pStyle w:val="BodyText"/>
      </w:pPr>
      <w:r>
        <w:t xml:space="preserve">Source: Statista, citing Juniper research</w:t>
      </w:r>
      <w:r>
        <w:t xml:space="preserve"> </w:t>
      </w:r>
      <w:r>
        <w:t xml:space="preserve">SCA/Fraud</w:t>
      </w:r>
      <w:r>
        <w:t xml:space="preserve"> </w:t>
      </w:r>
      <w:r>
        <w:t xml:space="preserve">SCA is now fully rolled-out and enforced throughout the EU. Latest figures on fraud related</w:t>
      </w:r>
      <w:r>
        <w:t xml:space="preserve"> </w:t>
      </w:r>
      <w:r>
        <w:t xml:space="preserve">to card payments show a decrease in fraud in the EU. According to EBA data229, the volume</w:t>
      </w:r>
      <w:r>
        <w:t xml:space="preserve"> </w:t>
      </w:r>
      <w:r>
        <w:t xml:space="preserve">of fraudulent transactions from December 2020 to April 2021 fell by approximately 50% for</w:t>
      </w:r>
      <w:r>
        <w:t xml:space="preserve"> </w:t>
      </w:r>
      <w:r>
        <w:t xml:space="preserve">issuers and by 40% for acquirers. In terms of value, the decrease was around 30%.</w:t>
      </w:r>
      <w:r>
        <w:t xml:space="preserve"> </w:t>
      </w:r>
      <w:r>
        <w:t xml:space="preserve">In spite of the reduction of the volume of fraudulent transactions, new types of payment fraud</w:t>
      </w:r>
      <w:r>
        <w:t xml:space="preserve"> </w:t>
      </w:r>
      <w:r>
        <w:t xml:space="preserve">have emerged230. Fraudsters increasingly use ‘social engineering’ scams (e.g. phishing) in</w:t>
      </w:r>
      <w:r>
        <w:t xml:space="preserve"> </w:t>
      </w:r>
      <w:r>
        <w:t xml:space="preserve">combination with sophisticated online attacks. SCA is not fully suited to prevent this type of</w:t>
      </w:r>
      <w:r>
        <w:t xml:space="preserve"> </w:t>
      </w:r>
      <w:r>
        <w:t xml:space="preserve">fraud, as these transactions are generally authorised and authenticated through SCA.</w:t>
      </w:r>
      <w:r>
        <w:t xml:space="preserve"> </w:t>
      </w:r>
      <w:r>
        <w:t xml:space="preserve">Authorised Push Payments (APP) fraud is becoming more frequent. In the UK231 around</w:t>
      </w:r>
      <w:r>
        <w:t xml:space="preserve"> </w:t>
      </w:r>
      <w:r>
        <w:t xml:space="preserve">189,000 APP scam cases on personal accounts were reported in 2021 (an increase of 30% on</w:t>
      </w:r>
      <w:r>
        <w:t xml:space="preserve"> </w:t>
      </w:r>
      <w:r>
        <w:t xml:space="preserve">2020) with a total value of GBP 506 million (a 46% increase on 2020). In Ireland232 APP</w:t>
      </w:r>
    </w:p>
    <w:p>
      <w:pPr>
        <w:pStyle w:val="BodyText"/>
      </w:pPr>
      <w:r>
        <w:t xml:space="preserve">229</w:t>
      </w:r>
      <w:r>
        <w:br/>
      </w:r>
      <w:r>
        <w:t xml:space="preserve">European Banking Authority, Report On The Data Provided By Payment Service Providers On Their</w:t>
      </w:r>
      <w:r>
        <w:t xml:space="preserve"> </w:t>
      </w:r>
      <w:r>
        <w:t xml:space="preserve">Readiness To Apply Strong Customer Authentication For E‐Commerce Card‐Based Payment Transactions,</w:t>
      </w:r>
      <w:r>
        <w:t xml:space="preserve"> </w:t>
      </w:r>
      <w:r>
        <w:t xml:space="preserve">EBA/REP/2021/16, 2021</w:t>
      </w:r>
      <w:r>
        <w:t xml:space="preserve"> </w:t>
      </w:r>
      <w:r>
        <w:t xml:space="preserve">230</w:t>
      </w:r>
      <w:r>
        <w:br/>
      </w:r>
      <w:r>
        <w:t xml:space="preserve">European Payments Council, 2022 Payment Threats and Fraud Trends Report, EPC183-22, 23</w:t>
      </w:r>
      <w:r>
        <w:t xml:space="preserve"> </w:t>
      </w:r>
      <w:r>
        <w:t xml:space="preserve">November 2022</w:t>
      </w:r>
      <w:r>
        <w:t xml:space="preserve"> </w:t>
      </w:r>
      <w:r>
        <w:t xml:space="preserve">231</w:t>
      </w:r>
      <w:r>
        <w:br/>
      </w:r>
      <w:r>
        <w:t xml:space="preserve">UK Finance, Annual fraud report – The definitive overview of payment industry fraud in 2021 (August</w:t>
      </w:r>
      <w:r>
        <w:t xml:space="preserve"> </w:t>
      </w:r>
      <w:r>
        <w:t xml:space="preserve">2022).</w:t>
      </w:r>
      <w:r>
        <w:t xml:space="preserve"> </w:t>
      </w:r>
      <w:r>
        <w:t xml:space="preserve">232</w:t>
      </w:r>
      <w:r>
        <w:br/>
      </w:r>
      <w:r>
        <w:t xml:space="preserve">FraudSMART, Payment Fraud Report (H2 2021), FraudSMART).</w:t>
      </w:r>
    </w:p>
    <w:p>
      <w:pPr>
        <w:pStyle w:val="BodyText"/>
      </w:pPr>
      <w:r>
        <w:t xml:space="preserve">118</w:t>
      </w:r>
    </w:p>
    <w:p>
      <w:pPr>
        <w:pStyle w:val="BodyText"/>
      </w:pPr>
      <w:r>
        <w:t xml:space="preserve">fraud rose by 15.9% in volume terms year on year in H2 2021 with an average APP fraud</w:t>
      </w:r>
      <w:r>
        <w:t xml:space="preserve"> </w:t>
      </w:r>
      <w:r>
        <w:t xml:space="preserve">transaction amounting to EUR 4,237 in 2021. In Belgium the Service Public Fédéral Finances</w:t>
      </w:r>
      <w:r>
        <w:t xml:space="preserve"> </w:t>
      </w:r>
      <w:r>
        <w:t xml:space="preserve">received, in 2022, 14.905 phishing reports, about 40 a day.233 Also in Belgium, Febelfin</w:t>
      </w:r>
      <w:r>
        <w:t xml:space="preserve"> </w:t>
      </w:r>
      <w:r>
        <w:t xml:space="preserve">reported, for 2020, 67.000 cases of phishing.234 According to Banque de France, APP fraud</w:t>
      </w:r>
      <w:r>
        <w:t xml:space="preserve"> </w:t>
      </w:r>
      <w:r>
        <w:t xml:space="preserve">corresponds to 59% of total fraud in value terms.235 According to the EBA, credit transfers,</w:t>
      </w:r>
      <w:r>
        <w:t xml:space="preserve"> </w:t>
      </w:r>
      <w:r>
        <w:t xml:space="preserve">due to the much higher average value of fraudulent transactions (EUR 4,190), show the</w:t>
      </w:r>
      <w:r>
        <w:t xml:space="preserve"> </w:t>
      </w:r>
      <w:r>
        <w:t xml:space="preserve">highest aggregate value of fraud (EUR 310 million) in H2 2020, despite the lowest fraud rate</w:t>
      </w:r>
      <w:r>
        <w:t xml:space="preserve"> </w:t>
      </w:r>
      <w:r>
        <w:t xml:space="preserve">overall; this generally translates to a significant impact on each affected customer, compared</w:t>
      </w:r>
      <w:r>
        <w:t xml:space="preserve"> </w:t>
      </w:r>
      <w:r>
        <w:t xml:space="preserve">to other payment instruments.</w:t>
      </w:r>
      <w:r>
        <w:t xml:space="preserve"> </w:t>
      </w:r>
      <w:r>
        <w:t xml:space="preserve">SCA/Financial inclusion</w:t>
      </w:r>
      <w:r>
        <w:t xml:space="preserve"> </w:t>
      </w:r>
      <w:r>
        <w:t xml:space="preserve">Since the application of PSD2, the Commission has been made aware by market participants,</w:t>
      </w:r>
      <w:r>
        <w:t xml:space="preserve"> </w:t>
      </w:r>
      <w:r>
        <w:t xml:space="preserve">including consumers,236 that some authentication approaches, in particular those that rely on</w:t>
      </w:r>
      <w:r>
        <w:t xml:space="preserve"> </w:t>
      </w:r>
      <w:r>
        <w:t xml:space="preserve">the use of smartphones, have led to exclusion of certain groups of society from using remote</w:t>
      </w:r>
      <w:r>
        <w:t xml:space="preserve"> </w:t>
      </w:r>
      <w:r>
        <w:t xml:space="preserve">electronic payment transactions and online access to payment accounts.</w:t>
      </w:r>
      <w:r>
        <w:t xml:space="preserve"> </w:t>
      </w:r>
      <w:r>
        <w:t xml:space="preserve">4.</w:t>
      </w:r>
      <w:r>
        <w:t xml:space="preserve"> </w:t>
      </w:r>
      <w:r>
        <w:t xml:space="preserve">EVALUATION FINDINGS (ANALYTICAL PART)</w:t>
      </w:r>
      <w:r>
        <w:t xml:space="preserve"> </w:t>
      </w:r>
      <w:r>
        <w:t xml:space="preserve">The evaluation of the PSD2 is structured around five assessment criteria defined by the Better</w:t>
      </w:r>
      <w:r>
        <w:t xml:space="preserve"> </w:t>
      </w:r>
      <w:r>
        <w:t xml:space="preserve">Regulation Guidelines (effectiveness, efficiency, coherence, EU added value and relevance).</w:t>
      </w:r>
      <w:r>
        <w:t xml:space="preserve"> </w:t>
      </w:r>
      <w:r>
        <w:t xml:space="preserve">4.1</w:t>
      </w:r>
    </w:p>
    <w:p>
      <w:pPr>
        <w:pStyle w:val="BodyText"/>
      </w:pPr>
      <w:r>
        <w:t xml:space="preserve">To what extent was the intervention successful and why?</w:t>
      </w:r>
      <w:r>
        <w:br/>
      </w:r>
      <w:r>
        <w:t xml:space="preserve">4.1.1</w:t>
      </w:r>
      <w:r>
        <w:br/>
      </w:r>
      <w:r>
        <w:t xml:space="preserve">Effectiveness</w:t>
      </w:r>
      <w:r>
        <w:t xml:space="preserve"> </w:t>
      </w:r>
      <w:r>
        <w:t xml:space="preserve">Summary assessment: Overall, the PSD2 framework has enabled progress towards its goals</w:t>
      </w:r>
      <w:r>
        <w:t xml:space="preserve"> </w:t>
      </w:r>
      <w:r>
        <w:t xml:space="preserve">on competition, innovation, transparency and customer protection. Notwithstanding, some</w:t>
      </w:r>
      <w:r>
        <w:t xml:space="preserve"> </w:t>
      </w:r>
      <w:r>
        <w:t xml:space="preserve">issues related to implementation, and regulatory and technical divergence have meant that the</w:t>
      </w:r>
      <w:r>
        <w:t xml:space="preserve"> </w:t>
      </w:r>
      <w:r>
        <w:t xml:space="preserve">overarching goals of the PSD2 have not been fully met. Competition objectives are still</w:t>
      </w:r>
      <w:r>
        <w:t xml:space="preserve"> </w:t>
      </w:r>
      <w:r>
        <w:t xml:space="preserve">hampered by an uneven playing field between ASPSPs and non-bank PSPs in terms of access</w:t>
      </w:r>
      <w:r>
        <w:t xml:space="preserve"> </w:t>
      </w:r>
      <w:r>
        <w:t xml:space="preserve">to payment systems. In spite of the emergence of hundreds of new TPPs, there is still a</w:t>
      </w:r>
      <w:r>
        <w:t xml:space="preserve"> </w:t>
      </w:r>
      <w:r>
        <w:t xml:space="preserve">fragmented landscape of APIs of varying levels of technical performance and functionalities,</w:t>
      </w:r>
      <w:r>
        <w:t xml:space="preserve"> </w:t>
      </w:r>
      <w:r>
        <w:t xml:space="preserve">affecting the objective of broadening market access for TPPs. ASPSPs consider that this</w:t>
      </w:r>
      <w:r>
        <w:t xml:space="preserve"> </w:t>
      </w:r>
      <w:r>
        <w:t xml:space="preserve">situation is the consequence of the prohibition of charging for the use of APIs. TPPs face</w:t>
      </w:r>
      <w:r>
        <w:t xml:space="preserve"> </w:t>
      </w:r>
      <w:r>
        <w:t xml:space="preserve">costs and challenges related to connecting to thousands of bank APIs, not all offering to TPPs</w:t>
      </w:r>
      <w:r>
        <w:t xml:space="preserve"> </w:t>
      </w:r>
      <w:r>
        <w:t xml:space="preserve">and their customers a seamless and frictionless journey. Significant progress towards</w:t>
      </w:r>
      <w:r>
        <w:t xml:space="preserve"> </w:t>
      </w:r>
      <w:r>
        <w:t xml:space="preserve">customer protection objectives has been achieved by PSD2 provisions on SCA and liability</w:t>
      </w:r>
    </w:p>
    <w:p>
      <w:pPr>
        <w:pStyle w:val="BodyText"/>
      </w:pPr>
      <w:r>
        <w:t xml:space="preserve">233</w:t>
      </w:r>
      <w:r>
        <w:br/>
      </w:r>
      <w:r>
        <w:t xml:space="preserve">SPF Finances (belgium.be), Une année record pour le phishing.</w:t>
      </w:r>
      <w:r>
        <w:br/>
      </w:r>
      <w:r>
        <w:t xml:space="preserve">234</w:t>
      </w:r>
      <w:r>
        <w:br/>
      </w:r>
      <w:r>
        <w:t xml:space="preserve">Febelfin, Brochure_phishing_final_fr.pdf (febelfin.be)There is plenty of ‘phish’ in the sea - Fraude et</w:t>
      </w:r>
      <w:r>
        <w:t xml:space="preserve"> </w:t>
      </w:r>
      <w:r>
        <w:t xml:space="preserve">escroquerie dans le secteur bancaire.</w:t>
      </w:r>
      <w:r>
        <w:t xml:space="preserve"> </w:t>
      </w:r>
      <w:r>
        <w:t xml:space="preserve">235</w:t>
      </w:r>
      <w:r>
        <w:br/>
      </w:r>
      <w:r>
        <w:t xml:space="preserve">Observatory for the security of payment means, Annual Report 2021).</w:t>
      </w:r>
      <w:r>
        <w:t xml:space="preserve"> </w:t>
      </w:r>
      <w:r>
        <w:t xml:space="preserve">236</w:t>
      </w:r>
      <w:r>
        <w:br/>
      </w:r>
      <w:r>
        <w:t xml:space="preserve">See notably BEUC, BEUX-X-2022-118_BEUC_position_paper_on_PSD2_review.pdf, page 12.</w:t>
      </w:r>
    </w:p>
    <w:p>
      <w:pPr>
        <w:pStyle w:val="BodyText"/>
      </w:pPr>
      <w:r>
        <w:t xml:space="preserve">119</w:t>
      </w:r>
    </w:p>
    <w:p>
      <w:pPr>
        <w:pStyle w:val="BodyText"/>
      </w:pPr>
      <w:r>
        <w:t xml:space="preserve">rules for unauthorized payments. However, new types of fraud (including Authorized Push</w:t>
      </w:r>
      <w:r>
        <w:t xml:space="preserve"> </w:t>
      </w:r>
      <w:r>
        <w:t xml:space="preserve">Payment fraud) are developing and may not be remedied by current rules like SCA. As</w:t>
      </w:r>
      <w:r>
        <w:t xml:space="preserve"> </w:t>
      </w:r>
      <w:r>
        <w:t xml:space="preserve">regards the objective to facilitate a Single Market for payments, despite progress in terms of</w:t>
      </w:r>
      <w:r>
        <w:t xml:space="preserve"> </w:t>
      </w:r>
      <w:r>
        <w:t xml:space="preserve">an increase in the number of TPPs passporting their services beyond their home country,</w:t>
      </w:r>
      <w:r>
        <w:t xml:space="preserve"> </w:t>
      </w:r>
      <w:r>
        <w:t xml:space="preserve">persistent inconsistencies in supervisory and enforcement mean that the EU market remains</w:t>
      </w:r>
      <w:r>
        <w:t xml:space="preserve"> </w:t>
      </w:r>
      <w:r>
        <w:t xml:space="preserve">largely fragmented along national lines.</w:t>
      </w:r>
      <w:r>
        <w:t xml:space="preserve"> </w:t>
      </w:r>
      <w:r>
        <w:t xml:space="preserve">The effectiveness analysis considers how successful the PSD2 has been in achieving or</w:t>
      </w:r>
      <w:r>
        <w:t xml:space="preserve"> </w:t>
      </w:r>
      <w:r>
        <w:t xml:space="preserve">progressing towards the five general objectives laid out in the 2013 PSD2 impact</w:t>
      </w:r>
      <w:r>
        <w:t xml:space="preserve"> </w:t>
      </w:r>
      <w:r>
        <w:t xml:space="preserve">assessment237:</w:t>
      </w:r>
      <w:r>
        <w:t xml:space="preserve"> </w:t>
      </w:r>
      <w:r>
        <w:t xml:space="preserve">1) to ensure a level playing field between incumbent and new providers of card, internet</w:t>
      </w:r>
      <w:r>
        <w:t xml:space="preserve"> </w:t>
      </w:r>
      <w:r>
        <w:t xml:space="preserve">and mobile payments;</w:t>
      </w:r>
      <w:r>
        <w:t xml:space="preserve"> </w:t>
      </w:r>
      <w:r>
        <w:t xml:space="preserve">2) to increase the efficiency, transparency and choice of payment instruments for payment</w:t>
      </w:r>
      <w:r>
        <w:t xml:space="preserve"> </w:t>
      </w:r>
      <w:r>
        <w:t xml:space="preserve">service users (consumers and merchants);</w:t>
      </w:r>
      <w:r>
        <w:t xml:space="preserve"> </w:t>
      </w:r>
      <w:r>
        <w:t xml:space="preserve">3) to facilitate the provision of card, internet and mobile payment services across borders</w:t>
      </w:r>
      <w:r>
        <w:t xml:space="preserve"> </w:t>
      </w:r>
      <w:r>
        <w:t xml:space="preserve">within the EU by ensuring a Single Market for payments;</w:t>
      </w:r>
      <w:r>
        <w:t xml:space="preserve"> </w:t>
      </w:r>
      <w:r>
        <w:t xml:space="preserve">4) to create an environment which helps innovative payment services to reach a broader</w:t>
      </w:r>
      <w:r>
        <w:t xml:space="preserve"> </w:t>
      </w:r>
      <w:r>
        <w:t xml:space="preserve">market;</w:t>
      </w:r>
      <w:r>
        <w:t xml:space="preserve"> </w:t>
      </w:r>
      <w:r>
        <w:t xml:space="preserve">5) to ensure a high-level protection for payment services users (PSUs) across all Member</w:t>
      </w:r>
      <w:r>
        <w:t xml:space="preserve"> </w:t>
      </w:r>
      <w:r>
        <w:t xml:space="preserve">States of the EU.</w:t>
      </w:r>
      <w:r>
        <w:t xml:space="preserve"> </w:t>
      </w:r>
      <w:r>
        <w:t xml:space="preserve">The success and limitations of the PSD2 framework in relation to its objectives (including</w:t>
      </w:r>
      <w:r>
        <w:t xml:space="preserve"> </w:t>
      </w:r>
      <w:r>
        <w:t xml:space="preserve">those introduced in the summary above) are examined in greater detail below. Where</w:t>
      </w:r>
      <w:r>
        <w:t xml:space="preserve"> </w:t>
      </w:r>
      <w:r>
        <w:t xml:space="preserve">relevant, this will be evaluated by considering how successful the framework has been in</w:t>
      </w:r>
      <w:r>
        <w:t xml:space="preserve"> </w:t>
      </w:r>
      <w:r>
        <w:t xml:space="preserve">achieving the accompanying specific objectives laid out in order to facilitate the achievement</w:t>
      </w:r>
      <w:r>
        <w:t xml:space="preserve"> </w:t>
      </w:r>
      <w:r>
        <w:t xml:space="preserve">of the general ones. In this respect, where the framework is considered to have been effective</w:t>
      </w:r>
      <w:r>
        <w:t xml:space="preserve"> </w:t>
      </w:r>
      <w:r>
        <w:t xml:space="preserve">with regard to these specific objectives, it can be reasonably expected to also contribute to the</w:t>
      </w:r>
      <w:r>
        <w:t xml:space="preserve"> </w:t>
      </w:r>
      <w:r>
        <w:t xml:space="preserve">general objectives. This section will consider, in relation to each objective, quantitative and</w:t>
      </w:r>
      <w:r>
        <w:t xml:space="preserve"> </w:t>
      </w:r>
      <w:r>
        <w:t xml:space="preserve">qualitative effects of the intervention, external factors affecting progress towards the</w:t>
      </w:r>
      <w:r>
        <w:t xml:space="preserve"> </w:t>
      </w:r>
      <w:r>
        <w:t xml:space="preserve">objectives, and unexpected or unintended effects driving or hampering progress (‘Better</w:t>
      </w:r>
      <w:r>
        <w:t xml:space="preserve"> </w:t>
      </w:r>
      <w:r>
        <w:t xml:space="preserve">Regulation Toolbox’ Tool #47).</w:t>
      </w:r>
      <w:r>
        <w:t xml:space="preserve"> </w:t>
      </w:r>
      <w:r>
        <w:t xml:space="preserve">1) How successful has the PSD2 been in ensuring a level playing field between</w:t>
      </w:r>
      <w:r>
        <w:t xml:space="preserve"> </w:t>
      </w:r>
      <w:r>
        <w:t xml:space="preserve">incumbent and new providers of card, internet and mobile payments?</w:t>
      </w:r>
      <w:r>
        <w:t xml:space="preserve"> </w:t>
      </w:r>
      <w:r>
        <w:t xml:space="preserve">Overall, PSD2 has allowed for greater competition as new businesses and business models</w:t>
      </w:r>
      <w:r>
        <w:t xml:space="preserve"> </w:t>
      </w:r>
      <w:r>
        <w:t xml:space="preserve">have entered the market (as evidenced by the aforementioned increase in number of TPPs).</w:t>
      </w:r>
    </w:p>
    <w:p>
      <w:pPr>
        <w:pStyle w:val="BodyText"/>
      </w:pPr>
      <w:r>
        <w:t xml:space="preserve">237</w:t>
      </w:r>
      <w:r>
        <w:br/>
      </w:r>
      <w:r>
        <w:t xml:space="preserve">Commission Staff Working Document SWD(2013) 288 final Impact Assessment Accompanying the</w:t>
      </w:r>
      <w:r>
        <w:t xml:space="preserve"> </w:t>
      </w:r>
      <w:r>
        <w:t xml:space="preserve">document Proposal for a directive of the European parliament and of the Council on payment services in the</w:t>
      </w:r>
      <w:r>
        <w:t xml:space="preserve"> </w:t>
      </w:r>
      <w:r>
        <w:t xml:space="preserve">internal market, 24.7.2013.</w:t>
      </w:r>
    </w:p>
    <w:p>
      <w:pPr>
        <w:pStyle w:val="BodyText"/>
      </w:pPr>
      <w:r>
        <w:t xml:space="preserve">120</w:t>
      </w:r>
    </w:p>
    <w:p>
      <w:pPr>
        <w:pStyle w:val="BodyText"/>
      </w:pPr>
      <w:r>
        <w:t xml:space="preserve">Notably, progress towards general objective 1 has been linked to the success of the PSD2 in</w:t>
      </w:r>
      <w:r>
        <w:t xml:space="preserve"> </w:t>
      </w:r>
      <w:r>
        <w:t xml:space="preserve">meeting the specific objective of ‘ensuring that emerging payment service providers are</w:t>
      </w:r>
      <w:r>
        <w:t xml:space="preserve"> </w:t>
      </w:r>
      <w:r>
        <w:t xml:space="preserve">covered by the regulatory framework governing retail payments in the EU’238. In widening</w:t>
      </w:r>
      <w:r>
        <w:t xml:space="preserve"> </w:t>
      </w:r>
      <w:r>
        <w:t xml:space="preserve">the scope of the previous PSD, the PSD2 has been effective in covering two types of</w:t>
      </w:r>
      <w:r>
        <w:t xml:space="preserve"> </w:t>
      </w:r>
      <w:r>
        <w:t xml:space="preserve">previously unregulated services - i.e. payment initiation services (initiating an online payment</w:t>
      </w:r>
      <w:r>
        <w:t xml:space="preserve"> </w:t>
      </w:r>
      <w:r>
        <w:t xml:space="preserve">order) (PIS), and account information services (online services to provide consolidated</w:t>
      </w:r>
      <w:r>
        <w:t xml:space="preserve"> </w:t>
      </w:r>
      <w:r>
        <w:t xml:space="preserve">information on one or more current accounts) (AIS).</w:t>
      </w:r>
      <w:r>
        <w:t xml:space="preserve"> </w:t>
      </w:r>
      <w:r>
        <w:t xml:space="preserve">The positive effect on competition has been reflected in stakeholders’ sentiment. National</w:t>
      </w:r>
      <w:r>
        <w:t xml:space="preserve"> </w:t>
      </w:r>
      <w:r>
        <w:t xml:space="preserve">supervisors consulted in the VVA/CEPS study have reported that, in regulating previously</w:t>
      </w:r>
      <w:r>
        <w:t xml:space="preserve"> </w:t>
      </w:r>
      <w:r>
        <w:t xml:space="preserve">unregulated actors and services, as well as the security requirements for the interaction of</w:t>
      </w:r>
      <w:r>
        <w:t xml:space="preserve"> </w:t>
      </w:r>
      <w:r>
        <w:t xml:space="preserve">ASPSPs with TPPs, the PSD2 created a clearer market structure and predictability (p. 92),</w:t>
      </w:r>
      <w:r>
        <w:t xml:space="preserve"> </w:t>
      </w:r>
      <w:r>
        <w:t xml:space="preserve">progressing towards achieving competition-enhancing objectives. This was also echoed in the</w:t>
      </w:r>
      <w:r>
        <w:t xml:space="preserve"> </w:t>
      </w:r>
      <w:r>
        <w:t xml:space="preserve">targeted consultation, with participants mostly agreeing that there is a wider choice of PSPs</w:t>
      </w:r>
      <w:r>
        <w:t xml:space="preserve"> </w:t>
      </w:r>
      <w:r>
        <w:t xml:space="preserve">than before (86%, 106/123), and that the EU payment market is more competitive than before</w:t>
      </w:r>
      <w:r>
        <w:t xml:space="preserve"> </w:t>
      </w:r>
      <w:r>
        <w:t xml:space="preserve">(77%, 96/125).</w:t>
      </w:r>
      <w:r>
        <w:t xml:space="preserve"> </w:t>
      </w:r>
      <w:r>
        <w:t xml:space="preserve">However, this perception changes with regard to how the level playing field between the</w:t>
      </w:r>
      <w:r>
        <w:t xml:space="preserve"> </w:t>
      </w:r>
      <w:r>
        <w:t xml:space="preserve">different types of PSPs has evolved under PSD2, as reflected in stakeholder responses239 to</w:t>
      </w:r>
      <w:r>
        <w:t xml:space="preserve"> </w:t>
      </w:r>
      <w:r>
        <w:t xml:space="preserve">the targeted consultation, as well as in the Advice issued by the EBA (p. 3). Here, key issues</w:t>
      </w:r>
      <w:r>
        <w:t xml:space="preserve"> </w:t>
      </w:r>
      <w:r>
        <w:t xml:space="preserve">limiting progress towards the goal of an even playing field relate to how the interaction</w:t>
      </w:r>
      <w:r>
        <w:t xml:space="preserve"> </w:t>
      </w:r>
      <w:r>
        <w:t xml:space="preserve">between ASPSPs and TPPs is structured in the PSD2 framework, and to provisions on</w:t>
      </w:r>
      <w:r>
        <w:t xml:space="preserve"> </w:t>
      </w:r>
      <w:r>
        <w:t xml:space="preserve">enforcement.</w:t>
      </w:r>
      <w:r>
        <w:br/>
      </w:r>
      <w:r>
        <w:t xml:space="preserve">First, regarding the PSD2 requirement that ASPSPs provide TPPs with access to their</w:t>
      </w:r>
      <w:r>
        <w:t xml:space="preserve"> </w:t>
      </w:r>
      <w:r>
        <w:t xml:space="preserve">customers’ accounts free of charge, the costs of developing access interfaces to payment</w:t>
      </w:r>
      <w:r>
        <w:t xml:space="preserve"> </w:t>
      </w:r>
      <w:r>
        <w:t xml:space="preserve">accounts have been seen to be a regulatory-driven ‘competitive disadvantage’ both by</w:t>
      </w:r>
      <w:r>
        <w:t xml:space="preserve"> </w:t>
      </w:r>
      <w:r>
        <w:t xml:space="preserve">ASPSPs and TPPs. On the one hand, for several ASPSPs consulted in the targeted</w:t>
      </w:r>
      <w:r>
        <w:t xml:space="preserve"> </w:t>
      </w:r>
      <w:r>
        <w:t xml:space="preserve">consultation as well in the VVA/CEPS study, the obligation to provide access to account data</w:t>
      </w:r>
      <w:r>
        <w:t xml:space="preserve"> </w:t>
      </w:r>
      <w:r>
        <w:t xml:space="preserve">for free to TPPs has been perceived as imposing a one-side opportunity cost associated with</w:t>
      </w:r>
      <w:r>
        <w:t xml:space="preserve"> </w:t>
      </w:r>
      <w:r>
        <w:t xml:space="preserve">developing access interfaces, where commercial benefits created for potential competitors</w:t>
      </w:r>
      <w:r>
        <w:t xml:space="preserve"> </w:t>
      </w:r>
      <w:r>
        <w:t xml:space="preserve">have not been balanced by economic incentives for ASPSPs240.</w:t>
      </w:r>
      <w:r>
        <w:br/>
      </w:r>
      <w:r>
        <w:t xml:space="preserve">On the other hand, TPPs have noted that, as the regulatory technical standards (RTS) of</w:t>
      </w:r>
      <w:r>
        <w:t xml:space="preserve"> </w:t>
      </w:r>
      <w:r>
        <w:t xml:space="preserve">PSD2 leave API standards to be set by the industry, API fragmentation across different</w:t>
      </w:r>
      <w:r>
        <w:t xml:space="preserve"> </w:t>
      </w:r>
      <w:r>
        <w:t xml:space="preserve">ASPSPs, as well as across Member States, has put them in the disadvantageous position of</w:t>
      </w:r>
      <w:r>
        <w:t xml:space="preserve"> </w:t>
      </w:r>
      <w:r>
        <w:t xml:space="preserve">bearing the costs of developing separate solutions to access APIs of different banks. In this</w:t>
      </w:r>
      <w:r>
        <w:t xml:space="preserve"> </w:t>
      </w:r>
      <w:r>
        <w:t xml:space="preserve">respect, one unanticipated market development has been the appearance of new business</w:t>
      </w:r>
      <w:r>
        <w:t xml:space="preserve"> </w:t>
      </w:r>
      <w:r>
        <w:t xml:space="preserve">models offering solutions to TPPs to facilitate their connection with end users’ ASPSPs. Such</w:t>
      </w:r>
    </w:p>
    <w:p>
      <w:pPr>
        <w:pStyle w:val="BodyText"/>
      </w:pPr>
      <w:r>
        <w:t xml:space="preserve">238</w:t>
      </w:r>
      <w:r>
        <w:br/>
      </w:r>
      <w:r>
        <w:t xml:space="preserve">Specific objective 4 in the 2013 PSD Impact Assessment.</w:t>
      </w:r>
      <w:r>
        <w:t xml:space="preserve"> </w:t>
      </w:r>
      <w:r>
        <w:t xml:space="preserve">239</w:t>
      </w:r>
      <w:r>
        <w:br/>
      </w:r>
      <w:r>
        <w:t xml:space="preserve">In this regard, it is worth noting that 30% of stakeholders participating in the targeted consultation have</w:t>
      </w:r>
      <w:r>
        <w:t xml:space="preserve"> </w:t>
      </w:r>
      <w:r>
        <w:t xml:space="preserve">disagreed that the PSD2 has contributed to a levelling of the playing field.</w:t>
      </w:r>
      <w:r>
        <w:t xml:space="preserve"> </w:t>
      </w:r>
      <w:r>
        <w:t xml:space="preserve">240</w:t>
      </w:r>
      <w:r>
        <w:br/>
      </w:r>
      <w:r>
        <w:t xml:space="preserve">See Annex 11, for further insight.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business models include API aggregation and ‘license-as-a-service’. Research by Open</w:t>
      </w:r>
      <w:r>
        <w:t xml:space="preserve"> </w:t>
      </w:r>
      <w:r>
        <w:t xml:space="preserve">Banking Exchange (OBE)241 has shown that, by August 2022, 14 out of the 346 licensed</w:t>
      </w:r>
      <w:r>
        <w:t xml:space="preserve"> </w:t>
      </w:r>
      <w:r>
        <w:t xml:space="preserve">TPPs in the EEA provided their license to fourth party providers, with the higher</w:t>
      </w:r>
      <w:r>
        <w:t xml:space="preserve"> </w:t>
      </w:r>
      <w:r>
        <w:t xml:space="preserve">concentration of such companies found in France and Germany.</w:t>
      </w:r>
      <w:r>
        <w:t xml:space="preserve"> </w:t>
      </w:r>
      <w:r>
        <w:t xml:space="preserve">TPPs have also reported significant constraints with accessing accounts via some ASPSPs’</w:t>
      </w:r>
      <w:r>
        <w:t xml:space="preserve"> </w:t>
      </w:r>
      <w:r>
        <w:t xml:space="preserve">APIs. Responses to the targeted consultation, as well as the EBA Advice, have identified a set</w:t>
      </w:r>
      <w:r>
        <w:t xml:space="preserve"> </w:t>
      </w:r>
      <w:r>
        <w:t xml:space="preserve">of obstacles linked to the application of requirements on access to payment accounts, with an</w:t>
      </w:r>
      <w:r>
        <w:t xml:space="preserve"> </w:t>
      </w:r>
      <w:r>
        <w:t xml:space="preserve">impact on the level playing field. These include obstacles to TPPs arising from the use of</w:t>
      </w:r>
      <w:r>
        <w:t xml:space="preserve"> </w:t>
      </w:r>
      <w:r>
        <w:t xml:space="preserve">‘redirection’ as a sole method of PSU authentication supported by ASPSPs, or additional</w:t>
      </w:r>
      <w:r>
        <w:t xml:space="preserve"> </w:t>
      </w:r>
      <w:r>
        <w:t xml:space="preserve">friction in a TPP journey compared to that experienced by the PSU in the ASPSP interface</w:t>
      </w:r>
      <w:r>
        <w:t xml:space="preserve"> </w:t>
      </w:r>
      <w:r>
        <w:t xml:space="preserve">(e.g. additional registration, consent and authentication steps).</w:t>
      </w:r>
      <w:r>
        <w:t xml:space="preserve"> </w:t>
      </w:r>
      <w:r>
        <w:t xml:space="preserve">With regard to the issues identified in relation to the access by TPPs to customer account data</w:t>
      </w:r>
      <w:r>
        <w:t xml:space="preserve"> </w:t>
      </w:r>
      <w:r>
        <w:t xml:space="preserve">held by ASPSPs, and how these affect the goal of levelling the playing field between ASPSPs</w:t>
      </w:r>
      <w:r>
        <w:t xml:space="preserve"> </w:t>
      </w:r>
      <w:r>
        <w:t xml:space="preserve">and TPPs, one dimension frequently noted in the targeted consultation (particularly by TPPs)</w:t>
      </w:r>
      <w:r>
        <w:t xml:space="preserve"> </w:t>
      </w:r>
      <w:r>
        <w:t xml:space="preserve">as well as in the EBA Advice has been enforcement. While this will be further developed</w:t>
      </w:r>
      <w:r>
        <w:t xml:space="preserve"> </w:t>
      </w:r>
      <w:r>
        <w:t xml:space="preserve">below (cf. Obj.4), it should nonetheless be noted here that progress towards competition goals</w:t>
      </w:r>
      <w:r>
        <w:t xml:space="preserve"> </w:t>
      </w:r>
      <w:r>
        <w:t xml:space="preserve">have also been stifled by the limited effectiveness of provisions on enforcement.</w:t>
      </w:r>
      <w:r>
        <w:t xml:space="preserve"> </w:t>
      </w:r>
      <w:r>
        <w:t xml:space="preserve">The level playing field between ASPSPs and TPPs has also been affected by a divergent</w:t>
      </w:r>
      <w:r>
        <w:t xml:space="preserve"> </w:t>
      </w:r>
      <w:r>
        <w:t xml:space="preserve">application of the provision allowing for an exemption from the requirement laid down in</w:t>
      </w:r>
      <w:r>
        <w:t xml:space="preserve"> </w:t>
      </w:r>
      <w:r>
        <w:t xml:space="preserve">Article 97 of PSD2 to apply SCA where a payment service user is accessing the balance and</w:t>
      </w:r>
      <w:r>
        <w:t xml:space="preserve"> </w:t>
      </w:r>
      <w:r>
        <w:t xml:space="preserve">the recent transactions of a payment account, provided that SCA was applied when the</w:t>
      </w:r>
      <w:r>
        <w:t xml:space="preserve"> </w:t>
      </w:r>
      <w:r>
        <w:t xml:space="preserve">account information was accessed for the first time, and at least every 90 days after that.242</w:t>
      </w:r>
      <w:r>
        <w:t xml:space="preserve"> </w:t>
      </w:r>
      <w:r>
        <w:t xml:space="preserve">The use of that exemption has led to divergent practices, with some account servicing</w:t>
      </w:r>
      <w:r>
        <w:t xml:space="preserve"> </w:t>
      </w:r>
      <w:r>
        <w:t xml:space="preserve">payment service providers requesting SCA every 90 days, others requesting it at shorter time</w:t>
      </w:r>
      <w:r>
        <w:t xml:space="preserve"> </w:t>
      </w:r>
      <w:r>
        <w:t xml:space="preserve">intervals, and some not applying the exemption, and requesting SCA for every account</w:t>
      </w:r>
      <w:r>
        <w:t xml:space="preserve"> </w:t>
      </w:r>
      <w:r>
        <w:t xml:space="preserve">access. Users are often not aware that they need to renew their consent every 90 days, or not</w:t>
      </w:r>
      <w:r>
        <w:t xml:space="preserve"> </w:t>
      </w:r>
      <w:r>
        <w:t xml:space="preserve">paying attention to the fact that their consent needs to be renewed to enable TPP accessing</w:t>
      </w:r>
      <w:r>
        <w:t xml:space="preserve"> </w:t>
      </w:r>
      <w:r>
        <w:t xml:space="preserve">their data, and many TPPs therefore lost important revenue due to service interruption. This</w:t>
      </w:r>
      <w:r>
        <w:t xml:space="preserve"> </w:t>
      </w:r>
      <w:r>
        <w:t xml:space="preserve">lead to friction in the customer journey when using account information services, and thus to</w:t>
      </w:r>
      <w:r>
        <w:t xml:space="preserve"> </w:t>
      </w:r>
      <w:r>
        <w:t xml:space="preserve">a negative impact on account information service providers243 which all mention this</w:t>
      </w:r>
      <w:r>
        <w:t xml:space="preserve"> </w:t>
      </w:r>
      <w:r>
        <w:t xml:space="preserve">provision as being an important source of concern. Recently introduced provisions244</w:t>
      </w:r>
      <w:r>
        <w:t xml:space="preserve"> </w:t>
      </w:r>
      <w:r>
        <w:t xml:space="preserve">amending the regulatory technical standards laid down in Delegated Regulation (EU)</w:t>
      </w:r>
      <w:r>
        <w:t xml:space="preserve"> </w:t>
      </w:r>
      <w:r>
        <w:t xml:space="preserve">2018/389 are expected to bring some relief by making this exemption mandatory and</w:t>
      </w:r>
    </w:p>
    <w:p>
      <w:pPr>
        <w:pStyle w:val="BodyText"/>
      </w:pPr>
      <w:r>
        <w:t xml:space="preserve">241</w:t>
      </w:r>
      <w:r>
        <w:br/>
      </w:r>
      <w:r>
        <w:t xml:space="preserve">Open Banking Exchange (OBE), PSD2 TPP-as-a-Service, Market Report (September 2022).</w:t>
      </w:r>
      <w:r>
        <w:t xml:space="preserve"> </w:t>
      </w:r>
      <w:r>
        <w:t xml:space="preserve">242</w:t>
      </w:r>
      <w:r>
        <w:br/>
      </w:r>
      <w:r>
        <w:t xml:space="preserve">Article 10 of Commission Delegated Regulation (EU) 2018/389.</w:t>
      </w:r>
      <w:r>
        <w:t xml:space="preserve"> </w:t>
      </w:r>
      <w:r>
        <w:t xml:space="preserve">243</w:t>
      </w:r>
      <w:r>
        <w:br/>
      </w:r>
      <w:r>
        <w:t xml:space="preserve">European Banking Authority, Draft Regulatory Technical Standards amending Commission Delegated</w:t>
      </w:r>
      <w:r>
        <w:t xml:space="preserve"> </w:t>
      </w:r>
      <w:r>
        <w:t xml:space="preserve">Regulation (EU) 2018/389 supplementing Directive (EU) 2015/2366 of the European Parliament and of the</w:t>
      </w:r>
      <w:r>
        <w:t xml:space="preserve"> </w:t>
      </w:r>
      <w:r>
        <w:t xml:space="preserve">Council with regard to regulatory technical standards for strong customer authentication and common and</w:t>
      </w:r>
      <w:r>
        <w:t xml:space="preserve"> </w:t>
      </w:r>
      <w:r>
        <w:t xml:space="preserve">secure open standards of communication, EBA/RTS/2022/03, 5 April 2022.</w:t>
      </w:r>
      <w:r>
        <w:t xml:space="preserve"> </w:t>
      </w:r>
      <w:r>
        <w:t xml:space="preserve">244</w:t>
      </w:r>
      <w:r>
        <w:br/>
      </w:r>
      <w:r>
        <w:t xml:space="preserve">Commission Delegated Regulation (EU) 2022/2360.</w:t>
      </w:r>
    </w:p>
    <w:p>
      <w:pPr>
        <w:pStyle w:val="BodyText"/>
      </w:pPr>
      <w:r>
        <w:t xml:space="preserve">122</w:t>
      </w:r>
    </w:p>
    <w:p>
      <w:pPr>
        <w:pStyle w:val="BodyText"/>
      </w:pPr>
      <w:r>
        <w:t xml:space="preserve">extending the period in between two SCAs to 180 days instead of 90. But even modified, this</w:t>
      </w:r>
      <w:r>
        <w:t xml:space="preserve"> </w:t>
      </w:r>
      <w:r>
        <w:t xml:space="preserve">provision is still not fully satisfactory and more far-reaching solutions need to be considered</w:t>
      </w:r>
      <w:r>
        <w:t xml:space="preserve"> </w:t>
      </w:r>
      <w:r>
        <w:t xml:space="preserve">in the PSD2 revision itself.</w:t>
      </w:r>
      <w:r>
        <w:br/>
      </w:r>
      <w:r>
        <w:t xml:space="preserve">Finally, progress towards a level playing field has also been hampered by limited</w:t>
      </w:r>
      <w:r>
        <w:t xml:space="preserve"> </w:t>
      </w:r>
      <w:r>
        <w:t xml:space="preserve">effectiveness of PSD2 provisions (Article 36) concerning non-bank PSPs’ (more specifically</w:t>
      </w:r>
      <w:r>
        <w:t xml:space="preserve"> </w:t>
      </w:r>
      <w:r>
        <w:t xml:space="preserve">Payment Institutions and E-Money Institutions) access to accounts maintained with a credit</w:t>
      </w:r>
      <w:r>
        <w:t xml:space="preserve"> </w:t>
      </w:r>
      <w:r>
        <w:t xml:space="preserve">institution. Whereas PSD2 states that this should be provided on an objective, non-</w:t>
      </w:r>
      <w:r>
        <w:t xml:space="preserve"> </w:t>
      </w:r>
      <w:r>
        <w:t xml:space="preserve">discriminatory and proportionate basis, to allow payment institutions to provide payment</w:t>
      </w:r>
      <w:r>
        <w:t xml:space="preserve"> </w:t>
      </w:r>
      <w:r>
        <w:t xml:space="preserve">services in an unhindered and efficient manner, evidence gathered suggests that credit</w:t>
      </w:r>
      <w:r>
        <w:t xml:space="preserve"> </w:t>
      </w:r>
      <w:r>
        <w:t xml:space="preserve">institutions are still often ‘de-risking’ PIs and EMIs by either refusing them access to a bank</w:t>
      </w:r>
      <w:r>
        <w:t xml:space="preserve"> </w:t>
      </w:r>
      <w:r>
        <w:t xml:space="preserve">account or abusively closing bank accounts, thus fending-off competition by non-banks,</w:t>
      </w:r>
      <w:r>
        <w:t xml:space="preserve"> </w:t>
      </w:r>
      <w:r>
        <w:t xml:space="preserve">unable to have or keep a bank account indispensable for carrying out their business or even</w:t>
      </w:r>
      <w:r>
        <w:t xml:space="preserve"> </w:t>
      </w:r>
      <w:r>
        <w:t xml:space="preserve">for obtaining a license, as a bank account is indispensable to satisfy the safeguarding</w:t>
      </w:r>
      <w:r>
        <w:t xml:space="preserve"> </w:t>
      </w:r>
      <w:r>
        <w:t xml:space="preserve">requirement of Article 10 PSD2, which is one of the authorization conditions. More precisely,</w:t>
      </w:r>
      <w:r>
        <w:t xml:space="preserve"> </w:t>
      </w:r>
      <w:r>
        <w:t xml:space="preserve">responses to the targeted consultation have revealed a wide dissatisfaction among non-banks</w:t>
      </w:r>
      <w:r>
        <w:t xml:space="preserve"> </w:t>
      </w:r>
      <w:r>
        <w:t xml:space="preserve">that there is no need for banks to notify or explain withdrawal of account access (only refusal</w:t>
      </w:r>
      <w:r>
        <w:t xml:space="preserve"> </w:t>
      </w:r>
      <w:r>
        <w:t xml:space="preserve">of request for account access). In line with this, a clear majority (38 against 26 respondents,</w:t>
      </w:r>
      <w:r>
        <w:t xml:space="preserve"> </w:t>
      </w:r>
      <w:r>
        <w:t xml:space="preserve">with non-banks and public authorities in the former group and banks in the latter) consider</w:t>
      </w:r>
      <w:r>
        <w:t xml:space="preserve"> </w:t>
      </w:r>
      <w:r>
        <w:t xml:space="preserve">that Article 36 PSD2 should be modified, for example, by extending it to the termination of</w:t>
      </w:r>
      <w:r>
        <w:t xml:space="preserve"> </w:t>
      </w:r>
      <w:r>
        <w:t xml:space="preserve">business relationships banks/non-banks. Furthermore, the EBA identifies in its Advice245</w:t>
      </w:r>
      <w:r>
        <w:t xml:space="preserve"> </w:t>
      </w:r>
      <w:r>
        <w:t xml:space="preserve">divergent practices in relation to access to designated payment systems by PIs and EMIs,</w:t>
      </w:r>
      <w:r>
        <w:t xml:space="preserve"> </w:t>
      </w:r>
      <w:r>
        <w:t xml:space="preserve">with some MS allowing for direct participation of PIs and EMIs in payment systems, whereas</w:t>
      </w:r>
      <w:r>
        <w:t xml:space="preserve"> </w:t>
      </w:r>
      <w:r>
        <w:t xml:space="preserve">others do not, further impacting the level playing field.</w:t>
      </w:r>
      <w:r>
        <w:t xml:space="preserve"> </w:t>
      </w:r>
      <w:r>
        <w:t xml:space="preserve">2) How successful has the PSD2 been in increasing the efficiency, transparency and</w:t>
      </w:r>
      <w:r>
        <w:t xml:space="preserve"> </w:t>
      </w:r>
      <w:r>
        <w:t xml:space="preserve">choice of payment instruments for payment service users (consumers and</w:t>
      </w:r>
      <w:r>
        <w:t xml:space="preserve"> </w:t>
      </w:r>
      <w:r>
        <w:t xml:space="preserve">merchants)?</w:t>
      </w:r>
      <w:r>
        <w:t xml:space="preserve"> </w:t>
      </w:r>
      <w:r>
        <w:t xml:space="preserve">Overall, the PSD2 framework has had a positive effect in increasing the choice of payment</w:t>
      </w:r>
      <w:r>
        <w:t xml:space="preserve"> </w:t>
      </w:r>
      <w:r>
        <w:t xml:space="preserve">instruments for PSUs.</w:t>
      </w:r>
      <w:r>
        <w:br/>
      </w:r>
      <w:r>
        <w:t xml:space="preserve">Responses from the targeted consultation illustrate stakeholders’ general perception that there</w:t>
      </w:r>
      <w:r>
        <w:t xml:space="preserve"> </w:t>
      </w:r>
      <w:r>
        <w:t xml:space="preserve">are more options available to make payment transactions than five years ago (78%), and that</w:t>
      </w:r>
      <w:r>
        <w:t xml:space="preserve"> </w:t>
      </w:r>
      <w:r>
        <w:t xml:space="preserve">PDS2 has contributed to market players developing more convenient payment solutions</w:t>
      </w:r>
      <w:r>
        <w:t xml:space="preserve"> </w:t>
      </w:r>
      <w:r>
        <w:t xml:space="preserve">(60%). A similar sentiment was reflected in the outcome of the public consultation where the</w:t>
      </w:r>
      <w:r>
        <w:t xml:space="preserve"> </w:t>
      </w:r>
      <w:r>
        <w:t xml:space="preserve">largest group of respondents were consumers, with 70% (66 replies) agreeing that the choice</w:t>
      </w:r>
      <w:r>
        <w:t xml:space="preserve"> </w:t>
      </w:r>
      <w:r>
        <w:t xml:space="preserve">in payment services has increased over the last 5 years. A 2022 qualitative study by Kantar246</w:t>
      </w:r>
      <w:r>
        <w:t xml:space="preserve"> </w:t>
      </w:r>
      <w:r>
        <w:t xml:space="preserve">commissioned by the ECB even concluded that, amongst both the general public and tech-</w:t>
      </w:r>
      <w:r>
        <w:t xml:space="preserve"> </w:t>
      </w:r>
      <w:r>
        <w:t xml:space="preserve">savvy groups that were consulted, participants felt they were already well-served by existing</w:t>
      </w:r>
    </w:p>
    <w:p>
      <w:pPr>
        <w:pStyle w:val="BodyText"/>
      </w:pPr>
      <w:r>
        <w:t xml:space="preserve">245</w:t>
      </w:r>
      <w:r>
        <w:br/>
      </w:r>
      <w:r>
        <w:t xml:space="preserve">EBA Advice, p.100.</w:t>
      </w:r>
      <w:r>
        <w:t xml:space="preserve"> </w:t>
      </w:r>
      <w:r>
        <w:t xml:space="preserve">246</w:t>
      </w:r>
      <w:r>
        <w:br/>
      </w:r>
      <w:r>
        <w:t xml:space="preserve">Kantar, Study on New Digital Payment Methods, March 2022.</w:t>
      </w:r>
    </w:p>
    <w:p>
      <w:pPr>
        <w:pStyle w:val="BodyText"/>
      </w:pPr>
      <w:r>
        <w:t xml:space="preserve">123</w:t>
      </w:r>
    </w:p>
    <w:p>
      <w:pPr>
        <w:pStyle w:val="BodyText"/>
      </w:pPr>
      <w:r>
        <w:t xml:space="preserve">payment methods, and rather than looking for something new, many were actively trying to</w:t>
      </w:r>
      <w:r>
        <w:t xml:space="preserve"> </w:t>
      </w:r>
      <w:r>
        <w:t xml:space="preserve">reduce their payment options. Particularly, participants in the tech-savvy group reported that</w:t>
      </w:r>
      <w:r>
        <w:t xml:space="preserve"> </w:t>
      </w:r>
      <w:r>
        <w:t xml:space="preserve">to consider a new payment method this would have to be an innovative product which would</w:t>
      </w:r>
      <w:r>
        <w:t xml:space="preserve"> </w:t>
      </w:r>
      <w:r>
        <w:t xml:space="preserve">optimize and simplify (particularly acceptance across Europe), rather than increase their</w:t>
      </w:r>
      <w:r>
        <w:t xml:space="preserve"> </w:t>
      </w:r>
      <w:r>
        <w:t xml:space="preserve">options247. Merchants taking part in the same study reported a trend towards accepting an</w:t>
      </w:r>
      <w:r>
        <w:t xml:space="preserve"> </w:t>
      </w:r>
      <w:r>
        <w:t xml:space="preserve">increasingly wide range of payment instruments, primarily driven by customer preferences.</w:t>
      </w:r>
      <w:r>
        <w:t xml:space="preserve"> </w:t>
      </w:r>
      <w:r>
        <w:t xml:space="preserve">With regard to the Directive’s success in ensuring that payment services and instruments</w:t>
      </w:r>
      <w:r>
        <w:t xml:space="preserve"> </w:t>
      </w:r>
      <w:r>
        <w:t xml:space="preserve">meet the needs of PSUs efficiently, scarcity of data on the amount and number of PIS</w:t>
      </w:r>
      <w:r>
        <w:t xml:space="preserve"> </w:t>
      </w:r>
      <w:r>
        <w:t xml:space="preserve">payments to merchants in the EU render difficult to assess whether the cost savings that the</w:t>
      </w:r>
      <w:r>
        <w:t xml:space="preserve"> </w:t>
      </w:r>
      <w:r>
        <w:t xml:space="preserve">2013 PSD2 Impact Assessment estimated for merchants from using PISPs and account-to-</w:t>
      </w:r>
      <w:r>
        <w:t xml:space="preserve"> </w:t>
      </w:r>
      <w:r>
        <w:t xml:space="preserve">account-payments, instead of the more costly card payments, have been realized248.</w:t>
      </w:r>
      <w:r>
        <w:t xml:space="preserve"> </w:t>
      </w:r>
      <w:r>
        <w:t xml:space="preserve">Notwithstanding, respondents to the public consultation reported that making digital</w:t>
      </w:r>
      <w:r>
        <w:t xml:space="preserve"> </w:t>
      </w:r>
      <w:r>
        <w:t xml:space="preserve">payments has become easier (79%, 53 replies). This view was also held as regards making</w:t>
      </w:r>
      <w:r>
        <w:t xml:space="preserve"> </w:t>
      </w:r>
      <w:r>
        <w:t xml:space="preserve">cross-border digital payments to other EU countries (69% find it has become easier), while</w:t>
      </w:r>
      <w:r>
        <w:t xml:space="preserve"> </w:t>
      </w:r>
      <w:r>
        <w:t xml:space="preserve">only a minority (28%) agreed this has become the case for non-EU countries. Public</w:t>
      </w:r>
      <w:r>
        <w:t xml:space="preserve"> </w:t>
      </w:r>
      <w:r>
        <w:t xml:space="preserve">consultation responses also suggest that this perception of an easy experience of non-cash</w:t>
      </w:r>
      <w:r>
        <w:t xml:space="preserve"> </w:t>
      </w:r>
      <w:r>
        <w:t xml:space="preserve">payments is not hindered by SCA. Indeed, for physical, in-store payments, 44% indicate they</w:t>
      </w:r>
      <w:r>
        <w:t xml:space="preserve"> </w:t>
      </w:r>
      <w:r>
        <w:t xml:space="preserve">find it easy (28 replies), against 30% (19 replies) who find it cumbersome. Moreover, of</w:t>
      </w:r>
      <w:r>
        <w:t xml:space="preserve"> </w:t>
      </w:r>
      <w:r>
        <w:t xml:space="preserve">those respondents who reported finding the payment authentication experience cumbersome,</w:t>
      </w:r>
      <w:r>
        <w:t xml:space="preserve"> </w:t>
      </w:r>
      <w:r>
        <w:t xml:space="preserve">around 20% (23% for physical, in-store payments, 22% for SCA during online payments)</w:t>
      </w:r>
      <w:r>
        <w:t xml:space="preserve"> </w:t>
      </w:r>
      <w:r>
        <w:t xml:space="preserve">found SCA worth it as a fraud preventive measure (whereas an additional 20% reported</w:t>
      </w:r>
      <w:r>
        <w:t xml:space="preserve"> </w:t>
      </w:r>
      <w:r>
        <w:t xml:space="preserve">‘other views’ and neither found it worth it or not worth it). In contrast, industry stakeholders</w:t>
      </w:r>
      <w:r>
        <w:t xml:space="preserve"> </w:t>
      </w:r>
      <w:r>
        <w:t xml:space="preserve">notably representing merchants’ views consider that the SCA solution increases friction in the</w:t>
      </w:r>
      <w:r>
        <w:t xml:space="preserve"> </w:t>
      </w:r>
      <w:r>
        <w:t xml:space="preserve">payment chain and customer journeys, potentially leading to customers not completing e-</w:t>
      </w:r>
      <w:r>
        <w:t xml:space="preserve"> </w:t>
      </w:r>
      <w:r>
        <w:t xml:space="preserve">commerce transactions. Furthermore, legal uncertainties for corporates have been noted in</w:t>
      </w:r>
      <w:r>
        <w:t xml:space="preserve"> </w:t>
      </w:r>
      <w:r>
        <w:t xml:space="preserve">relation with the transposition of Article 3(n) of PSD2, which excludes from the scope of the</w:t>
      </w:r>
      <w:r>
        <w:t xml:space="preserve"> </w:t>
      </w:r>
      <w:r>
        <w:t xml:space="preserve">Directive payment transactions and related services between a parent undertaking and its</w:t>
      </w:r>
      <w:r>
        <w:t xml:space="preserve"> </w:t>
      </w:r>
      <w:r>
        <w:t xml:space="preserve">subsidiary, or between subsidiaries of the same parent undertaking, if these are done without</w:t>
      </w:r>
      <w:r>
        <w:t xml:space="preserve"> </w:t>
      </w:r>
      <w:r>
        <w:t xml:space="preserve">a PSP intermediary other than an undertaking belonging to the same group.</w:t>
      </w:r>
      <w:r>
        <w:t xml:space="preserve"> </w:t>
      </w:r>
      <w:r>
        <w:t xml:space="preserve">Regarding transparency, success has been more limited. Overall, responses to the targeted</w:t>
      </w:r>
      <w:r>
        <w:t xml:space="preserve"> </w:t>
      </w:r>
      <w:r>
        <w:t xml:space="preserve">consultation under this topic indicate that most stakeholders somewhat agree that the</w:t>
      </w:r>
      <w:r>
        <w:t xml:space="preserve"> </w:t>
      </w:r>
      <w:r>
        <w:t xml:space="preserve">transparency and information requirements of PSD2 are adequate (53%, i.e. 52 out of 98</w:t>
      </w:r>
      <w:r>
        <w:t xml:space="preserve"> </w:t>
      </w:r>
      <w:r>
        <w:t xml:space="preserve">responses), have contributed to making electronic payments more secure (56%), and have</w:t>
      </w:r>
      <w:r>
        <w:t xml:space="preserve"> </w:t>
      </w:r>
      <w:r>
        <w:t xml:space="preserve">improved PSUs’ understanding of their rights when using payment services (47%). Views</w:t>
      </w:r>
      <w:r>
        <w:t xml:space="preserve"> </w:t>
      </w:r>
      <w:r>
        <w:t xml:space="preserve">were more divided on whether they have contributed to an informed user choice between</w:t>
      </w:r>
      <w:r>
        <w:t xml:space="preserve"> </w:t>
      </w:r>
      <w:r>
        <w:t xml:space="preserve">different payment products, with those disagreeing in equal number to respondents who</w:t>
      </w:r>
      <w:r>
        <w:t xml:space="preserve"> </w:t>
      </w:r>
      <w:r>
        <w:t xml:space="preserve">agreed (37% compared with 41%, with 22% neutral).</w:t>
      </w:r>
    </w:p>
    <w:p>
      <w:pPr>
        <w:pStyle w:val="BodyText"/>
      </w:pPr>
      <w:r>
        <w:t xml:space="preserve">247</w:t>
      </w:r>
      <w:r>
        <w:br/>
      </w:r>
      <w:r>
        <w:t xml:space="preserve">Ibid. pp.31 and 39.</w:t>
      </w:r>
      <w:r>
        <w:t xml:space="preserve"> </w:t>
      </w:r>
      <w:r>
        <w:t xml:space="preserve">248</w:t>
      </w:r>
      <w:r>
        <w:br/>
      </w:r>
      <w:r>
        <w:t xml:space="preserve">However, as detailed in Annex 11, analysis of this data available for the UK suggests that this has not</w:t>
      </w:r>
      <w:r>
        <w:t xml:space="preserve"> </w:t>
      </w:r>
      <w:r>
        <w:t xml:space="preserve">been the case.</w:t>
      </w:r>
    </w:p>
    <w:p>
      <w:pPr>
        <w:pStyle w:val="BodyText"/>
      </w:pPr>
      <w:r>
        <w:t xml:space="preserve">124</w:t>
      </w:r>
    </w:p>
    <w:p>
      <w:pPr>
        <w:pStyle w:val="BodyText"/>
      </w:pPr>
      <w:r>
        <w:t xml:space="preserve">Perceptions on effectiveness of transparency provisions also vary among stakeholders.</w:t>
      </w:r>
      <w:r>
        <w:t xml:space="preserve"> </w:t>
      </w:r>
      <w:r>
        <w:t xml:space="preserve">Banking industry stakeholders consulted in the VVA/CEPS study as well as in the targeted</w:t>
      </w:r>
      <w:r>
        <w:t xml:space="preserve"> </w:t>
      </w:r>
      <w:r>
        <w:t xml:space="preserve">consultation expressed discontent with requirements regarding provisions on information</w:t>
      </w:r>
      <w:r>
        <w:t xml:space="preserve"> </w:t>
      </w:r>
      <w:r>
        <w:t xml:space="preserve">(contract conditions, information about executed payments). In particular, the two-month</w:t>
      </w:r>
      <w:r>
        <w:t xml:space="preserve"> </w:t>
      </w:r>
      <w:r>
        <w:t xml:space="preserve">period for notifying changes to framework contracts249 is considered ineffective where the</w:t>
      </w:r>
      <w:r>
        <w:t xml:space="preserve"> </w:t>
      </w:r>
      <w:r>
        <w:t xml:space="preserve">change is beneficial for the consumer.</w:t>
      </w:r>
      <w:r>
        <w:t xml:space="preserve"> </w:t>
      </w:r>
      <w:r>
        <w:t xml:space="preserve">Several ASPSPs also expressed the view that consumers still lack an adequate understanding</w:t>
      </w:r>
      <w:r>
        <w:t xml:space="preserve"> </w:t>
      </w:r>
      <w:r>
        <w:t xml:space="preserve">of data to which they are granting access, as well as of how this data is used (and potentially</w:t>
      </w:r>
      <w:r>
        <w:t xml:space="preserve"> </w:t>
      </w:r>
      <w:r>
        <w:t xml:space="preserve">monetised). Relatedly, ASPSPs consulted in the VVA/CEPS study regretted that with</w:t>
      </w:r>
      <w:r>
        <w:t xml:space="preserve"> </w:t>
      </w:r>
      <w:r>
        <w:t xml:space="preserve">business models such as API aggregators (where, as introduced previously, the provider of an</w:t>
      </w:r>
      <w:r>
        <w:t xml:space="preserve"> </w:t>
      </w:r>
      <w:r>
        <w:t xml:space="preserve">integrated API solution facilitates the connection between an Open Banking service provider</w:t>
      </w:r>
      <w:r>
        <w:t xml:space="preserve"> </w:t>
      </w:r>
      <w:r>
        <w:t xml:space="preserve">and several distinct ASPSPs’ APIs) the ASPSP has no overview of the fourth party provider</w:t>
      </w:r>
      <w:r>
        <w:t xml:space="preserve"> </w:t>
      </w:r>
      <w:r>
        <w:t xml:space="preserve">which is accessing the customer data via the aggregator.</w:t>
      </w:r>
      <w:r>
        <w:t xml:space="preserve"> </w:t>
      </w:r>
      <w:r>
        <w:t xml:space="preserve">From the TPPs side, one European TPP industry organization expressed, in the targeted</w:t>
      </w:r>
      <w:r>
        <w:t xml:space="preserve"> </w:t>
      </w:r>
      <w:r>
        <w:t xml:space="preserve">consultation, the view that Article 45(2) of PSD2 requiring their business information to be</w:t>
      </w:r>
      <w:r>
        <w:t xml:space="preserve"> </w:t>
      </w:r>
      <w:r>
        <w:t xml:space="preserve">provided to the PSU prior to initiation means that PISPs cannot effectively compete with card</w:t>
      </w:r>
      <w:r>
        <w:t xml:space="preserve"> </w:t>
      </w:r>
      <w:r>
        <w:t xml:space="preserve">payments, where neither the card acquirers nor the card processors have such obligations.</w:t>
      </w:r>
      <w:r>
        <w:t xml:space="preserve"> </w:t>
      </w:r>
      <w:r>
        <w:t xml:space="preserve">PSUs’ views expressed in the targeted consultation also point to limitations to the success of</w:t>
      </w:r>
      <w:r>
        <w:t xml:space="preserve"> </w:t>
      </w:r>
      <w:r>
        <w:t xml:space="preserve">PSD2 provisions on transparency. On the merchants’ side, views expressed were that, under</w:t>
      </w:r>
      <w:r>
        <w:t xml:space="preserve"> </w:t>
      </w:r>
      <w:r>
        <w:t xml:space="preserve">Article 45(2) (a) and (b), card-based and non-card-based payments do not share the same</w:t>
      </w:r>
      <w:r>
        <w:t xml:space="preserve"> </w:t>
      </w:r>
      <w:r>
        <w:t xml:space="preserve">regulatory burden in terms of information and transparency requirements. On the consumers’</w:t>
      </w:r>
      <w:r>
        <w:t xml:space="preserve"> </w:t>
      </w:r>
      <w:r>
        <w:t xml:space="preserve">side, the view expressed is that information provided by PISPs before the execution of a</w:t>
      </w:r>
      <w:r>
        <w:t xml:space="preserve"> </w:t>
      </w:r>
      <w:r>
        <w:t xml:space="preserve">transaction is not clear enough, as it is very difficult for a consumer to find the document</w:t>
      </w:r>
      <w:r>
        <w:t xml:space="preserve"> </w:t>
      </w:r>
      <w:r>
        <w:t xml:space="preserve">indicating where the PISP is registered, and the contact details of the competent authority. In</w:t>
      </w:r>
      <w:r>
        <w:t xml:space="preserve"> </w:t>
      </w:r>
      <w:r>
        <w:t xml:space="preserve">line with this, the ERPB in its 2022 report250 found that often the merchant’s commercial</w:t>
      </w:r>
      <w:r>
        <w:t xml:space="preserve"> </w:t>
      </w:r>
      <w:r>
        <w:t xml:space="preserve">name provided did not allow the payer to identify to whom a payment transaction had been</w:t>
      </w:r>
      <w:r>
        <w:t xml:space="preserve"> </w:t>
      </w:r>
      <w:r>
        <w:t xml:space="preserve">sent, because the name, while legally valid, was not a name by which the payer was able to</w:t>
      </w:r>
      <w:r>
        <w:t xml:space="preserve"> </w:t>
      </w:r>
      <w:r>
        <w:t xml:space="preserve">easily identify the merchant. The ERPB also identified that there are several cases where</w:t>
      </w:r>
      <w:r>
        <w:t xml:space="preserve"> </w:t>
      </w:r>
      <w:r>
        <w:t xml:space="preserve">providing accurate information on the location of a purchase is difficult, misleading or of</w:t>
      </w:r>
      <w:r>
        <w:t xml:space="preserve"> </w:t>
      </w:r>
      <w:r>
        <w:t xml:space="preserve">limited value, e.g. itinerant traders (namely, taxis and other related services), and services</w:t>
      </w:r>
      <w:r>
        <w:t xml:space="preserve"> </w:t>
      </w:r>
      <w:r>
        <w:t xml:space="preserve">offered and paid for at the home of the consumers.</w:t>
      </w:r>
      <w:r>
        <w:t xml:space="preserve"> </w:t>
      </w:r>
      <w:r>
        <w:t xml:space="preserve">Finally, PSD2 has also sought to deliver progress on this objective by enhancing transparency</w:t>
      </w:r>
      <w:r>
        <w:t xml:space="preserve"> </w:t>
      </w:r>
      <w:r>
        <w:t xml:space="preserve">of cross-border transactions within the EU and with other jurisdictions. However, one</w:t>
      </w:r>
      <w:r>
        <w:t xml:space="preserve"> </w:t>
      </w:r>
      <w:r>
        <w:t xml:space="preserve">difficulty stifling progress on this goal concerns disclosure of currency conversion charges</w:t>
      </w:r>
      <w:r>
        <w:t xml:space="preserve"> </w:t>
      </w:r>
      <w:r>
        <w:t xml:space="preserve">applied by PSPs to one-leg out credit transfers/remittances. In this regard, views expressed in</w:t>
      </w:r>
      <w:r>
        <w:t xml:space="preserve"> </w:t>
      </w:r>
      <w:r>
        <w:t xml:space="preserve">the targeted consultation on whether currency conversion costs should be disclosed before</w:t>
      </w:r>
    </w:p>
    <w:p>
      <w:pPr>
        <w:pStyle w:val="BodyText"/>
      </w:pPr>
      <w:r>
        <w:t xml:space="preserve">249</w:t>
      </w:r>
      <w:r>
        <w:br/>
      </w:r>
      <w:r>
        <w:t xml:space="preserve">Article 52(1).</w:t>
      </w:r>
      <w:r>
        <w:t xml:space="preserve"> </w:t>
      </w:r>
      <w:r>
        <w:t xml:space="preserve">250</w:t>
      </w:r>
      <w:r>
        <w:br/>
      </w:r>
      <w:r>
        <w:t xml:space="preserve">Final report of the ERPB working group on transparency for retail payments end-users (europa.eu).</w:t>
      </w:r>
    </w:p>
    <w:p>
      <w:pPr>
        <w:pStyle w:val="BodyText"/>
      </w:pPr>
      <w:r>
        <w:t xml:space="preserve">125</w:t>
      </w:r>
    </w:p>
    <w:p>
      <w:pPr>
        <w:pStyle w:val="BodyText"/>
      </w:pPr>
      <w:r>
        <w:t xml:space="preserve">and after a payment transaction251 were divided. While PSPs disagreed, TPPs, consumers and</w:t>
      </w:r>
      <w:r>
        <w:t xml:space="preserve"> </w:t>
      </w:r>
      <w:r>
        <w:t xml:space="preserve">merchants were favorable to such a change252. Besides impacting progress on the PSD2</w:t>
      </w:r>
      <w:r>
        <w:t xml:space="preserve"> </w:t>
      </w:r>
      <w:r>
        <w:t xml:space="preserve">transparency objectives, lack of price transparency is also a leading factor heightening</w:t>
      </w:r>
      <w:r>
        <w:t xml:space="preserve"> </w:t>
      </w:r>
      <w:r>
        <w:t xml:space="preserve">remittances costs, according to the World Bank253, limiting the ability of the EU to deliver on</w:t>
      </w:r>
      <w:r>
        <w:t xml:space="preserve"> </w:t>
      </w:r>
      <w:r>
        <w:t xml:space="preserve">its commitment to achieving the G20 and SDG targets on remittances costs reduction to 3%</w:t>
      </w:r>
      <w:r>
        <w:t xml:space="preserve"> </w:t>
      </w:r>
      <w:r>
        <w:t xml:space="preserve">by 2030. Furthermore, the VVA/CEPS study also reports that consumer awareness about new</w:t>
      </w:r>
      <w:r>
        <w:t xml:space="preserve"> </w:t>
      </w:r>
      <w:r>
        <w:t xml:space="preserve">types of PSPs, whether they are supervised or trustworthy, remains low254. This is especially</w:t>
      </w:r>
      <w:r>
        <w:t xml:space="preserve"> </w:t>
      </w:r>
      <w:r>
        <w:t xml:space="preserve">the case with regard to cross-border transactions within the EU, with consumers often</w:t>
      </w:r>
      <w:r>
        <w:t xml:space="preserve"> </w:t>
      </w:r>
      <w:r>
        <w:t xml:space="preserve">unaware of the classification of the service provided, the provider, the applicable legal</w:t>
      </w:r>
      <w:r>
        <w:t xml:space="preserve"> </w:t>
      </w:r>
      <w:r>
        <w:t xml:space="preserve">framework, and the competent supervisors.</w:t>
      </w:r>
      <w:r>
        <w:t xml:space="preserve"> </w:t>
      </w:r>
      <w:r>
        <w:t xml:space="preserve">3) How successful has the PSD2 been in facilitating the provision of card, internet</w:t>
      </w:r>
      <w:r>
        <w:t xml:space="preserve"> </w:t>
      </w:r>
      <w:r>
        <w:t xml:space="preserve">and mobile payment services across borders within the EU by ensuring a Single</w:t>
      </w:r>
      <w:r>
        <w:t xml:space="preserve"> </w:t>
      </w:r>
      <w:r>
        <w:t xml:space="preserve">Market for payments?</w:t>
      </w:r>
      <w:r>
        <w:t xml:space="preserve"> </w:t>
      </w:r>
      <w:r>
        <w:t xml:space="preserve">The PSD1 framework already had some success in developing cross-border payment services</w:t>
      </w:r>
      <w:r>
        <w:t xml:space="preserve"> </w:t>
      </w:r>
      <w:r>
        <w:t xml:space="preserve">within the EU and enhancing the quality of such services255. Still, the PSD2 has enabled some</w:t>
      </w:r>
      <w:r>
        <w:t xml:space="preserve"> </w:t>
      </w:r>
      <w:r>
        <w:t xml:space="preserve">additional progress towards the goal of developing an EU single market for payment services.</w:t>
      </w:r>
      <w:r>
        <w:t xml:space="preserve"> </w:t>
      </w:r>
      <w:r>
        <w:t xml:space="preserve">Notably, according to an EBA survey in March 2019256, 45% of authorized PSPs were using</w:t>
      </w:r>
      <w:r>
        <w:t xml:space="preserve"> </w:t>
      </w:r>
      <w:r>
        <w:t xml:space="preserve">or planning to use the EU passporting regime to provide cross-border services. Konsentus</w:t>
      </w:r>
      <w:r>
        <w:t xml:space="preserve"> </w:t>
      </w:r>
      <w:r>
        <w:t xml:space="preserve">data for the EEA indicates that the number of TPPs passporting into another country has</w:t>
      </w:r>
      <w:r>
        <w:t xml:space="preserve"> </w:t>
      </w:r>
      <w:r>
        <w:t xml:space="preserve">increased from 39 in Q3 2019 to 175 in Q4 2022257.</w:t>
      </w:r>
      <w:r>
        <w:t xml:space="preserve"> </w:t>
      </w:r>
      <w:r>
        <w:t xml:space="preserve">This increase in the number of PSPs offering payment services across borders in the EU</w:t>
      </w:r>
      <w:r>
        <w:t xml:space="preserve"> </w:t>
      </w:r>
      <w:r>
        <w:t xml:space="preserve">evidences some success of the more streamlined framework for passporting notifications</w:t>
      </w:r>
      <w:r>
        <w:t xml:space="preserve"> </w:t>
      </w:r>
      <w:r>
        <w:t xml:space="preserve">under PSD2 as compared to PSD1258. The Directive also added clarity with regard to the</w:t>
      </w:r>
      <w:r>
        <w:t xml:space="preserve"> </w:t>
      </w:r>
      <w:r>
        <w:t xml:space="preserve">information to be provided when a payment institution or e-money institution is using an</w:t>
      </w:r>
      <w:r>
        <w:t xml:space="preserve"> </w:t>
      </w:r>
      <w:r>
        <w:t xml:space="preserve">agent and when an e-money institution is using a distributor. These regulatory changes have</w:t>
      </w:r>
    </w:p>
    <w:p>
      <w:pPr>
        <w:pStyle w:val="BodyText"/>
      </w:pPr>
      <w:r>
        <w:t xml:space="preserve">251</w:t>
      </w:r>
      <w:r>
        <w:br/>
      </w:r>
      <w:r>
        <w:t xml:space="preserve">Similar to the current rules for two-leg payment transactions that involve a currency conversion</w:t>
      </w:r>
      <w:r>
        <w:t xml:space="preserve"> </w:t>
      </w:r>
      <w:r>
        <w:t xml:space="preserve">included in the Cross-Border Payments Regulation.</w:t>
      </w:r>
      <w:r>
        <w:t xml:space="preserve"> </w:t>
      </w:r>
      <w:r>
        <w:t xml:space="preserve">252</w:t>
      </w:r>
      <w:r>
        <w:br/>
      </w:r>
      <w:r>
        <w:t xml:space="preserve">In addition to evidence from the targeted consultation, a 2022 Remittances Report by Wise concluded</w:t>
      </w:r>
      <w:r>
        <w:t xml:space="preserve"> </w:t>
      </w:r>
      <w:r>
        <w:t xml:space="preserve">that banks in EU are still largely failing to comply with requirements to disclose ‘all currency conversion</w:t>
      </w:r>
      <w:r>
        <w:t xml:space="preserve"> </w:t>
      </w:r>
      <w:r>
        <w:t xml:space="preserve">charges’ up front for European transfers, identifying ineffective enforcement as key issue.</w:t>
      </w:r>
      <w:r>
        <w:t xml:space="preserve"> </w:t>
      </w:r>
      <w:r>
        <w:t xml:space="preserve">253</w:t>
      </w:r>
      <w:r>
        <w:br/>
      </w:r>
      <w:r>
        <w:t xml:space="preserve">World Bank, Ending remittance hidden fees: the international community calls for action.</w:t>
      </w:r>
      <w:r>
        <w:br/>
      </w:r>
      <w:r>
        <w:t xml:space="preserve">254</w:t>
      </w:r>
      <w:r>
        <w:br/>
      </w:r>
      <w:r>
        <w:t xml:space="preserve">VVA/CEPS study, p. 97; also EBA/REP/2021/04.</w:t>
      </w:r>
      <w:r>
        <w:t xml:space="preserve"> </w:t>
      </w:r>
      <w:r>
        <w:t xml:space="preserve">255 Commission Staff Working Document (SWD/2013/0288 final) Impact Assessment Accompanying the</w:t>
      </w:r>
      <w:r>
        <w:t xml:space="preserve"> </w:t>
      </w:r>
      <w:r>
        <w:t xml:space="preserve">document Proposal for a directive of the European parliament and of the Council on payment services in the</w:t>
      </w:r>
      <w:r>
        <w:t xml:space="preserve"> </w:t>
      </w:r>
      <w:r>
        <w:t xml:space="preserve">internal market, 24.7.2013.</w:t>
      </w:r>
      <w:r>
        <w:t xml:space="preserve"> </w:t>
      </w:r>
      <w:r>
        <w:t xml:space="preserve">256</w:t>
      </w:r>
      <w:r>
        <w:br/>
      </w:r>
      <w:r>
        <w:t xml:space="preserve">EBA Report on The Impact Of Fintech On Payment Institutions’ And E-Money Institutions’ Business</w:t>
      </w:r>
      <w:r>
        <w:t xml:space="preserve"> </w:t>
      </w:r>
      <w:r>
        <w:t xml:space="preserve">Models, July 2019.</w:t>
      </w:r>
      <w:r>
        <w:t xml:space="preserve"> </w:t>
      </w:r>
      <w:r>
        <w:t xml:space="preserve">257</w:t>
      </w:r>
      <w:r>
        <w:br/>
      </w:r>
      <w:r>
        <w:t xml:space="preserve">Konsentus, Q4 2022 Third Party Provider Open Banking Tracker.</w:t>
      </w:r>
      <w:r>
        <w:t xml:space="preserve"> </w:t>
      </w:r>
      <w:r>
        <w:t xml:space="preserve">258</w:t>
      </w:r>
      <w:r>
        <w:br/>
      </w:r>
      <w:r>
        <w:t xml:space="preserve">The passporting regime allows Payment Institutions authorised in one Member State to carry out</w:t>
      </w:r>
      <w:r>
        <w:t xml:space="preserve"> </w:t>
      </w:r>
      <w:r>
        <w:t xml:space="preserve">activities in any other EEA state without additional authorisation. The PSD2 was accompanied by new</w:t>
      </w:r>
      <w:r>
        <w:t xml:space="preserve"> </w:t>
      </w:r>
      <w:r>
        <w:t xml:space="preserve">Regulatory Technical Standards on the framework for cooperation and exchange of information between</w:t>
      </w:r>
      <w:r>
        <w:t xml:space="preserve"> </w:t>
      </w:r>
      <w:r>
        <w:t xml:space="preserve">competent authorities for passport notifications.</w:t>
      </w:r>
    </w:p>
    <w:p>
      <w:pPr>
        <w:pStyle w:val="BodyText"/>
      </w:pPr>
      <w:r>
        <w:t xml:space="preserve">126</w:t>
      </w:r>
    </w:p>
    <w:p>
      <w:pPr>
        <w:pStyle w:val="BodyText"/>
      </w:pPr>
      <w:r>
        <w:t xml:space="preserve">contributed towards the specific objective of better aligning licensing rules for payment</w:t>
      </w:r>
      <w:r>
        <w:t xml:space="preserve"> </w:t>
      </w:r>
      <w:r>
        <w:t xml:space="preserve">services across Member States. Nonetheless, some issues have remained which have limited</w:t>
      </w:r>
      <w:r>
        <w:t xml:space="preserve"> </w:t>
      </w:r>
      <w:r>
        <w:t xml:space="preserve">progress towards general objective 3 and specific objective 5, ‘to improve the consistent</w:t>
      </w:r>
      <w:r>
        <w:t xml:space="preserve"> </w:t>
      </w:r>
      <w:r>
        <w:t xml:space="preserve">application of the legislative framework across Member States’ and ‘to better align licensing</w:t>
      </w:r>
      <w:r>
        <w:t xml:space="preserve"> </w:t>
      </w:r>
      <w:r>
        <w:t xml:space="preserve">and supervisory rules for payment services across Member States’.</w:t>
      </w:r>
      <w:r>
        <w:t xml:space="preserve"> </w:t>
      </w:r>
      <w:r>
        <w:t xml:space="preserve">Notably, one limitation to the success of the PSD2 framework on the above-mentioned</w:t>
      </w:r>
      <w:r>
        <w:t xml:space="preserve"> </w:t>
      </w:r>
      <w:r>
        <w:t xml:space="preserve">passport notifications for agents and distributors has been a divergence in practices amongst</w:t>
      </w:r>
      <w:r>
        <w:t xml:space="preserve"> </w:t>
      </w:r>
      <w:r>
        <w:t xml:space="preserve">NCAs in assessing whether cross-border activities carried out by PIs and EMIs using agents</w:t>
      </w:r>
      <w:r>
        <w:t xml:space="preserve"> </w:t>
      </w:r>
      <w:r>
        <w:t xml:space="preserve">or distributors fall under the ROE or the FPS. As noted in the EBA Advice to the</w:t>
      </w:r>
      <w:r>
        <w:t xml:space="preserve"> </w:t>
      </w:r>
      <w:r>
        <w:t xml:space="preserve">Commission on the review of PSD2259, such divergences stem from the absence of clear</w:t>
      </w:r>
      <w:r>
        <w:t xml:space="preserve"> </w:t>
      </w:r>
      <w:r>
        <w:t xml:space="preserve">criteria in the EU legislation to delineate between the ROE and FPS, potentially leading to</w:t>
      </w:r>
      <w:r>
        <w:t xml:space="preserve"> </w:t>
      </w:r>
      <w:r>
        <w:t xml:space="preserve">disagreements between NCAs and/or between NCAs and PSPs as to the applicable regulatory</w:t>
      </w:r>
      <w:r>
        <w:t xml:space="preserve"> </w:t>
      </w:r>
      <w:r>
        <w:t xml:space="preserve">requirements and supervisory powers. This also impacts the effectiveness of the PSD2 with</w:t>
      </w:r>
      <w:r>
        <w:t xml:space="preserve"> </w:t>
      </w:r>
      <w:r>
        <w:t xml:space="preserve">regard to transparency goals, due to difficulties ensuing for consumers in identifying the</w:t>
      </w:r>
      <w:r>
        <w:t xml:space="preserve"> </w:t>
      </w:r>
      <w:r>
        <w:t xml:space="preserve">applicable consumer protection measures, as well as the relevant authority for specific</w:t>
      </w:r>
      <w:r>
        <w:t xml:space="preserve"> </w:t>
      </w:r>
      <w:r>
        <w:t xml:space="preserve">supervisory purposes and complaints handling.</w:t>
      </w:r>
      <w:r>
        <w:t xml:space="preserve"> </w:t>
      </w:r>
      <w:r>
        <w:t xml:space="preserve">In addition, the EBA has also identified divergent approaches amongst NCAs to how</w:t>
      </w:r>
      <w:r>
        <w:t xml:space="preserve"> </w:t>
      </w:r>
      <w:r>
        <w:t xml:space="preserve">passporting notifications should be treated in the case of the so-called “triangular</w:t>
      </w:r>
      <w:r>
        <w:t xml:space="preserve"> </w:t>
      </w:r>
      <w:r>
        <w:t xml:space="preserve">passporting”260. In particular, NCAs have taken divergent interpretations regarding the</w:t>
      </w:r>
      <w:r>
        <w:t xml:space="preserve"> </w:t>
      </w:r>
      <w:r>
        <w:t xml:space="preserve">permissibility of such passporting notifications that are not explicitly envisaged in the PSD2.</w:t>
      </w:r>
      <w:r>
        <w:t xml:space="preserve"> </w:t>
      </w:r>
      <w:r>
        <w:t xml:space="preserve">Such form of “triangular passporting” creates uncertainty in the provision of payment</w:t>
      </w:r>
      <w:r>
        <w:t xml:space="preserve"> </w:t>
      </w:r>
      <w:r>
        <w:t xml:space="preserve">services across borders by making it difficult to determine which AML/CFT and consumer</w:t>
      </w:r>
      <w:r>
        <w:t xml:space="preserve"> </w:t>
      </w:r>
      <w:r>
        <w:t xml:space="preserve">protection regulations are applicable to the services provided by the intermediary in the host</w:t>
      </w:r>
      <w:r>
        <w:t xml:space="preserve"> </w:t>
      </w:r>
      <w:r>
        <w:t xml:space="preserve">Member State. It also poses supervisory challenges in terms of the supervision of the</w:t>
      </w:r>
      <w:r>
        <w:t xml:space="preserve"> </w:t>
      </w:r>
      <w:r>
        <w:t xml:space="preserve">activities carried out in the host Member State (including from an AML/CFT perspective).</w:t>
      </w:r>
      <w:r>
        <w:t xml:space="preserve"> </w:t>
      </w:r>
      <w:r>
        <w:t xml:space="preserve">A second limitation concerns the lack of consistency in how the definition of “payment</w:t>
      </w:r>
      <w:r>
        <w:t xml:space="preserve"> </w:t>
      </w:r>
      <w:r>
        <w:t xml:space="preserve">account” is interpreted across the EU. In this regard, the EBA observed (p. 12) that there have</w:t>
      </w:r>
      <w:r>
        <w:t xml:space="preserve"> </w:t>
      </w:r>
      <w:r>
        <w:t xml:space="preserve">been different interpretations leading, in particular, to questions as to whether certain types of</w:t>
      </w:r>
      <w:r>
        <w:t xml:space="preserve"> </w:t>
      </w:r>
      <w:r>
        <w:t xml:space="preserve">accounts, such as electronic money accounts linked to prepaid cards, savings accounts,</w:t>
      </w:r>
      <w:r>
        <w:t xml:space="preserve"> </w:t>
      </w:r>
      <w:r>
        <w:t xml:space="preserve">reference accounts, credit card accounts and others, should be considered payment accounts.</w:t>
      </w:r>
      <w:r>
        <w:t xml:space="preserve"> </w:t>
      </w:r>
      <w:r>
        <w:t xml:space="preserve">This has led to uncertainty regarding the different types of account data which can be</w:t>
      </w:r>
      <w:r>
        <w:t xml:space="preserve"> </w:t>
      </w:r>
      <w:r>
        <w:t xml:space="preserve">accessed by AISPs and PISPs across the EU, with, for instance, AISPs accessing credit card</w:t>
      </w:r>
      <w:r>
        <w:t xml:space="preserve"> </w:t>
      </w:r>
      <w:r>
        <w:t xml:space="preserve">data in some jurisdictions but not in others. Thus, the lack of clarity in the definition of</w:t>
      </w:r>
      <w:r>
        <w:t xml:space="preserve"> </w:t>
      </w:r>
      <w:r>
        <w:t xml:space="preserve">payment accounts remains a limitation on the effectiveness of the Directive with regard to its</w:t>
      </w:r>
      <w:r>
        <w:t xml:space="preserve"> </w:t>
      </w:r>
      <w:r>
        <w:t xml:space="preserve">objective of facilitating the provision of payment services across borders, but also to its Open</w:t>
      </w:r>
      <w:r>
        <w:t xml:space="preserve"> </w:t>
      </w:r>
      <w:r>
        <w:t xml:space="preserve">Banking goals (cf. Obj. 4).</w:t>
      </w:r>
    </w:p>
    <w:p>
      <w:pPr>
        <w:pStyle w:val="BodyText"/>
      </w:pPr>
      <w:r>
        <w:t xml:space="preserve">259</w:t>
      </w:r>
      <w:r>
        <w:br/>
      </w:r>
      <w:r>
        <w:t xml:space="preserve">Page 50 and following.</w:t>
      </w:r>
      <w:r>
        <w:t xml:space="preserve"> </w:t>
      </w:r>
      <w:r>
        <w:t xml:space="preserve">260</w:t>
      </w:r>
      <w:r>
        <w:br/>
      </w:r>
      <w:r>
        <w:t xml:space="preserve">When a PI/EMI authorised in a country “A” uses an intermediary (such as an agent, distributor or</w:t>
      </w:r>
      <w:r>
        <w:t xml:space="preserve"> </w:t>
      </w:r>
      <w:r>
        <w:t xml:space="preserve">branch) located in a country “B” for offering payment services in another country “C”.</w:t>
      </w:r>
    </w:p>
    <w:p>
      <w:pPr>
        <w:pStyle w:val="BodyText"/>
      </w:pPr>
      <w:r>
        <w:t xml:space="preserve">127</w:t>
      </w:r>
    </w:p>
    <w:p>
      <w:pPr>
        <w:pStyle w:val="BodyText"/>
      </w:pPr>
      <w:r>
        <w:t xml:space="preserve">A third issue concerns the divergence across Member States in their approaches to the</w:t>
      </w:r>
      <w:r>
        <w:t xml:space="preserve"> </w:t>
      </w:r>
      <w:r>
        <w:t xml:space="preserve">authorisation of payment services linked to a payment account, as well as to the services</w:t>
      </w:r>
      <w:r>
        <w:t xml:space="preserve"> </w:t>
      </w:r>
      <w:r>
        <w:t xml:space="preserve">linked to ‘the operations required for operating a payment account’ as set out in items 1 and 2</w:t>
      </w:r>
      <w:r>
        <w:t xml:space="preserve"> </w:t>
      </w:r>
      <w:r>
        <w:t xml:space="preserve">of Annex I to PSD2. A case in point are the authorization requirements for PIs. Accordingly,</w:t>
      </w:r>
      <w:r>
        <w:t xml:space="preserve"> </w:t>
      </w:r>
      <w:r>
        <w:t xml:space="preserve">with regard to opening and maintaining a payment account of the PSU, some jurisdictions</w:t>
      </w:r>
      <w:r>
        <w:t xml:space="preserve"> </w:t>
      </w:r>
      <w:r>
        <w:t xml:space="preserve">have taken the approach to require PIs to be authorised for services under items 1, 2 and 3 of</w:t>
      </w:r>
      <w:r>
        <w:t xml:space="preserve"> </w:t>
      </w:r>
      <w:r>
        <w:t xml:space="preserve">Annex I to PSD2, whereas in other jurisdictions PIs can open and maintain payment accounts</w:t>
      </w:r>
      <w:r>
        <w:t xml:space="preserve"> </w:t>
      </w:r>
      <w:r>
        <w:t xml:space="preserve">of the PSU and provide individual payment services without such requirement. Also, with</w:t>
      </w:r>
      <w:r>
        <w:t xml:space="preserve"> </w:t>
      </w:r>
      <w:r>
        <w:t xml:space="preserve">regard to the services of issuing of payment instruments and acquiring of payment</w:t>
      </w:r>
      <w:r>
        <w:t xml:space="preserve"> </w:t>
      </w:r>
      <w:r>
        <w:t xml:space="preserve">transactions, the EBA identified divergent approaches in the authorisation of PIs, with some</w:t>
      </w:r>
      <w:r>
        <w:t xml:space="preserve"> </w:t>
      </w:r>
      <w:r>
        <w:t xml:space="preserve">NCAs requiring PIs also to be authorised for the execution of payment transactions under</w:t>
      </w:r>
      <w:r>
        <w:t xml:space="preserve"> </w:t>
      </w:r>
      <w:r>
        <w:t xml:space="preserve">items 3 or 4 of Annex I to PSD2.</w:t>
      </w:r>
      <w:r>
        <w:t xml:space="preserve"> </w:t>
      </w:r>
      <w:r>
        <w:t xml:space="preserve">A fourth issue limiting effectiveness of the Directive with regard to its goals of furthering the</w:t>
      </w:r>
      <w:r>
        <w:t xml:space="preserve"> </w:t>
      </w:r>
      <w:r>
        <w:t xml:space="preserve">EU single market in payments concerns the lack of harmonisation in the application of the</w:t>
      </w:r>
      <w:r>
        <w:t xml:space="preserve"> </w:t>
      </w:r>
      <w:r>
        <w:t xml:space="preserve">methods for the calculation of own funds of PIs across the EU under Article 9 of PSD2. More</w:t>
      </w:r>
      <w:r>
        <w:t xml:space="preserve"> </w:t>
      </w:r>
      <w:r>
        <w:t xml:space="preserve">precisely, the EBA notes a divergence in the application of the requirement on who should be</w:t>
      </w:r>
      <w:r>
        <w:t xml:space="preserve"> </w:t>
      </w:r>
      <w:r>
        <w:t xml:space="preserve">responsible for choosing the method for the calculation of own funds where, at times, PIs</w:t>
      </w:r>
      <w:r>
        <w:t xml:space="preserve"> </w:t>
      </w:r>
      <w:r>
        <w:t xml:space="preserve">were allowed to choose the method, potentially leading to regulatory arbitrage.</w:t>
      </w:r>
      <w:r>
        <w:t xml:space="preserve"> </w:t>
      </w:r>
      <w:r>
        <w:t xml:space="preserve">Finally, both the VVA/CEPS study and the EBA reported concerns by PSPs regarding</w:t>
      </w:r>
      <w:r>
        <w:t xml:space="preserve"> </w:t>
      </w:r>
      <w:r>
        <w:t xml:space="preserve">differences across national authorities in terms of the duration of the application process, as</w:t>
      </w:r>
      <w:r>
        <w:t xml:space="preserve"> </w:t>
      </w:r>
      <w:r>
        <w:t xml:space="preserve">well as the regulatory requirements for operating across borders. Besides making such</w:t>
      </w:r>
      <w:r>
        <w:t xml:space="preserve"> </w:t>
      </w:r>
      <w:r>
        <w:t xml:space="preserve">activities difficult, one effect is the scope for regulatory arbitrage, as firms can passport their</w:t>
      </w:r>
      <w:r>
        <w:t xml:space="preserve"> </w:t>
      </w:r>
      <w:r>
        <w:t xml:space="preserve">service across the EU after having established themselves in one Member State (for which</w:t>
      </w:r>
      <w:r>
        <w:t xml:space="preserve"> </w:t>
      </w:r>
      <w:r>
        <w:t xml:space="preserve">there might be more or less regulatory requirements to do so).</w:t>
      </w:r>
      <w:r>
        <w:t xml:space="preserve"> </w:t>
      </w:r>
      <w:r>
        <w:t xml:space="preserve">4) How successful has the PSD2 been in creating an environment which helps</w:t>
      </w:r>
      <w:r>
        <w:t xml:space="preserve"> </w:t>
      </w:r>
      <w:r>
        <w:t xml:space="preserve">innovative payment services to reach a broader market?</w:t>
      </w:r>
      <w:r>
        <w:t xml:space="preserve"> </w:t>
      </w:r>
      <w:r>
        <w:t xml:space="preserve">The PSD2 has laid important stepping-stones towards its goal of enabling innovative PSPs to</w:t>
      </w:r>
      <w:r>
        <w:t xml:space="preserve"> </w:t>
      </w:r>
      <w:r>
        <w:t xml:space="preserve">reach broader markets by outlining the regulatory foundations for an Open Banking</w:t>
      </w:r>
      <w:r>
        <w:t xml:space="preserve"> </w:t>
      </w:r>
      <w:r>
        <w:t xml:space="preserve">framework in the EU, particularly the framework for access to customers’ account data held</w:t>
      </w:r>
      <w:r>
        <w:t xml:space="preserve"> </w:t>
      </w:r>
      <w:r>
        <w:t xml:space="preserve">by ASPSPs. As further detailed in Annex 11, the PSD2 has enabled TPPs (PISPs and AISPs)</w:t>
      </w:r>
      <w:r>
        <w:t xml:space="preserve"> </w:t>
      </w:r>
      <w:r>
        <w:t xml:space="preserve">who build on ASPSPs’ existing data and infrastructure to provide PSUs a range of new</w:t>
      </w:r>
      <w:r>
        <w:t xml:space="preserve"> </w:t>
      </w:r>
      <w:r>
        <w:t xml:space="preserve">services for managing their finances, and/or providing cheaper payment solutions.</w:t>
      </w:r>
      <w:r>
        <w:t xml:space="preserve"> </w:t>
      </w:r>
      <w:r>
        <w:t xml:space="preserve">As noted previously, PSD2 provisions on account data access have been successful in</w:t>
      </w:r>
      <w:r>
        <w:t xml:space="preserve"> </w:t>
      </w:r>
      <w:r>
        <w:t xml:space="preserve">augmenting the EU market in Open Banking services in terms of number of new TPPs,</w:t>
      </w:r>
      <w:r>
        <w:t xml:space="preserve"> </w:t>
      </w:r>
      <w:r>
        <w:t xml:space="preserve">number of users of Open Banking services, and number of API calls. While numbers of Open</w:t>
      </w:r>
      <w:r>
        <w:t xml:space="preserve"> </w:t>
      </w:r>
      <w:r>
        <w:t xml:space="preserve">Banking services users and API calls suggest that the Directive has been successful in</w:t>
      </w:r>
      <w:r>
        <w:t xml:space="preserve"> </w:t>
      </w:r>
      <w:r>
        <w:t xml:space="preserve">broadening market access for PSPs, experience acquired during the implementation of PSD2</w:t>
      </w:r>
      <w:r>
        <w:t xml:space="preserve"> </w:t>
      </w:r>
      <w:r>
        <w:t xml:space="preserve">has also revealed important limitations on progress towards this objective. As already</w:t>
      </w:r>
      <w:r>
        <w:t xml:space="preserve"> </w:t>
      </w:r>
      <w:r>
        <w:t xml:space="preserve">mentioned above the limitations relate to the lack of remuneration incentives reported by</w:t>
      </w:r>
    </w:p>
    <w:p>
      <w:pPr>
        <w:pStyle w:val="BodyText"/>
      </w:pPr>
      <w:r>
        <w:t xml:space="preserve">128</w:t>
      </w:r>
    </w:p>
    <w:p>
      <w:pPr>
        <w:pStyle w:val="BodyText"/>
      </w:pPr>
      <w:r>
        <w:t xml:space="preserve">ASPSPs for providing quality APIs, the limited quality of access by TPPs to account data,</w:t>
      </w:r>
      <w:r>
        <w:t xml:space="preserve"> </w:t>
      </w:r>
      <w:r>
        <w:t xml:space="preserve">and difficulties related to supervision and enforcement.</w:t>
      </w:r>
      <w:r>
        <w:t xml:space="preserve"> </w:t>
      </w:r>
      <w:r>
        <w:t xml:space="preserve">First, ASPSPs consulted in the VVA/CEPS study and target consultation expressed the view</w:t>
      </w:r>
      <w:r>
        <w:t xml:space="preserve"> </w:t>
      </w:r>
      <w:r>
        <w:t xml:space="preserve">that current provisions establishing that access to customers’ account data shall be provided</w:t>
      </w:r>
      <w:r>
        <w:t xml:space="preserve"> </w:t>
      </w:r>
      <w:r>
        <w:t xml:space="preserve">for free have stifled innovation by ASPSPs both in terms of developing high-quality access</w:t>
      </w:r>
      <w:r>
        <w:t xml:space="preserve"> </w:t>
      </w:r>
      <w:r>
        <w:t xml:space="preserve">mechanisms and introducing new functionalities to customers. Accordingly, many ASPSPs</w:t>
      </w:r>
      <w:r>
        <w:t xml:space="preserve"> </w:t>
      </w:r>
      <w:r>
        <w:t xml:space="preserve">noted in the targeted consultation the lack of a fair distribution of costs and opportunities</w:t>
      </w:r>
      <w:r>
        <w:t xml:space="preserve"> </w:t>
      </w:r>
      <w:r>
        <w:t xml:space="preserve">between parties involved, where the (high) costs of developing access interfaces have not</w:t>
      </w:r>
      <w:r>
        <w:t xml:space="preserve"> </w:t>
      </w:r>
      <w:r>
        <w:t xml:space="preserve">corresponded to the benefits and have mostly been borne by the banks. In addition, the EBA</w:t>
      </w:r>
      <w:r>
        <w:t xml:space="preserve"> </w:t>
      </w:r>
      <w:r>
        <w:t xml:space="preserve">has noted that the PSD2 does not currently provide clarity on the delineation between access</w:t>
      </w:r>
      <w:r>
        <w:t xml:space="preserve"> </w:t>
      </w:r>
      <w:r>
        <w:t xml:space="preserve">that must be available free of charge, and “premium” data services or added-value</w:t>
      </w:r>
      <w:r>
        <w:t xml:space="preserve"> </w:t>
      </w:r>
      <w:r>
        <w:t xml:space="preserve">functionalities that go beyond the scope of the PSD2 requirements. Moreover, several</w:t>
      </w:r>
      <w:r>
        <w:t xml:space="preserve"> </w:t>
      </w:r>
      <w:r>
        <w:t xml:space="preserve">banking industry stakeholders (including industry associations and ASPSPs) argued that the</w:t>
      </w:r>
      <w:r>
        <w:t xml:space="preserve"> </w:t>
      </w:r>
      <w:r>
        <w:t xml:space="preserve">free access regime and lack of clarity concerning beyond PSD2 baseline, value-added data</w:t>
      </w:r>
      <w:r>
        <w:t xml:space="preserve"> </w:t>
      </w:r>
      <w:r>
        <w:t xml:space="preserve">access services means that it is not commercially profitable for ASPSPs to introduce new</w:t>
      </w:r>
      <w:r>
        <w:t xml:space="preserve"> </w:t>
      </w:r>
      <w:r>
        <w:t xml:space="preserve">functionalities, as implementing the functionality to the API makes the building costs double.</w:t>
      </w:r>
      <w:r>
        <w:t xml:space="preserve"> </w:t>
      </w:r>
      <w:r>
        <w:t xml:space="preserve">On the other hand, free access to customer account data held by ASPSPs has been</w:t>
      </w:r>
      <w:r>
        <w:t xml:space="preserve"> </w:t>
      </w:r>
      <w:r>
        <w:t xml:space="preserve">appreciated in views expressed in the targeted consultation by associations representing</w:t>
      </w:r>
      <w:r>
        <w:t xml:space="preserve"> </w:t>
      </w:r>
      <w:r>
        <w:t xml:space="preserve">consumers, as well as by several TPPs. Accordingly, although both sides expressed</w:t>
      </w:r>
      <w:r>
        <w:t xml:space="preserve"> </w:t>
      </w:r>
      <w:r>
        <w:t xml:space="preserve">agreement with the possibility of ASPSPs and TPPs agreeing on a remuneration for services</w:t>
      </w:r>
      <w:r>
        <w:t xml:space="preserve"> </w:t>
      </w:r>
      <w:r>
        <w:t xml:space="preserve">beyond the PSD2 baseline, they also noted that baseline account data should remain free to</w:t>
      </w:r>
      <w:r>
        <w:t xml:space="preserve"> </w:t>
      </w:r>
      <w:r>
        <w:t xml:space="preserve">keep data ownership with customers and market entry barriers low.</w:t>
      </w:r>
      <w:r>
        <w:br/>
      </w:r>
      <w:r>
        <w:t xml:space="preserve">One development likely related to the lack of commercial interest and economic incentives of</w:t>
      </w:r>
      <w:r>
        <w:t xml:space="preserve"> </w:t>
      </w:r>
      <w:r>
        <w:t xml:space="preserve">ASPSPs for developing access interfaces, as the EBA (EBA, p. 87) has observed, has been an</w:t>
      </w:r>
      <w:r>
        <w:t xml:space="preserve"> </w:t>
      </w:r>
      <w:r>
        <w:t xml:space="preserve">overreliance by some ASPSPs on the use of the customer interface as a primary or fallback</w:t>
      </w:r>
      <w:r>
        <w:t xml:space="preserve"> </w:t>
      </w:r>
      <w:r>
        <w:t xml:space="preserve">access interface for TPPs. In particular, some small and medium sized ASPSPs offer only</w:t>
      </w:r>
      <w:r>
        <w:t xml:space="preserve"> </w:t>
      </w:r>
      <w:r>
        <w:t xml:space="preserve">their adapted customer interface as a primary access method for TPPs and have chosen not to</w:t>
      </w:r>
      <w:r>
        <w:t xml:space="preserve"> </w:t>
      </w:r>
      <w:r>
        <w:t xml:space="preserve">provide an API. In this respect, it is the EBA’s view that the choice given to ASPSPs to use</w:t>
      </w:r>
      <w:r>
        <w:t xml:space="preserve"> </w:t>
      </w:r>
      <w:r>
        <w:t xml:space="preserve">their customer interface as fallback access mechanism does not create incentives for ASPSPs</w:t>
      </w:r>
      <w:r>
        <w:t xml:space="preserve"> </w:t>
      </w:r>
      <w:r>
        <w:t xml:space="preserve">to provide and use high-quality APIs, while it increases the efforts that TPPs must put into</w:t>
      </w:r>
      <w:r>
        <w:t xml:space="preserve"> </w:t>
      </w:r>
      <w:r>
        <w:t xml:space="preserve">integrating different customer interfaces (EBA, p. 88). In contrast, the views expressed in the</w:t>
      </w:r>
      <w:r>
        <w:t xml:space="preserve"> </w:t>
      </w:r>
      <w:r>
        <w:t xml:space="preserve">targeted consultation by some TPPs as well as a stakeholder representing TPPs (ETPPA)</w:t>
      </w:r>
      <w:r>
        <w:t xml:space="preserve"> </w:t>
      </w:r>
      <w:r>
        <w:t xml:space="preserve">were that, given the different APIs set up by ASPSPs as well as, oftentimes, their insufficient</w:t>
      </w:r>
      <w:r>
        <w:t xml:space="preserve"> </w:t>
      </w:r>
      <w:r>
        <w:t xml:space="preserve">quality, free access via ASPSPs direct user interfaces must always be an option to access</w:t>
      </w:r>
      <w:r>
        <w:t xml:space="preserve"> </w:t>
      </w:r>
      <w:r>
        <w:t xml:space="preserve">account data.</w:t>
      </w:r>
      <w:r>
        <w:t xml:space="preserve"> </w:t>
      </w:r>
      <w:r>
        <w:t xml:space="preserve">Second, TPPs consulted in the VVA/CEPS study as well as the targeted consultation have</w:t>
      </w:r>
      <w:r>
        <w:t xml:space="preserve"> </w:t>
      </w:r>
      <w:r>
        <w:t xml:space="preserve">reported several difficulties hampering access to PSUs’ data. Such problems include missing</w:t>
      </w:r>
      <w:r>
        <w:t xml:space="preserve"> </w:t>
      </w:r>
      <w:r>
        <w:t xml:space="preserve">or inconsistent data, but also a gap between PSD2 API and ASPSP’s other customer-facing</w:t>
      </w:r>
      <w:r>
        <w:t xml:space="preserve"> </w:t>
      </w:r>
      <w:r>
        <w:t xml:space="preserve">interfaces, with authentication methods, data exchanges and ease of use of the PSD2 APIs not</w:t>
      </w:r>
      <w:r>
        <w:t xml:space="preserve"> </w:t>
      </w:r>
      <w:r>
        <w:t xml:space="preserve">matching the experience offered by the ASPSP’s in their other customer-facing interfaces.</w:t>
      </w:r>
      <w:r>
        <w:t xml:space="preserve"> </w:t>
      </w:r>
      <w:r>
        <w:t xml:space="preserve">Low quality APIs have also impaired TPP’s authentication procedures (particularly where</w:t>
      </w:r>
    </w:p>
    <w:p>
      <w:pPr>
        <w:pStyle w:val="BodyText"/>
      </w:pPr>
      <w:r>
        <w:t xml:space="preserve">129</w:t>
      </w:r>
    </w:p>
    <w:p>
      <w:pPr>
        <w:pStyle w:val="BodyText"/>
      </w:pPr>
      <w:r>
        <w:t xml:space="preserve">redirection is used), negatively affecting their user experience of authentication flows on</w:t>
      </w:r>
      <w:r>
        <w:t xml:space="preserve"> </w:t>
      </w:r>
      <w:r>
        <w:t xml:space="preserve">mobile devices, while an increasing number of consumers use their mobile devices for AIS</w:t>
      </w:r>
      <w:r>
        <w:t xml:space="preserve"> </w:t>
      </w:r>
      <w:r>
        <w:t xml:space="preserve">and PIS services.</w:t>
      </w:r>
      <w:r>
        <w:t xml:space="preserve"> </w:t>
      </w:r>
      <w:r>
        <w:t xml:space="preserve">This issue with the quality of the access to account data has been linked by some stakeholders</w:t>
      </w:r>
      <w:r>
        <w:t xml:space="preserve"> </w:t>
      </w:r>
      <w:r>
        <w:t xml:space="preserve">responding to the targeted consultation to the lack of specific API standards in the regulatory</w:t>
      </w:r>
      <w:r>
        <w:t xml:space="preserve"> </w:t>
      </w:r>
      <w:r>
        <w:t xml:space="preserve">technical standards (RTS) of PSD2 (PSD2’s Open Banking provisions set a performance</w:t>
      </w:r>
      <w:r>
        <w:t xml:space="preserve"> </w:t>
      </w:r>
      <w:r>
        <w:t xml:space="preserve">criterion for APIs, but standards are left to industry). Indeed, while views on whether current</w:t>
      </w:r>
      <w:r>
        <w:t xml:space="preserve"> </w:t>
      </w:r>
      <w:r>
        <w:t xml:space="preserve">provisions lacked more precise standards were divided, a relative majority (53%) agreed that</w:t>
      </w:r>
      <w:r>
        <w:t xml:space="preserve"> </w:t>
      </w:r>
      <w:r>
        <w:t xml:space="preserve">this was the case. Those in disagreement (mostly ASPSPs and ASPSP industry</w:t>
      </w:r>
      <w:r>
        <w:t xml:space="preserve"> </w:t>
      </w:r>
      <w:r>
        <w:t xml:space="preserve">representatives261), highlighted the funds already invested in building an access interface, and</w:t>
      </w:r>
      <w:r>
        <w:t xml:space="preserve"> </w:t>
      </w:r>
      <w:r>
        <w:t xml:space="preserve">the additional costs which would need to be committed with no guarantee that it would solve</w:t>
      </w:r>
      <w:r>
        <w:t xml:space="preserve"> </w:t>
      </w:r>
      <w:r>
        <w:t xml:space="preserve">any issues as there is no program manager responsible for running Open Banking at a pan-</w:t>
      </w:r>
      <w:r>
        <w:t xml:space="preserve"> </w:t>
      </w:r>
      <w:r>
        <w:t xml:space="preserve">European level. These stakeholders also noted that a standardization approach would go</w:t>
      </w:r>
      <w:r>
        <w:t xml:space="preserve"> </w:t>
      </w:r>
      <w:r>
        <w:t xml:space="preserve">against the technology neutrality principle. While support for common standards was mostly</w:t>
      </w:r>
      <w:r>
        <w:t xml:space="preserve"> </w:t>
      </w:r>
      <w:r>
        <w:t xml:space="preserve">found amongst public authorities and consumer organisations, TPPs who also agreed see the</w:t>
      </w:r>
      <w:r>
        <w:t xml:space="preserve"> </w:t>
      </w:r>
      <w:r>
        <w:t xml:space="preserve">lack of API standardisation as resulting in a fragmented market where TPPs must develop</w:t>
      </w:r>
      <w:r>
        <w:t xml:space="preserve"> </w:t>
      </w:r>
      <w:r>
        <w:t xml:space="preserve">tailored solutions to connect to the different APIs of each ASPSP. Moreover, even though</w:t>
      </w:r>
      <w:r>
        <w:t xml:space="preserve"> </w:t>
      </w:r>
      <w:r>
        <w:t xml:space="preserve">domestic API standards have been established in some Member States, cross-border</w:t>
      </w:r>
      <w:r>
        <w:t xml:space="preserve"> </w:t>
      </w:r>
      <w:r>
        <w:t xml:space="preserve">interoperability in terms of access to data remains low. One example is France, where</w:t>
      </w:r>
      <w:r>
        <w:t xml:space="preserve"> </w:t>
      </w:r>
      <w:r>
        <w:t xml:space="preserve">harmonised API standards have been implemented by the country’s six major banks262 and</w:t>
      </w:r>
      <w:r>
        <w:t xml:space="preserve"> </w:t>
      </w:r>
      <w:r>
        <w:t xml:space="preserve">through their jointly-owned processing company, STET, whereas foreign banks operating in</w:t>
      </w:r>
      <w:r>
        <w:t xml:space="preserve"> </w:t>
      </w:r>
      <w:r>
        <w:t xml:space="preserve">France adopted their own API standards often based on the ‘Berlin Group’ standard263. On</w:t>
      </w:r>
      <w:r>
        <w:t xml:space="preserve"> </w:t>
      </w:r>
      <w:r>
        <w:t xml:space="preserve">the other hand, various TPPs noted in the targeted consultation that what currently lacks are</w:t>
      </w:r>
      <w:r>
        <w:t xml:space="preserve"> </w:t>
      </w:r>
      <w:r>
        <w:t xml:space="preserve">common minimum user experience requirements to ensure an acceptable level of quality</w:t>
      </w:r>
      <w:r>
        <w:t xml:space="preserve"> </w:t>
      </w:r>
      <w:r>
        <w:t xml:space="preserve">concerning access to data, and that framework should thus be principles- rather than</w:t>
      </w:r>
      <w:r>
        <w:t xml:space="preserve"> </w:t>
      </w:r>
      <w:r>
        <w:t xml:space="preserve">standards- based, to allow innovation.</w:t>
      </w:r>
      <w:r>
        <w:br/>
      </w:r>
      <w:r>
        <w:t xml:space="preserve">Thirdly, limitations to market access faced by TPPs have been linked, as previously noted (cf. </w:t>
      </w:r>
      <w:r>
        <w:t xml:space="preserve"> </w:t>
      </w:r>
      <w:r>
        <w:t xml:space="preserve">Obj. 1), to shortcomings identified in relation to supervision and enforcement. One key</w:t>
      </w:r>
      <w:r>
        <w:t xml:space="preserve"> </w:t>
      </w:r>
      <w:r>
        <w:t xml:space="preserve">supervision-related issue affecting effectiveness of the Directive’s Open Banking provisions</w:t>
      </w:r>
      <w:r>
        <w:t xml:space="preserve"> </w:t>
      </w:r>
      <w:r>
        <w:t xml:space="preserve">concerns the lack of consistency in the definition of “payment account” across the EU. This</w:t>
      </w:r>
      <w:r>
        <w:t xml:space="preserve"> </w:t>
      </w:r>
      <w:r>
        <w:t xml:space="preserve">has implications in terms of differential access by AISPs and PISPs to different types of</w:t>
      </w:r>
      <w:r>
        <w:t xml:space="preserve"> </w:t>
      </w:r>
      <w:r>
        <w:t xml:space="preserve">account data, with AISPs for example accessing credit card data in some jurisdictions but not</w:t>
      </w:r>
      <w:r>
        <w:t xml:space="preserve"> </w:t>
      </w:r>
      <w:r>
        <w:t xml:space="preserve">in others. In this respect, although the CJEU ruling C-191/17 and Q&amp;A 4272 has brought</w:t>
      </w:r>
      <w:r>
        <w:t xml:space="preserve"> </w:t>
      </w:r>
      <w:r>
        <w:t xml:space="preserve">some clarity to the market on how the term ‘payment account’ should be interpreted, the EBA</w:t>
      </w:r>
      <w:r>
        <w:t xml:space="preserve"> </w:t>
      </w:r>
      <w:r>
        <w:t xml:space="preserve">has noted in its Advice that the ruling is based on the provisions in the PAD rather than the</w:t>
      </w:r>
      <w:r>
        <w:t xml:space="preserve"> </w:t>
      </w:r>
      <w:r>
        <w:t xml:space="preserve">PSD2. It also notes that, if applied directly to PSD2, these provisions would significantly</w:t>
      </w:r>
      <w:r>
        <w:t xml:space="preserve"> </w:t>
      </w:r>
      <w:r>
        <w:t xml:space="preserve">narrow down the scope of the payment accounts under PSD2. As a result, lack of clarity in</w:t>
      </w:r>
    </w:p>
    <w:p>
      <w:pPr>
        <w:pStyle w:val="BodyText"/>
      </w:pPr>
      <w:r>
        <w:t xml:space="preserve">261</w:t>
      </w:r>
      <w:r>
        <w:br/>
      </w:r>
      <w:r>
        <w:t xml:space="preserve">Including European Savings and Retail Banking Group and European Banking Federation.</w:t>
      </w:r>
      <w:r>
        <w:t xml:space="preserve"> </w:t>
      </w:r>
      <w:r>
        <w:t xml:space="preserve">262</w:t>
      </w:r>
      <w:r>
        <w:br/>
      </w:r>
      <w:r>
        <w:t xml:space="preserve">BNP Paribas, Crédit Agricole, BPCE, Crédit Mutuel, Société Générale and HSBC.</w:t>
      </w:r>
      <w:r>
        <w:t xml:space="preserve"> </w:t>
      </w:r>
      <w:r>
        <w:t xml:space="preserve">263</w:t>
      </w:r>
      <w:r>
        <w:br/>
      </w:r>
      <w:r>
        <w:t xml:space="preserve">The</w:t>
      </w:r>
      <w:r>
        <w:t xml:space="preserve"> </w:t>
      </w:r>
      <w:r>
        <w:t xml:space="preserve">‘Berlin Group’</w:t>
      </w:r>
      <w:r>
        <w:t xml:space="preserve"> </w:t>
      </w:r>
      <w:r>
        <w:t xml:space="preserve">is a pan-European payments interoperability standards and harmonisation initiative.</w:t>
      </w:r>
    </w:p>
    <w:p>
      <w:pPr>
        <w:pStyle w:val="BodyText"/>
      </w:pPr>
      <w:r>
        <w:t xml:space="preserve">130</w:t>
      </w:r>
    </w:p>
    <w:p>
      <w:pPr>
        <w:pStyle w:val="BodyText"/>
      </w:pPr>
      <w:r>
        <w:t xml:space="preserve">the definition of payment accounts remains a limitation on the effectiveness of the Directive</w:t>
      </w:r>
      <w:r>
        <w:t xml:space="preserve"> </w:t>
      </w:r>
      <w:r>
        <w:t xml:space="preserve">with regard to the objective of enhancing market access for TPPs.</w:t>
      </w:r>
      <w:r>
        <w:t xml:space="preserve"> </w:t>
      </w:r>
      <w:r>
        <w:t xml:space="preserve">In terms of difficulties in accessing payment account data held by ASPSPs, TPPs have noted</w:t>
      </w:r>
      <w:r>
        <w:t xml:space="preserve"> </w:t>
      </w:r>
      <w:r>
        <w:t xml:space="preserve">that, when discrepancies are pointed out to ASPSPs (non-compliance), the speed at which</w:t>
      </w:r>
      <w:r>
        <w:t xml:space="preserve"> </w:t>
      </w:r>
      <w:r>
        <w:t xml:space="preserve">ASPSPs respond and solve the issue, or the adequacy of response, differs. Another common</w:t>
      </w:r>
      <w:r>
        <w:t xml:space="preserve"> </w:t>
      </w:r>
      <w:r>
        <w:t xml:space="preserve">complaint reported in the targeted consultation has related to cases where ASPSPs have</w:t>
      </w:r>
      <w:r>
        <w:t xml:space="preserve"> </w:t>
      </w:r>
      <w:r>
        <w:t xml:space="preserve">received an exemption from the obligations to set up a contingency mechanism under Article</w:t>
      </w:r>
      <w:r>
        <w:t xml:space="preserve"> </w:t>
      </w:r>
      <w:r>
        <w:t xml:space="preserve">33(6) of the RTS on SCA&amp;CSC but are no longer complying with the conditions. Here TPPs</w:t>
      </w:r>
      <w:r>
        <w:t xml:space="preserve"> </w:t>
      </w:r>
      <w:r>
        <w:t xml:space="preserve">have stressed the need for NCAs to initiate a process to revoke the ASPSP’s granted</w:t>
      </w:r>
      <w:r>
        <w:t xml:space="preserve"> </w:t>
      </w:r>
      <w:r>
        <w:t xml:space="preserve">exemption. Regarding these issues related to the implementation of data access interfaces,</w:t>
      </w:r>
      <w:r>
        <w:t xml:space="preserve"> </w:t>
      </w:r>
      <w:r>
        <w:t xml:space="preserve">many TPPs have stressed the ineffective enforcement by regulators, with some also noting</w:t>
      </w:r>
      <w:r>
        <w:t xml:space="preserve"> </w:t>
      </w:r>
      <w:r>
        <w:t xml:space="preserve">the lack of a program manager responsible for managing and enforcing Open Banking at a</w:t>
      </w:r>
      <w:r>
        <w:t xml:space="preserve"> </w:t>
      </w:r>
      <w:r>
        <w:t xml:space="preserve">pan-European level (like the OBIE in the UK).</w:t>
      </w:r>
      <w:r>
        <w:t xml:space="preserve"> </w:t>
      </w:r>
      <w:r>
        <w:t xml:space="preserve">The problem of inconsistent and/or lagging enforcement of provisions on payment account</w:t>
      </w:r>
      <w:r>
        <w:t xml:space="preserve"> </w:t>
      </w:r>
      <w:r>
        <w:t xml:space="preserve">data access has also been noted by the EBA in its Advice, which highlights a number of</w:t>
      </w:r>
      <w:r>
        <w:t xml:space="preserve"> </w:t>
      </w:r>
      <w:r>
        <w:t xml:space="preserve">challenges reportedly faced by NCAs in relation to enforcement. These include the</w:t>
      </w:r>
      <w:r>
        <w:t xml:space="preserve"> </w:t>
      </w:r>
      <w:r>
        <w:t xml:space="preserve">significant time, resources and specific skills needed to supervise technical specifications of</w:t>
      </w:r>
      <w:r>
        <w:t xml:space="preserve"> </w:t>
      </w:r>
      <w:r>
        <w:t xml:space="preserve">innovative IT systems and solutions, or the high-level requirements in PSD2 and the RTS on</w:t>
      </w:r>
      <w:r>
        <w:t xml:space="preserve"> </w:t>
      </w:r>
      <w:r>
        <w:t xml:space="preserve">SCA&amp;CSC which have led to uncertainties in the interpretation of certain provisions (for</w:t>
      </w:r>
      <w:r>
        <w:t xml:space="preserve"> </w:t>
      </w:r>
      <w:r>
        <w:t xml:space="preserve">example, on the functionalities that ASPSPs’ dedicated interfaces must meet).</w:t>
      </w:r>
      <w:r>
        <w:t xml:space="preserve"> </w:t>
      </w:r>
      <w:r>
        <w:t xml:space="preserve">Finally, PSD2 provisions have not been fully effective as far as consent and permission</w:t>
      </w:r>
      <w:r>
        <w:t xml:space="preserve"> </w:t>
      </w:r>
      <w:r>
        <w:t xml:space="preserve">management are concerned. More precisely, the specifics of consent associated with an</w:t>
      </w:r>
      <w:r>
        <w:t xml:space="preserve"> </w:t>
      </w:r>
      <w:r>
        <w:t xml:space="preserve">ASPSP’s PSD2 API sometimes mean that the PSUs may not be correctly informed of what</w:t>
      </w:r>
      <w:r>
        <w:t xml:space="preserve"> </w:t>
      </w:r>
      <w:r>
        <w:t xml:space="preserve">their consent means264. This problem is worsened by prevailing challenges in terms of</w:t>
      </w:r>
      <w:r>
        <w:t xml:space="preserve"> </w:t>
      </w:r>
      <w:r>
        <w:t xml:space="preserve">consumers’ financial and data literacy. Particularly, the lack of understanding of Open</w:t>
      </w:r>
      <w:r>
        <w:t xml:space="preserve"> </w:t>
      </w:r>
      <w:r>
        <w:t xml:space="preserve">Banking and concerns regarding privacy and data sharing may result in reluctance to engage</w:t>
      </w:r>
      <w:r>
        <w:t xml:space="preserve"> </w:t>
      </w:r>
      <w:r>
        <w:t xml:space="preserve">with new digital methods, as well as enduring preference for banks as PSPs.</w:t>
      </w:r>
      <w:r>
        <w:br/>
      </w:r>
      <w:r>
        <w:t xml:space="preserve">Accordingly, survey data by Mambu265 in March 2021 suggested that “customers still do not</w:t>
      </w:r>
      <w:r>
        <w:t xml:space="preserve"> </w:t>
      </w:r>
      <w:r>
        <w:t xml:space="preserve">get the term ‘Open Banking’”, and that “when customers use Open Banking, they do it</w:t>
      </w:r>
      <w:r>
        <w:t xml:space="preserve"> </w:t>
      </w:r>
      <w:r>
        <w:t xml:space="preserve">without realising what it is”. Notably, of the 2,000 banking customers sampled, 52% had</w:t>
      </w:r>
      <w:r>
        <w:t xml:space="preserve"> </w:t>
      </w:r>
      <w:r>
        <w:t xml:space="preserve">never heard of ‘Open Banking’. Moreover, although many customers confirmed using one or</w:t>
      </w:r>
      <w:r>
        <w:t xml:space="preserve"> </w:t>
      </w:r>
      <w:r>
        <w:t xml:space="preserve">more finance-apps (80%), 61% said they never use Open Banking, largely due to data sharing</w:t>
      </w:r>
      <w:r>
        <w:t xml:space="preserve"> </w:t>
      </w:r>
      <w:r>
        <w:t xml:space="preserve">concerns (57%). In the public consultation, responses received (66) with regard to the use of</w:t>
      </w:r>
    </w:p>
    <w:p>
      <w:pPr>
        <w:pStyle w:val="BodyText"/>
      </w:pPr>
      <w:r>
        <w:t xml:space="preserve">264</w:t>
      </w:r>
      <w:r>
        <w:br/>
      </w:r>
      <w:r>
        <w:t xml:space="preserve">This is particularly the case with regard to Article 10 RTS. Moreover, it also flags the issue of</w:t>
      </w:r>
      <w:r>
        <w:t xml:space="preserve"> </w:t>
      </w:r>
      <w:r>
        <w:t xml:space="preserve">coherence between definitions of consent in PSD2 and in GDPR, further developed below (cf. 4.1.3).</w:t>
      </w:r>
      <w:r>
        <w:t xml:space="preserve"> </w:t>
      </w:r>
      <w:r>
        <w:t xml:space="preserve">265</w:t>
      </w:r>
      <w:r>
        <w:br/>
      </w:r>
      <w:r>
        <w:t xml:space="preserve">Mambu: Disruption Diaries – Let’s talk openly - What do people think about Open Banking today?</w:t>
      </w:r>
      <w:r>
        <w:t xml:space="preserve"> </w:t>
      </w:r>
      <w:r>
        <w:t xml:space="preserve">And where are the opportunities for banks and others to create value? [Results of Mambu’s global Open</w:t>
      </w:r>
      <w:r>
        <w:t xml:space="preserve"> </w:t>
      </w:r>
      <w:r>
        <w:t xml:space="preserve">Banking</w:t>
      </w:r>
      <w:r>
        <w:t xml:space="preserve"> </w:t>
      </w:r>
      <w:r>
        <w:t xml:space="preserve">consumer</w:t>
      </w:r>
      <w:r>
        <w:t xml:space="preserve"> </w:t>
      </w:r>
      <w:r>
        <w:t xml:space="preserve">survey],</w:t>
      </w:r>
      <w:r>
        <w:t xml:space="preserve"> </w:t>
      </w:r>
      <w:r>
        <w:t xml:space="preserve">April</w:t>
      </w:r>
      <w:r>
        <w:t xml:space="preserve"> </w:t>
      </w:r>
      <w:r>
        <w:t xml:space="preserve">2022.</w:t>
      </w:r>
      <w:r>
        <w:t xml:space="preserve"> </w:t>
      </w:r>
      <w:r>
        <w:t xml:space="preserve">Mambu-Disruption-Diaries-Open-Banking-Report.pdf</w:t>
      </w:r>
      <w:r>
        <w:t xml:space="preserve"> </w:t>
      </w:r>
      <w:r>
        <w:t xml:space="preserve">(openfuture.world).</w:t>
      </w:r>
    </w:p>
    <w:p>
      <w:pPr>
        <w:pStyle w:val="BodyText"/>
      </w:pPr>
      <w:r>
        <w:t xml:space="preserve">131</w:t>
      </w:r>
    </w:p>
    <w:p>
      <w:pPr>
        <w:pStyle w:val="BodyText"/>
      </w:pPr>
      <w:r>
        <w:t xml:space="preserve">Account Information Service Providers (AISPs) and Payment Initiation Service Providers</w:t>
      </w:r>
      <w:r>
        <w:t xml:space="preserve"> </w:t>
      </w:r>
      <w:r>
        <w:t xml:space="preserve">(PISPs) have shown that 45% (30) of respondents use either one or both services, whereas the</w:t>
      </w:r>
      <w:r>
        <w:t xml:space="preserve"> </w:t>
      </w:r>
      <w:r>
        <w:t xml:space="preserve">remaining either do not use the services (24 – 36%) or do not know/do not provide an answer</w:t>
      </w:r>
      <w:r>
        <w:t xml:space="preserve"> </w:t>
      </w:r>
      <w:r>
        <w:t xml:space="preserve">(9 and 3, 14% resp. 5%). The most common reason provided for not using these services was</w:t>
      </w:r>
      <w:r>
        <w:t xml:space="preserve"> </w:t>
      </w:r>
      <w:r>
        <w:t xml:space="preserve">not wanting to share data with other companies than their own bank (15 responses – 23%)</w:t>
      </w:r>
      <w:r>
        <w:t xml:space="preserve"> </w:t>
      </w:r>
      <w:r>
        <w:t xml:space="preserve">and that they do not trust these providers (12, 14%) 266.</w:t>
      </w:r>
      <w:r>
        <w:t xml:space="preserve"> </w:t>
      </w:r>
      <w:r>
        <w:t xml:space="preserve">5) How successful has the PSD2 been in ensuring a high level of protection for</w:t>
      </w:r>
      <w:r>
        <w:t xml:space="preserve"> </w:t>
      </w:r>
      <w:r>
        <w:t xml:space="preserve">payment services users (PSUs) across all Member States of the EU?</w:t>
      </w:r>
      <w:r>
        <w:t xml:space="preserve"> </w:t>
      </w:r>
      <w:r>
        <w:t xml:space="preserve">The PSD2 has enabled considerable progress with regard to its objectives on protection of</w:t>
      </w:r>
      <w:r>
        <w:t xml:space="preserve"> </w:t>
      </w:r>
      <w:r>
        <w:t xml:space="preserve">PSUs interests (general obj.5 and specific obj.6) by introducing changes to the security</w:t>
      </w:r>
      <w:r>
        <w:t xml:space="preserve"> </w:t>
      </w:r>
      <w:r>
        <w:t xml:space="preserve">requirements, which have been effective in limiting fraud (see below), but also by reducing</w:t>
      </w:r>
      <w:r>
        <w:t xml:space="preserve"> </w:t>
      </w:r>
      <w:r>
        <w:t xml:space="preserve">the payer’s liability for unauthorized payments and ensuring unconditional refund rights for</w:t>
      </w:r>
      <w:r>
        <w:t xml:space="preserve"> </w:t>
      </w:r>
      <w:r>
        <w:t xml:space="preserve">direct debits in euro.</w:t>
      </w:r>
      <w:r>
        <w:t xml:space="preserve"> </w:t>
      </w:r>
      <w:r>
        <w:t xml:space="preserve">The EBA’s regulatory technical standards (RTS) specified changes in the strong customer</w:t>
      </w:r>
      <w:r>
        <w:t xml:space="preserve"> </w:t>
      </w:r>
      <w:r>
        <w:t xml:space="preserve">authentication (SCA) and common and secure communication (CSC) obligations in access to</w:t>
      </w:r>
      <w:r>
        <w:t xml:space="preserve"> </w:t>
      </w:r>
      <w:r>
        <w:t xml:space="preserve">account information electronic payment initiation and remote channel actions. These</w:t>
      </w:r>
      <w:r>
        <w:t xml:space="preserve"> </w:t>
      </w:r>
      <w:r>
        <w:t xml:space="preserve">provisions have been effective in enhancing the protection of PSUs by decreasing the risk for</w:t>
      </w:r>
      <w:r>
        <w:t xml:space="preserve"> </w:t>
      </w:r>
      <w:r>
        <w:t xml:space="preserve">customers of fraudulent transactions. In effect, EBA data267 showed that, even for a reporting</w:t>
      </w:r>
      <w:r>
        <w:t xml:space="preserve"> </w:t>
      </w:r>
      <w:r>
        <w:t xml:space="preserve">period (H2 2020) when many acquirers, issuers and merchants in the EU were still not</w:t>
      </w:r>
      <w:r>
        <w:t xml:space="preserve"> </w:t>
      </w:r>
      <w:r>
        <w:t xml:space="preserve">compliant with SCA requirements, fraud rates were significantly lower for payment</w:t>
      </w:r>
      <w:r>
        <w:t xml:space="preserve"> </w:t>
      </w:r>
      <w:r>
        <w:t xml:space="preserve">transactions where SCA was applied compared to those where SCA was not. More precisely,</w:t>
      </w:r>
      <w:r>
        <w:t xml:space="preserve"> </w:t>
      </w:r>
      <w:r>
        <w:t xml:space="preserve">with regard to remote card payments, SCA authenticated transactions have a 70-80% lower</w:t>
      </w:r>
      <w:r>
        <w:t xml:space="preserve"> </w:t>
      </w:r>
      <w:r>
        <w:t xml:space="preserve">share of fraud in the total volume and value of transactions than those without (cf. figure 5).</w:t>
      </w:r>
      <w:r>
        <w:t xml:space="preserve"> </w:t>
      </w:r>
      <w:r>
        <w:t xml:space="preserve">This correlation between SCA and a lower fraud rate was also observed with regard to non-</w:t>
      </w:r>
      <w:r>
        <w:t xml:space="preserve"> </w:t>
      </w:r>
      <w:r>
        <w:t xml:space="preserve">remote card payments.</w:t>
      </w:r>
    </w:p>
    <w:p>
      <w:pPr>
        <w:pStyle w:val="BodyText"/>
      </w:pPr>
      <w:r>
        <w:t xml:space="preserve">266</w:t>
      </w:r>
      <w:r>
        <w:br/>
      </w:r>
      <w:r>
        <w:t xml:space="preserve">These findings echo those from other studies. In the qualitative study conducted by Kantar, Study on</w:t>
      </w:r>
      <w:r>
        <w:t xml:space="preserve"> </w:t>
      </w:r>
      <w:r>
        <w:t xml:space="preserve">New Digital Payment Methods (March 2022), this concern with privacy and data sharing was found equally in</w:t>
      </w:r>
      <w:r>
        <w:t xml:space="preserve"> </w:t>
      </w:r>
      <w:r>
        <w:t xml:space="preserve">the case of, as well as amongst the unbanked, underbanked and offline population. In relation to this concern,</w:t>
      </w:r>
      <w:r>
        <w:t xml:space="preserve"> </w:t>
      </w:r>
      <w:r>
        <w:t xml:space="preserve">both the general public and the tech-savvy group expressed having a higher level of trust in banks, while the</w:t>
      </w:r>
      <w:r>
        <w:t xml:space="preserve"> </w:t>
      </w:r>
      <w:r>
        <w:t xml:space="preserve">latter group also reported a distrust in banks.</w:t>
      </w:r>
      <w:r>
        <w:t xml:space="preserve"> </w:t>
      </w:r>
      <w:r>
        <w:t xml:space="preserve">267</w:t>
      </w:r>
      <w:r>
        <w:br/>
      </w:r>
      <w:r>
        <w:t xml:space="preserve">European Banking Authority, Discussion Paper On EBA’s Preliminary Observations On Selected</w:t>
      </w:r>
      <w:r>
        <w:t xml:space="preserve"> </w:t>
      </w:r>
      <w:r>
        <w:t xml:space="preserve">Payment Fraud Data Under PSD2, As Reported By The Industry, EBA/DP/2022/01, 17 January 2022.</w:t>
      </w:r>
    </w:p>
    <w:p>
      <w:pPr>
        <w:pStyle w:val="BodyText"/>
      </w:pPr>
      <w:r>
        <w:t xml:space="preserve">132</w:t>
      </w:r>
    </w:p>
    <w:p>
      <w:pPr>
        <w:pStyle w:val="BodyText"/>
      </w:pPr>
      <w:r>
        <w:t xml:space="preserve">Figure 12: Fraud rate for remote card payments reported by issuers and acquirers, with</w:t>
      </w:r>
      <w:r>
        <w:t xml:space="preserve"> </w:t>
      </w:r>
      <w:r>
        <w:t xml:space="preserve">and without SCA</w:t>
      </w:r>
    </w:p>
    <w:p>
      <w:pPr>
        <w:pStyle w:val="BodyText"/>
      </w:pPr>
      <w:r>
        <w:t xml:space="preserve">Source: EBA/DP/2022/01</w:t>
      </w:r>
      <w:r>
        <w:t xml:space="preserve"> </w:t>
      </w:r>
      <w:r>
        <w:t xml:space="preserve">Moreover, the correlation is even stronger when looking into the cross-border card</w:t>
      </w:r>
      <w:r>
        <w:t xml:space="preserve"> </w:t>
      </w:r>
      <w:r>
        <w:t xml:space="preserve">transactions, in particular those with counterparts located outside the EEA, and therefore</w:t>
      </w:r>
      <w:r>
        <w:t xml:space="preserve"> </w:t>
      </w:r>
      <w:r>
        <w:t xml:space="preserve">outside of the scope of the SCA requirements under PSD2 and the EBA’s RTS, further</w:t>
      </w:r>
      <w:r>
        <w:t xml:space="preserve"> </w:t>
      </w:r>
      <w:r>
        <w:t xml:space="preserve">evidencing the effectiveness of these provisions. More specifically, cross-border transactions</w:t>
      </w:r>
      <w:r>
        <w:t xml:space="preserve"> </w:t>
      </w:r>
      <w:r>
        <w:t xml:space="preserve">within the EU represent 31 % of total fraudulent credit transfers (in which a consumer pays</w:t>
      </w:r>
      <w:r>
        <w:t xml:space="preserve"> </w:t>
      </w:r>
      <w:r>
        <w:t xml:space="preserve">money from one bank account to another). Furthermore, it represented 81% of fraudulent</w:t>
      </w:r>
      <w:r>
        <w:t xml:space="preserve"> </w:t>
      </w:r>
      <w:r>
        <w:t xml:space="preserve">card payments reported by issuers (entity providing card to consumer) and 94 % of fraudulent</w:t>
      </w:r>
      <w:r>
        <w:t xml:space="preserve"> </w:t>
      </w:r>
      <w:r>
        <w:t xml:space="preserve">card payments reported by acquirers (entities processing payments to a merchant by a</w:t>
      </w:r>
      <w:r>
        <w:t xml:space="preserve"> </w:t>
      </w:r>
      <w:r>
        <w:t xml:space="preserve">consumer)268.</w:t>
      </w:r>
    </w:p>
    <w:p>
      <w:pPr>
        <w:pStyle w:val="BodyText"/>
      </w:pPr>
      <w:r>
        <w:t xml:space="preserve">268 Ibid.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Figure 13: Fraud rate when payments are executed domestically, inside EEA and</w:t>
      </w:r>
      <w:r>
        <w:t xml:space="preserve"> </w:t>
      </w:r>
      <w:r>
        <w:t xml:space="preserve">outside EEA</w:t>
      </w:r>
    </w:p>
    <w:p>
      <w:pPr>
        <w:pStyle w:val="BodyText"/>
      </w:pPr>
      <w:r>
        <w:t xml:space="preserve">Source: EBA/DP/2022/01</w:t>
      </w:r>
      <w:r>
        <w:t xml:space="preserve"> </w:t>
      </w:r>
      <w:r>
        <w:t xml:space="preserve">The reductive impact of SCA on fraud rates does not, however, seem to materialize in the</w:t>
      </w:r>
      <w:r>
        <w:t xml:space="preserve"> </w:t>
      </w:r>
      <w:r>
        <w:t xml:space="preserve">case of remote credit transfers. Here, while credit transfers are the payment instrument for</w:t>
      </w:r>
      <w:r>
        <w:t xml:space="preserve"> </w:t>
      </w:r>
      <w:r>
        <w:t xml:space="preserve">which the fraud rate is the lowest (both in terms of volume and value)269, the fraud rate is</w:t>
      </w:r>
      <w:r>
        <w:t xml:space="preserve"> </w:t>
      </w:r>
      <w:r>
        <w:t xml:space="preserve">higher for SCA authenticated payments compared to payments that are not authenticated with</w:t>
      </w:r>
      <w:r>
        <w:t xml:space="preserve"> </w:t>
      </w:r>
      <w:r>
        <w:t xml:space="preserve">SCA. As the EBA report notes, however, the EBA Guidelines on fraud reporting under</w:t>
      </w:r>
      <w:r>
        <w:t xml:space="preserve"> </w:t>
      </w:r>
      <w:r>
        <w:t xml:space="preserve">PSD2270 determine that non-SCA authenticated transactions are transactions for which an</w:t>
      </w:r>
      <w:r>
        <w:t xml:space="preserve"> </w:t>
      </w:r>
      <w:r>
        <w:t xml:space="preserve">exemption to SCA under the RTS on SCA&amp;CSC was applied, or for which SCA was not</w:t>
      </w:r>
      <w:r>
        <w:t xml:space="preserve"> </w:t>
      </w:r>
      <w:r>
        <w:t xml:space="preserve">applied due to other reasons (e.g. merchant-initiated transactions or one-leg transactions for</w:t>
      </w:r>
      <w:r>
        <w:t xml:space="preserve"> </w:t>
      </w:r>
      <w:r>
        <w:t xml:space="preserve">card-based transactions). One explanation for this higher fraud rate in the case of remote</w:t>
      </w:r>
      <w:r>
        <w:t xml:space="preserve"> </w:t>
      </w:r>
      <w:r>
        <w:t xml:space="preserve">credit transfers might thus be that payments for which an exemption was applied (such as for</w:t>
      </w:r>
      <w:r>
        <w:t xml:space="preserve"> </w:t>
      </w:r>
      <w:r>
        <w:t xml:space="preserve">example the low-value payment exemption in Article 16 of the RTS) constitute lower-risk</w:t>
      </w:r>
      <w:r>
        <w:t xml:space="preserve"> </w:t>
      </w:r>
      <w:r>
        <w:t xml:space="preserve">transactions.</w:t>
      </w:r>
      <w:r>
        <w:t xml:space="preserve"> </w:t>
      </w:r>
      <w:r>
        <w:t xml:space="preserve">At the same time, it is important to read the high number of SCA-authenticated yet fraudulent</w:t>
      </w:r>
      <w:r>
        <w:t xml:space="preserve"> </w:t>
      </w:r>
      <w:r>
        <w:t xml:space="preserve">transactions in light of recent transformations in fraud practices and techniques. Accordingly,</w:t>
      </w:r>
    </w:p>
    <w:p>
      <w:pPr>
        <w:pStyle w:val="BodyText"/>
      </w:pPr>
      <w:r>
        <w:t xml:space="preserve">269</w:t>
      </w:r>
      <w:r>
        <w:br/>
      </w:r>
      <w:r>
        <w:t xml:space="preserve">More specifically, as the EBA reports, the fraud rate for H2 2020 ranges from 0.0012 % of the total</w:t>
      </w:r>
      <w:r>
        <w:t xml:space="preserve"> </w:t>
      </w:r>
      <w:r>
        <w:t xml:space="preserve">volume of credit transfers compared with 0.0345 % of the total volume of card payments reported by acquirers</w:t>
      </w:r>
      <w:r>
        <w:t xml:space="preserve"> </w:t>
      </w:r>
      <w:r>
        <w:t xml:space="preserve">(i.e. a rate that is 29 times higher than that for credit transfers). Also, the fraud rate in the same period ranges</w:t>
      </w:r>
      <w:r>
        <w:t xml:space="preserve"> </w:t>
      </w:r>
      <w:r>
        <w:t xml:space="preserve">from 0.0011 % of the total value of credit transfers, compared to 0.0458 % of the total value of card payments</w:t>
      </w:r>
      <w:r>
        <w:t xml:space="preserve"> </w:t>
      </w:r>
      <w:r>
        <w:t xml:space="preserve">reported by acquirers (i.e. a rate 42 times higher). EBA/DP/2022/01, p.11.</w:t>
      </w:r>
      <w:r>
        <w:t xml:space="preserve"> </w:t>
      </w:r>
      <w:r>
        <w:t xml:space="preserve">270 European Banking Authority, Final Report on Fraud Reporting Guidelines under PSD2, EBA/GL/2018/05</w:t>
      </w:r>
      <w:r>
        <w:t xml:space="preserve"> </w:t>
      </w:r>
      <w:r>
        <w:t xml:space="preserve">(consolidated version), 18 July 2018.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as detailed in the European Payments Council’s 2022 report on Payment Threats and Fraud</w:t>
      </w:r>
      <w:r>
        <w:t xml:space="preserve"> </w:t>
      </w:r>
      <w:r>
        <w:t xml:space="preserve">Trends271 the implementation of SCA provisions has been followed by a growth in new forms</w:t>
      </w:r>
      <w:r>
        <w:t xml:space="preserve"> </w:t>
      </w:r>
      <w:r>
        <w:t xml:space="preserve">of fraud like phishing, spoofing and other social engineering techniques whereby fraudsters</w:t>
      </w:r>
      <w:r>
        <w:t xml:space="preserve"> </w:t>
      </w:r>
      <w:r>
        <w:t xml:space="preserve">manipulate payers into making fully authenticated transactions (Authorised Push Payment</w:t>
      </w:r>
      <w:r>
        <w:t xml:space="preserve"> </w:t>
      </w:r>
      <w:r>
        <w:t xml:space="preserve">fraud).</w:t>
      </w:r>
      <w:r>
        <w:t xml:space="preserve"> </w:t>
      </w:r>
      <w:r>
        <w:t xml:space="preserve">PSD2 provisions have enabled progress in protecting consumer interests (specific objective 6)</w:t>
      </w:r>
      <w:r>
        <w:t xml:space="preserve"> </w:t>
      </w:r>
      <w:r>
        <w:t xml:space="preserve">in areas beyond fraud risk such as reduced liability for unauthorized payments and</w:t>
      </w:r>
      <w:r>
        <w:t xml:space="preserve"> </w:t>
      </w:r>
      <w:r>
        <w:t xml:space="preserve">unconditional refund rights for direct debits in euro. The Directive has also enhanced</w:t>
      </w:r>
      <w:r>
        <w:t xml:space="preserve"> </w:t>
      </w:r>
      <w:r>
        <w:t xml:space="preserve">consumer rights when sending transfers and money remittances outside the EU or paying in</w:t>
      </w:r>
      <w:r>
        <w:t xml:space="preserve"> </w:t>
      </w:r>
      <w:r>
        <w:t xml:space="preserve">non-EU currencies by extending PSD1 rules on transparency to</w:t>
      </w:r>
      <w:r>
        <w:t xml:space="preserve"> </w:t>
      </w:r>
      <w:r>
        <w:t xml:space="preserve">“one-leg transactions”</w:t>
      </w:r>
      <w:r>
        <w:t xml:space="preserve">, hence</w:t>
      </w:r>
      <w:r>
        <w:t xml:space="preserve"> </w:t>
      </w:r>
      <w:r>
        <w:t xml:space="preserve">covering payment transactions to payees outside the EU as regards the “EU part” of the</w:t>
      </w:r>
      <w:r>
        <w:t xml:space="preserve"> </w:t>
      </w:r>
      <w:r>
        <w:t xml:space="preserve">transaction.</w:t>
      </w:r>
      <w:r>
        <w:t xml:space="preserve"> </w:t>
      </w:r>
      <w:r>
        <w:t xml:space="preserve">Merchants and PSPs have noted that, although the increased protection ensured by SCA</w:t>
      </w:r>
      <w:r>
        <w:t xml:space="preserve"> </w:t>
      </w:r>
      <w:r>
        <w:t xml:space="preserve">requirements has the potential for reassuring customers regarding e-commerce, it has also</w:t>
      </w:r>
      <w:r>
        <w:t xml:space="preserve"> </w:t>
      </w:r>
      <w:r>
        <w:t xml:space="preserve">meant more barriers in the customer journey to completing a transaction. Furthermore, the</w:t>
      </w:r>
      <w:r>
        <w:t xml:space="preserve"> </w:t>
      </w:r>
      <w:r>
        <w:t xml:space="preserve">technologies and the processes required to ensure the correct implementation of SCA have</w:t>
      </w:r>
      <w:r>
        <w:t xml:space="preserve"> </w:t>
      </w:r>
      <w:r>
        <w:t xml:space="preserve">been noted to be prescriptive, and biased towards mobile technologies users. Notably, the</w:t>
      </w:r>
      <w:r>
        <w:t xml:space="preserve"> </w:t>
      </w:r>
      <w:r>
        <w:t xml:space="preserve">EBA (p. 83) notes that some authentication approaches, in particular those relying on the use</w:t>
      </w:r>
      <w:r>
        <w:t xml:space="preserve"> </w:t>
      </w:r>
      <w:r>
        <w:t xml:space="preserve">of smartphones, have led to exclusion of certain groups of society from remote electronic</w:t>
      </w:r>
      <w:r>
        <w:t xml:space="preserve"> </w:t>
      </w:r>
      <w:r>
        <w:t xml:space="preserve">payment transactions and online access to payment accounts as fundamental financial</w:t>
      </w:r>
      <w:r>
        <w:t xml:space="preserve"> </w:t>
      </w:r>
      <w:r>
        <w:t xml:space="preserve">services. The potential exclusion of certain populations of less tech savvy customers, those</w:t>
      </w:r>
      <w:r>
        <w:t xml:space="preserve"> </w:t>
      </w:r>
      <w:r>
        <w:t xml:space="preserve">that do not have access to digital channels/devices, customers with specific disabilities and</w:t>
      </w:r>
      <w:r>
        <w:t xml:space="preserve"> </w:t>
      </w:r>
      <w:r>
        <w:t xml:space="preserve">elderly people constitutes an important limitation in the effectiveness of the provisions with</w:t>
      </w:r>
      <w:r>
        <w:t xml:space="preserve"> </w:t>
      </w:r>
      <w:r>
        <w:t xml:space="preserve">regard to the goal of ensuring safe and high-quality payment services to all customers.</w:t>
      </w:r>
      <w:r>
        <w:br/>
      </w:r>
      <w:r>
        <w:t xml:space="preserve">4.1.2</w:t>
      </w:r>
      <w:r>
        <w:br/>
      </w:r>
      <w:r>
        <w:t xml:space="preserve">Efficiency</w:t>
      </w:r>
      <w:r>
        <w:t xml:space="preserve"> </w:t>
      </w:r>
      <w:r>
        <w:t xml:space="preserve">Summary assessment: According to the VVA/CEPS study, the largest cost items associated</w:t>
      </w:r>
      <w:r>
        <w:t xml:space="preserve"> </w:t>
      </w:r>
      <w:r>
        <w:t xml:space="preserve">with the implementation of PSD2 are linked to Open Banking and in particular API-</w:t>
      </w:r>
      <w:r>
        <w:t xml:space="preserve"> </w:t>
      </w:r>
      <w:r>
        <w:t xml:space="preserve">development, followed by SCA roll-out (implementation costs and increase in transaction</w:t>
      </w:r>
      <w:r>
        <w:t xml:space="preserve"> </w:t>
      </w:r>
      <w:r>
        <w:t xml:space="preserve">failure rates) and legal interpretation/uncertainty. These costs are offset by benefits for TPPs,</w:t>
      </w:r>
      <w:r>
        <w:t xml:space="preserve"> </w:t>
      </w:r>
      <w:r>
        <w:t xml:space="preserve">credit institutions and consumers, most of which come from the improvement of the</w:t>
      </w:r>
      <w:r>
        <w:t xml:space="preserve"> </w:t>
      </w:r>
      <w:r>
        <w:t xml:space="preserve">functioning of the single market, followed by unlocked potential for innovation and a more</w:t>
      </w:r>
      <w:r>
        <w:t xml:space="preserve"> </w:t>
      </w:r>
      <w:r>
        <w:t xml:space="preserve">secure payment environment. National authorities and TPPs established before PSD2 was</w:t>
      </w:r>
      <w:r>
        <w:t xml:space="preserve"> </w:t>
      </w:r>
      <w:r>
        <w:t xml:space="preserve">introduced were more positive about the general impact. While a large part of the costs of the</w:t>
      </w:r>
      <w:r>
        <w:t xml:space="preserve"> </w:t>
      </w:r>
      <w:r>
        <w:t xml:space="preserve">PSD2 were incurred in the initial stages (i.e. substantial investment costs), the benefits –</w:t>
      </w:r>
      <w:r>
        <w:t xml:space="preserve"> </w:t>
      </w:r>
      <w:r>
        <w:t xml:space="preserve">although significant – only materialise gradually and it is therefore difficult to draw an</w:t>
      </w:r>
      <w:r>
        <w:t xml:space="preserve"> </w:t>
      </w:r>
      <w:r>
        <w:t xml:space="preserve">overall conclusion regarding costs and benefits at this time, as only few years have passed</w:t>
      </w:r>
    </w:p>
    <w:p>
      <w:pPr>
        <w:pStyle w:val="BodyText"/>
      </w:pPr>
      <w:r>
        <w:t xml:space="preserve">271</w:t>
      </w:r>
      <w:r>
        <w:br/>
      </w:r>
      <w:r>
        <w:t xml:space="preserve">European Payments Council, 2022 Payment Threats and Fraud Trends Report, EPC183-22, 23</w:t>
      </w:r>
      <w:r>
        <w:t xml:space="preserve"> </w:t>
      </w:r>
      <w:r>
        <w:t xml:space="preserve">November 2022.</w:t>
      </w:r>
    </w:p>
    <w:p>
      <w:pPr>
        <w:pStyle w:val="BodyText"/>
      </w:pPr>
      <w:r>
        <w:t xml:space="preserve">135</w:t>
      </w:r>
    </w:p>
    <w:p>
      <w:pPr>
        <w:pStyle w:val="BodyText"/>
      </w:pPr>
      <w:r>
        <w:t xml:space="preserve">since the PSD2 has been fully implemented. However, the results of the analysis of costs and</w:t>
      </w:r>
      <w:r>
        <w:t xml:space="preserve"> </w:t>
      </w:r>
      <w:r>
        <w:t xml:space="preserve">benefits suggest that the most substantial items are sunk (one-off) costs that have already</w:t>
      </w:r>
      <w:r>
        <w:t xml:space="preserve"> </w:t>
      </w:r>
      <w:r>
        <w:t xml:space="preserve">been incurred.</w:t>
      </w:r>
      <w:r>
        <w:br/>
      </w:r>
      <w:r>
        <w:t xml:space="preserve">The efficiency analysis assesses the benefits and costs arising from the EU intervention and</w:t>
      </w:r>
      <w:r>
        <w:t xml:space="preserve"> </w:t>
      </w:r>
      <w:r>
        <w:t xml:space="preserve">whether it was cost effective. The analysis also assesses opportunities for simplification and</w:t>
      </w:r>
      <w:r>
        <w:t xml:space="preserve"> </w:t>
      </w:r>
      <w:r>
        <w:t xml:space="preserve">maximisation of benefits.</w:t>
      </w:r>
      <w:r>
        <w:t xml:space="preserve"> </w:t>
      </w:r>
      <w:r>
        <w:t xml:space="preserve">The efficiency analysis is based to a large degree on the cost-benefit analysis of the</w:t>
      </w:r>
      <w:r>
        <w:t xml:space="preserve"> </w:t>
      </w:r>
      <w:r>
        <w:t xml:space="preserve">VVA/CEPS study. The results must be seen under the caveat that available evidence on the</w:t>
      </w:r>
      <w:r>
        <w:t xml:space="preserve"> </w:t>
      </w:r>
      <w:r>
        <w:t xml:space="preserve">costs and benefits of PSD2 is scarce and the literature generally considers the expected</w:t>
      </w:r>
      <w:r>
        <w:t xml:space="preserve"> </w:t>
      </w:r>
      <w:r>
        <w:t xml:space="preserve">impacts rather than providing actual costs/benefits or specific estimates. Stakeholder</w:t>
      </w:r>
      <w:r>
        <w:t xml:space="preserve"> </w:t>
      </w:r>
      <w:r>
        <w:t xml:space="preserve">feedback in the VVA/CEPS study is largely focused on early-stage effects. This comes as no</w:t>
      </w:r>
      <w:r>
        <w:t xml:space="preserve"> </w:t>
      </w:r>
      <w:r>
        <w:t xml:space="preserve">surprise given that these impacts are only now becoming visible due to late Member State</w:t>
      </w:r>
      <w:r>
        <w:t xml:space="preserve"> </w:t>
      </w:r>
      <w:r>
        <w:t xml:space="preserve">transposition. Consequently, the longer-term effects were only assessed based on</w:t>
      </w:r>
      <w:r>
        <w:t xml:space="preserve"> </w:t>
      </w:r>
      <w:r>
        <w:t xml:space="preserve">assumptions. In addition, costs and benefits differ across Member States and can be specific</w:t>
      </w:r>
      <w:r>
        <w:t xml:space="preserve"> </w:t>
      </w:r>
      <w:r>
        <w:t xml:space="preserve">to each stakeholder. However, the evidence emerging from studies and, more recently,</w:t>
      </w:r>
      <w:r>
        <w:t xml:space="preserve"> </w:t>
      </w:r>
      <w:r>
        <w:t xml:space="preserve">surveys can provide an indication of the most critical items that constitute the bulk of costs</w:t>
      </w:r>
      <w:r>
        <w:t xml:space="preserve"> </w:t>
      </w:r>
      <w:r>
        <w:t xml:space="preserve">resulting from the implementation of the Directive.</w:t>
      </w:r>
      <w:r>
        <w:t xml:space="preserve"> </w:t>
      </w:r>
      <w:r>
        <w:t xml:space="preserve">The largest cost items associated with the implementation of PSD2 are:</w:t>
      </w:r>
      <w:r>
        <w:t xml:space="preserve"> </w:t>
      </w:r>
      <w:r>
        <w:t xml:space="preserve"> Open Banking and in particular API-development (estimated at EUR 2.2 billion)</w:t>
      </w:r>
      <w:r>
        <w:br/>
      </w:r>
      <w:r>
        <w:t xml:space="preserve"> SCA rollout, notably implementation costs (estimated at EUR ~ 5 billion) and an</w:t>
      </w:r>
      <w:r>
        <w:t xml:space="preserve"> </w:t>
      </w:r>
      <w:r>
        <w:t xml:space="preserve">increase in transaction failure rates (estimated in the VVA/CEPS study at up to EUR</w:t>
      </w:r>
      <w:r>
        <w:t xml:space="preserve"> </w:t>
      </w:r>
      <w:r>
        <w:t xml:space="preserve">33.5 billion). However, the value of failed transactions is not a cost. Only a small</w:t>
      </w:r>
      <w:r>
        <w:t xml:space="preserve"> </w:t>
      </w:r>
      <w:r>
        <w:t xml:space="preserve">fraction of this is opportunity cost (e.g. unrealised profit /value added on those</w:t>
      </w:r>
      <w:r>
        <w:t xml:space="preserve"> </w:t>
      </w:r>
      <w:r>
        <w:t xml:space="preserve">sales272)</w:t>
      </w:r>
      <w:r>
        <w:t xml:space="preserve"> </w:t>
      </w:r>
      <w:r>
        <w:t xml:space="preserve"> Legal interpretation and uncertainty</w:t>
      </w:r>
      <w:r>
        <w:t xml:space="preserve"> </w:t>
      </w:r>
      <w:r>
        <w:t xml:space="preserve">Figure 14: Costs linked to PSD2</w:t>
      </w:r>
      <w:r>
        <w:t xml:space="preserve"> </w:t>
      </w:r>
      <w:r>
        <w:t xml:space="preserve">Cost item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calculation</w:t>
      </w:r>
      <w:r>
        <w:t xml:space="preserve"> </w:t>
      </w:r>
      <w:r>
        <w:t xml:space="preserve">Value (if relevant, year)</w:t>
      </w:r>
      <w:r>
        <w:t xml:space="preserve"> </w:t>
      </w:r>
      <w:r>
        <w:t xml:space="preserve">Type</w:t>
      </w:r>
      <w:r>
        <w:t xml:space="preserve"> </w:t>
      </w:r>
      <w:r>
        <w:t xml:space="preserve">Development of application</w:t>
      </w:r>
      <w:r>
        <w:t xml:space="preserve"> </w:t>
      </w:r>
      <w:r>
        <w:t xml:space="preserve">programming</w:t>
      </w:r>
      <w:r>
        <w:t xml:space="preserve"> </w:t>
      </w:r>
      <w:r>
        <w:t xml:space="preserve">interfaces</w:t>
      </w:r>
      <w:r>
        <w:t xml:space="preserve"> </w:t>
      </w:r>
      <w:r>
        <w:t xml:space="preserve">(APIs)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Total: EUR 2,200,000,000*</w:t>
      </w:r>
      <w:r>
        <w:t xml:space="preserve"> </w:t>
      </w:r>
      <w:r>
        <w:t xml:space="preserve">Small and medium ASPSPs:</w:t>
      </w:r>
      <w:r>
        <w:t xml:space="preserve"> </w:t>
      </w:r>
      <w:r>
        <w:t xml:space="preserve">430,000€</w:t>
      </w:r>
      <w:r>
        <w:t xml:space="preserve"> </w:t>
      </w:r>
      <w:r>
        <w:t xml:space="preserve">Large ASPSPs: 14,800,000€</w:t>
      </w:r>
      <w:r>
        <w:t xml:space="preserve"> </w:t>
      </w:r>
      <w:r>
        <w:t xml:space="preserve">*According to the VVA/CEPS</w:t>
      </w:r>
      <w:r>
        <w:t xml:space="preserve"> </w:t>
      </w:r>
      <w:r>
        <w:t xml:space="preserve">One-off</w:t>
      </w:r>
    </w:p>
    <w:p>
      <w:pPr>
        <w:pStyle w:val="BodyText"/>
      </w:pPr>
      <w:r>
        <w:t xml:space="preserve">272</w:t>
      </w:r>
      <w:r>
        <w:br/>
      </w:r>
      <w:r>
        <w:t xml:space="preserve">It is also reasonable to assume that most of these sales takes place in alternative channels (e.g. brick-</w:t>
      </w:r>
      <w:r>
        <w:t xml:space="preserve"> </w:t>
      </w:r>
      <w:r>
        <w:t xml:space="preserve">and mortar shops), or by alternative payment means. Therefore, at societal level the value of lost sales is much</w:t>
      </w:r>
      <w:r>
        <w:t xml:space="preserve"> </w:t>
      </w:r>
      <w:r>
        <w:t xml:space="preserve">lower than the value of failed transactions.</w:t>
      </w:r>
    </w:p>
    <w:p>
      <w:pPr>
        <w:pStyle w:val="BodyText"/>
      </w:pPr>
      <w:r>
        <w:t xml:space="preserve">136</w:t>
      </w:r>
    </w:p>
    <w:p>
      <w:pPr>
        <w:pStyle w:val="BodyText"/>
      </w:pPr>
      <w:r>
        <w:t xml:space="preserve">Cost item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calculation</w:t>
      </w:r>
      <w:r>
        <w:t xml:space="preserve"> </w:t>
      </w:r>
      <w:r>
        <w:t xml:space="preserve">Value (if relevant, year)</w:t>
      </w:r>
      <w:r>
        <w:t xml:space="preserve"> </w:t>
      </w:r>
      <w:r>
        <w:t xml:space="preserve">Type</w:t>
      </w:r>
      <w:r>
        <w:t xml:space="preserve"> </w:t>
      </w:r>
      <w:r>
        <w:t xml:space="preserve">study; however, these costs are</w:t>
      </w:r>
      <w:r>
        <w:t xml:space="preserve"> </w:t>
      </w:r>
      <w:r>
        <w:t xml:space="preserve">very likely to be overestimated,</w:t>
      </w:r>
      <w:r>
        <w:t xml:space="preserve"> </w:t>
      </w:r>
      <w:r>
        <w:t xml:space="preserve">as there is no segregation of</w:t>
      </w:r>
      <w:r>
        <w:t xml:space="preserve"> </w:t>
      </w:r>
      <w:r>
        <w:t xml:space="preserve">costs and overall most would be</w:t>
      </w:r>
      <w:r>
        <w:t xml:space="preserve"> </w:t>
      </w:r>
      <w:r>
        <w:t xml:space="preserve">linked to adapting their IT</w:t>
      </w:r>
      <w:r>
        <w:t xml:space="preserve"> </w:t>
      </w:r>
      <w:r>
        <w:t xml:space="preserve">systems</w:t>
      </w:r>
      <w:r>
        <w:t xml:space="preserve"> </w:t>
      </w:r>
      <w:r>
        <w:t xml:space="preserve">including</w:t>
      </w:r>
      <w:r>
        <w:t xml:space="preserve"> </w:t>
      </w:r>
      <w:r>
        <w:t xml:space="preserve">for</w:t>
      </w:r>
      <w:r>
        <w:t xml:space="preserve"> </w:t>
      </w:r>
      <w:r>
        <w:t xml:space="preserve">security/cloud computing.</w:t>
      </w:r>
      <w:r>
        <w:br/>
      </w:r>
      <w:r>
        <w:t xml:space="preserve">SCA implementation</w:t>
      </w:r>
      <w:r>
        <w:t xml:space="preserve"> </w:t>
      </w:r>
      <w:r>
        <w:t xml:space="preserve">Credit</w:t>
      </w:r>
      <w:r>
        <w:t xml:space="preserve"> </w:t>
      </w:r>
      <w:r>
        <w:t xml:space="preserve">institutions,</w:t>
      </w:r>
      <w:r>
        <w:t xml:space="preserve"> </w:t>
      </w:r>
      <w:r>
        <w:t xml:space="preserve">TPPs,</w:t>
      </w:r>
      <w:r>
        <w:t xml:space="preserve"> </w:t>
      </w:r>
      <w:r>
        <w:t xml:space="preserve">merchants</w:t>
      </w:r>
      <w:r>
        <w:t xml:space="preserve"> </w:t>
      </w:r>
      <w:r>
        <w:t xml:space="preserve">Total: 5,000,000,000 €</w:t>
      </w:r>
      <w:r>
        <w:t xml:space="preserve"> </w:t>
      </w:r>
      <w:r>
        <w:t xml:space="preserve">ASPSPs: small - 2,224,900,000</w:t>
      </w:r>
      <w:r>
        <w:t xml:space="preserve"> </w:t>
      </w:r>
      <w:r>
        <w:t xml:space="preserve">€ ; large - 1,639,100,000 €</w:t>
      </w:r>
      <w:r>
        <w:t xml:space="preserve"> </w:t>
      </w:r>
      <w:r>
        <w:t xml:space="preserve">TPPS : micro - 8,200,000€ ; small</w:t>
      </w:r>
      <w:r>
        <w:t xml:space="preserve"> </w:t>
      </w:r>
      <w:r>
        <w:t xml:space="preserve">to large - 275,900,000 €</w:t>
      </w:r>
      <w:r>
        <w:br/>
      </w:r>
      <w:r>
        <w:t xml:space="preserve">Merchants: 836,000,000 €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Development</w:t>
      </w:r>
      <w:r>
        <w:t xml:space="preserve"> </w:t>
      </w:r>
      <w:r>
        <w:t xml:space="preserve">of</w:t>
      </w:r>
      <w:r>
        <w:t xml:space="preserve"> </w:t>
      </w:r>
      <w:r>
        <w:t xml:space="preserve">products</w:t>
      </w:r>
      <w:r>
        <w:t xml:space="preserve"> </w:t>
      </w:r>
      <w:r>
        <w:t xml:space="preserve">based on APIs</w:t>
      </w:r>
      <w:r>
        <w:t xml:space="preserve"> </w:t>
      </w:r>
      <w:r>
        <w:t xml:space="preserve">TPPs</w:t>
      </w:r>
      <w:r>
        <w:t xml:space="preserve"> </w:t>
      </w:r>
      <w:r>
        <w:t xml:space="preserve">140,000,000-285,000,000 €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Business loss due to SCA</w:t>
      </w:r>
      <w:r>
        <w:t xml:space="preserve"> </w:t>
      </w:r>
      <w:r>
        <w:t xml:space="preserve">implementation (friction and</w:t>
      </w:r>
      <w:r>
        <w:t xml:space="preserve"> </w:t>
      </w:r>
      <w:r>
        <w:t xml:space="preserve">complexity of authentication</w:t>
      </w:r>
      <w:r>
        <w:t xml:space="preserve"> </w:t>
      </w:r>
      <w:r>
        <w:t xml:space="preserve">method)</w:t>
      </w:r>
      <w:r>
        <w:t xml:space="preserve"> </w:t>
      </w:r>
      <w:r>
        <w:t xml:space="preserve">Merchants</w:t>
      </w:r>
      <w:r>
        <w:t xml:space="preserve"> </w:t>
      </w:r>
      <w:r>
        <w:t xml:space="preserve">[~33.500,000,000 €*]</w:t>
      </w:r>
      <w:r>
        <w:br/>
      </w:r>
      <w:r>
        <w:t xml:space="preserve">*According to the VVA/CEPS</w:t>
      </w:r>
      <w:r>
        <w:t xml:space="preserve"> </w:t>
      </w:r>
      <w:r>
        <w:t xml:space="preserve">study; however, only a small</w:t>
      </w:r>
      <w:r>
        <w:t xml:space="preserve"> </w:t>
      </w:r>
      <w:r>
        <w:t xml:space="preserve">fraction of this amount can be</w:t>
      </w:r>
      <w:r>
        <w:t xml:space="preserve"> </w:t>
      </w:r>
      <w:r>
        <w:t xml:space="preserve">accounted for as an opportunity</w:t>
      </w:r>
      <w:r>
        <w:t xml:space="preserve"> </w:t>
      </w:r>
      <w:r>
        <w:t xml:space="preserve">cost</w:t>
      </w:r>
      <w:r>
        <w:t xml:space="preserve"> </w:t>
      </w:r>
      <w:r>
        <w:t xml:space="preserve">One-off</w:t>
      </w:r>
      <w:r>
        <w:t xml:space="preserve"> </w:t>
      </w:r>
      <w:r>
        <w:t xml:space="preserve">Registration costs for new</w:t>
      </w:r>
      <w:r>
        <w:t xml:space="preserve"> </w:t>
      </w:r>
      <w:r>
        <w:t xml:space="preserve">TPPs</w:t>
      </w:r>
      <w:r>
        <w:br/>
      </w:r>
      <w:r>
        <w:t xml:space="preserve">TPPs</w:t>
      </w:r>
      <w:r>
        <w:t xml:space="preserve"> </w:t>
      </w:r>
      <w:r>
        <w:t xml:space="preserve">10,000,000 €</w:t>
      </w:r>
      <w:r>
        <w:t xml:space="preserve"> </w:t>
      </w:r>
      <w:r>
        <w:t xml:space="preserve">One-off</w:t>
      </w:r>
      <w:r>
        <w:t xml:space="preserve"> </w:t>
      </w:r>
      <w:r>
        <w:t xml:space="preserve">Increased uncertainty about</w:t>
      </w:r>
      <w:r>
        <w:t xml:space="preserve"> </w:t>
      </w:r>
      <w:r>
        <w:t xml:space="preserve">processing of payments</w:t>
      </w:r>
      <w:r>
        <w:t xml:space="preserve"> </w:t>
      </w:r>
      <w:r>
        <w:t xml:space="preserve">TPPs</w:t>
      </w:r>
      <w:r>
        <w:t xml:space="preserve"> </w:t>
      </w:r>
      <w:r>
        <w:t xml:space="preserve">Too early to call</w:t>
      </w:r>
      <w:r>
        <w:t xml:space="preserve"> </w:t>
      </w:r>
      <w:r>
        <w:t xml:space="preserve">One-off</w:t>
      </w:r>
      <w:r>
        <w:t xml:space="preserve"> </w:t>
      </w:r>
      <w:r>
        <w:t xml:space="preserve">Bank API maintenance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~278,000,000 €</w:t>
      </w:r>
      <w:r>
        <w:t xml:space="preserve"> </w:t>
      </w:r>
      <w:r>
        <w:t xml:space="preserve">Recurring</w:t>
      </w:r>
      <w:r>
        <w:t xml:space="preserve"> </w:t>
      </w:r>
      <w:r>
        <w:t xml:space="preserve">Maintenance of API-based</w:t>
      </w:r>
      <w:r>
        <w:t xml:space="preserve"> </w:t>
      </w:r>
      <w:r>
        <w:t xml:space="preserve">products</w:t>
      </w:r>
      <w:r>
        <w:t xml:space="preserve"> </w:t>
      </w:r>
      <w:r>
        <w:t xml:space="preserve">TPPs</w:t>
      </w:r>
      <w:r>
        <w:t xml:space="preserve"> </w:t>
      </w:r>
      <w:r>
        <w:t xml:space="preserve">53,000,000 €</w:t>
      </w:r>
      <w:r>
        <w:t xml:space="preserve"> </w:t>
      </w:r>
      <w:r>
        <w:t xml:space="preserve">Recurring</w:t>
      </w:r>
      <w:r>
        <w:t xml:space="preserve"> </w:t>
      </w:r>
      <w:r>
        <w:t xml:space="preserve">Informing consumers about</w:t>
      </w:r>
      <w:r>
        <w:t xml:space="preserve"> </w:t>
      </w:r>
      <w:r>
        <w:t xml:space="preserve">rights</w:t>
      </w:r>
      <w:r>
        <w:t xml:space="preserve"> </w:t>
      </w:r>
      <w:r>
        <w:t xml:space="preserve">and</w:t>
      </w:r>
      <w:r>
        <w:t xml:space="preserve"> </w:t>
      </w:r>
      <w:r>
        <w:t xml:space="preserve">obligations,</w:t>
      </w:r>
      <w:r>
        <w:t xml:space="preserve"> </w:t>
      </w:r>
      <w:r>
        <w:t xml:space="preserve">improving</w:t>
      </w:r>
      <w:r>
        <w:t xml:space="preserve"> </w:t>
      </w:r>
      <w:r>
        <w:t xml:space="preserve">financial</w:t>
      </w:r>
      <w:r>
        <w:t xml:space="preserve"> </w:t>
      </w:r>
      <w:r>
        <w:t xml:space="preserve">knowledge</w:t>
      </w:r>
      <w:r>
        <w:t xml:space="preserve"> </w:t>
      </w:r>
      <w:r>
        <w:t xml:space="preserve">necessary</w:t>
      </w:r>
      <w:r>
        <w:t xml:space="preserve"> </w:t>
      </w:r>
      <w:r>
        <w:t xml:space="preserve">for</w:t>
      </w:r>
      <w:r>
        <w:t xml:space="preserve"> </w:t>
      </w:r>
      <w:r>
        <w:t xml:space="preserve">PSD2-linked</w:t>
      </w:r>
      <w:r>
        <w:t xml:space="preserve"> </w:t>
      </w:r>
      <w:r>
        <w:t xml:space="preserve">services</w:t>
      </w:r>
      <w:r>
        <w:t xml:space="preserve"> </w:t>
      </w:r>
      <w:r>
        <w:t xml:space="preserve">(i.e. </w:t>
      </w:r>
      <w:r>
        <w:t xml:space="preserve"> </w:t>
      </w:r>
      <w:r>
        <w:t xml:space="preserve">education campaigns)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123,000,000 €</w:t>
      </w:r>
      <w:r>
        <w:t xml:space="preserve"> </w:t>
      </w:r>
      <w:r>
        <w:t xml:space="preserve">Recurring</w:t>
      </w:r>
      <w:r>
        <w:t xml:space="preserve"> </w:t>
      </w:r>
      <w:r>
        <w:t xml:space="preserve">Ongoing supervision fees for</w:t>
      </w:r>
      <w:r>
        <w:t xml:space="preserve"> </w:t>
      </w:r>
      <w:r>
        <w:t xml:space="preserve">new TPPs</w:t>
      </w:r>
      <w:r>
        <w:t xml:space="preserve"> </w:t>
      </w:r>
      <w:r>
        <w:t xml:space="preserve">TPPs</w:t>
      </w:r>
      <w:r>
        <w:t xml:space="preserve"> </w:t>
      </w:r>
      <w:r>
        <w:t xml:space="preserve">3,000,000 €</w:t>
      </w:r>
      <w:r>
        <w:t xml:space="preserve"> </w:t>
      </w:r>
      <w:r>
        <w:t xml:space="preserve">Recurring</w:t>
      </w:r>
      <w:r>
        <w:t xml:space="preserve"> </w:t>
      </w:r>
      <w:r>
        <w:t xml:space="preserve">Higher need for supervision in</w:t>
      </w:r>
      <w:r>
        <w:t xml:space="preserve"> </w:t>
      </w:r>
      <w:r>
        <w:t xml:space="preserve">national administrations due</w:t>
      </w:r>
      <w:r>
        <w:t xml:space="preserve"> </w:t>
      </w:r>
      <w:r>
        <w:t xml:space="preserve">to PSD2</w:t>
      </w:r>
      <w:r>
        <w:t xml:space="preserve"> </w:t>
      </w:r>
      <w:r>
        <w:t xml:space="preserve">National administrations</w:t>
      </w:r>
      <w:r>
        <w:t xml:space="preserve"> </w:t>
      </w:r>
      <w:r>
        <w:t xml:space="preserve">~30,000,000 €</w:t>
      </w:r>
      <w:r>
        <w:t xml:space="preserve"> </w:t>
      </w:r>
      <w:r>
        <w:t xml:space="preserve">Recurring</w:t>
      </w:r>
      <w:r>
        <w:t xml:space="preserve"> </w:t>
      </w:r>
      <w:r>
        <w:t xml:space="preserve">Reduced</w:t>
      </w:r>
      <w:r>
        <w:t xml:space="preserve"> </w:t>
      </w:r>
      <w:r>
        <w:t xml:space="preserve">revenue</w:t>
      </w:r>
      <w:r>
        <w:t xml:space="preserve"> </w:t>
      </w:r>
      <w:r>
        <w:t xml:space="preserve">from</w:t>
      </w:r>
      <w:r>
        <w:t xml:space="preserve"> </w:t>
      </w:r>
      <w:r>
        <w:t xml:space="preserve">acquiring and issuing scheme</w:t>
      </w:r>
      <w:r>
        <w:t xml:space="preserve"> </w:t>
      </w:r>
      <w:r>
        <w:t xml:space="preserve">fees</w:t>
      </w:r>
      <w:r>
        <w:t xml:space="preserve"> </w:t>
      </w:r>
      <w:r>
        <w:t xml:space="preserve">Card schemes</w:t>
      </w:r>
      <w:r>
        <w:t xml:space="preserve"> </w:t>
      </w:r>
      <w:r>
        <w:t xml:space="preserve">Too early to call</w:t>
      </w:r>
      <w:r>
        <w:t xml:space="preserve"> </w:t>
      </w:r>
      <w:r>
        <w:t xml:space="preserve">Recurring</w:t>
      </w:r>
      <w:r>
        <w:t xml:space="preserve"> </w:t>
      </w:r>
      <w:r>
        <w:t xml:space="preserve">Less room to steer consumers</w:t>
      </w:r>
      <w:r>
        <w:t xml:space="preserve"> </w:t>
      </w:r>
      <w:r>
        <w:t xml:space="preserve">to</w:t>
      </w:r>
      <w:r>
        <w:t xml:space="preserve"> </w:t>
      </w:r>
      <w:r>
        <w:t xml:space="preserve">cheaper</w:t>
      </w:r>
      <w:r>
        <w:t xml:space="preserve"> </w:t>
      </w:r>
      <w:r>
        <w:t xml:space="preserve">means</w:t>
      </w:r>
      <w:r>
        <w:t xml:space="preserve"> </w:t>
      </w:r>
      <w:r>
        <w:t xml:space="preserve">of</w:t>
      </w:r>
      <w:r>
        <w:t xml:space="preserve"> </w:t>
      </w:r>
      <w:r>
        <w:t xml:space="preserve">Merchants</w:t>
      </w:r>
      <w:r>
        <w:t xml:space="preserve"> </w:t>
      </w:r>
      <w:r>
        <w:t xml:space="preserve">Too early to call</w:t>
      </w:r>
      <w:r>
        <w:t xml:space="preserve"> </w:t>
      </w:r>
      <w:r>
        <w:t xml:space="preserve">Recurring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Cost item</w:t>
      </w:r>
      <w:r>
        <w:t xml:space="preserve"> </w:t>
      </w:r>
      <w:r>
        <w:t xml:space="preserve">Stakeholders</w:t>
      </w:r>
      <w:r>
        <w:t xml:space="preserve"> </w:t>
      </w:r>
      <w:r>
        <w:t xml:space="preserve">included</w:t>
      </w:r>
      <w:r>
        <w:t xml:space="preserve"> </w:t>
      </w:r>
      <w:r>
        <w:t xml:space="preserve">in</w:t>
      </w:r>
      <w:r>
        <w:t xml:space="preserve"> </w:t>
      </w:r>
      <w:r>
        <w:t xml:space="preserve">calculation</w:t>
      </w:r>
      <w:r>
        <w:t xml:space="preserve"> </w:t>
      </w:r>
      <w:r>
        <w:t xml:space="preserve">Value (if relevant, year)</w:t>
      </w:r>
      <w:r>
        <w:t xml:space="preserve"> </w:t>
      </w:r>
      <w:r>
        <w:t xml:space="preserve">Type</w:t>
      </w:r>
      <w:r>
        <w:t xml:space="preserve"> </w:t>
      </w:r>
      <w:r>
        <w:t xml:space="preserve">payment (surcharge ban)</w:t>
      </w:r>
      <w:r>
        <w:t xml:space="preserve"> </w:t>
      </w:r>
      <w:r>
        <w:t xml:space="preserve">Source: VVA/CEPS study</w:t>
      </w:r>
      <w:r>
        <w:t xml:space="preserve"> </w:t>
      </w:r>
      <w:r>
        <w:t xml:space="preserve">The main quantifiable benefits linked to PSD2 are:</w:t>
      </w:r>
      <w:r>
        <w:t xml:space="preserve"> </w:t>
      </w:r>
      <w:r>
        <w:t xml:space="preserve"> Improvement of the functioning of the single market (including increased market</w:t>
      </w:r>
      <w:r>
        <w:t xml:space="preserve"> </w:t>
      </w:r>
      <w:r>
        <w:t xml:space="preserve">access for TPPs in the order of EUR 1.6 billion)</w:t>
      </w:r>
      <w:r>
        <w:t xml:space="preserve"> </w:t>
      </w:r>
      <w:r>
        <w:t xml:space="preserve"> Unlocking the potential for innovation, especially when it comes to modernization of</w:t>
      </w:r>
      <w:r>
        <w:t xml:space="preserve"> </w:t>
      </w:r>
      <w:r>
        <w:t xml:space="preserve">IT infrastructure, Open Banking, the further development of consumer services (like</w:t>
      </w:r>
      <w:r>
        <w:t xml:space="preserve"> </w:t>
      </w:r>
      <w:r>
        <w:t xml:space="preserve">financial planning tools)</w:t>
      </w:r>
      <w:r>
        <w:br/>
      </w:r>
      <w:r>
        <w:t xml:space="preserve"> More secure payment environment for customers and a reduction in fraud rates (worth</w:t>
      </w:r>
      <w:r>
        <w:t xml:space="preserve"> </w:t>
      </w:r>
      <w:r>
        <w:t xml:space="preserve">EUR ~0.9 billion per year)</w:t>
      </w:r>
      <w:r>
        <w:t xml:space="preserve"> </w:t>
      </w:r>
      <w:r>
        <w:t xml:space="preserve">Figure 15: Benefits linked to PSD2</w:t>
      </w:r>
      <w:r>
        <w:t xml:space="preserve"> </w:t>
      </w:r>
      <w:r>
        <w:t xml:space="preserve">Benefit item</w:t>
      </w:r>
      <w:r>
        <w:t xml:space="preserve"> </w:t>
      </w:r>
      <w:r>
        <w:t xml:space="preserve">Stakeholders included in</w:t>
      </w:r>
      <w:r>
        <w:t xml:space="preserve"> </w:t>
      </w:r>
      <w:r>
        <w:t xml:space="preserve">calculation</w:t>
      </w:r>
      <w:r>
        <w:t xml:space="preserve"> </w:t>
      </w:r>
      <w:r>
        <w:t xml:space="preserve">Value (if relevant, year</w:t>
      </w:r>
      <w:r>
        <w:t xml:space="preserve"> </w:t>
      </w:r>
      <w:r>
        <w:t xml:space="preserve">based on)</w:t>
      </w:r>
      <w:r>
        <w:t xml:space="preserve"> </w:t>
      </w:r>
      <w:r>
        <w:t xml:space="preserve">Type</w:t>
      </w:r>
      <w:r>
        <w:t xml:space="preserve"> </w:t>
      </w:r>
      <w:r>
        <w:t xml:space="preserve">Increased market access</w:t>
      </w:r>
      <w:r>
        <w:t xml:space="preserve"> </w:t>
      </w:r>
      <w:r>
        <w:t xml:space="preserve">TPPs</w:t>
      </w:r>
      <w:r>
        <w:t xml:space="preserve"> </w:t>
      </w:r>
      <w:r>
        <w:t xml:space="preserve">1,600,000,000 € (2020)</w:t>
      </w:r>
      <w:r>
        <w:t xml:space="preserve"> </w:t>
      </w:r>
      <w:r>
        <w:t xml:space="preserve">Recurring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Too early to call</w:t>
      </w:r>
      <w:r>
        <w:t xml:space="preserve"> </w:t>
      </w:r>
      <w:r>
        <w:t xml:space="preserve">Recurring</w:t>
      </w:r>
      <w:r>
        <w:t xml:space="preserve"> </w:t>
      </w:r>
      <w:r>
        <w:t xml:space="preserve">Reduction in fraud thanks to improved customer</w:t>
      </w:r>
      <w:r>
        <w:t xml:space="preserve"> </w:t>
      </w:r>
      <w:r>
        <w:t xml:space="preserve">protection measures</w:t>
      </w:r>
      <w:r>
        <w:t xml:space="preserve"> </w:t>
      </w:r>
      <w:r>
        <w:t xml:space="preserve">Consumers273</w:t>
      </w:r>
      <w:r>
        <w:t xml:space="preserve"> </w:t>
      </w:r>
      <w:r>
        <w:t xml:space="preserve">~900,000,000 € (2020)</w:t>
      </w:r>
      <w:r>
        <w:t xml:space="preserve"> </w:t>
      </w:r>
      <w:r>
        <w:t xml:space="preserve">Recurring</w:t>
      </w:r>
      <w:r>
        <w:t xml:space="preserve"> </w:t>
      </w:r>
      <w:r>
        <w:t xml:space="preserve">Efficiency of operating new infrastructures</w:t>
      </w:r>
      <w:r>
        <w:t xml:space="preserve"> </w:t>
      </w:r>
      <w:r>
        <w:t xml:space="preserve">Credit institutions</w:t>
      </w:r>
      <w:r>
        <w:t xml:space="preserve"> </w:t>
      </w:r>
      <w:r>
        <w:t xml:space="preserve">Min. 21,000,000 €</w:t>
      </w:r>
      <w:r>
        <w:t xml:space="preserve"> </w:t>
      </w:r>
      <w:r>
        <w:t xml:space="preserve">Recurring</w:t>
      </w:r>
      <w:r>
        <w:t xml:space="preserve"> </w:t>
      </w:r>
      <w:r>
        <w:t xml:space="preserve">More competitive pricing for payment services</w:t>
      </w:r>
      <w:r>
        <w:t xml:space="preserve"> </w:t>
      </w:r>
      <w:r>
        <w:t xml:space="preserve">Merchants, consumers</w:t>
      </w:r>
      <w:r>
        <w:t xml:space="preserve"> </w:t>
      </w:r>
      <w:r>
        <w:t xml:space="preserve">Too early to call</w:t>
      </w:r>
      <w:r>
        <w:t xml:space="preserve"> </w:t>
      </w:r>
      <w:r>
        <w:t xml:space="preserve">Recurring</w:t>
      </w:r>
      <w:r>
        <w:t xml:space="preserve"> </w:t>
      </w:r>
      <w:r>
        <w:t xml:space="preserve">Benefits of new products based on PSD2-enabled</w:t>
      </w:r>
      <w:r>
        <w:t xml:space="preserve"> </w:t>
      </w:r>
      <w:r>
        <w:t xml:space="preserve">APIs</w:t>
      </w:r>
      <w:r>
        <w:t xml:space="preserve"> </w:t>
      </w:r>
      <w:r>
        <w:t xml:space="preserve">TPPs,</w:t>
      </w:r>
      <w:r>
        <w:t xml:space="preserve"> </w:t>
      </w:r>
      <w:r>
        <w:t xml:space="preserve">credit</w:t>
      </w:r>
      <w:r>
        <w:t xml:space="preserve"> </w:t>
      </w:r>
      <w:r>
        <w:t xml:space="preserve">institutions,</w:t>
      </w:r>
      <w:r>
        <w:t xml:space="preserve"> </w:t>
      </w:r>
      <w:r>
        <w:t xml:space="preserve">consumers</w:t>
      </w:r>
      <w:r>
        <w:t xml:space="preserve"> </w:t>
      </w:r>
      <w:r>
        <w:t xml:space="preserve">Too early to call</w:t>
      </w:r>
      <w:r>
        <w:t xml:space="preserve"> </w:t>
      </w:r>
      <w:r>
        <w:t xml:space="preserve">Recurring</w:t>
      </w:r>
      <w:r>
        <w:t xml:space="preserve"> </w:t>
      </w:r>
      <w:r>
        <w:t xml:space="preserve">Source: VVA/CEPS study</w:t>
      </w:r>
      <w:r>
        <w:t xml:space="preserve"> </w:t>
      </w:r>
      <w:r>
        <w:t xml:space="preserve">According to the VVA/CEPS study, a majority of credit institutions and banking associations</w:t>
      </w:r>
      <w:r>
        <w:t xml:space="preserve"> </w:t>
      </w:r>
      <w:r>
        <w:t xml:space="preserve">consulted for the study suggested that the costs of the PSD2 largely outweigh the benefits.</w:t>
      </w:r>
      <w:r>
        <w:t xml:space="preserve"> </w:t>
      </w:r>
      <w:r>
        <w:t xml:space="preserve">National authorities and TPPs established before PSD2 was introduced were more positive</w:t>
      </w:r>
      <w:r>
        <w:t xml:space="preserve"> </w:t>
      </w:r>
      <w:r>
        <w:t xml:space="preserve">about the general impact, but they tended to agree with the overall assessment. This is also in</w:t>
      </w:r>
      <w:r>
        <w:t xml:space="preserve"> </w:t>
      </w:r>
      <w:r>
        <w:t xml:space="preserve">line with the responses received to the targeted consultation. As regards the question whether</w:t>
      </w:r>
      <w:r>
        <w:t xml:space="preserve"> </w:t>
      </w:r>
      <w:r>
        <w:t xml:space="preserve">the aggregated benefits stemming from the implementation of PSD2 outweigh its</w:t>
      </w:r>
      <w:r>
        <w:t xml:space="preserve"> </w:t>
      </w:r>
      <w:r>
        <w:t xml:space="preserve">implementation costs, only 18 (27%) respondents answered with “yes” and 48 (73%) with</w:t>
      </w:r>
      <w:r>
        <w:t xml:space="preserve"> </w:t>
      </w:r>
      <w:r>
        <w:t xml:space="preserve">“no”. Of the 48 respondents who gave a negative answer, 29 (60%) are from the banking</w:t>
      </w:r>
      <w:r>
        <w:t xml:space="preserve"> </w:t>
      </w:r>
      <w:r>
        <w:t xml:space="preserve">sector.</w:t>
      </w:r>
    </w:p>
    <w:p>
      <w:pPr>
        <w:pStyle w:val="BodyText"/>
      </w:pPr>
      <w:r>
        <w:t xml:space="preserve">273</w:t>
      </w:r>
      <w:r>
        <w:br/>
      </w:r>
      <w:r>
        <w:t xml:space="preserve">Eventually, even if fraud costs are borne partly by card issuers, they pass on these costs to the end uses</w:t>
      </w:r>
      <w:r>
        <w:t xml:space="preserve"> </w:t>
      </w:r>
      <w:r>
        <w:t xml:space="preserve">(consumer) in the form of higher prices (or provide less benefits from the interchange revenue).</w:t>
      </w:r>
    </w:p>
    <w:p>
      <w:pPr>
        <w:pStyle w:val="BodyText"/>
      </w:pPr>
      <w:r>
        <w:t xml:space="preserve">138</w:t>
      </w:r>
    </w:p>
    <w:p>
      <w:pPr>
        <w:pStyle w:val="BodyText"/>
      </w:pPr>
      <w:r>
        <w:t xml:space="preserve">Opportunities to simplify the level 1 legislation generally relate to the reduction of legal</w:t>
      </w:r>
      <w:r>
        <w:t xml:space="preserve"> </w:t>
      </w:r>
      <w:r>
        <w:t xml:space="preserve">ambiguity, i.e. the large room left for interpretation by NCAs leading to inconsistent</w:t>
      </w:r>
      <w:r>
        <w:t xml:space="preserve"> </w:t>
      </w:r>
      <w:r>
        <w:t xml:space="preserve">application, and to the improvement of the interplay with other legislation. In addition,</w:t>
      </w:r>
      <w:r>
        <w:t xml:space="preserve"> </w:t>
      </w:r>
      <w:r>
        <w:t xml:space="preserve">stakeholders would be in favour of a more technology-neutral legislation, a comment</w:t>
      </w:r>
      <w:r>
        <w:t xml:space="preserve"> </w:t>
      </w:r>
      <w:r>
        <w:t xml:space="preserve">generally made both for APIs and SCA, which in their view would reduce burden. Specific</w:t>
      </w:r>
      <w:r>
        <w:t xml:space="preserve"> </w:t>
      </w:r>
      <w:r>
        <w:t xml:space="preserve">aspects related to level 2 legislation, namely the ’90-day rule’ (see above page 22) and</w:t>
      </w:r>
      <w:r>
        <w:t xml:space="preserve"> </w:t>
      </w:r>
      <w:r>
        <w:t xml:space="preserve">technology neutrality were also considered as having simplification potential.</w:t>
      </w:r>
      <w:r>
        <w:t xml:space="preserve"> </w:t>
      </w:r>
      <w:r>
        <w:t xml:space="preserve">Stakeholder feedback was generally positive on the potential for simplification (in the case of</w:t>
      </w:r>
      <w:r>
        <w:t xml:space="preserve"> </w:t>
      </w:r>
      <w:r>
        <w:t xml:space="preserve">the survey, 71% believed there is potential).</w:t>
      </w:r>
      <w:r>
        <w:t xml:space="preserve"> </w:t>
      </w:r>
      <w:r>
        <w:t xml:space="preserve">However, the results of the analysis of costs and benefits suggest that the most substantial</w:t>
      </w:r>
      <w:r>
        <w:t xml:space="preserve"> </w:t>
      </w:r>
      <w:r>
        <w:t xml:space="preserve">items are sunk (one-off) costs that have already been incurred. Therefore, the potential for</w:t>
      </w:r>
      <w:r>
        <w:t xml:space="preserve"> </w:t>
      </w:r>
      <w:r>
        <w:t xml:space="preserve">simplification is overall relatively modest. Some of the recurring costs examined by the</w:t>
      </w:r>
      <w:r>
        <w:t xml:space="preserve"> </w:t>
      </w:r>
      <w:r>
        <w:t xml:space="preserve">evaluation (e.g. maintenance – although there is a lack of substantiated evidence as to their</w:t>
      </w:r>
      <w:r>
        <w:t xml:space="preserve"> </w:t>
      </w:r>
      <w:r>
        <w:t xml:space="preserve">level) would also be difficult to lower.</w:t>
      </w:r>
      <w:r>
        <w:t xml:space="preserve"> </w:t>
      </w:r>
      <w:r>
        <w:t xml:space="preserve">4.1.3</w:t>
      </w:r>
      <w:r>
        <w:br/>
      </w:r>
      <w:r>
        <w:t xml:space="preserve">Coherence</w:t>
      </w:r>
      <w:r>
        <w:t xml:space="preserve"> </w:t>
      </w:r>
      <w:r>
        <w:t xml:space="preserve">Summary assessment: Overall, the PSD2 shows a high degree of internal coherence. In</w:t>
      </w:r>
      <w:r>
        <w:t xml:space="preserve"> </w:t>
      </w:r>
      <w:r>
        <w:t xml:space="preserve">terms of external coherence, the assessment shows that coherence with other EU legislation</w:t>
      </w:r>
      <w:r>
        <w:t xml:space="preserve"> </w:t>
      </w:r>
      <w:r>
        <w:t xml:space="preserve">such as the E-Money Directive, the Digital Operational Resilience Act, the Crypto Asset</w:t>
      </w:r>
      <w:r>
        <w:t xml:space="preserve"> </w:t>
      </w:r>
      <w:r>
        <w:t xml:space="preserve">Markets Regulation and the General Data Protection Regulation needs to be slightly</w:t>
      </w:r>
      <w:r>
        <w:t xml:space="preserve"> </w:t>
      </w:r>
      <w:r>
        <w:t xml:space="preserve">improved.</w:t>
      </w:r>
      <w:r>
        <w:t xml:space="preserve"> </w:t>
      </w:r>
      <w:r>
        <w:t xml:space="preserve">In assessing how the PSD2 fits into a broader overarching architecture, the degree of</w:t>
      </w:r>
      <w:r>
        <w:t xml:space="preserve"> </w:t>
      </w:r>
      <w:r>
        <w:t xml:space="preserve">coherence between the provisions of the Directive (internal coherence) as well as its</w:t>
      </w:r>
      <w:r>
        <w:t xml:space="preserve"> </w:t>
      </w:r>
      <w:r>
        <w:t xml:space="preserve">relationship to other interventions (external coherence) has been analysed.</w:t>
      </w:r>
      <w:r>
        <w:t xml:space="preserve"> </w:t>
      </w:r>
      <w:r>
        <w:t xml:space="preserve">4.1.3.1</w:t>
      </w:r>
      <w:r>
        <w:br/>
      </w:r>
      <w:r>
        <w:t xml:space="preserve">Internal coherence</w:t>
      </w:r>
      <w:r>
        <w:t xml:space="preserve"> </w:t>
      </w:r>
      <w:r>
        <w:t xml:space="preserve">Overall, the Directive shows a high degree of internal coherence274. Some minor</w:t>
      </w:r>
      <w:r>
        <w:t xml:space="preserve"> </w:t>
      </w:r>
      <w:r>
        <w:t xml:space="preserve">inconsistencies were identified, for example, between the Chapter on framework contracts</w:t>
      </w:r>
      <w:r>
        <w:t xml:space="preserve"> </w:t>
      </w:r>
      <w:r>
        <w:t xml:space="preserve">and single payment transactions. The obligation to inform the payment service user about</w:t>
      </w:r>
      <w:r>
        <w:t xml:space="preserve"> </w:t>
      </w:r>
      <w:r>
        <w:t xml:space="preserve">ADR procedures is only intended for framework contracts, but also appears justified for</w:t>
      </w:r>
      <w:r>
        <w:t xml:space="preserve"> </w:t>
      </w:r>
      <w:r>
        <w:t xml:space="preserve">single payment transactions. Similarly, the EBA noted that the Chapter on single transactions</w:t>
      </w:r>
      <w:r>
        <w:t xml:space="preserve"> </w:t>
      </w:r>
      <w:r>
        <w:t xml:space="preserve">refers to PSPs and PISPs separately, while the Chapter on framework contracts only refers to</w:t>
      </w:r>
      <w:r>
        <w:t xml:space="preserve"> </w:t>
      </w:r>
      <w:r>
        <w:t xml:space="preserve">PSPs275.</w:t>
      </w:r>
    </w:p>
    <w:p>
      <w:pPr>
        <w:pStyle w:val="BodyText"/>
      </w:pPr>
      <w:r>
        <w:t xml:space="preserve">274</w:t>
      </w:r>
      <w:r>
        <w:br/>
      </w:r>
      <w:r>
        <w:t xml:space="preserve">VVA/CEPS study, p. 184.</w:t>
      </w:r>
      <w:r>
        <w:t xml:space="preserve"> </w:t>
      </w:r>
      <w:r>
        <w:t xml:space="preserve">275</w:t>
      </w:r>
      <w:r>
        <w:br/>
      </w:r>
      <w:r>
        <w:t xml:space="preserve">EBA Advice (EBA/Op/2022/06), p. 58.</w:t>
      </w:r>
    </w:p>
    <w:p>
      <w:pPr>
        <w:pStyle w:val="BodyText"/>
      </w:pPr>
      <w:r>
        <w:t xml:space="preserve">139</w:t>
      </w:r>
    </w:p>
    <w:p>
      <w:pPr>
        <w:pStyle w:val="BodyText"/>
      </w:pPr>
      <w:r>
        <w:t xml:space="preserve">4.1.3.2</w:t>
      </w:r>
      <w:r>
        <w:br/>
      </w:r>
      <w:r>
        <w:t xml:space="preserve">External coherence</w:t>
      </w:r>
      <w:r>
        <w:t xml:space="preserve"> </w:t>
      </w:r>
      <w:r>
        <w:t xml:space="preserve">Interchange Fee Regulation</w:t>
      </w:r>
      <w:r>
        <w:t xml:space="preserve"> </w:t>
      </w:r>
      <w:r>
        <w:t xml:space="preserve">The PSD2 is complemented by Regulation (EU) 2015/751 (IFR). To foster the Internal</w:t>
      </w:r>
      <w:r>
        <w:t xml:space="preserve"> </w:t>
      </w:r>
      <w:r>
        <w:t xml:space="preserve">Market and competition in EU card payments, the IFR harmonizes diverging laws and</w:t>
      </w:r>
      <w:r>
        <w:t xml:space="preserve"> </w:t>
      </w:r>
      <w:r>
        <w:t xml:space="preserve">administrative decisions and addresses restrictive business rules and practices. The IFR</w:t>
      </w:r>
      <w:r>
        <w:t xml:space="preserve"> </w:t>
      </w:r>
      <w:r>
        <w:t xml:space="preserve">introduced caps for hitherto high interchange fees for consumer debit and credit cards,</w:t>
      </w:r>
      <w:r>
        <w:t xml:space="preserve"> </w:t>
      </w:r>
      <w:r>
        <w:t xml:space="preserve">therefore setting harmonized ceilings for interchange fees for consumer cards in the EEA, and</w:t>
      </w:r>
      <w:r>
        <w:t xml:space="preserve"> </w:t>
      </w:r>
      <w:r>
        <w:t xml:space="preserve">business rules aiming at removing barriers to the internal market, such as restrictions on</w:t>
      </w:r>
      <w:r>
        <w:t xml:space="preserve"> </w:t>
      </w:r>
      <w:r>
        <w:t xml:space="preserve">cross-border acquiring or the prevention of choice of payment brand or payment application</w:t>
      </w:r>
      <w:r>
        <w:t xml:space="preserve"> </w:t>
      </w:r>
      <w:r>
        <w:t xml:space="preserve">for consumers and merchants. The IFR is closely related to PSD2, as the card-specific</w:t>
      </w:r>
      <w:r>
        <w:t xml:space="preserve"> </w:t>
      </w:r>
      <w:r>
        <w:t xml:space="preserve">provisions of PSD2276 complement the IFR in promoting entry, including of pan-European</w:t>
      </w:r>
      <w:r>
        <w:t xml:space="preserve"> </w:t>
      </w:r>
      <w:r>
        <w:t xml:space="preserve">card schemes or in preventing payees from requesting charges for the use of payment</w:t>
      </w:r>
      <w:r>
        <w:t xml:space="preserve"> </w:t>
      </w:r>
      <w:r>
        <w:t xml:space="preserve">instruments for which the interchange fees are regulated in the IFR. No coherence issues have</w:t>
      </w:r>
      <w:r>
        <w:t xml:space="preserve"> </w:t>
      </w:r>
      <w:r>
        <w:t xml:space="preserve">been identified with regard to the IFR.</w:t>
      </w:r>
      <w:r>
        <w:t xml:space="preserve"> </w:t>
      </w:r>
      <w:r>
        <w:t xml:space="preserve">E-Money Directive</w:t>
      </w:r>
      <w:r>
        <w:t xml:space="preserve"> </w:t>
      </w:r>
      <w:r>
        <w:t xml:space="preserve">Directive 2009/110/EC (EMD2) sets out the rules on the business and supervision of</w:t>
      </w:r>
      <w:r>
        <w:t xml:space="preserve"> </w:t>
      </w:r>
      <w:r>
        <w:t xml:space="preserve">electronic money (e-money) institutions in order to contribute to the emergence of a true</w:t>
      </w:r>
      <w:r>
        <w:t xml:space="preserve"> </w:t>
      </w:r>
      <w:r>
        <w:t xml:space="preserve">single market for e-money services in the EU. The EMD2 is applicable since 30 October</w:t>
      </w:r>
      <w:r>
        <w:t xml:space="preserve"> </w:t>
      </w:r>
      <w:r>
        <w:t xml:space="preserve">2009. In its Advice, the EBA has identified a number of divergences between the two legal</w:t>
      </w:r>
      <w:r>
        <w:t xml:space="preserve"> </w:t>
      </w:r>
      <w:r>
        <w:t xml:space="preserve">frameworks277. Most prominent issues concern the difficulties in distinguishing between</w:t>
      </w:r>
      <w:r>
        <w:t xml:space="preserve"> </w:t>
      </w:r>
      <w:r>
        <w:t xml:space="preserve">“payment account” and “electronic money account”, between “payment services” and</w:t>
      </w:r>
      <w:r>
        <w:t xml:space="preserve"> </w:t>
      </w:r>
      <w:r>
        <w:t xml:space="preserve">“electronic money-related services”, as well as between “scriptural money” and “electronic</w:t>
      </w:r>
      <w:r>
        <w:t xml:space="preserve"> </w:t>
      </w:r>
      <w:r>
        <w:t xml:space="preserve">money”. The EBA also identified differences in some of the applicable legal requirements</w:t>
      </w:r>
      <w:r>
        <w:t xml:space="preserve"> </w:t>
      </w:r>
      <w:r>
        <w:t xml:space="preserve">related to authorisation, own funds and safeguarding. The nature and status of distributors of</w:t>
      </w:r>
      <w:r>
        <w:t xml:space="preserve"> </w:t>
      </w:r>
      <w:r>
        <w:t xml:space="preserve">electronic money278, as well as the treatment of pre-paid instruments and whether they are</w:t>
      </w:r>
      <w:r>
        <w:t xml:space="preserve"> </w:t>
      </w:r>
      <w:r>
        <w:t xml:space="preserve">based on electronic money in all cases were also identified as challenging to deal with. For</w:t>
      </w:r>
      <w:r>
        <w:t xml:space="preserve"> </w:t>
      </w:r>
      <w:r>
        <w:t xml:space="preserve">these reasons, both the EBA and the VVA/CEPS study have advocated merging PSD2 with</w:t>
      </w:r>
      <w:r>
        <w:t xml:space="preserve"> </w:t>
      </w:r>
      <w:r>
        <w:t xml:space="preserve">EMD2.</w:t>
      </w:r>
    </w:p>
    <w:p>
      <w:pPr>
        <w:pStyle w:val="BodyText"/>
      </w:pPr>
      <w:r>
        <w:t xml:space="preserve">276</w:t>
      </w:r>
      <w:r>
        <w:br/>
      </w:r>
      <w:r>
        <w:t xml:space="preserve">For instance, article 62 governing charges levied by payees on payers in respect of card-based payment</w:t>
      </w:r>
      <w:r>
        <w:t xml:space="preserve"> </w:t>
      </w:r>
      <w:r>
        <w:t xml:space="preserve">transactions or 65 PSD2 on the confirmation on the availability of funds upon the request of PSPs issuing card-</w:t>
      </w:r>
      <w:r>
        <w:t xml:space="preserve"> </w:t>
      </w:r>
      <w:r>
        <w:t xml:space="preserve">based payment instruments.</w:t>
      </w:r>
      <w:r>
        <w:t xml:space="preserve"> </w:t>
      </w:r>
      <w:r>
        <w:t xml:space="preserve">277</w:t>
      </w:r>
      <w:r>
        <w:br/>
      </w:r>
      <w:r>
        <w:t xml:space="preserve">EBA Advice (EBA/Op/2022/06), p. 27 et seq.</w:t>
      </w:r>
      <w:r>
        <w:t xml:space="preserve"> </w:t>
      </w:r>
      <w:r>
        <w:t xml:space="preserve">278</w:t>
      </w:r>
      <w:r>
        <w:br/>
      </w:r>
      <w:r>
        <w:t xml:space="preserve">The EBA is of the opinion that distributors and their respective obligations have not been properly</w:t>
      </w:r>
      <w:r>
        <w:t xml:space="preserve"> </w:t>
      </w:r>
      <w:r>
        <w:t xml:space="preserve">defined in EMD2, where Article 3(4) of EMD2 only prescribes that EMIs shall be allowed ‘to distribute and</w:t>
      </w:r>
      <w:r>
        <w:t xml:space="preserve"> </w:t>
      </w:r>
      <w:r>
        <w:t xml:space="preserve">redeem electronic money through natural or legal persons which act on their behalf’.</w:t>
      </w:r>
    </w:p>
    <w:p>
      <w:pPr>
        <w:pStyle w:val="BodyText"/>
      </w:pPr>
      <w:r>
        <w:t xml:space="preserve">140</w:t>
      </w:r>
    </w:p>
    <w:p>
      <w:pPr>
        <w:pStyle w:val="BodyText"/>
      </w:pPr>
      <w:r>
        <w:t xml:space="preserve">Digital Operational Resilience Act</w:t>
      </w:r>
      <w:r>
        <w:br/>
      </w:r>
      <w:r>
        <w:t xml:space="preserve">On 10 May 2022, Council and European Parliament reached political agreement on the</w:t>
      </w:r>
      <w:r>
        <w:t xml:space="preserve"> </w:t>
      </w:r>
      <w:r>
        <w:t xml:space="preserve">Digital Operational Resilience Act (DORA). Concerning the operational and security risks,</w:t>
      </w:r>
      <w:r>
        <w:t xml:space="preserve"> </w:t>
      </w:r>
      <w:r>
        <w:t xml:space="preserve">the scope of PSD2 and DORA partly overlaps. The main difference consists in the fact that</w:t>
      </w:r>
      <w:r>
        <w:t xml:space="preserve"> </w:t>
      </w:r>
      <w:r>
        <w:t xml:space="preserve">the PSD2 framework for operational and security risks addresses both ICT as well as non-</w:t>
      </w:r>
      <w:r>
        <w:t xml:space="preserve"> </w:t>
      </w:r>
      <w:r>
        <w:t xml:space="preserve">ICT risks, whereas DORA focuses specifically on ICT risks.</w:t>
      </w:r>
      <w:r>
        <w:br/>
      </w:r>
      <w:r>
        <w:t xml:space="preserve">The new digital operational resilience framework for the financial sector (set out by the</w:t>
      </w:r>
      <w:r>
        <w:t xml:space="preserve"> </w:t>
      </w:r>
      <w:r>
        <w:t xml:space="preserve">DORA-Regulation and accompanying DORA-Directive) was formally adopted in November</w:t>
      </w:r>
      <w:r>
        <w:t xml:space="preserve"> </w:t>
      </w:r>
      <w:r>
        <w:t xml:space="preserve">2022. It enters into force in 2023 and will take effect as of 17 January 2025. This new</w:t>
      </w:r>
      <w:r>
        <w:t xml:space="preserve"> </w:t>
      </w:r>
      <w:r>
        <w:t xml:space="preserve">framework will apply to all categories of PSPs regulated under PSD2: credit institutions,</w:t>
      </w:r>
      <w:r>
        <w:t xml:space="preserve"> </w:t>
      </w:r>
      <w:r>
        <w:t xml:space="preserve">payment institutions (including certain small payment institutions which may have been</w:t>
      </w:r>
      <w:r>
        <w:t xml:space="preserve"> </w:t>
      </w:r>
      <w:r>
        <w:t xml:space="preserve">exempted from certain supervision and authorisation requirements pursuant to Article 32(1)</w:t>
      </w:r>
      <w:r>
        <w:t xml:space="preserve"> </w:t>
      </w:r>
      <w:r>
        <w:t xml:space="preserve">PSD2), account information service providers which only offer account information services</w:t>
      </w:r>
      <w:r>
        <w:t xml:space="preserve"> </w:t>
      </w:r>
      <w:r>
        <w:t xml:space="preserve">and are exempted from certain supervision and authorisation requirements pursuant to Article</w:t>
      </w:r>
      <w:r>
        <w:t xml:space="preserve"> </w:t>
      </w:r>
      <w:r>
        <w:t xml:space="preserve">33(1) PSD2 and e-money institutions, including those that may be exempted in accordance</w:t>
      </w:r>
      <w:r>
        <w:t xml:space="preserve"> </w:t>
      </w:r>
      <w:r>
        <w:t xml:space="preserve">with Article 9(1) of EMD2.</w:t>
      </w:r>
      <w:r>
        <w:t xml:space="preserve"> </w:t>
      </w:r>
      <w:r>
        <w:t xml:space="preserve">The new rules on digital operational resilience for the above entities will consequently be</w:t>
      </w:r>
      <w:r>
        <w:t xml:space="preserve"> </w:t>
      </w:r>
      <w:r>
        <w:t xml:space="preserve">those which are set out by DORA (i.e., rules on ICT risk management, incident reporting,</w:t>
      </w:r>
      <w:r>
        <w:t xml:space="preserve"> </w:t>
      </w:r>
      <w:r>
        <w:t xml:space="preserve">testing, ICT third-party risk management, information sharing on cyber threats). In respect of</w:t>
      </w:r>
      <w:r>
        <w:t xml:space="preserve"> </w:t>
      </w:r>
      <w:r>
        <w:t xml:space="preserve">Article 95 PSD2 (management of operational and security risks) PSD2 applies</w:t>
      </w:r>
      <w:r>
        <w:t xml:space="preserve"> </w:t>
      </w:r>
      <w:r>
        <w:t xml:space="preserve">comprehensively (i.e. to all types of security risk), but those PSD2 rules will be without</w:t>
      </w:r>
      <w:r>
        <w:t xml:space="preserve"> </w:t>
      </w:r>
      <w:r>
        <w:t xml:space="preserve">prejudice to the full application of ICT risk management requirements laid out in Chapter II</w:t>
      </w:r>
      <w:r>
        <w:t xml:space="preserve"> </w:t>
      </w:r>
      <w:r>
        <w:t xml:space="preserve">DORA (which would apply instead)279. Moreover, with a view to avoiding the complications</w:t>
      </w:r>
      <w:r>
        <w:t xml:space="preserve"> </w:t>
      </w:r>
      <w:r>
        <w:t xml:space="preserve">and burdens of dual reporting regimes, all operational or security payment-related incidents</w:t>
      </w:r>
      <w:r>
        <w:t xml:space="preserve"> </w:t>
      </w:r>
      <w:r>
        <w:t xml:space="preserve">(previously reported pursuant to PSD2) would be reported under DORA, irrespective of</w:t>
      </w:r>
      <w:r>
        <w:t xml:space="preserve"> </w:t>
      </w:r>
      <w:r>
        <w:t xml:space="preserve">whether such incidents are ICT-related or not280.</w:t>
      </w:r>
      <w:r>
        <w:br/>
      </w:r>
      <w:r>
        <w:t xml:space="preserve">Anti-Money Laundering Directive</w:t>
      </w:r>
      <w:r>
        <w:t xml:space="preserve"> </w:t>
      </w:r>
      <w:r>
        <w:t xml:space="preserve">Directive 2018/843 on anti-money laundering and countering the financing of terrorism</w:t>
      </w:r>
      <w:r>
        <w:t xml:space="preserve"> </w:t>
      </w:r>
      <w:r>
        <w:t xml:space="preserve">(AMLDV) entered into force on 9 July 2018. AML/CFT provisions are complementary to</w:t>
      </w:r>
      <w:r>
        <w:t xml:space="preserve"> </w:t>
      </w:r>
      <w:r>
        <w:t xml:space="preserve">PSD2. PSPs are considered “obliged entities” and as such fall within the scope of AMLDV.</w:t>
      </w:r>
      <w:r>
        <w:t xml:space="preserve"> </w:t>
      </w:r>
      <w:r>
        <w:t xml:space="preserve">One prominent issue raised by market participants as regards the interplay between the PSD2</w:t>
      </w:r>
      <w:r>
        <w:t xml:space="preserve"> </w:t>
      </w:r>
      <w:r>
        <w:t xml:space="preserve">and the AMLDV is the inclusion of AISPs within the scope of the AML/CFT requirements.</w:t>
      </w:r>
      <w:r>
        <w:t xml:space="preserve"> </w:t>
      </w:r>
      <w:r>
        <w:t xml:space="preserve">The EBA reiterated that while AISPs are obliged entities under the AMLD and that they are</w:t>
      </w:r>
      <w:r>
        <w:t xml:space="preserve"> </w:t>
      </w:r>
      <w:r>
        <w:t xml:space="preserve">therefore required to comply with the AMLD requirements, they can adjust, on a risk-</w:t>
      </w:r>
      <w:r>
        <w:t xml:space="preserve"> </w:t>
      </w:r>
      <w:r>
        <w:t xml:space="preserve">sensitive basis, the extent of some of the measures they take to comply281. The EBA also</w:t>
      </w:r>
    </w:p>
    <w:p>
      <w:pPr>
        <w:pStyle w:val="BodyText"/>
      </w:pPr>
      <w:r>
        <w:t xml:space="preserve">279</w:t>
      </w:r>
      <w:r>
        <w:br/>
      </w:r>
      <w:r>
        <w:t xml:space="preserve">Amendment to Article 95 PSD2 introduced by Article 7(2)(a) of DORA-Directive.</w:t>
      </w:r>
      <w:r>
        <w:t xml:space="preserve"> </w:t>
      </w:r>
      <w:r>
        <w:t xml:space="preserve">280</w:t>
      </w:r>
      <w:r>
        <w:br/>
      </w:r>
      <w:r>
        <w:t xml:space="preserve">Recital 21a of DORA-Regulation.</w:t>
      </w:r>
      <w:r>
        <w:t xml:space="preserve"> </w:t>
      </w:r>
      <w:r>
        <w:t xml:space="preserve">281</w:t>
      </w:r>
      <w:r>
        <w:br/>
      </w:r>
      <w:r>
        <w:t xml:space="preserve">Paragraph 149 of the EBA Report on the future AML/CFT framework in the EU.</w:t>
      </w:r>
    </w:p>
    <w:p>
      <w:pPr>
        <w:pStyle w:val="BodyText"/>
      </w:pPr>
      <w:r>
        <w:t xml:space="preserve">141</w:t>
      </w:r>
    </w:p>
    <w:p>
      <w:pPr>
        <w:pStyle w:val="BodyText"/>
      </w:pPr>
      <w:r>
        <w:t xml:space="preserve">reiterated that while Article 33 of PSD2 exempts AISPs from certain requirements set out in</w:t>
      </w:r>
      <w:r>
        <w:t xml:space="preserve"> </w:t>
      </w:r>
      <w:r>
        <w:t xml:space="preserve">PSD2, including the requirement to provide a description of their AML/CFT internal control</w:t>
      </w:r>
      <w:r>
        <w:t xml:space="preserve"> </w:t>
      </w:r>
      <w:r>
        <w:t xml:space="preserve">mechanisms when applying for registration, this does not affect the fact that AISPs are</w:t>
      </w:r>
      <w:r>
        <w:t xml:space="preserve"> </w:t>
      </w:r>
      <w:r>
        <w:t xml:space="preserve">obliged entities under the AMLD. This has also been confirmed by the EC in Q&amp;A 4712.</w:t>
      </w:r>
      <w:r>
        <w:t xml:space="preserve"> </w:t>
      </w:r>
      <w:r>
        <w:t xml:space="preserve">The evaluation did not identify issues in PSD2 with regard to coherence with AMLDV.</w:t>
      </w:r>
      <w:r>
        <w:br/>
      </w:r>
      <w:r>
        <w:t xml:space="preserve">Settlement Finality Directive</w:t>
      </w:r>
      <w:r>
        <w:t xml:space="preserve"> </w:t>
      </w:r>
      <w:r>
        <w:t xml:space="preserve">Directive 1998/26/EC on settlement finality in payment and securities settlement systems</w:t>
      </w:r>
      <w:r>
        <w:t xml:space="preserve"> </w:t>
      </w:r>
      <w:r>
        <w:t xml:space="preserve">(SFD) aims to reduce systemic risk arising from the insolvency of participants in payment</w:t>
      </w:r>
      <w:r>
        <w:t xml:space="preserve"> </w:t>
      </w:r>
      <w:r>
        <w:t xml:space="preserve">and securities settlement systems. The Directive lays down the categories of participants that</w:t>
      </w:r>
      <w:r>
        <w:t xml:space="preserve"> </w:t>
      </w:r>
      <w:r>
        <w:t xml:space="preserve">are eligible to participate directly in an SFD-designated system and thus benefit from the</w:t>
      </w:r>
      <w:r>
        <w:t xml:space="preserve"> </w:t>
      </w:r>
      <w:r>
        <w:t xml:space="preserve">protection offered by the SFD.</w:t>
      </w:r>
      <w:r>
        <w:br/>
      </w:r>
      <w:r>
        <w:t xml:space="preserve">EMIs and PIs are currently not eligible direct participants for payment systems which are</w:t>
      </w:r>
      <w:r>
        <w:t xml:space="preserve"> </w:t>
      </w:r>
      <w:r>
        <w:t xml:space="preserve">designated under the SFD. In line with this, Article 35(2)(a) of PSD2 carves out such</w:t>
      </w:r>
      <w:r>
        <w:t xml:space="preserve"> </w:t>
      </w:r>
      <w:r>
        <w:t xml:space="preserve">designated payment systems from the obligation to have proportional, objective and non-</w:t>
      </w:r>
      <w:r>
        <w:t xml:space="preserve"> </w:t>
      </w:r>
      <w:r>
        <w:t xml:space="preserve">discriminatory access rules. The two pieces of legislation are thus coherent with each other,</w:t>
      </w:r>
      <w:r>
        <w:t xml:space="preserve"> </w:t>
      </w:r>
      <w:r>
        <w:t xml:space="preserve">but the consequence is lack of level playing field between banks and non-bank PSPs. In the</w:t>
      </w:r>
      <w:r>
        <w:t xml:space="preserve"> </w:t>
      </w:r>
      <w:r>
        <w:t xml:space="preserve">absence of a harmonised solution at EU level, some Member States have introduced national</w:t>
      </w:r>
      <w:r>
        <w:t xml:space="preserve"> </w:t>
      </w:r>
      <w:r>
        <w:t xml:space="preserve">solutions that allow EMIs and PIs direct participation in payment systems, provided that</w:t>
      </w:r>
      <w:r>
        <w:t xml:space="preserve"> </w:t>
      </w:r>
      <w:r>
        <w:t xml:space="preserve">certain criteria are fulfilled. This situation has led to level playing field issues between</w:t>
      </w:r>
      <w:r>
        <w:t xml:space="preserve"> </w:t>
      </w:r>
      <w:r>
        <w:t xml:space="preserve">Member States and fragmentation of the European retail payment market.</w:t>
      </w:r>
      <w:r>
        <w:t xml:space="preserve"> </w:t>
      </w:r>
      <w:r>
        <w:t xml:space="preserve">Markets in Crypto-assets Regulation</w:t>
      </w:r>
      <w:r>
        <w:t xml:space="preserve"> </w:t>
      </w:r>
      <w:r>
        <w:t xml:space="preserve">The Regulation on Markets in Crypto-assets (MiCA) which regulates the issuance of crypto-</w:t>
      </w:r>
      <w:r>
        <w:t xml:space="preserve"> </w:t>
      </w:r>
      <w:r>
        <w:t xml:space="preserve">assets, including the so-called stablecoins, is expected to be formally adopted by the co-</w:t>
      </w:r>
      <w:r>
        <w:t xml:space="preserve"> </w:t>
      </w:r>
      <w:r>
        <w:t xml:space="preserve">legislators in Q1/Q2 2023282. Amongst crypto assets, MiCA includes two types of</w:t>
      </w:r>
      <w:r>
        <w:t xml:space="preserve"> </w:t>
      </w:r>
      <w:r>
        <w:t xml:space="preserve">stablecoins: 1) Asset-Referenced Tokens (ARTs), which are defined as crypto-assets that are</w:t>
      </w:r>
      <w:r>
        <w:t xml:space="preserve"> </w:t>
      </w:r>
      <w:r>
        <w:t xml:space="preserve">not electronic money and that purport to maintain a stable value by referencing any other</w:t>
      </w:r>
      <w:r>
        <w:t xml:space="preserve"> </w:t>
      </w:r>
      <w:r>
        <w:t xml:space="preserve">value or right or combination, including one or more official currencies and 2) E-Money</w:t>
      </w:r>
      <w:r>
        <w:t xml:space="preserve"> </w:t>
      </w:r>
      <w:r>
        <w:t xml:space="preserve">Tokens (EMTs), which is a type of crypto asset that purports to maintain a stable value by</w:t>
      </w:r>
      <w:r>
        <w:t xml:space="preserve"> </w:t>
      </w:r>
      <w:r>
        <w:t xml:space="preserve">referencing the value of one official currency. One key difference between ARTs and EMTs</w:t>
      </w:r>
      <w:r>
        <w:t xml:space="preserve"> </w:t>
      </w:r>
      <w:r>
        <w:t xml:space="preserve">is that the latter is e-money, and hence payment transactions with EMTs are automatically</w:t>
      </w:r>
      <w:r>
        <w:t xml:space="preserve"> </w:t>
      </w:r>
      <w:r>
        <w:t xml:space="preserve">covered by the provisions of the PSD2 and EMD2 which apply to e-money.</w:t>
      </w:r>
      <w:r>
        <w:br/>
      </w:r>
      <w:r>
        <w:t xml:space="preserve">Whilst MiCA regulates the issuance of crypto-assets, it does not regulate the provision of</w:t>
      </w:r>
      <w:r>
        <w:t xml:space="preserve"> </w:t>
      </w:r>
      <w:r>
        <w:t xml:space="preserve">payment services by the issuers of these assets (crypto-asset service providers - CASPs).</w:t>
      </w:r>
      <w:r>
        <w:t xml:space="preserve"> </w:t>
      </w:r>
      <w:r>
        <w:t xml:space="preserve">When CASPs offer payment services as part of their crypto asset services, except for E-</w:t>
      </w:r>
    </w:p>
    <w:p>
      <w:pPr>
        <w:pStyle w:val="BodyText"/>
      </w:pPr>
      <w:r>
        <w:t xml:space="preserve">282</w:t>
      </w:r>
      <w:r>
        <w:br/>
      </w:r>
      <w:r>
        <w:t xml:space="preserve">Provisional political agreement was reached on the 30 June 2022 followed by endorsement by</w:t>
      </w:r>
      <w:r>
        <w:t xml:space="preserve"> </w:t>
      </w:r>
      <w:r>
        <w:t xml:space="preserve">COREPER on 5 October and the ECON on 10 October 2022.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Money Tokens as explained above, the CASP is either to be authorised both under MiCA and</w:t>
      </w:r>
      <w:r>
        <w:t xml:space="preserve"> </w:t>
      </w:r>
      <w:r>
        <w:t xml:space="preserve">PSD2 or has to appoint a PSP that is authorised under PSD2.</w:t>
      </w:r>
      <w:r>
        <w:t xml:space="preserve"> </w:t>
      </w:r>
      <w:r>
        <w:t xml:space="preserve">In this context, the EBA stressed the need to pay close attention to the treatment of EMTs, the</w:t>
      </w:r>
      <w:r>
        <w:t xml:space="preserve"> </w:t>
      </w:r>
      <w:r>
        <w:t xml:space="preserve">issuers of which are required to conform to requirements under the EMD2, and for which it</w:t>
      </w:r>
      <w:r>
        <w:t xml:space="preserve"> </w:t>
      </w:r>
      <w:r>
        <w:t xml:space="preserve">may need to be clarified that they fall under the scope of the definition of “funds” for the</w:t>
      </w:r>
      <w:r>
        <w:t xml:space="preserve"> </w:t>
      </w:r>
      <w:r>
        <w:t xml:space="preserve">purposes of PSD2283.</w:t>
      </w:r>
      <w:r>
        <w:t xml:space="preserve"> </w:t>
      </w:r>
      <w:r>
        <w:t xml:space="preserve">General Data Protection Regulation (GDPR)</w:t>
      </w:r>
      <w:r>
        <w:t xml:space="preserve"> </w:t>
      </w:r>
      <w:r>
        <w:t xml:space="preserve">Article 94(1) PSD2 clarifies that any processing of personal data, including the provision of</w:t>
      </w:r>
      <w:r>
        <w:t xml:space="preserve"> </w:t>
      </w:r>
      <w:r>
        <w:t xml:space="preserve">information about the processing, for the purposes of the PSD2, shall be carried out in</w:t>
      </w:r>
      <w:r>
        <w:t xml:space="preserve"> </w:t>
      </w:r>
      <w:r>
        <w:t xml:space="preserve">accordance with the GDPR and with Regulation (EU) 2018/1725.</w:t>
      </w:r>
      <w:r>
        <w:t xml:space="preserve"> </w:t>
      </w:r>
      <w:r>
        <w:t xml:space="preserve">The GDPR coming into force has raised questions for market stakeholders as to how ASPSPs</w:t>
      </w:r>
      <w:r>
        <w:t xml:space="preserve"> </w:t>
      </w:r>
      <w:r>
        <w:t xml:space="preserve">and TPPs should apply the GDPR requirements in the context of the PSD2 framework</w:t>
      </w:r>
      <w:r>
        <w:t xml:space="preserve"> </w:t>
      </w:r>
      <w:r>
        <w:t xml:space="preserve">regarding processing of payment account data.</w:t>
      </w:r>
      <w:r>
        <w:br/>
      </w:r>
      <w:r>
        <w:t xml:space="preserve">In December 2020, the European Data Protection Board adopted Guidelines with the aim of</w:t>
      </w:r>
      <w:r>
        <w:t xml:space="preserve"> </w:t>
      </w:r>
      <w:r>
        <w:t xml:space="preserve">providing further guidance on data protection aspects in the context of the PSD2, in particular</w:t>
      </w:r>
      <w:r>
        <w:t xml:space="preserve"> </w:t>
      </w:r>
      <w:r>
        <w:t xml:space="preserve">on the relationship between relevant provisions on the GDPR and the PSD2. The main focus</w:t>
      </w:r>
      <w:r>
        <w:t xml:space="preserve"> </w:t>
      </w:r>
      <w:r>
        <w:t xml:space="preserve">of these guidelines is on the processing of personal data by AISPs and PISPs. It also</w:t>
      </w:r>
      <w:r>
        <w:t xml:space="preserve"> </w:t>
      </w:r>
      <w:r>
        <w:t xml:space="preserve">addresses different notions of explicit consent under the PSD2 and the GDPR, the processing</w:t>
      </w:r>
      <w:r>
        <w:t xml:space="preserve"> </w:t>
      </w:r>
      <w:r>
        <w:t xml:space="preserve">of ‘silent party data’, the processing of special categories of personal data by PISPs and</w:t>
      </w:r>
      <w:r>
        <w:t xml:space="preserve"> </w:t>
      </w:r>
      <w:r>
        <w:t xml:space="preserve">AISPs, and the application of the main data protection principles set forth by the GDPR,</w:t>
      </w:r>
      <w:r>
        <w:t xml:space="preserve"> </w:t>
      </w:r>
      <w:r>
        <w:t xml:space="preserve">including data minimisation, transparency, accountability, and security measures.</w:t>
      </w:r>
      <w:r>
        <w:t xml:space="preserve"> </w:t>
      </w:r>
      <w:r>
        <w:t xml:space="preserve">In the context of the EDPB’s consultation on these guidelines, various categories of PSPs</w:t>
      </w:r>
      <w:r>
        <w:t xml:space="preserve"> </w:t>
      </w:r>
      <w:r>
        <w:t xml:space="preserve">regulated under PSD2 and representing the European payments industry have expressed</w:t>
      </w:r>
      <w:r>
        <w:t xml:space="preserve"> </w:t>
      </w:r>
      <w:r>
        <w:t xml:space="preserve">several concerns284. In particular regarding processing of special categories of data, silent</w:t>
      </w:r>
      <w:r>
        <w:t xml:space="preserve"> </w:t>
      </w:r>
      <w:r>
        <w:t xml:space="preserve">party data and minimization. Views expressed by several market stakeholders in the targeted</w:t>
      </w:r>
      <w:r>
        <w:t xml:space="preserve"> </w:t>
      </w:r>
      <w:r>
        <w:t xml:space="preserve">consultation referred to the same issues. In this regard, many respondents expressed the need</w:t>
      </w:r>
      <w:r>
        <w:t xml:space="preserve"> </w:t>
      </w:r>
      <w:r>
        <w:t xml:space="preserve">for a better coherence between PSD2 and GDPR, with some suggesting the removal of</w:t>
      </w:r>
      <w:r>
        <w:t xml:space="preserve"> </w:t>
      </w:r>
      <w:r>
        <w:t xml:space="preserve">Article 94(2), as GDPR would still apply.</w:t>
      </w:r>
      <w:r>
        <w:t xml:space="preserve"> </w:t>
      </w:r>
      <w:r>
        <w:t xml:space="preserve">The EBA in its Advice has also reported that the EDPB guidelines have not eased market</w:t>
      </w:r>
      <w:r>
        <w:t xml:space="preserve"> </w:t>
      </w:r>
      <w:r>
        <w:t xml:space="preserve">stakeholders’ understanding as to how ASPSPs and TPPs should apply the GDPR</w:t>
      </w:r>
      <w:r>
        <w:t xml:space="preserve"> </w:t>
      </w:r>
      <w:r>
        <w:t xml:space="preserve">requirements in the context of the PSD2 framework regarding processing of payment account</w:t>
      </w:r>
      <w:r>
        <w:t xml:space="preserve"> </w:t>
      </w:r>
      <w:r>
        <w:t xml:space="preserve">data. The VVA study recommends only one minor clarification to make sure that Article 94</w:t>
      </w:r>
      <w:r>
        <w:t xml:space="preserve"> </w:t>
      </w:r>
      <w:r>
        <w:t xml:space="preserve">also applies to AISPs, which fall under the exemption of Article 33.</w:t>
      </w:r>
    </w:p>
    <w:p>
      <w:pPr>
        <w:pStyle w:val="BodyText"/>
      </w:pPr>
      <w:r>
        <w:t xml:space="preserve">283</w:t>
      </w:r>
      <w:r>
        <w:br/>
      </w:r>
      <w:r>
        <w:t xml:space="preserve">EBA Advice (EBA/Op/2022/06), p. 111 et seq.</w:t>
      </w:r>
      <w:r>
        <w:t xml:space="preserve"> </w:t>
      </w:r>
      <w:r>
        <w:t xml:space="preserve">284</w:t>
      </w:r>
      <w:r>
        <w:br/>
      </w:r>
      <w:r>
        <w:t xml:space="preserve">European Banking Federation, Joint Payments Industry Letter on Final EDPB Guidelines PSD2 GDPR</w:t>
      </w:r>
      <w:r>
        <w:t xml:space="preserve"> </w:t>
      </w:r>
      <w:r>
        <w:t xml:space="preserve">Interplay, January 2022</w:t>
      </w:r>
    </w:p>
    <w:p>
      <w:pPr>
        <w:pStyle w:val="BodyText"/>
      </w:pPr>
      <w:r>
        <w:t xml:space="preserve">143</w:t>
      </w:r>
    </w:p>
    <w:p>
      <w:pPr>
        <w:pStyle w:val="BodyText"/>
      </w:pPr>
      <w:r>
        <w:t xml:space="preserve">It can be concluded that certain provisions in the PSD2 should be reviewed in light of EU</w:t>
      </w:r>
      <w:r>
        <w:t xml:space="preserve"> </w:t>
      </w:r>
      <w:r>
        <w:t xml:space="preserve">data protection rules.</w:t>
      </w:r>
      <w:r>
        <w:t xml:space="preserve"> </w:t>
      </w:r>
      <w:r>
        <w:t xml:space="preserve">Other legislative acts</w:t>
      </w:r>
      <w:r>
        <w:t xml:space="preserve"> </w:t>
      </w:r>
      <w:r>
        <w:t xml:space="preserve"> Regulation (EU) 2021/1230 on cross-border payments (CBPR2): This Regulation lays</w:t>
      </w:r>
      <w:r>
        <w:t xml:space="preserve"> </w:t>
      </w:r>
      <w:r>
        <w:t xml:space="preserve">down rules on cross-border payments and on the transparency of currency conversion</w:t>
      </w:r>
      <w:r>
        <w:t xml:space="preserve"> </w:t>
      </w:r>
      <w:r>
        <w:t xml:space="preserve">charges within the Union. However, it does not cover payment transactions from the</w:t>
      </w:r>
      <w:r>
        <w:t xml:space="preserve"> </w:t>
      </w:r>
      <w:r>
        <w:t xml:space="preserve">EU to third countries (one-leg out), which are only regulated in the PSD2. Feedback</w:t>
      </w:r>
      <w:r>
        <w:t xml:space="preserve"> </w:t>
      </w:r>
      <w:r>
        <w:t xml:space="preserve">from the public consultation as regards a possible extension of the transparency</w:t>
      </w:r>
      <w:r>
        <w:t xml:space="preserve"> </w:t>
      </w:r>
      <w:r>
        <w:t xml:space="preserve">provisions on currency conversion charges in the CBPR2 to one-leg out transactions</w:t>
      </w:r>
      <w:r>
        <w:t xml:space="preserve"> </w:t>
      </w:r>
      <w:r>
        <w:t xml:space="preserve">in PSD2 is balanced (40 respondents are in favour, including BEUC, and 35 against a</w:t>
      </w:r>
      <w:r>
        <w:t xml:space="preserve"> </w:t>
      </w:r>
      <w:r>
        <w:t xml:space="preserve">disclosure requirement of currency conversion costs for one-leg out transactions). The</w:t>
      </w:r>
      <w:r>
        <w:t xml:space="preserve"> </w:t>
      </w:r>
      <w:r>
        <w:t xml:space="preserve">vast majority of negative replies come from credit institutions, claiming that EU</w:t>
      </w:r>
      <w:r>
        <w:t xml:space="preserve"> </w:t>
      </w:r>
      <w:r>
        <w:t xml:space="preserve">payment service providers may not be able to guarantee conversion rates for certain</w:t>
      </w:r>
      <w:r>
        <w:t xml:space="preserve"> </w:t>
      </w:r>
      <w:r>
        <w:t xml:space="preserve">currencies and opposing “the extra-territorial application of EU rules”.</w:t>
      </w:r>
      <w:r>
        <w:t xml:space="preserve"> </w:t>
      </w:r>
      <w:r>
        <w:t xml:space="preserve"> Regulation (EU) No 260/2012 of the European Parliament and of the Council of 14</w:t>
      </w:r>
      <w:r>
        <w:t xml:space="preserve"> </w:t>
      </w:r>
      <w:r>
        <w:t xml:space="preserve">March 2012 establishing technical and business requirements for credit transfers and</w:t>
      </w:r>
      <w:r>
        <w:t xml:space="preserve"> </w:t>
      </w:r>
      <w:r>
        <w:t xml:space="preserve">direct debits in euro (SEPA-Regulation): This Regulation lays down rules for credit</w:t>
      </w:r>
      <w:r>
        <w:t xml:space="preserve"> </w:t>
      </w:r>
      <w:r>
        <w:t xml:space="preserve">transfer and direct debit transactions denominated in euro within the Union where</w:t>
      </w:r>
      <w:r>
        <w:t xml:space="preserve"> </w:t>
      </w:r>
      <w:r>
        <w:t xml:space="preserve">both the payer’s payment service provider and the payee’s payment service provider</w:t>
      </w:r>
      <w:r>
        <w:t xml:space="preserve"> </w:t>
      </w:r>
      <w:r>
        <w:t xml:space="preserve">are located in the Union, or where the sole payment service provider (PSP) involved</w:t>
      </w:r>
      <w:r>
        <w:t xml:space="preserve"> </w:t>
      </w:r>
      <w:r>
        <w:t xml:space="preserve">in the payment transaction is located in the Union. The evaluation did not identify any</w:t>
      </w:r>
      <w:r>
        <w:t xml:space="preserve"> </w:t>
      </w:r>
      <w:r>
        <w:t xml:space="preserve">coherence issues with the SEPA Regulation.</w:t>
      </w:r>
      <w:r>
        <w:t xml:space="preserve"> </w:t>
      </w:r>
      <w:r>
        <w:t xml:space="preserve">4.2</w:t>
      </w:r>
    </w:p>
    <w:p>
      <w:pPr>
        <w:pStyle w:val="BodyText"/>
      </w:pPr>
      <w:r>
        <w:t xml:space="preserve">How did the EU intervention make a difference and to whom?</w:t>
      </w:r>
      <w:r>
        <w:t xml:space="preserve"> </w:t>
      </w:r>
      <w:r>
        <w:t xml:space="preserve">Summary assessment: The evaluation shows that the subsidiarity arguments put forward</w:t>
      </w:r>
      <w:r>
        <w:t xml:space="preserve"> </w:t>
      </w:r>
      <w:r>
        <w:t xml:space="preserve">together with the PSD2 proposal are still valid. An integrated payments market could only be</w:t>
      </w:r>
      <w:r>
        <w:t xml:space="preserve"> </w:t>
      </w:r>
      <w:r>
        <w:t xml:space="preserve">achieved with an EU intervention. Overall, the main benefits of market integration in terms of</w:t>
      </w:r>
      <w:r>
        <w:t xml:space="preserve"> </w:t>
      </w:r>
      <w:r>
        <w:t xml:space="preserve">increased competition, consumer choice, innovation and security for payment service users</w:t>
      </w:r>
      <w:r>
        <w:t xml:space="preserve"> </w:t>
      </w:r>
      <w:r>
        <w:t xml:space="preserve">have been achieved. However, cross-border payments continue to be fragmented along</w:t>
      </w:r>
      <w:r>
        <w:t xml:space="preserve"> </w:t>
      </w:r>
      <w:r>
        <w:t xml:space="preserve">national borders.</w:t>
      </w:r>
      <w:r>
        <w:br/>
      </w:r>
      <w:r>
        <w:t xml:space="preserve">The following section presents the main benefits of the EU intervention. It assesses whether</w:t>
      </w:r>
      <w:r>
        <w:t xml:space="preserve"> </w:t>
      </w:r>
      <w:r>
        <w:t xml:space="preserve">the subsidiarity arguments put forward in the impact assessment of the Commissions’</w:t>
      </w:r>
      <w:r>
        <w:t xml:space="preserve"> </w:t>
      </w:r>
      <w:r>
        <w:t xml:space="preserve">proposal on PSD2 were valid and whether the expected changes resulting from EU action</w:t>
      </w:r>
      <w:r>
        <w:t xml:space="preserve"> </w:t>
      </w:r>
      <w:r>
        <w:t xml:space="preserve">were delivered.</w:t>
      </w:r>
      <w:r>
        <w:t xml:space="preserve"> </w:t>
      </w:r>
      <w:r>
        <w:t xml:space="preserve">The subsidiarity analysis of the Commissions’ proposal on PSD2285 assumes that an</w:t>
      </w:r>
      <w:r>
        <w:t xml:space="preserve"> </w:t>
      </w:r>
      <w:r>
        <w:t xml:space="preserve">integrated EU market for electronic retail payments contributes to the aim of Article 3 TFEU</w:t>
      </w:r>
    </w:p>
    <w:p>
      <w:pPr>
        <w:pStyle w:val="BodyText"/>
      </w:pPr>
      <w:r>
        <w:t xml:space="preserve">285</w:t>
      </w:r>
      <w:r>
        <w:br/>
      </w:r>
      <w:r>
        <w:t xml:space="preserve">SWD(2013) 288 final, p. 35.</w:t>
      </w:r>
    </w:p>
    <w:p>
      <w:pPr>
        <w:pStyle w:val="BodyText"/>
      </w:pPr>
      <w:r>
        <w:t xml:space="preserve">144</w:t>
      </w:r>
    </w:p>
    <w:p>
      <w:pPr>
        <w:pStyle w:val="BodyText"/>
      </w:pPr>
      <w:r>
        <w:t xml:space="preserve">stipulating an internal market. The benefits of market integration would include more</w:t>
      </w:r>
      <w:r>
        <w:t xml:space="preserve"> </w:t>
      </w:r>
      <w:r>
        <w:t xml:space="preserve">competition between PSPs and more choice, innovation and security for payment service</w:t>
      </w:r>
      <w:r>
        <w:t xml:space="preserve"> </w:t>
      </w:r>
      <w:r>
        <w:t xml:space="preserve">users, especially consumers. By its nature an integrated payments market, based on networks</w:t>
      </w:r>
      <w:r>
        <w:t xml:space="preserve"> </w:t>
      </w:r>
      <w:r>
        <w:t xml:space="preserve">that reach beyond national borders, would require an EU-wide approach as the applicable</w:t>
      </w:r>
      <w:r>
        <w:t xml:space="preserve"> </w:t>
      </w:r>
      <w:r>
        <w:t xml:space="preserve">principles, rules, processes and standards have to be consistent across all Member States in</w:t>
      </w:r>
      <w:r>
        <w:t xml:space="preserve"> </w:t>
      </w:r>
      <w:r>
        <w:t xml:space="preserve">order to achieve legal certainty and a level playing field for all market participants. The</w:t>
      </w:r>
      <w:r>
        <w:t xml:space="preserve"> </w:t>
      </w:r>
      <w:r>
        <w:t xml:space="preserve">alternative to an EU-wide approach would be a system of multilateral or bilateral agreements</w:t>
      </w:r>
      <w:r>
        <w:t xml:space="preserve"> </w:t>
      </w:r>
      <w:r>
        <w:t xml:space="preserve">the complexity and costs of which would be prohibitive as compared to legislation at</w:t>
      </w:r>
      <w:r>
        <w:t xml:space="preserve"> </w:t>
      </w:r>
      <w:r>
        <w:t xml:space="preserve">European level. For these reasons, intervention at EU level was considered to comply with</w:t>
      </w:r>
      <w:r>
        <w:t xml:space="preserve"> </w:t>
      </w:r>
      <w:r>
        <w:t xml:space="preserve">the subsidiarity principle286.</w:t>
      </w:r>
      <w:r>
        <w:t xml:space="preserve"> </w:t>
      </w:r>
      <w:r>
        <w:t xml:space="preserve">According to the VVA/CEPS study287, there is consensus among a wide range of stakeholders</w:t>
      </w:r>
      <w:r>
        <w:t xml:space="preserve"> </w:t>
      </w:r>
      <w:r>
        <w:t xml:space="preserve">that the PSD2 represents a major step forward for the payments industry, enabling the</w:t>
      </w:r>
      <w:r>
        <w:t xml:space="preserve"> </w:t>
      </w:r>
      <w:r>
        <w:t xml:space="preserve">emergence of new business models and facilitating market access for non-bank payment</w:t>
      </w:r>
      <w:r>
        <w:t xml:space="preserve"> </w:t>
      </w:r>
      <w:r>
        <w:t xml:space="preserve">providers. The ability of payment service providers to access a single market for payments in</w:t>
      </w:r>
      <w:r>
        <w:t xml:space="preserve"> </w:t>
      </w:r>
      <w:r>
        <w:t xml:space="preserve">the EU, and to passport their services across that market288 was a significant factor for the</w:t>
      </w:r>
      <w:r>
        <w:t xml:space="preserve"> </w:t>
      </w:r>
      <w:r>
        <w:t xml:space="preserve">development of the payments market in Europe. Therefore, PSD2 had an overall positive</w:t>
      </w:r>
      <w:r>
        <w:t xml:space="preserve"> </w:t>
      </w:r>
      <w:r>
        <w:t xml:space="preserve">impact on competition. This was also echoed by respondents to the targeted consultation,</w:t>
      </w:r>
      <w:r>
        <w:t xml:space="preserve"> </w:t>
      </w:r>
      <w:r>
        <w:t xml:space="preserve">where 77% agreed that the EU payment market is more competitive than it was 5 years ago.</w:t>
      </w:r>
      <w:r>
        <w:t xml:space="preserve"> </w:t>
      </w:r>
      <w:r>
        <w:t xml:space="preserve">The VVA/CEPS study found that PSD2 has contributed to a certain extent to the</w:t>
      </w:r>
      <w:r>
        <w:t xml:space="preserve"> </w:t>
      </w:r>
      <w:r>
        <w:t xml:space="preserve">development of cross-border payments within the EU. However, there are significant national</w:t>
      </w:r>
      <w:r>
        <w:t xml:space="preserve"> </w:t>
      </w:r>
      <w:r>
        <w:t xml:space="preserve">differences in the implementation and interpretation of PSD2, which has led to regulatory</w:t>
      </w:r>
      <w:r>
        <w:t xml:space="preserve"> </w:t>
      </w:r>
      <w:r>
        <w:t xml:space="preserve">arbitrage289. This was also reflected in the feedback on the targeted consultation, where less</w:t>
      </w:r>
      <w:r>
        <w:t xml:space="preserve"> </w:t>
      </w:r>
      <w:r>
        <w:t xml:space="preserve">than half of the respondents (43%) agreed that PSD2 has contributed to the development of</w:t>
      </w:r>
      <w:r>
        <w:t xml:space="preserve"> </w:t>
      </w:r>
      <w:r>
        <w:t xml:space="preserve">cross-border payments within the EU.</w:t>
      </w:r>
      <w:r>
        <w:t xml:space="preserve"> </w:t>
      </w:r>
      <w:r>
        <w:t xml:space="preserve">Furthermore, according to the VVA/CEPS study, national supervisors have indicated that</w:t>
      </w:r>
      <w:r>
        <w:t xml:space="preserve"> </w:t>
      </w:r>
      <w:r>
        <w:t xml:space="preserve">PSD2 created a clearer market structure and predictability on the market by regulating</w:t>
      </w:r>
      <w:r>
        <w:t xml:space="preserve"> </w:t>
      </w:r>
      <w:r>
        <w:t xml:space="preserve">previously unregulated actors and services. These stakeholders considered that an important</w:t>
      </w:r>
      <w:r>
        <w:t xml:space="preserve"> </w:t>
      </w:r>
      <w:r>
        <w:t xml:space="preserve">aspect of this involved the establishing of security requirements for the interaction between</w:t>
      </w:r>
      <w:r>
        <w:t xml:space="preserve"> </w:t>
      </w:r>
      <w:r>
        <w:t xml:space="preserve">ASPSPs and TPPs.</w:t>
      </w:r>
      <w:r>
        <w:t xml:space="preserve"> </w:t>
      </w:r>
      <w:r>
        <w:t xml:space="preserve">The VVA/CEPS study further outlines that the provisions on access to payment data are</w:t>
      </w:r>
      <w:r>
        <w:t xml:space="preserve"> </w:t>
      </w:r>
      <w:r>
        <w:t xml:space="preserve">enabling innovative solutions to be developed, providing more choice to consumers in the</w:t>
      </w:r>
      <w:r>
        <w:t xml:space="preserve"> </w:t>
      </w:r>
      <w:r>
        <w:t xml:space="preserve">way they pay online. These solutions are based on the sharing of payment account data such</w:t>
      </w:r>
      <w:r>
        <w:t xml:space="preserve"> </w:t>
      </w:r>
      <w:r>
        <w:t xml:space="preserve">as payment initiation services (PIS) and account information services (AIS). Several public</w:t>
      </w:r>
    </w:p>
    <w:p>
      <w:pPr>
        <w:pStyle w:val="BodyText"/>
      </w:pPr>
      <w:r>
        <w:t xml:space="preserve">286</w:t>
      </w:r>
      <w:r>
        <w:br/>
      </w:r>
      <w:r>
        <w:t xml:space="preserve">Recital 109 PSD2.</w:t>
      </w:r>
      <w:r>
        <w:t xml:space="preserve"> </w:t>
      </w:r>
      <w:r>
        <w:t xml:space="preserve">287</w:t>
      </w:r>
      <w:r>
        <w:br/>
      </w:r>
      <w:r>
        <w:t xml:space="preserve">VVA/CEPS study, p. 94 et seq.</w:t>
      </w:r>
      <w:r>
        <w:t xml:space="preserve"> </w:t>
      </w:r>
      <w:r>
        <w:t xml:space="preserve">288</w:t>
      </w:r>
      <w:r>
        <w:br/>
      </w:r>
      <w:r>
        <w:t xml:space="preserve">According to the EBA’s 2019 Report On The Impact Of Fintech On Payment Institutions’ And E-</w:t>
      </w:r>
      <w:r>
        <w:t xml:space="preserve"> </w:t>
      </w:r>
      <w:r>
        <w:t xml:space="preserve">Money Institutions’ Business Models, 45% of authorised institutions in the EU are using or planning to use the</w:t>
      </w:r>
      <w:r>
        <w:t xml:space="preserve"> </w:t>
      </w:r>
      <w:r>
        <w:t xml:space="preserve">EU passporting system to provide cross-border services.</w:t>
      </w:r>
      <w:r>
        <w:t xml:space="preserve"> </w:t>
      </w:r>
      <w:r>
        <w:t xml:space="preserve">289</w:t>
      </w:r>
      <w:r>
        <w:br/>
      </w:r>
      <w:r>
        <w:t xml:space="preserve">VVA/CEPS study, p. 196.</w:t>
      </w:r>
    </w:p>
    <w:p>
      <w:pPr>
        <w:pStyle w:val="BodyText"/>
      </w:pPr>
      <w:r>
        <w:t xml:space="preserve">145</w:t>
      </w:r>
    </w:p>
    <w:p>
      <w:pPr>
        <w:pStyle w:val="BodyText"/>
      </w:pPr>
      <w:r>
        <w:t xml:space="preserve">authorities noted that there already existed a market for payment initiation and account</w:t>
      </w:r>
      <w:r>
        <w:t xml:space="preserve"> </w:t>
      </w:r>
      <w:r>
        <w:t xml:space="preserve">information services under PSD1 but since the implementation of PSD2, there has been a</w:t>
      </w:r>
      <w:r>
        <w:t xml:space="preserve"> </w:t>
      </w:r>
      <w:r>
        <w:t xml:space="preserve">significant growth in the market for such services. Several public authorities indicated that</w:t>
      </w:r>
      <w:r>
        <w:t xml:space="preserve"> </w:t>
      </w:r>
      <w:r>
        <w:t xml:space="preserve">they have received more licencing applications by AISPs and PISPs.</w:t>
      </w:r>
      <w:r>
        <w:t xml:space="preserve"> </w:t>
      </w:r>
      <w:r>
        <w:t xml:space="preserve">A majority of respondents to the public consultation find that the choice of payment services</w:t>
      </w:r>
      <w:r>
        <w:t xml:space="preserve"> </w:t>
      </w:r>
      <w:r>
        <w:t xml:space="preserve">has increased over the last 5 years (70% yes – 66 replies). 66% of respondents to the targeted</w:t>
      </w:r>
      <w:r>
        <w:t xml:space="preserve"> </w:t>
      </w:r>
      <w:r>
        <w:t xml:space="preserve">consultation agree that PSD2 creates an environment which stimulates innovation in payment</w:t>
      </w:r>
      <w:r>
        <w:t xml:space="preserve"> </w:t>
      </w:r>
      <w:r>
        <w:t xml:space="preserve">services.</w:t>
      </w:r>
      <w:r>
        <w:t xml:space="preserve"> </w:t>
      </w:r>
      <w:r>
        <w:t xml:space="preserve">According to the VVA/CEPS study, PSD2 fostered innovation particularly in those markets</w:t>
      </w:r>
      <w:r>
        <w:t xml:space="preserve"> </w:t>
      </w:r>
      <w:r>
        <w:t xml:space="preserve">that were underdeveloped in terms of innovativeness and Fintech solutions. There is less</w:t>
      </w:r>
      <w:r>
        <w:t xml:space="preserve"> </w:t>
      </w:r>
      <w:r>
        <w:t xml:space="preserve">consensus about improved innovation in those payment markets that were already advanced</w:t>
      </w:r>
      <w:r>
        <w:t xml:space="preserve"> </w:t>
      </w:r>
      <w:r>
        <w:t xml:space="preserve">(though unregulated at EU level) before the Directive was implemented (e.g. Nordic</w:t>
      </w:r>
      <w:r>
        <w:t xml:space="preserve"> </w:t>
      </w:r>
      <w:r>
        <w:t xml:space="preserve">countries).</w:t>
      </w:r>
      <w:r>
        <w:t xml:space="preserve"> </w:t>
      </w:r>
      <w:r>
        <w:t xml:space="preserve">The VVA/CEPS study also outlines that PSD2 triggered innovation in incumbents’ legacy</w:t>
      </w:r>
      <w:r>
        <w:t xml:space="preserve"> </w:t>
      </w:r>
      <w:r>
        <w:t xml:space="preserve">business models. For example, the emergence of E-money firms offering fast payments</w:t>
      </w:r>
      <w:r>
        <w:t xml:space="preserve"> </w:t>
      </w:r>
      <w:r>
        <w:t xml:space="preserve">pushed traditional banks to move into the instant payment space. Another example of</w:t>
      </w:r>
      <w:r>
        <w:t xml:space="preserve"> </w:t>
      </w:r>
      <w:r>
        <w:t xml:space="preserve">innovation can be seen as a result of Open Banking provisions in PSD2 (despite the</w:t>
      </w:r>
      <w:r>
        <w:t xml:space="preserve"> </w:t>
      </w:r>
      <w:r>
        <w:t xml:space="preserve">difficulties in accessing payment account data held by ASPSPs) which have resulted in APIs</w:t>
      </w:r>
      <w:r>
        <w:t xml:space="preserve"> </w:t>
      </w:r>
      <w:r>
        <w:t xml:space="preserve">being able to provide much richer data sources when compared to the previous regulatory</w:t>
      </w:r>
      <w:r>
        <w:t xml:space="preserve"> </w:t>
      </w:r>
      <w:r>
        <w:t xml:space="preserve">context where screen scraping was used. Open Banking requirements unlocked the possibility</w:t>
      </w:r>
      <w:r>
        <w:t xml:space="preserve"> </w:t>
      </w:r>
      <w:r>
        <w:t xml:space="preserve">to combine analytics and machine learning techniques to understand payment patterns and</w:t>
      </w:r>
      <w:r>
        <w:t xml:space="preserve"> </w:t>
      </w:r>
      <w:r>
        <w:t xml:space="preserve">derive some key performance indicators from bank data.</w:t>
      </w:r>
      <w:r>
        <w:t xml:space="preserve"> </w:t>
      </w:r>
      <w:r>
        <w:t xml:space="preserve">Moreover, PSD2 has improved the general level of the security of payment transactions</w:t>
      </w:r>
      <w:r>
        <w:t xml:space="preserve"> </w:t>
      </w:r>
      <w:r>
        <w:t xml:space="preserve">through the implementation of SCA. This was echoed by respondents to the public</w:t>
      </w:r>
      <w:r>
        <w:t xml:space="preserve"> </w:t>
      </w:r>
      <w:r>
        <w:t xml:space="preserve">consultation. Respondents to the public consultation feel that digital payments have become</w:t>
      </w:r>
      <w:r>
        <w:t xml:space="preserve"> </w:t>
      </w:r>
      <w:r>
        <w:t xml:space="preserve">more secure (42 replies, 64%), and that SCA has helped to make digital payments safer and</w:t>
      </w:r>
      <w:r>
        <w:t xml:space="preserve"> </w:t>
      </w:r>
      <w:r>
        <w:t xml:space="preserve">more secure (50 replies, 76%). 85% of respondents to the targeted consultation agree that</w:t>
      </w:r>
      <w:r>
        <w:t xml:space="preserve"> </w:t>
      </w:r>
      <w:r>
        <w:t xml:space="preserve">making electronic payments is safer than before PSD2.</w:t>
      </w:r>
      <w:r>
        <w:t xml:space="preserve"> </w:t>
      </w:r>
      <w:r>
        <w:t xml:space="preserve">4.3</w:t>
      </w:r>
    </w:p>
    <w:p>
      <w:pPr>
        <w:pStyle w:val="BodyText"/>
      </w:pPr>
      <w:r>
        <w:t xml:space="preserve">Is the intervention still relevant?</w:t>
      </w:r>
      <w:r>
        <w:t xml:space="preserve"> </w:t>
      </w:r>
      <w:r>
        <w:t xml:space="preserve">Summary assessment: Overall, the Directive’s general and specific objectives remain</w:t>
      </w:r>
      <w:r>
        <w:t xml:space="preserve"> </w:t>
      </w:r>
      <w:r>
        <w:t xml:space="preserve">largely appropriate as the needs identified at their inception remain relevant. The exception is</w:t>
      </w:r>
      <w:r>
        <w:t xml:space="preserve"> </w:t>
      </w:r>
      <w:r>
        <w:t xml:space="preserve">the objective on aligning steering and charging practices across countries. This objective has</w:t>
      </w:r>
      <w:r>
        <w:t xml:space="preserve"> </w:t>
      </w:r>
      <w:r>
        <w:t xml:space="preserve">been mostly achieved following the introduction of the surcharging ban, which harmonized</w:t>
      </w:r>
      <w:r>
        <w:t xml:space="preserve"> </w:t>
      </w:r>
      <w:r>
        <w:t xml:space="preserve">charging and steering practices for a large share of payments in the EU. Continuing structural</w:t>
      </w:r>
      <w:r>
        <w:t xml:space="preserve"> </w:t>
      </w:r>
      <w:r>
        <w:t xml:space="preserve">issues such as market concentration regarding payment schemes at EU level, regulatory</w:t>
      </w:r>
      <w:r>
        <w:t xml:space="preserve"> </w:t>
      </w:r>
      <w:r>
        <w:t xml:space="preserve">divergence across Member States, and lagging enforcement mean that the needs for more</w:t>
      </w:r>
      <w:r>
        <w:t xml:space="preserve"> </w:t>
      </w:r>
      <w:r>
        <w:t xml:space="preserve">effective competition, reducing the fragmentation of payments markets, and achieving more</w:t>
      </w:r>
      <w:r>
        <w:t xml:space="preserve"> </w:t>
      </w:r>
      <w:r>
        <w:t xml:space="preserve">consistency in the application of the Directive remain relevant. New market developments</w:t>
      </w:r>
      <w:r>
        <w:t xml:space="preserve"> </w:t>
      </w:r>
      <w:r>
        <w:t xml:space="preserve">such as the emergence of new business models, or the growing role of technical service</w:t>
      </w:r>
    </w:p>
    <w:p>
      <w:pPr>
        <w:pStyle w:val="BodyText"/>
      </w:pPr>
      <w:r>
        <w:t xml:space="preserve">146</w:t>
      </w:r>
    </w:p>
    <w:p>
      <w:pPr>
        <w:pStyle w:val="BodyText"/>
      </w:pPr>
      <w:r>
        <w:t xml:space="preserve">providers like pass-through wallets foreground the need for improving clarity on the</w:t>
      </w:r>
      <w:r>
        <w:t xml:space="preserve"> </w:t>
      </w:r>
      <w:r>
        <w:t xml:space="preserve">regulatory status of all payment service providers. Meanwhile, new forms of fraud reaffirm</w:t>
      </w:r>
      <w:r>
        <w:t xml:space="preserve"> </w:t>
      </w:r>
      <w:r>
        <w:t xml:space="preserve">the need of increasing consumer protection. As a result, the objectives accompanying these</w:t>
      </w:r>
      <w:r>
        <w:t xml:space="preserve"> </w:t>
      </w:r>
      <w:r>
        <w:t xml:space="preserve">needs remain appropriate.</w:t>
      </w:r>
      <w:r>
        <w:br/>
      </w:r>
      <w:r>
        <w:t xml:space="preserve">The relevance section assesses whether and to what extent the objectives of PSD2 are still</w:t>
      </w:r>
      <w:r>
        <w:t xml:space="preserve"> </w:t>
      </w:r>
      <w:r>
        <w:t xml:space="preserve">relevant. Objectives are considered to remain appropriate if they continue to address the need</w:t>
      </w:r>
      <w:r>
        <w:t xml:space="preserve"> </w:t>
      </w:r>
      <w:r>
        <w:t xml:space="preserve">to which they are linked, even when that need has evolved. The analysis thus examines the</w:t>
      </w:r>
      <w:r>
        <w:t xml:space="preserve"> </w:t>
      </w:r>
      <w:r>
        <w:t xml:space="preserve">relationship between the needs identified at the time of the PSD2’s inception, and in relation</w:t>
      </w:r>
      <w:r>
        <w:t xml:space="preserve"> </w:t>
      </w:r>
      <w:r>
        <w:t xml:space="preserve">to which its objectives were formulated, and the evolution of those needs over the time of its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As previously noted (c.f. section 2.1.), the needs stem from three problem drivers:</w:t>
      </w:r>
      <w:r>
        <w:t xml:space="preserve"> </w:t>
      </w:r>
      <w:r>
        <w:t xml:space="preserve">1) Market failures: a fragmented market for innovative solutions (Need 1), and</w:t>
      </w:r>
      <w:r>
        <w:t xml:space="preserve"> </w:t>
      </w:r>
      <w:r>
        <w:t xml:space="preserve">competition issues in some payment areas (Need 2);</w:t>
      </w:r>
      <w:r>
        <w:t xml:space="preserve"> </w:t>
      </w:r>
      <w:r>
        <w:t xml:space="preserve">2) Regulatory and supervisory gaps: diverse charging practices between Member</w:t>
      </w:r>
      <w:r>
        <w:t xml:space="preserve"> </w:t>
      </w:r>
      <w:r>
        <w:t xml:space="preserve">States (Need 3), legal vacuum for certain PSPs (Need 4), the inconsistent application</w:t>
      </w:r>
      <w:r>
        <w:t xml:space="preserve"> </w:t>
      </w:r>
      <w:r>
        <w:t xml:space="preserve">of PSD 2 (Need 5), and diverging supervisory and licencing rules and practices</w:t>
      </w:r>
      <w:r>
        <w:t xml:space="preserve"> </w:t>
      </w:r>
      <w:r>
        <w:t xml:space="preserve">(Need 6);</w:t>
      </w:r>
      <w:r>
        <w:t xml:space="preserve"> </w:t>
      </w:r>
      <w:r>
        <w:t xml:space="preserve">3) Lagging consumer protection (Need 7).</w:t>
      </w:r>
      <w:r>
        <w:t xml:space="preserve"> </w:t>
      </w:r>
      <w:r>
        <w:t xml:space="preserve">As illustrated in Figure 1 on the PSD2 intervention logic (cf. 2.1.), these needs link to general</w:t>
      </w:r>
      <w:r>
        <w:t xml:space="preserve"> </w:t>
      </w:r>
      <w:r>
        <w:t xml:space="preserve">and specific policy objectives that were set up to address them, and which can be mapped as</w:t>
      </w:r>
      <w:r>
        <w:t xml:space="preserve"> </w:t>
      </w:r>
      <w:r>
        <w:t xml:space="preserve">follows:</w:t>
      </w:r>
      <w:r>
        <w:t xml:space="preserve"> </w:t>
      </w:r>
      <w:r>
        <w:t xml:space="preserve">1) Needs 1 and 2 (Market failures) link to General Objective 1 (ensuring a level</w:t>
      </w:r>
      <w:r>
        <w:t xml:space="preserve"> </w:t>
      </w:r>
      <w:r>
        <w:t xml:space="preserve">playing field between between incumbent and new providers of card, internet and</w:t>
      </w:r>
      <w:r>
        <w:t xml:space="preserve"> </w:t>
      </w:r>
      <w:r>
        <w:t xml:space="preserve">mobile payments), General Objective 2 (to increase the efficiency, transparency</w:t>
      </w:r>
      <w:r>
        <w:t xml:space="preserve"> </w:t>
      </w:r>
      <w:r>
        <w:t xml:space="preserve">and choice of payment instruments for payment service users) and General</w:t>
      </w:r>
      <w:r>
        <w:t xml:space="preserve"> </w:t>
      </w:r>
      <w:r>
        <w:t xml:space="preserve">Objective 3 (to facilitate the provision of card, internet and mobile payment</w:t>
      </w:r>
      <w:r>
        <w:t xml:space="preserve"> </w:t>
      </w:r>
      <w:r>
        <w:t xml:space="preserve">services across borders within the EU by ensuring a Single Market for payments);</w:t>
      </w:r>
      <w:r>
        <w:t xml:space="preserve"> </w:t>
      </w:r>
      <w:r>
        <w:t xml:space="preserve">in addition, Need 1 is covered by Specific Objective 1 (to address standardisation</w:t>
      </w:r>
      <w:r>
        <w:t xml:space="preserve"> </w:t>
      </w:r>
      <w:r>
        <w:t xml:space="preserve">and interoperability gaps for card, internet and mobile payments), and Need 2 by</w:t>
      </w:r>
      <w:r>
        <w:t xml:space="preserve"> </w:t>
      </w:r>
      <w:r>
        <w:t xml:space="preserve">Specific Objective 2 (to eliminate hurdles for competition, in particular for card and</w:t>
      </w:r>
      <w:r>
        <w:t xml:space="preserve"> </w:t>
      </w:r>
      <w:r>
        <w:t xml:space="preserve">internet payments);</w:t>
      </w:r>
      <w:r>
        <w:t xml:space="preserve"> </w:t>
      </w:r>
      <w:r>
        <w:t xml:space="preserve">2) Needs 3, 4, 5 and 6 (Regulatory and supervisory gaps) link also to General</w:t>
      </w:r>
      <w:r>
        <w:t xml:space="preserve"> </w:t>
      </w:r>
      <w:r>
        <w:t xml:space="preserve">Objective 3 (to facilitate the provision of card, internet and mobile payment</w:t>
      </w:r>
      <w:r>
        <w:t xml:space="preserve"> </w:t>
      </w:r>
      <w:r>
        <w:t xml:space="preserve">services across borders within the EU by ensuring a Single Market for payments),</w:t>
      </w:r>
      <w:r>
        <w:t xml:space="preserve"> </w:t>
      </w:r>
      <w:r>
        <w:t xml:space="preserve">and to General Objective 4 (to create an environment which helps innovative</w:t>
      </w:r>
      <w:r>
        <w:t xml:space="preserve"> </w:t>
      </w:r>
      <w:r>
        <w:t xml:space="preserve">payment services to reach a broader market); in addition, Need 3 is accompanied</w:t>
      </w:r>
      <w:r>
        <w:t xml:space="preserve"> </w:t>
      </w:r>
      <w:r>
        <w:t xml:space="preserve">by Specific Objective 3 (to better align charging and steering practices for payment</w:t>
      </w:r>
      <w:r>
        <w:t xml:space="preserve"> </w:t>
      </w:r>
      <w:r>
        <w:t xml:space="preserve">services across the EU), Need 4 has the accompanying Specific Objective 4 (to</w:t>
      </w:r>
      <w:r>
        <w:t xml:space="preserve"> </w:t>
      </w:r>
      <w:r>
        <w:t xml:space="preserve">ensure that emerging payment service providers are covered by the regulatory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framework governing retail payments in the EU), and Needs 5 and 6 the</w:t>
      </w:r>
      <w:r>
        <w:t xml:space="preserve"> </w:t>
      </w:r>
      <w:r>
        <w:t xml:space="preserve">accompanying Specific Objective 5 (to improve the consistent application of the</w:t>
      </w:r>
      <w:r>
        <w:t xml:space="preserve"> </w:t>
      </w:r>
      <w:r>
        <w:t xml:space="preserve">legislative framework across Member States and to better align licensing and</w:t>
      </w:r>
      <w:r>
        <w:t xml:space="preserve"> </w:t>
      </w:r>
      <w:r>
        <w:t xml:space="preserve">supervisory rules for payment services across Member States);</w:t>
      </w:r>
      <w:r>
        <w:t xml:space="preserve"> </w:t>
      </w:r>
      <w:r>
        <w:t xml:space="preserve">3) Need 7 (Lagging consumer protection) links to General Objective 5 (to ensure a</w:t>
      </w:r>
      <w:r>
        <w:t xml:space="preserve"> </w:t>
      </w:r>
      <w:r>
        <w:t xml:space="preserve">high-level protection for PSUs across all Member States of the EU) and is also</w:t>
      </w:r>
      <w:r>
        <w:t xml:space="preserve"> </w:t>
      </w:r>
      <w:r>
        <w:t xml:space="preserve">covered by Specific Objective 6 (to protect the consumer interests in view of</w:t>
      </w:r>
      <w:r>
        <w:t xml:space="preserve"> </w:t>
      </w:r>
      <w:r>
        <w:t xml:space="preserve">regulatory changes in the card business and to extend the regulatory protection to</w:t>
      </w:r>
      <w:r>
        <w:t xml:space="preserve"> </w:t>
      </w:r>
      <w:r>
        <w:t xml:space="preserve">new channels and innovative payment services).</w:t>
      </w:r>
      <w:r>
        <w:br/>
      </w:r>
      <w:r>
        <w:t xml:space="preserve">To assess to what extent the objectives of the PSD2 remain relevant, the section considers</w:t>
      </w:r>
      <w:r>
        <w:t xml:space="preserve"> </w:t>
      </w:r>
      <w:r>
        <w:t xml:space="preserve">whether and how the needs outlined at the inception of PSD2 have evolved and might change</w:t>
      </w:r>
      <w:r>
        <w:t xml:space="preserve"> </w:t>
      </w:r>
      <w:r>
        <w:t xml:space="preserve">in the future. More precisely, needs underpinning PSD2 and informing its objectives are</w:t>
      </w:r>
      <w:r>
        <w:t xml:space="preserve"> </w:t>
      </w:r>
      <w:r>
        <w:t xml:space="preserve">affected by continuing and new market developments, policy priorities, and expected future</w:t>
      </w:r>
      <w:r>
        <w:t xml:space="preserve"> </w:t>
      </w:r>
      <w:r>
        <w:t xml:space="preserve">trends (‘Better Regulation toolbox’ Tool #47).</w:t>
      </w:r>
      <w:r>
        <w:t xml:space="preserve"> </w:t>
      </w:r>
      <w:r>
        <w:t xml:space="preserve">In this regard, market developments at the inception of PSD2 and which remain significant</w:t>
      </w:r>
      <w:r>
        <w:t xml:space="preserve"> </w:t>
      </w:r>
      <w:r>
        <w:t xml:space="preserve">include: 1) the fragmentation of the EU payment services market; 2) limited market</w:t>
      </w:r>
      <w:r>
        <w:t xml:space="preserve"> </w:t>
      </w:r>
      <w:r>
        <w:t xml:space="preserve">penetration by innovative payment solutions; 3) ineffective competition in certain areas of</w:t>
      </w:r>
      <w:r>
        <w:t xml:space="preserve"> </w:t>
      </w:r>
      <w:r>
        <w:t xml:space="preserve">payments; 4) diverging licensing and supervisory practices; 5) the increasing use of cashless</w:t>
      </w:r>
      <w:r>
        <w:t xml:space="preserve"> </w:t>
      </w:r>
      <w:r>
        <w:t xml:space="preserve">and contactless payments; and 6) diverging fraud rates between Member States and</w:t>
      </w:r>
      <w:r>
        <w:t xml:space="preserve"> </w:t>
      </w:r>
      <w:r>
        <w:t xml:space="preserve">emergence of new types of fraud.</w:t>
      </w:r>
      <w:r>
        <w:t xml:space="preserve"> </w:t>
      </w:r>
      <w:r>
        <w:t xml:space="preserve">In addition, a number of new market trends have unfolded between the adoption of PSD2 and</w:t>
      </w:r>
      <w:r>
        <w:t xml:space="preserve"> </w:t>
      </w:r>
      <w:r>
        <w:t xml:space="preserve">mid-2022 with implications in terms of its underlying needs. These include: 1) the emergence</w:t>
      </w:r>
      <w:r>
        <w:t xml:space="preserve"> </w:t>
      </w:r>
      <w:r>
        <w:t xml:space="preserve">of ‘premium’ APIs, API aggregation, and ‘license-as-a-service’; 2) the growth of digital</w:t>
      </w:r>
      <w:r>
        <w:t xml:space="preserve"> </w:t>
      </w:r>
      <w:r>
        <w:t xml:space="preserve">wallet services, confirming the entry of BigTechs into the payments market; and 3) the</w:t>
      </w:r>
      <w:r>
        <w:t xml:space="preserve"> </w:t>
      </w:r>
      <w:r>
        <w:t xml:space="preserve">growth in account-to-account payment services (notably instant payments).</w:t>
      </w:r>
      <w:r>
        <w:br/>
      </w:r>
      <w:r>
        <w:t xml:space="preserve">The needs underlying PSD2 may also be affected by certain policy priorities and regulatory</w:t>
      </w:r>
      <w:r>
        <w:t xml:space="preserve"> </w:t>
      </w:r>
      <w:r>
        <w:t xml:space="preserve">interventions, namely: 1) the prioritization of improving access of non-bank PSPs (EMIs/PIs)</w:t>
      </w:r>
      <w:r>
        <w:t xml:space="preserve"> </w:t>
      </w:r>
      <w:r>
        <w:t xml:space="preserve">to payment systems, as indicated in both the EU and Eurosystem’s Retail Payment</w:t>
      </w:r>
      <w:r>
        <w:t xml:space="preserve"> </w:t>
      </w:r>
      <w:r>
        <w:t xml:space="preserve">Strategies290; 2) the political endorsement of pan-European payment solutions (such as the</w:t>
      </w:r>
      <w:r>
        <w:t xml:space="preserve"> </w:t>
      </w:r>
      <w:r>
        <w:t xml:space="preserve">industry-led European Payments Initiative291); and 3) legislative proposal on instant</w:t>
      </w:r>
    </w:p>
    <w:p>
      <w:pPr>
        <w:pStyle w:val="BodyText"/>
      </w:pPr>
      <w:r>
        <w:t xml:space="preserve">290</w:t>
      </w:r>
      <w:r>
        <w:br/>
      </w:r>
      <w:r>
        <w:t xml:space="preserve">Cf. Communication From The Commission To The European Parliament, The Council, The European</w:t>
      </w:r>
      <w:r>
        <w:t xml:space="preserve"> </w:t>
      </w:r>
      <w:r>
        <w:t xml:space="preserve">Economic And Social Committee And The Committee Of The Regions on a Retail Payments Strategy for the</w:t>
      </w:r>
      <w:r>
        <w:t xml:space="preserve"> </w:t>
      </w:r>
      <w:r>
        <w:t xml:space="preserve">EU, COM(2020) 592 final, p.25; ECB (2021), The Eurosystem’s retail payments strategy, p.4.</w:t>
      </w:r>
      <w:r>
        <w:t xml:space="preserve"> </w:t>
      </w:r>
      <w:r>
        <w:t xml:space="preserve">291</w:t>
      </w:r>
      <w:r>
        <w:br/>
      </w:r>
      <w:r>
        <w:t xml:space="preserve">European Payments Initiative, which comprises 31 European banks/credit institutions and 2 third-party</w:t>
      </w:r>
      <w:r>
        <w:t xml:space="preserve"> </w:t>
      </w:r>
      <w:r>
        <w:t xml:space="preserve">acquirers, aims to create a new pan-European payment solution leveraging Instant Payments and cards. Cf.</w:t>
      </w:r>
      <w:r>
        <w:t xml:space="preserve"> </w:t>
      </w:r>
      <w:r>
        <w:t xml:space="preserve">About - European Payments Initiative (epicompany.eu).</w:t>
      </w:r>
    </w:p>
    <w:p>
      <w:pPr>
        <w:pStyle w:val="BodyText"/>
      </w:pPr>
      <w:r>
        <w:t xml:space="preserve">148</w:t>
      </w:r>
    </w:p>
    <w:p>
      <w:pPr>
        <w:pStyle w:val="BodyText"/>
      </w:pPr>
      <w:r>
        <w:t xml:space="preserve">payments292. It is expected that without further policy interventions the market developments</w:t>
      </w:r>
      <w:r>
        <w:t xml:space="preserve"> </w:t>
      </w:r>
      <w:r>
        <w:t xml:space="preserve">outlined above will continue.</w:t>
      </w:r>
      <w:r>
        <w:t xml:space="preserve"> </w:t>
      </w:r>
      <w:r>
        <w:t xml:space="preserve">Furthermore, a number of expected future trends might also impact relevance, namely: 1) the</w:t>
      </w:r>
      <w:r>
        <w:t xml:space="preserve"> </w:t>
      </w:r>
      <w:r>
        <w:t xml:space="preserve">introduction of a digital Euro; 2) the use of crypto assets as a means of payment; 3) the</w:t>
      </w:r>
      <w:r>
        <w:t xml:space="preserve"> </w:t>
      </w:r>
      <w:r>
        <w:t xml:space="preserve">unification293 of POS and online payments in commerce; and 4) the continuing shift of</w:t>
      </w:r>
      <w:r>
        <w:t xml:space="preserve"> </w:t>
      </w:r>
      <w:r>
        <w:t xml:space="preserve">commerce to digital marketplaces and platforms.</w:t>
      </w:r>
      <w:r>
        <w:t xml:space="preserve"> </w:t>
      </w:r>
      <w:r>
        <w:t xml:space="preserve">The extent and ways in which these developments affect the relevance of each of the seven</w:t>
      </w:r>
      <w:r>
        <w:t xml:space="preserve"> </w:t>
      </w:r>
      <w:r>
        <w:t xml:space="preserve">needs and their accompanying general and specific objectives is discussed below. Overall, the</w:t>
      </w:r>
      <w:r>
        <w:t xml:space="preserve"> </w:t>
      </w:r>
      <w:r>
        <w:t xml:space="preserve">needs underpinning the PSD2 continue to be relevant today, with the exception of the need to</w:t>
      </w:r>
      <w:r>
        <w:t xml:space="preserve"> </w:t>
      </w:r>
      <w:r>
        <w:t xml:space="preserve">harmonise charging and steering practices across Member States (Need 3). This has largely</w:t>
      </w:r>
      <w:r>
        <w:t xml:space="preserve"> </w:t>
      </w:r>
      <w:r>
        <w:t xml:space="preserve">been addressed by the introduction of the surcharging ban, which has harmonized charging</w:t>
      </w:r>
      <w:r>
        <w:t xml:space="preserve"> </w:t>
      </w:r>
      <w:r>
        <w:t xml:space="preserve">and steering practices for a large share of payments in the EU. As a result, the objectives of</w:t>
      </w:r>
      <w:r>
        <w:t xml:space="preserve"> </w:t>
      </w:r>
      <w:r>
        <w:t xml:space="preserve">PSD2 remain to a large extent appropriate, with the exception of the objective on steering</w:t>
      </w:r>
      <w:r>
        <w:t xml:space="preserve"> </w:t>
      </w:r>
      <w:r>
        <w:t xml:space="preserve">charging practices across countries which has to a large extent been achieved.</w:t>
      </w:r>
      <w:r>
        <w:t xml:space="preserve"> </w:t>
      </w:r>
      <w:r>
        <w:t xml:space="preserve">1) Problem driver 1: Market failures</w:t>
      </w:r>
      <w:r>
        <w:t xml:space="preserve"> </w:t>
      </w:r>
      <w:r>
        <w:t xml:space="preserve">Needs stemming from this problem driver (1 and 2) link to General Objective 1 (ensuring a</w:t>
      </w:r>
      <w:r>
        <w:t xml:space="preserve"> </w:t>
      </w:r>
      <w:r>
        <w:t xml:space="preserve">level playing field between between incumbent and new providers of card, internet and</w:t>
      </w:r>
      <w:r>
        <w:t xml:space="preserve"> </w:t>
      </w:r>
      <w:r>
        <w:t xml:space="preserve">mobile payments), General Objective 2 (to increase the efficiency, transparency and choice</w:t>
      </w:r>
      <w:r>
        <w:t xml:space="preserve"> </w:t>
      </w:r>
      <w:r>
        <w:t xml:space="preserve">of payment instruments for payment service users) and General Objective 3 (to facilitate the</w:t>
      </w:r>
      <w:r>
        <w:t xml:space="preserve"> </w:t>
      </w:r>
      <w:r>
        <w:t xml:space="preserve">provision of card, internet and mobile payment services across borders within the EU by</w:t>
      </w:r>
      <w:r>
        <w:t xml:space="preserve"> </w:t>
      </w:r>
      <w:r>
        <w:t xml:space="preserve">ensuring a Single Market for payments). In addition, each need links to an accompanying</w:t>
      </w:r>
      <w:r>
        <w:t xml:space="preserve"> </w:t>
      </w:r>
      <w:r>
        <w:t xml:space="preserve">specific objective.</w:t>
      </w:r>
      <w:r>
        <w:t xml:space="preserve"> </w:t>
      </w:r>
      <w:r>
        <w:t xml:space="preserve">Need 1: Resolve the fragmented market for innovative payment solutions</w:t>
      </w:r>
      <w:r>
        <w:t xml:space="preserve"> </w:t>
      </w:r>
      <w:r>
        <w:t xml:space="preserve">Need 1 refers to the issue of low inter-operability across EU Member States for card,</w:t>
      </w:r>
      <w:r>
        <w:t xml:space="preserve"> </w:t>
      </w:r>
      <w:r>
        <w:t xml:space="preserve">online and mobile payments, impeding service providers from scaling up innovative, safe,</w:t>
      </w:r>
      <w:r>
        <w:t xml:space="preserve"> </w:t>
      </w:r>
      <w:r>
        <w:t xml:space="preserve">and easy-to-use payment services.</w:t>
      </w:r>
      <w:r>
        <w:t xml:space="preserve"> </w:t>
      </w:r>
      <w:r>
        <w:t xml:space="preserve">Need 1 has the accompanying specific objective 1 ‘to address standardisation and</w:t>
      </w:r>
      <w:r>
        <w:t xml:space="preserve"> </w:t>
      </w:r>
      <w:r>
        <w:t xml:space="preserve">interoperability gaps for card, internet and mobile payments’</w:t>
      </w:r>
      <w:r>
        <w:t xml:space="preserve"> </w:t>
      </w:r>
      <w:r>
        <w:t xml:space="preserve">Need 1 remains highly relevant in a continuing market context where standardisation and</w:t>
      </w:r>
      <w:r>
        <w:t xml:space="preserve"> </w:t>
      </w:r>
      <w:r>
        <w:t xml:space="preserve">inter-operability between different solutions remains lacking (with most domestic payment</w:t>
      </w:r>
    </w:p>
    <w:p>
      <w:pPr>
        <w:pStyle w:val="BodyText"/>
      </w:pPr>
      <w:r>
        <w:t xml:space="preserve">292</w:t>
      </w:r>
      <w:r>
        <w:br/>
      </w:r>
      <w:r>
        <w:t xml:space="preserve">Proposal for a Regulation Of The European Parliament And Of The Council amending Regulations</w:t>
      </w:r>
      <w:r>
        <w:t xml:space="preserve"> </w:t>
      </w:r>
      <w:r>
        <w:t xml:space="preserve">(EU) No 260/2012 and (EU) 2021/1230 as regards instant credit transfers in euro, COM(2022) 546 final,</w:t>
      </w:r>
      <w:r>
        <w:t xml:space="preserve"> </w:t>
      </w:r>
      <w:r>
        <w:t xml:space="preserve">26.10.2022.</w:t>
      </w:r>
      <w:r>
        <w:t xml:space="preserve"> </w:t>
      </w:r>
      <w:r>
        <w:t xml:space="preserve">293</w:t>
      </w:r>
      <w:r>
        <w:br/>
      </w:r>
      <w:r>
        <w:t xml:space="preserve">“Unified commerce” refers to the integration of the various channels of a retailer with the aim of</w:t>
      </w:r>
      <w:r>
        <w:t xml:space="preserve"> </w:t>
      </w:r>
      <w:r>
        <w:t xml:space="preserve">ensuring that both payment methods as well as data collection are synchronized within the limits of the data</w:t>
      </w:r>
      <w:r>
        <w:t xml:space="preserve"> </w:t>
      </w:r>
      <w:r>
        <w:t xml:space="preserve">protection rules.</w:t>
      </w:r>
    </w:p>
    <w:p>
      <w:pPr>
        <w:pStyle w:val="BodyText"/>
      </w:pPr>
      <w:r>
        <w:t xml:space="preserve">149</w:t>
      </w:r>
    </w:p>
    <w:p>
      <w:pPr>
        <w:pStyle w:val="BodyText"/>
      </w:pPr>
      <w:r>
        <w:t xml:space="preserve">schemes not working across borders)294. This need remains relevant also in a context in</w:t>
      </w:r>
      <w:r>
        <w:t xml:space="preserve"> </w:t>
      </w:r>
      <w:r>
        <w:t xml:space="preserve">which, on the one hand, the growth in account-to-account payments along the lines of</w:t>
      </w:r>
      <w:r>
        <w:t xml:space="preserve"> </w:t>
      </w:r>
      <w:r>
        <w:t xml:space="preserve">domestic schemes may entrench payments within national borders, and, on the other hand,</w:t>
      </w:r>
      <w:r>
        <w:t xml:space="preserve"> </w:t>
      </w:r>
      <w:r>
        <w:t xml:space="preserve">PSD2-enabled PIS lack effective access to payment accounts data.</w:t>
      </w:r>
      <w:r>
        <w:t xml:space="preserve"> </w:t>
      </w:r>
      <w:r>
        <w:t xml:space="preserve">Meanwhile, this need is expected to become less relevant following three main policy</w:t>
      </w:r>
      <w:r>
        <w:t xml:space="preserve"> </w:t>
      </w:r>
      <w:r>
        <w:t xml:space="preserve">developments, although it will still take some time for their effects to materialize. First, the</w:t>
      </w:r>
      <w:r>
        <w:t xml:space="preserve"> </w:t>
      </w:r>
      <w:r>
        <w:t xml:space="preserve">political support given to the development of pan-European payment solutions that can be</w:t>
      </w:r>
      <w:r>
        <w:t xml:space="preserve"> </w:t>
      </w:r>
      <w:r>
        <w:t xml:space="preserve">widely used and compete with the established international card schemes. In this regard, in</w:t>
      </w:r>
      <w:r>
        <w:t xml:space="preserve"> </w:t>
      </w:r>
      <w:r>
        <w:t xml:space="preserve">2019, the European Commission and the European Central Bank welcomed and gave their</w:t>
      </w:r>
      <w:r>
        <w:t xml:space="preserve"> </w:t>
      </w:r>
      <w:r>
        <w:t xml:space="preserve">political support to the European Payments Initiative (EPI) launched by 16 Eurozone</w:t>
      </w:r>
      <w:r>
        <w:t xml:space="preserve"> </w:t>
      </w:r>
      <w:r>
        <w:t xml:space="preserve">banks295. The creation of such pan-European payment solutions (e.g. also the interoperability</w:t>
      </w:r>
      <w:r>
        <w:t xml:space="preserve"> </w:t>
      </w:r>
      <w:r>
        <w:t xml:space="preserve">initiatives developed by the European Mobile Payment Systems Association)296 is expected to</w:t>
      </w:r>
      <w:r>
        <w:t xml:space="preserve"> </w:t>
      </w:r>
      <w:r>
        <w:t xml:space="preserve">ease cross-border payments and facilitate scaling up of innovative payment solutions built</w:t>
      </w:r>
      <w:r>
        <w:t xml:space="preserve"> </w:t>
      </w:r>
      <w:r>
        <w:t xml:space="preserve">around this proposition. Also, the legislative proposal on instant payments adopted by the</w:t>
      </w:r>
      <w:r>
        <w:t xml:space="preserve"> </w:t>
      </w:r>
      <w:r>
        <w:t xml:space="preserve">Commission on 26 October 2022 will address the current fragmentation of instant-based</w:t>
      </w:r>
      <w:r>
        <w:t xml:space="preserve"> </w:t>
      </w:r>
      <w:r>
        <w:t xml:space="preserve">payment solutions in the EU. In this respect, it should be noted, however, that the actual</w:t>
      </w:r>
      <w:r>
        <w:t xml:space="preserve"> </w:t>
      </w:r>
      <w:r>
        <w:t xml:space="preserve">number of payments completed through instant payments have lagged, standing at 13% of all</w:t>
      </w:r>
      <w:r>
        <w:t xml:space="preserve"> </w:t>
      </w:r>
      <w:r>
        <w:t xml:space="preserve">euro credit transfers at the end of 2022297. Other developments likely to decrease the</w:t>
      </w:r>
      <w:r>
        <w:t xml:space="preserve"> </w:t>
      </w:r>
      <w:r>
        <w:t xml:space="preserve">relevance of this need include (a) the initiative for the standardisation and interoperability of</w:t>
      </w:r>
      <w:r>
        <w:t xml:space="preserve"> </w:t>
      </w:r>
      <w:r>
        <w:t xml:space="preserve">the European Payments Council’s QR-code of SEPA credit transfers initiated via mobile298</w:t>
      </w:r>
      <w:r>
        <w:t xml:space="preserve"> </w:t>
      </w:r>
      <w:r>
        <w:t xml:space="preserve">and (b) the take-up of instant payments within the SEPA Instant framework, as this solution is</w:t>
      </w:r>
      <w:r>
        <w:t xml:space="preserve"> </w:t>
      </w:r>
      <w:r>
        <w:t xml:space="preserve">designed as a pan-European solution, thus not facing cross-border interoperability issues.</w:t>
      </w:r>
      <w:r>
        <w:br/>
      </w:r>
      <w:r>
        <w:t xml:space="preserve">The relevance of Need 1 may also change with expected future trends. Notably, it will likely</w:t>
      </w:r>
      <w:r>
        <w:t xml:space="preserve"> </w:t>
      </w:r>
      <w:r>
        <w:t xml:space="preserve">decrease if competitive alternatives to established payment methods are developed. These</w:t>
      </w:r>
      <w:r>
        <w:t xml:space="preserve"> </w:t>
      </w:r>
      <w:r>
        <w:t xml:space="preserve">may include the ECB-issued CBDC (which is expected to facilitate pan-European, resilient,</w:t>
      </w:r>
      <w:r>
        <w:t xml:space="preserve"> </w:t>
      </w:r>
      <w:r>
        <w:t xml:space="preserve">fast, and inexpensive payments)299, PSD2-enabled PIS having effective access to payment</w:t>
      </w:r>
      <w:r>
        <w:t xml:space="preserve"> </w:t>
      </w:r>
      <w:r>
        <w:t xml:space="preserve">accounts data beyond domestic payment schemes, and the regulated use of crypto-assets as a</w:t>
      </w:r>
      <w:r>
        <w:t xml:space="preserve"> </w:t>
      </w:r>
      <w:r>
        <w:t xml:space="preserve">means of payment following implementation of the Markets in Crypto-Assets (MiCA)</w:t>
      </w:r>
      <w:r>
        <w:t xml:space="preserve"> </w:t>
      </w:r>
      <w:r>
        <w:t xml:space="preserve">Regulation300. The MiCA framework should reduce fragmentation of payment solutions as</w:t>
      </w:r>
      <w:r>
        <w:t xml:space="preserve"> </w:t>
      </w:r>
      <w:r>
        <w:t xml:space="preserve">business solutions built around asset-referenced tokens and e-money tokens should easily</w:t>
      </w:r>
    </w:p>
    <w:p>
      <w:pPr>
        <w:pStyle w:val="BodyText"/>
      </w:pPr>
      <w:r>
        <w:t xml:space="preserve">294</w:t>
      </w:r>
      <w:r>
        <w:br/>
      </w:r>
      <w:r>
        <w:t xml:space="preserve">COM(2020) 592, A Retail Payments Strategy for the EU.</w:t>
      </w:r>
      <w:r>
        <w:t xml:space="preserve"> </w:t>
      </w:r>
      <w:r>
        <w:t xml:space="preserve">295</w:t>
      </w:r>
      <w:r>
        <w:br/>
      </w:r>
      <w:r>
        <w:t xml:space="preserve">European Commission, European payments: The European Commission welcomes the initiative by a</w:t>
      </w:r>
      <w:r>
        <w:t xml:space="preserve"> </w:t>
      </w:r>
      <w:r>
        <w:t xml:space="preserve">group of 16 banks to launch a European payments initiative (EPI), News Announcement, 2 July 2020; ECB,</w:t>
      </w:r>
      <w:r>
        <w:t xml:space="preserve"> </w:t>
      </w:r>
      <w:r>
        <w:t xml:space="preserve">ECB welcomes initiative to launch new European payment solution, press release, 2 July 2020.</w:t>
      </w:r>
      <w:r>
        <w:t xml:space="preserve"> </w:t>
      </w:r>
      <w:r>
        <w:t xml:space="preserve">296</w:t>
      </w:r>
      <w:r>
        <w:br/>
      </w:r>
      <w:r>
        <w:t xml:space="preserve">EMPSA - European Mobile Payment Systems Association.</w:t>
      </w:r>
      <w:r>
        <w:t xml:space="preserve"> </w:t>
      </w:r>
      <w:r>
        <w:t xml:space="preserve">297</w:t>
      </w:r>
      <w:r>
        <w:br/>
      </w:r>
      <w:r>
        <w:t xml:space="preserve">European Payments Council, SCT Inst scheme – where are we now and where are we heading?</w:t>
      </w:r>
      <w:r>
        <w:br/>
      </w:r>
      <w:r>
        <w:t xml:space="preserve">298</w:t>
      </w:r>
      <w:r>
        <w:br/>
      </w:r>
      <w:r>
        <w:t xml:space="preserve">European Payments Council, The final version of the “Standardisation of QR-codes for MSCTs”, 17</w:t>
      </w:r>
      <w:r>
        <w:t xml:space="preserve"> </w:t>
      </w:r>
      <w:r>
        <w:t xml:space="preserve">June 22.</w:t>
      </w:r>
      <w:r>
        <w:t xml:space="preserve"> </w:t>
      </w:r>
      <w:r>
        <w:t xml:space="preserve">299</w:t>
      </w:r>
      <w:r>
        <w:br/>
      </w:r>
      <w:r>
        <w:t xml:space="preserve">ECB, Central bank digital currencies: a monetary anchor for digital innovation, Speech by Fabio</w:t>
      </w:r>
      <w:r>
        <w:t xml:space="preserve"> </w:t>
      </w:r>
      <w:r>
        <w:t xml:space="preserve">Panetta, Member of the Executive Board of the ECB, at the Elcano Royal Institute, Madrid, 5 November 2021.</w:t>
      </w:r>
      <w:r>
        <w:t xml:space="preserve"> </w:t>
      </w:r>
      <w:r>
        <w:t xml:space="preserve">300</w:t>
      </w:r>
      <w:r>
        <w:br/>
      </w:r>
      <w:r>
        <w:t xml:space="preserve">Proposal for a Regulation Of The European Parliament And Of The Council on Markets in Crypto-</w:t>
      </w:r>
      <w:r>
        <w:t xml:space="preserve"> </w:t>
      </w:r>
      <w:r>
        <w:t xml:space="preserve">assets, and amending Directive (EU) 2019/1937, COM(2020) 593 final, 24.9.2020.</w:t>
      </w:r>
    </w:p>
    <w:p>
      <w:pPr>
        <w:pStyle w:val="BodyText"/>
      </w:pPr>
      <w:r>
        <w:t xml:space="preserve">150</w:t>
      </w:r>
    </w:p>
    <w:p>
      <w:pPr>
        <w:pStyle w:val="BodyText"/>
      </w:pPr>
      <w:r>
        <w:t xml:space="preserve">scale across the EU. However, in the case where some solutions such as stablecoins may</w:t>
      </w:r>
      <w:r>
        <w:t xml:space="preserve"> </w:t>
      </w:r>
      <w:r>
        <w:t xml:space="preserve">come to be developed and offered within the context of closed-loop systems, it is likely that</w:t>
      </w:r>
      <w:r>
        <w:t xml:space="preserve"> </w:t>
      </w:r>
      <w:r>
        <w:t xml:space="preserve">the fragmentation entailed with such systems prolong this need. Finally, as PSD2-enabled</w:t>
      </w:r>
      <w:r>
        <w:t xml:space="preserve"> </w:t>
      </w:r>
      <w:r>
        <w:t xml:space="preserve">PISs become fully cross-border by design, ensuring effective access to payment accounts data</w:t>
      </w:r>
      <w:r>
        <w:t xml:space="preserve"> </w:t>
      </w:r>
      <w:r>
        <w:t xml:space="preserve">will promote an integrated market.</w:t>
      </w:r>
      <w:r>
        <w:t xml:space="preserve"> </w:t>
      </w:r>
      <w:r>
        <w:t xml:space="preserve">Need 2: More effective competition in certain payment areas</w:t>
      </w:r>
      <w:r>
        <w:t xml:space="preserve"> </w:t>
      </w:r>
      <w:r>
        <w:t xml:space="preserve">Need 2 links to several restrictive business rules and practices which have meant that</w:t>
      </w:r>
      <w:r>
        <w:t xml:space="preserve"> </w:t>
      </w:r>
      <w:r>
        <w:t xml:space="preserve">competition in certain areas of card and online payments has not always been effective.</w:t>
      </w:r>
      <w:r>
        <w:t xml:space="preserve"> </w:t>
      </w:r>
      <w:r>
        <w:t xml:space="preserve">Need 2 is linked to the specific objective 2 of addressing competition distortions.</w:t>
      </w:r>
      <w:r>
        <w:br/>
      </w:r>
      <w:r>
        <w:t xml:space="preserve">Need 2 remains highly relevant in the context of a continuing market trend where competition</w:t>
      </w:r>
      <w:r>
        <w:t xml:space="preserve"> </w:t>
      </w:r>
      <w:r>
        <w:t xml:space="preserve">by innovative payment solutions remains limited vis-à-vis traditional solutions, i.e. cash and</w:t>
      </w:r>
      <w:r>
        <w:t xml:space="preserve"> </w:t>
      </w:r>
      <w:r>
        <w:t xml:space="preserve">card payments. Even if, as previously noted, cash payments represent a decreasing share of</w:t>
      </w:r>
      <w:r>
        <w:t xml:space="preserve"> </w:t>
      </w:r>
      <w:r>
        <w:t xml:space="preserve">payments at the POS and P2P both in terms of the number of transactions and in terms of</w:t>
      </w:r>
      <w:r>
        <w:t xml:space="preserve"> </w:t>
      </w:r>
      <w:r>
        <w:t xml:space="preserve">value, in 2022 cash and card combined still represented 93% share of payment instruments</w:t>
      </w:r>
      <w:r>
        <w:t xml:space="preserve"> </w:t>
      </w:r>
      <w:r>
        <w:t xml:space="preserve">used at POS/P2P, while payment cards were the most commonly used payment instrument</w:t>
      </w:r>
      <w:r>
        <w:t xml:space="preserve"> </w:t>
      </w:r>
      <w:r>
        <w:t xml:space="preserve">for making online purchases301. While consumers are progressively using e-payment</w:t>
      </w:r>
      <w:r>
        <w:t xml:space="preserve"> </w:t>
      </w:r>
      <w:r>
        <w:t xml:space="preserve">solutions including mobile payments (particularly in P2P transactions), their share of total</w:t>
      </w:r>
      <w:r>
        <w:t xml:space="preserve"> </w:t>
      </w:r>
      <w:r>
        <w:t xml:space="preserve">transactions has only grown slowly (cf. section 3.2).</w:t>
      </w:r>
      <w:r>
        <w:br/>
      </w:r>
      <w:r>
        <w:t xml:space="preserve">Need 2 remains relevant also in the context of continuing trends such as the persistent</w:t>
      </w:r>
      <w:r>
        <w:t xml:space="preserve"> </w:t>
      </w:r>
      <w:r>
        <w:t xml:space="preserve">fragmentation of the EU retail payments market, where limited inter-operability between</w:t>
      </w:r>
      <w:r>
        <w:t xml:space="preserve"> </w:t>
      </w:r>
      <w:r>
        <w:t xml:space="preserve">domestic card and account-to-account schemes (including instant payment solutions) means</w:t>
      </w:r>
      <w:r>
        <w:t xml:space="preserve"> </w:t>
      </w:r>
      <w:r>
        <w:t xml:space="preserve">that the market remains dependent on a small number of international card schemes for cross</w:t>
      </w:r>
      <w:r>
        <w:t xml:space="preserve"> </w:t>
      </w:r>
      <w:r>
        <w:t xml:space="preserve">border payments in shops and e-commerce (see 3.2.). Also, information asymmetries persist</w:t>
      </w:r>
      <w:r>
        <w:t xml:space="preserve"> </w:t>
      </w:r>
      <w:r>
        <w:t xml:space="preserve">in certain areas of internet payments, with consumers often unaware of the different merchant</w:t>
      </w:r>
      <w:r>
        <w:t xml:space="preserve"> </w:t>
      </w:r>
      <w:r>
        <w:t xml:space="preserve">transaction fees associated with different payments methods. As consumers are unaware of</w:t>
      </w:r>
      <w:r>
        <w:t xml:space="preserve"> </w:t>
      </w:r>
      <w:r>
        <w:t xml:space="preserve">the costs behind each payment method, this can lead to a sub-optimal choice for more</w:t>
      </w:r>
      <w:r>
        <w:t xml:space="preserve"> </w:t>
      </w:r>
      <w:r>
        <w:t xml:space="preserve">expensive payment methods (credit card vs. account-to-account), increasing transaction costs</w:t>
      </w:r>
      <w:r>
        <w:t xml:space="preserve"> </w:t>
      </w:r>
      <w:r>
        <w:t xml:space="preserve">for merchants and hence consumer prices. In contrast, new market developments like the</w:t>
      </w:r>
      <w:r>
        <w:t xml:space="preserve"> </w:t>
      </w:r>
      <w:r>
        <w:t xml:space="preserve">increase in domestic account-to-account schemes (see 3.2) can constitute competitive</w:t>
      </w:r>
      <w:r>
        <w:t xml:space="preserve"> </w:t>
      </w:r>
      <w:r>
        <w:t xml:space="preserve">challenge to PSD PISs, as the latter may not benefit from the same network effects,</w:t>
      </w:r>
      <w:r>
        <w:t xml:space="preserve"> </w:t>
      </w:r>
      <w:r>
        <w:t xml:space="preserve">recognisability and promotion as the former, when these are owned by established ASPSPs.</w:t>
      </w:r>
      <w:r>
        <w:t xml:space="preserve"> </w:t>
      </w:r>
      <w:r>
        <w:t xml:space="preserve">2) Problem driver 2: Regulatory and supervisory gaps</w:t>
      </w:r>
      <w:r>
        <w:t xml:space="preserve"> </w:t>
      </w:r>
      <w:r>
        <w:t xml:space="preserve">Needs stemming from this problem driver 3, 4, 5 and 6 link also to General Objective 3 (to</w:t>
      </w:r>
      <w:r>
        <w:t xml:space="preserve"> </w:t>
      </w:r>
      <w:r>
        <w:t xml:space="preserve">facilitate the provision of card, internet and mobile payment services across borders within</w:t>
      </w:r>
      <w:r>
        <w:t xml:space="preserve"> </w:t>
      </w:r>
      <w:r>
        <w:t xml:space="preserve">the EU by ensuring a Single Market for payments), and to General Objective 4 (to create an</w:t>
      </w:r>
    </w:p>
    <w:p>
      <w:pPr>
        <w:pStyle w:val="BodyText"/>
      </w:pPr>
      <w:r>
        <w:t xml:space="preserve">301</w:t>
      </w:r>
      <w:r>
        <w:br/>
      </w:r>
      <w:r>
        <w:t xml:space="preserve">ECB (2022), Study on the payment attitudes of consumers in the euro area (SPACE), December 2022.</w:t>
      </w:r>
    </w:p>
    <w:p>
      <w:pPr>
        <w:pStyle w:val="BodyText"/>
      </w:pPr>
      <w:r>
        <w:t xml:space="preserve">151</w:t>
      </w:r>
    </w:p>
    <w:p>
      <w:pPr>
        <w:pStyle w:val="BodyText"/>
      </w:pPr>
      <w:r>
        <w:t xml:space="preserve">environment which helps innovative payment services to reach a broader market). In</w:t>
      </w:r>
      <w:r>
        <w:t xml:space="preserve"> </w:t>
      </w:r>
      <w:r>
        <w:t xml:space="preserve">addition, each need links to an accompanying specific objective.</w:t>
      </w:r>
      <w:r>
        <w:t xml:space="preserve"> </w:t>
      </w:r>
      <w:r>
        <w:t xml:space="preserve">Need 3: Harmonization of charging practices between Member States</w:t>
      </w:r>
      <w:r>
        <w:t xml:space="preserve"> </w:t>
      </w:r>
      <w:r>
        <w:t xml:space="preserve">Need 3 arose from the fact that, prior to PSD2, half of the Member States allowed</w:t>
      </w:r>
      <w:r>
        <w:t xml:space="preserve"> </w:t>
      </w:r>
      <w:r>
        <w:t xml:space="preserve">surcharging while it was forbidden in the other half, which led to a situation where it was</w:t>
      </w:r>
      <w:r>
        <w:t xml:space="preserve"> </w:t>
      </w:r>
      <w:r>
        <w:t xml:space="preserve">often unclear for consumers whether merchants could surcharge them, especially in cross-</w:t>
      </w:r>
      <w:r>
        <w:t xml:space="preserve"> </w:t>
      </w:r>
      <w:r>
        <w:t xml:space="preserve">border e-commerce, as merchants located in a country where surcharging was allowed could</w:t>
      </w:r>
      <w:r>
        <w:t xml:space="preserve"> </w:t>
      </w:r>
      <w:r>
        <w:t xml:space="preserve">offer products and services in countries where it was not and surcharge consumers.</w:t>
      </w:r>
      <w:r>
        <w:t xml:space="preserve"> </w:t>
      </w:r>
      <w:r>
        <w:t xml:space="preserve">Furthermore, surcharging, which was intended to allow merchants to steer consumers to the</w:t>
      </w:r>
      <w:r>
        <w:t xml:space="preserve"> </w:t>
      </w:r>
      <w:r>
        <w:t xml:space="preserve">most cost-efficient payment methods, was being exploited by some retailers, who applied</w:t>
      </w:r>
      <w:r>
        <w:t xml:space="preserve"> </w:t>
      </w:r>
      <w:r>
        <w:t xml:space="preserve">excessive surcharges to increase their revenues.</w:t>
      </w:r>
      <w:r>
        <w:t xml:space="preserve"> </w:t>
      </w:r>
      <w:r>
        <w:t xml:space="preserve">Need 3 was accompanied by the specific objective 3 ‘to better align charging and steering</w:t>
      </w:r>
      <w:r>
        <w:t xml:space="preserve"> </w:t>
      </w:r>
      <w:r>
        <w:t xml:space="preserve">practices for payment services across the EU’.</w:t>
      </w:r>
      <w:r>
        <w:t xml:space="preserve"> </w:t>
      </w:r>
      <w:r>
        <w:t xml:space="preserve">A surcharge is a charge from merchants to consumers that is added on top of the requested</w:t>
      </w:r>
      <w:r>
        <w:t xml:space="preserve"> </w:t>
      </w:r>
      <w:r>
        <w:t xml:space="preserve">price for goods and services when a certain payment method (usually a card) is used by the</w:t>
      </w:r>
      <w:r>
        <w:t xml:space="preserve"> </w:t>
      </w:r>
      <w:r>
        <w:t xml:space="preserve">consumer. One of the reasons for surcharging is to direct consumers to cheaper (from the</w:t>
      </w:r>
      <w:r>
        <w:t xml:space="preserve"> </w:t>
      </w:r>
      <w:r>
        <w:t xml:space="preserve">merchant’s perspective) or more efficient payment instruments, hence fostering competition</w:t>
      </w:r>
      <w:r>
        <w:t xml:space="preserve"> </w:t>
      </w:r>
      <w:r>
        <w:t xml:space="preserve">between alternative payment methods.</w:t>
      </w:r>
      <w:r>
        <w:t xml:space="preserve"> </w:t>
      </w:r>
      <w:r>
        <w:t xml:space="preserve">Article 62(3) to (5) PSD2 govern charging practices. The rule is that payees are allowed to,</w:t>
      </w:r>
      <w:r>
        <w:t xml:space="preserve"> </w:t>
      </w:r>
      <w:r>
        <w:t xml:space="preserve">inter alia, request charges from payers in order to steer them towards the use of specific</w:t>
      </w:r>
      <w:r>
        <w:t xml:space="preserve"> </w:t>
      </w:r>
      <w:r>
        <w:t xml:space="preserve">payment instruments (surcharging). Any charges applied shall not exceed the direct costs</w:t>
      </w:r>
      <w:r>
        <w:t xml:space="preserve"> </w:t>
      </w:r>
      <w:r>
        <w:t xml:space="preserve">borne by the payee for the use of the specific payment instrument [Article 62(3)].</w:t>
      </w:r>
      <w:r>
        <w:t xml:space="preserve"> </w:t>
      </w:r>
      <w:r>
        <w:t xml:space="preserve">However, payees are prevented from requesting charges for the use of payment instruments</w:t>
      </w:r>
      <w:r>
        <w:t xml:space="preserve"> </w:t>
      </w:r>
      <w:r>
        <w:t xml:space="preserve">for which interchange fees are regulated under Chapter II of Regulation (EU) 2015/751, i.e.,</w:t>
      </w:r>
      <w:r>
        <w:t xml:space="preserve"> </w:t>
      </w:r>
      <w:r>
        <w:t xml:space="preserve">for consumer debit and credit cards issued under four-party card schemes, and for those</w:t>
      </w:r>
      <w:r>
        <w:t xml:space="preserve"> </w:t>
      </w:r>
      <w:r>
        <w:t xml:space="preserve">payment services to which Regulation (EU) No 260/2012302 (the ‘SEPA Regulation’) applies,</w:t>
      </w:r>
      <w:r>
        <w:t xml:space="preserve"> </w:t>
      </w:r>
      <w:r>
        <w:t xml:space="preserve">i.e., credit transfer and direct debit transactions denominated in euro within the Union</w:t>
      </w:r>
      <w:r>
        <w:t xml:space="preserve"> </w:t>
      </w:r>
      <w:r>
        <w:t xml:space="preserve">[Article 62(4)].</w:t>
      </w:r>
      <w:r>
        <w:t xml:space="preserve"> </w:t>
      </w:r>
      <w:r>
        <w:t xml:space="preserve">Finally, Member States may (further) prohibit or limit the right of the payee to request</w:t>
      </w:r>
      <w:r>
        <w:t xml:space="preserve"> </w:t>
      </w:r>
      <w:r>
        <w:t xml:space="preserve">charges taking into account the need to encourage competition and promote the use of</w:t>
      </w:r>
      <w:r>
        <w:t xml:space="preserve"> </w:t>
      </w:r>
      <w:r>
        <w:t xml:space="preserve">efficient payment instruments [Article 62(5)].303 There is no evidence of any official</w:t>
      </w:r>
    </w:p>
    <w:p>
      <w:pPr>
        <w:pStyle w:val="BodyText"/>
      </w:pPr>
      <w:r>
        <w:t xml:space="preserve">302</w:t>
      </w:r>
      <w:r>
        <w:br/>
      </w:r>
      <w:r>
        <w:t xml:space="preserve">Regulation (EU) No 260/2012 of the European Parliament and of the Council of 14 March 2012</w:t>
      </w:r>
      <w:r>
        <w:t xml:space="preserve"> </w:t>
      </w:r>
      <w:r>
        <w:t xml:space="preserve">establishing technical and business requirements for credit transfers and direct debits in euro and amending</w:t>
      </w:r>
      <w:r>
        <w:t xml:space="preserve"> </w:t>
      </w:r>
      <w:r>
        <w:t xml:space="preserve">Regulation (EC) No 924/2009.</w:t>
      </w:r>
      <w:r>
        <w:t xml:space="preserve"> </w:t>
      </w:r>
      <w:r>
        <w:t xml:space="preserve">303</w:t>
      </w:r>
      <w:r>
        <w:br/>
      </w:r>
      <w:r>
        <w:t xml:space="preserve">15 Member States have made use of the option to further ban surcharging.</w:t>
      </w:r>
    </w:p>
    <w:p>
      <w:pPr>
        <w:pStyle w:val="BodyText"/>
      </w:pPr>
      <w:r>
        <w:t xml:space="preserve">152</w:t>
      </w:r>
    </w:p>
    <w:p>
      <w:pPr>
        <w:pStyle w:val="BodyText"/>
      </w:pPr>
      <w:r>
        <w:t xml:space="preserve">assessment on the appropriateness and the impact of the rules on charges conducted by a</w:t>
      </w:r>
      <w:r>
        <w:t xml:space="preserve"> </w:t>
      </w:r>
      <w:r>
        <w:t xml:space="preserve">national authority. Similarly, no negative effects or impacts have been evidenced304.</w:t>
      </w:r>
      <w:r>
        <w:t xml:space="preserve"> </w:t>
      </w:r>
      <w:r>
        <w:t xml:space="preserve">The surcharging ban has harmonized charging and steering practices for a large share of</w:t>
      </w:r>
      <w:r>
        <w:t xml:space="preserve"> </w:t>
      </w:r>
      <w:r>
        <w:t xml:space="preserve">payments in the EU305. Yet not all types of payments are covered by it, and some divergence</w:t>
      </w:r>
      <w:r>
        <w:t xml:space="preserve"> </w:t>
      </w:r>
      <w:r>
        <w:t xml:space="preserve">still exists as a result. Considering that 95% of card payments are subject to the surcharging</w:t>
      </w:r>
      <w:r>
        <w:t xml:space="preserve"> </w:t>
      </w:r>
      <w:r>
        <w:t xml:space="preserve">ban, national divergences affect only a very small part of the payment market306. In the rare</w:t>
      </w:r>
      <w:r>
        <w:t xml:space="preserve"> </w:t>
      </w:r>
      <w:r>
        <w:t xml:space="preserve">occasion that surcharges are applied in a Member State, the surcharge is no longer allowed</w:t>
      </w:r>
      <w:r>
        <w:t xml:space="preserve"> </w:t>
      </w:r>
      <w:r>
        <w:t xml:space="preserve">[Article 62(3)] to go beyond the actual cost the merchant incurs for accepting the payment</w:t>
      </w:r>
      <w:r>
        <w:t xml:space="preserve"> </w:t>
      </w:r>
      <w:r>
        <w:t xml:space="preserve">(i.e., surcharging to increase revenues is illegal). Seeing that charging and steering practices</w:t>
      </w:r>
      <w:r>
        <w:t xml:space="preserve"> </w:t>
      </w:r>
      <w:r>
        <w:t xml:space="preserve">are harmonised across Member States to a large extent, and that when a surcharge is applied</w:t>
      </w:r>
      <w:r>
        <w:t xml:space="preserve"> </w:t>
      </w:r>
      <w:r>
        <w:t xml:space="preserve">it is capped at the actual cost the merchant incurs, the need to harmonise charging and</w:t>
      </w:r>
      <w:r>
        <w:t xml:space="preserve"> </w:t>
      </w:r>
      <w:r>
        <w:t xml:space="preserve">steering practices across countries is reduced.</w:t>
      </w:r>
      <w:r>
        <w:t xml:space="preserve"> </w:t>
      </w:r>
      <w:r>
        <w:t xml:space="preserve">Some stakeholders suggest that some card schemes, in particular international schemes, have</w:t>
      </w:r>
      <w:r>
        <w:t xml:space="preserve"> </w:t>
      </w:r>
      <w:r>
        <w:t xml:space="preserve">increased scheme fees to make up for the lost revenues from regulated interchange fees and</w:t>
      </w:r>
      <w:r>
        <w:t xml:space="preserve"> </w:t>
      </w:r>
      <w:r>
        <w:t xml:space="preserve">that, due to the ban of surcharging for interchange regulated card payment transactions,</w:t>
      </w:r>
      <w:r>
        <w:t xml:space="preserve"> </w:t>
      </w:r>
      <w:r>
        <w:t xml:space="preserve">merchants have been incorporating the extra costs of accepting such cards in their retail</w:t>
      </w:r>
      <w:r>
        <w:t xml:space="preserve"> </w:t>
      </w:r>
      <w:r>
        <w:t xml:space="preserve">prices. However, there is no evidence that interchange fees are no longer the main component</w:t>
      </w:r>
      <w:r>
        <w:t xml:space="preserve"> </w:t>
      </w:r>
      <w:r>
        <w:t xml:space="preserve">of merchant service charges nor that the surcharging ban based on the capping of interchange</w:t>
      </w:r>
      <w:r>
        <w:t xml:space="preserve"> </w:t>
      </w:r>
      <w:r>
        <w:t xml:space="preserve">fees led to a situation where merchants are now accepting consumer cards without the ability</w:t>
      </w:r>
      <w:r>
        <w:t xml:space="preserve"> </w:t>
      </w:r>
      <w:r>
        <w:t xml:space="preserve">to surcharge while incurring higher scheme fees.</w:t>
      </w:r>
      <w:r>
        <w:t xml:space="preserve"> </w:t>
      </w:r>
      <w:r>
        <w:t xml:space="preserve">The surcharging ban covering those payment services to which the SEPA Regulation applies</w:t>
      </w:r>
      <w:r>
        <w:t xml:space="preserve"> </w:t>
      </w:r>
      <w:r>
        <w:t xml:space="preserve">is limited to credit transfer and direct debit payment transactions denominated in euro, and</w:t>
      </w:r>
      <w:r>
        <w:t xml:space="preserve"> </w:t>
      </w:r>
      <w:r>
        <w:t xml:space="preserve">not in other EU currencies, given the currency scope of the SEPA Regulation itself. The need</w:t>
      </w:r>
      <w:r>
        <w:t xml:space="preserve"> </w:t>
      </w:r>
      <w:r>
        <w:t xml:space="preserve">of Harmonization of charging practices between Member States is still relevant as the</w:t>
      </w:r>
      <w:r>
        <w:t xml:space="preserve"> </w:t>
      </w:r>
      <w:r>
        <w:t xml:space="preserve">regulatory gap between the different currencies persists for SEPA regulated instruments.</w:t>
      </w:r>
      <w:r>
        <w:t xml:space="preserve"> </w:t>
      </w:r>
      <w:r>
        <w:t xml:space="preserve">Need 4: Regulating the status of all payments service providers</w:t>
      </w:r>
      <w:r>
        <w:t xml:space="preserve"> </w:t>
      </w:r>
      <w:r>
        <w:t xml:space="preserve">Need 4 addresses the issue of a variety of innovative services primarily offering payment</w:t>
      </w:r>
      <w:r>
        <w:t xml:space="preserve"> </w:t>
      </w:r>
      <w:r>
        <w:t xml:space="preserve">initiation services (PIS) and account information services (AIS) that were previously</w:t>
      </w:r>
      <w:r>
        <w:t xml:space="preserve"> </w:t>
      </w:r>
      <w:r>
        <w:t xml:space="preserve">unregulated.</w:t>
      </w:r>
      <w:r>
        <w:t xml:space="preserve"> </w:t>
      </w:r>
      <w:r>
        <w:t xml:space="preserve">Need 4 has the accompanying specific objective 4 of ensuring that emerging payment service</w:t>
      </w:r>
      <w:r>
        <w:t xml:space="preserve"> </w:t>
      </w:r>
      <w:r>
        <w:t xml:space="preserve">providers are covered by the regulatory framework governing retail payments in the EU.</w:t>
      </w:r>
    </w:p>
    <w:p>
      <w:pPr>
        <w:pStyle w:val="BodyText"/>
      </w:pPr>
      <w:r>
        <w:t xml:space="preserve">304</w:t>
      </w:r>
      <w:r>
        <w:br/>
      </w:r>
      <w:r>
        <w:t xml:space="preserve">In the 10 Member States covered in the in-depth analysis, namely Belgium, France, Germany, Ireland,</w:t>
      </w:r>
      <w:r>
        <w:t xml:space="preserve"> </w:t>
      </w:r>
      <w:r>
        <w:t xml:space="preserve">Italy, Lithuania, Netherlands, Poland, Spain, and Sweden.</w:t>
      </w:r>
      <w:r>
        <w:t xml:space="preserve"> </w:t>
      </w:r>
      <w:r>
        <w:t xml:space="preserve">305</w:t>
      </w:r>
      <w:r>
        <w:br/>
      </w:r>
      <w:r>
        <w:t xml:space="preserve">European Commission, Directorate-General for Competition, Study on the application of the</w:t>
      </w:r>
      <w:r>
        <w:t xml:space="preserve"> </w:t>
      </w:r>
      <w:r>
        <w:t xml:space="preserve">Interchange Fee Regulation, Final Report, 2020.</w:t>
      </w:r>
      <w:r>
        <w:t xml:space="preserve"> </w:t>
      </w:r>
      <w:r>
        <w:t xml:space="preserve">306</w:t>
      </w:r>
      <w:r>
        <w:br/>
      </w:r>
      <w:r>
        <w:t xml:space="preserve">European Commission, Payment Services Directive and Interchange fees Regulation: frequently asked</w:t>
      </w:r>
      <w:r>
        <w:t xml:space="preserve"> </w:t>
      </w:r>
      <w:r>
        <w:t xml:space="preserve">questions, Memo, 24 July 2013.</w:t>
      </w:r>
    </w:p>
    <w:p>
      <w:pPr>
        <w:pStyle w:val="BodyText"/>
      </w:pPr>
      <w:r>
        <w:t xml:space="preserve">153</w:t>
      </w:r>
    </w:p>
    <w:p>
      <w:pPr>
        <w:pStyle w:val="BodyText"/>
      </w:pPr>
      <w:r>
        <w:t xml:space="preserve">Whilst PSD2 has brought into scope previously unregulated PSPs means that the need to</w:t>
      </w:r>
      <w:r>
        <w:t xml:space="preserve"> </w:t>
      </w:r>
      <w:r>
        <w:t xml:space="preserve">regulate all PSPs has been addressed, new market developments mean that clarifying the</w:t>
      </w:r>
      <w:r>
        <w:t xml:space="preserve"> </w:t>
      </w:r>
      <w:r>
        <w:t xml:space="preserve">regulatory status of market players in the payment market remains relevant.</w:t>
      </w:r>
      <w:r>
        <w:t xml:space="preserve"> </w:t>
      </w:r>
      <w:r>
        <w:t xml:space="preserve">First, as large technology firms enter the payment services market, for example, by offering</w:t>
      </w:r>
      <w:r>
        <w:t xml:space="preserve"> </w:t>
      </w:r>
      <w:r>
        <w:t xml:space="preserve">their own stable coin, or by providing digital wallet solutions, they may operate outside, or</w:t>
      </w:r>
      <w:r>
        <w:t xml:space="preserve"> </w:t>
      </w:r>
      <w:r>
        <w:t xml:space="preserve">within the exemptions, of PSD2307. Notably, as Bigtechs develop their payment solutions in</w:t>
      </w:r>
      <w:r>
        <w:t xml:space="preserve"> </w:t>
      </w:r>
      <w:r>
        <w:t xml:space="preserve">the EU market, their ability to benefit from network effects may distort the level playing</w:t>
      </w:r>
      <w:r>
        <w:t xml:space="preserve"> </w:t>
      </w:r>
      <w:r>
        <w:t xml:space="preserve">field. Yet, as their role in the payment market grows, further clarifications on scope and</w:t>
      </w:r>
      <w:r>
        <w:t xml:space="preserve"> </w:t>
      </w:r>
      <w:r>
        <w:t xml:space="preserve">supervision may be warranted to ensure harmonised application of the rules and to avoid their</w:t>
      </w:r>
      <w:r>
        <w:t xml:space="preserve"> </w:t>
      </w:r>
      <w:r>
        <w:t xml:space="preserve">circumvention of regulation and supervision.</w:t>
      </w:r>
      <w:r>
        <w:t xml:space="preserve"> </w:t>
      </w:r>
      <w:r>
        <w:t xml:space="preserve">Second, the need to regulate the status of all PSPs remains relevant in the context of a number</w:t>
      </w:r>
      <w:r>
        <w:t xml:space="preserve"> </w:t>
      </w:r>
      <w:r>
        <w:t xml:space="preserve">of new market developments such as the emergence of premium APIs and “license-as-</w:t>
      </w:r>
      <w:r>
        <w:t xml:space="preserve"> </w:t>
      </w:r>
      <w:r>
        <w:t xml:space="preserve">service” business models, where licensed and unlicensed parties competing with one another</w:t>
      </w:r>
      <w:r>
        <w:t xml:space="preserve"> </w:t>
      </w:r>
      <w:r>
        <w:t xml:space="preserve">stresses a need to go beyond the ‘basic access’ covered under PSD2. Also, the emergence of</w:t>
      </w:r>
      <w:r>
        <w:t xml:space="preserve"> </w:t>
      </w:r>
      <w:r>
        <w:t xml:space="preserve">API aggregators, which offer a paid-for alternative to a PSD2 API standard, would under the</w:t>
      </w:r>
      <w:r>
        <w:t xml:space="preserve"> </w:t>
      </w:r>
      <w:r>
        <w:t xml:space="preserve">proviso of effective access to payment data/functioning PSD 2 API, increase the cost of</w:t>
      </w:r>
      <w:r>
        <w:t xml:space="preserve"> </w:t>
      </w:r>
      <w:r>
        <w:t xml:space="preserve">market entry for new payment solutions, as new entrants must choose between costly</w:t>
      </w:r>
      <w:r>
        <w:t xml:space="preserve"> </w:t>
      </w:r>
      <w:r>
        <w:t xml:space="preserve">implementation of proprietary connections with different APIs of varying quality, use</w:t>
      </w:r>
      <w:r>
        <w:t xml:space="preserve"> </w:t>
      </w:r>
      <w:r>
        <w:t xml:space="preserve">fallback customer interfaces or pay service costs to an aggregator.</w:t>
      </w:r>
      <w:r>
        <w:br/>
      </w:r>
      <w:r>
        <w:t xml:space="preserve">Need 5: More consistency in the application of PSD2</w:t>
      </w:r>
      <w:r>
        <w:t xml:space="preserve"> </w:t>
      </w:r>
      <w:r>
        <w:t xml:space="preserve">Need 5 links to the main problems in consistency of the interpretation and enforcement of</w:t>
      </w:r>
      <w:r>
        <w:t xml:space="preserve"> </w:t>
      </w:r>
      <w:r>
        <w:t xml:space="preserve">PSD across Member States, including (but not limited to) the interpretation and application of</w:t>
      </w:r>
      <w:r>
        <w:t xml:space="preserve"> </w:t>
      </w:r>
      <w:r>
        <w:t xml:space="preserve">exclusions and exemptions.</w:t>
      </w:r>
      <w:r>
        <w:t xml:space="preserve"> </w:t>
      </w:r>
      <w:r>
        <w:t xml:space="preserve">Need 5 has the accompanying specific objective 5 of improving the consistent application of</w:t>
      </w:r>
      <w:r>
        <w:t xml:space="preserve"> </w:t>
      </w:r>
      <w:r>
        <w:t xml:space="preserve">PSD2 across Member States and better aligning licensing and supervisory rules.</w:t>
      </w:r>
      <w:r>
        <w:t xml:space="preserve"> </w:t>
      </w:r>
      <w:r>
        <w:t xml:space="preserve">This need remains highly relevant in a context where slow and/or ineffective enforcement</w:t>
      </w:r>
      <w:r>
        <w:t xml:space="preserve"> </w:t>
      </w:r>
      <w:r>
        <w:t xml:space="preserve">underpins many of the limitations to progress on the PSD2’s objectives analysed under the</w:t>
      </w:r>
      <w:r>
        <w:t xml:space="preserve"> </w:t>
      </w:r>
      <w:r>
        <w:t xml:space="preserve">‘effectiveness’ section. Somewhat counterintuitively, responses to questions in the targeted</w:t>
      </w:r>
      <w:r>
        <w:t xml:space="preserve"> </w:t>
      </w:r>
      <w:r>
        <w:t xml:space="preserve">consultation that focused explicitly on enforcement suggest that stakeholders (notably PSPs</w:t>
      </w:r>
      <w:r>
        <w:t xml:space="preserve"> </w:t>
      </w:r>
      <w:r>
        <w:t xml:space="preserve">and NCAs) consider PSD2 provisions on this matter to be adequate, with respondents mostly</w:t>
      </w:r>
      <w:r>
        <w:t xml:space="preserve"> </w:t>
      </w:r>
      <w:r>
        <w:t xml:space="preserve">agreeing that NCAs are sufficiently empowered to ensure the correct application of PSD2 (64</w:t>
      </w:r>
      <w:r>
        <w:t xml:space="preserve"> </w:t>
      </w:r>
      <w:r>
        <w:t xml:space="preserve">against 18 who disagree) and impose penalties where needed (61/15). However,</w:t>
      </w:r>
      <w:r>
        <w:t xml:space="preserve"> </w:t>
      </w:r>
      <w:r>
        <w:t xml:space="preserve">inconsistencies and/or insufficiency related to supervision and/ or enforcement were also</w:t>
      </w:r>
      <w:r>
        <w:t xml:space="preserve"> </w:t>
      </w:r>
      <w:r>
        <w:t xml:space="preserve">frequently mentioned in many stakeholders’ constributions across various topics. This was</w:t>
      </w:r>
      <w:r>
        <w:t xml:space="preserve"> </w:t>
      </w:r>
      <w:r>
        <w:t xml:space="preserve">particularly the case in relation to the access to customer account data held by ASPSPs, with</w:t>
      </w:r>
    </w:p>
    <w:p>
      <w:pPr>
        <w:pStyle w:val="BodyText"/>
      </w:pPr>
      <w:r>
        <w:t xml:space="preserve">307</w:t>
      </w:r>
      <w:r>
        <w:br/>
      </w:r>
      <w:r>
        <w:t xml:space="preserve">Although in the former case, providers offering stable coin- based payment solutions should fall under</w:t>
      </w:r>
      <w:r>
        <w:t xml:space="preserve"> </w:t>
      </w:r>
      <w:r>
        <w:t xml:space="preserve">the scope of MiCA, in addition to PSD2.</w:t>
      </w:r>
    </w:p>
    <w:p>
      <w:pPr>
        <w:pStyle w:val="BodyText"/>
      </w:pPr>
      <w:r>
        <w:t xml:space="preserve">154</w:t>
      </w:r>
    </w:p>
    <w:p>
      <w:pPr>
        <w:pStyle w:val="BodyText"/>
      </w:pPr>
      <w:r>
        <w:t xml:space="preserve">many TPPs noting insufficient enforcement with regard to the implementation of data access</w:t>
      </w:r>
      <w:r>
        <w:t xml:space="preserve"> </w:t>
      </w:r>
      <w:r>
        <w:t xml:space="preserve">interfaces. The same issue was also raised in the EBA in its Advice, as noted previously.</w:t>
      </w:r>
      <w:r>
        <w:t xml:space="preserve"> </w:t>
      </w:r>
      <w:r>
        <w:t xml:space="preserve">The need also remains relevant considering how the definition of “payment account”</w:t>
      </w:r>
      <w:r>
        <w:t xml:space="preserve"> </w:t>
      </w:r>
      <w:r>
        <w:t xml:space="preserve">continues to be differently interpreted across the EU. In this regard, the EBA observed how</w:t>
      </w:r>
      <w:r>
        <w:t xml:space="preserve"> </w:t>
      </w:r>
      <w:r>
        <w:t xml:space="preserve">different interpretations have led to uncertainty regarding the different types of account data</w:t>
      </w:r>
      <w:r>
        <w:t xml:space="preserve"> </w:t>
      </w:r>
      <w:r>
        <w:t xml:space="preserve">which can be accessed by AISPs and PISPs across the EU, with, for instance, AISPs</w:t>
      </w:r>
      <w:r>
        <w:t xml:space="preserve"> </w:t>
      </w:r>
      <w:r>
        <w:t xml:space="preserve">accessing credit card data in some jurisdictions but not in others.</w:t>
      </w:r>
      <w:r>
        <w:t xml:space="preserve"> </w:t>
      </w:r>
      <w:r>
        <w:t xml:space="preserve">Moreover, guidance and responses to regulatory questions from national supervisors still vary</w:t>
      </w:r>
      <w:r>
        <w:t xml:space="preserve"> </w:t>
      </w:r>
      <w:r>
        <w:t xml:space="preserve">across Member States resulting in interpretational and market transparency issues for new</w:t>
      </w:r>
      <w:r>
        <w:t xml:space="preserve"> </w:t>
      </w:r>
      <w:r>
        <w:t xml:space="preserve">market actors, incumbents and users. Notably, in this regard, the EBA has noted in its Advice</w:t>
      </w:r>
      <w:r>
        <w:t xml:space="preserve"> </w:t>
      </w:r>
      <w:r>
        <w:t xml:space="preserve">that the application of the requirements on the ‘limited network exclusion’ under Article 3(k)</w:t>
      </w:r>
      <w:r>
        <w:t xml:space="preserve"> </w:t>
      </w:r>
      <w:r>
        <w:t xml:space="preserve">of PSD2 diverge significantly between Member States, creating opportunities for regulatory</w:t>
      </w:r>
      <w:r>
        <w:t xml:space="preserve"> </w:t>
      </w:r>
      <w:r>
        <w:t xml:space="preserve">arbitrage. Similarly, the EBA has identified issues related to the interpretation and application</w:t>
      </w:r>
      <w:r>
        <w:t xml:space="preserve"> </w:t>
      </w:r>
      <w:r>
        <w:t xml:space="preserve">of the ‘commercial agent’ exclusion under Article 3(b) of PSD2. Particularly, the EBA notes</w:t>
      </w:r>
      <w:r>
        <w:t xml:space="preserve"> </w:t>
      </w:r>
      <w:r>
        <w:t xml:space="preserve">that, considering that commercial agents are typically defined in national civil law, which can</w:t>
      </w:r>
      <w:r>
        <w:t xml:space="preserve"> </w:t>
      </w:r>
      <w:r>
        <w:t xml:space="preserve">diverge from one Member State to another, lack of clarity in the provisions regarding the</w:t>
      </w:r>
      <w:r>
        <w:t xml:space="preserve"> </w:t>
      </w:r>
      <w:r>
        <w:t xml:space="preserve">specific use-cases that are intended to be covered by the exclusion hampers consistency.</w:t>
      </w:r>
      <w:r>
        <w:t xml:space="preserve"> </w:t>
      </w:r>
      <w:r>
        <w:t xml:space="preserve">Finally, this need remains relevant in the context of unharmonised application of the methods</w:t>
      </w:r>
      <w:r>
        <w:t xml:space="preserve"> </w:t>
      </w:r>
      <w:r>
        <w:t xml:space="preserve">for calculation of own funds of PI across the EU under Article 9 of PSD2. More precisely, the</w:t>
      </w:r>
      <w:r>
        <w:t xml:space="preserve"> </w:t>
      </w:r>
      <w:r>
        <w:t xml:space="preserve">EBA notes a divergence in the application of the requirement on who should be responsible</w:t>
      </w:r>
      <w:r>
        <w:t xml:space="preserve"> </w:t>
      </w:r>
      <w:r>
        <w:t xml:space="preserve">for choosing the method for the calculation of own funds where, at times, PIs were allowed to</w:t>
      </w:r>
      <w:r>
        <w:t xml:space="preserve"> </w:t>
      </w:r>
      <w:r>
        <w:t xml:space="preserve">choose the method, potentially leading to regulatory arbitrage.</w:t>
      </w:r>
      <w:r>
        <w:br/>
      </w:r>
      <w:r>
        <w:t xml:space="preserve">Need 6: Harmonization of licensing and supervisory rules and practices</w:t>
      </w:r>
      <w:r>
        <w:t xml:space="preserve"> </w:t>
      </w:r>
      <w:r>
        <w:t xml:space="preserve">Need 6 addresses the issue of the wide margin of discretion in the interpretation of PSD1,</w:t>
      </w:r>
      <w:r>
        <w:t xml:space="preserve"> </w:t>
      </w:r>
      <w:r>
        <w:t xml:space="preserve">leading to diverging licensing and supervisory practices in Member States.</w:t>
      </w:r>
      <w:r>
        <w:t xml:space="preserve"> </w:t>
      </w:r>
      <w:r>
        <w:t xml:space="preserve">Need 6 is also covered by specific objective 5 of improving the consistent application of</w:t>
      </w:r>
      <w:r>
        <w:t xml:space="preserve"> </w:t>
      </w:r>
      <w:r>
        <w:t xml:space="preserve">PSD2 across Member States and better aligning licensing and supervisory rules.</w:t>
      </w:r>
      <w:r>
        <w:t xml:space="preserve"> </w:t>
      </w:r>
      <w:r>
        <w:t xml:space="preserve">This need remains highly relevant as divergence in licensing and supervisory rules and</w:t>
      </w:r>
      <w:r>
        <w:t xml:space="preserve"> </w:t>
      </w:r>
      <w:r>
        <w:t xml:space="preserve">practices across Member States has remained since the launch of the PSD2. Indeed, responses</w:t>
      </w:r>
      <w:r>
        <w:t xml:space="preserve"> </w:t>
      </w:r>
      <w:r>
        <w:t xml:space="preserve">submitted in the targeted consultation revealed that a majority of stakeholders find that both</w:t>
      </w:r>
      <w:r>
        <w:t xml:space="preserve"> </w:t>
      </w:r>
      <w:r>
        <w:t xml:space="preserve">the PSD2 authorisation and supervisory frameworks are not applied consistently across the</w:t>
      </w:r>
      <w:r>
        <w:t xml:space="preserve"> </w:t>
      </w:r>
      <w:r>
        <w:t xml:space="preserve">EU (60% and 76%, respectively, of those who responded to these questions). Relatedly, some</w:t>
      </w:r>
      <w:r>
        <w:t xml:space="preserve"> </w:t>
      </w:r>
      <w:r>
        <w:t xml:space="preserve">respondents to the targeted consultation found that PSD2 leads to regulatory arbitrage (21%).</w:t>
      </w:r>
      <w:r>
        <w:t xml:space="preserve"> </w:t>
      </w:r>
      <w:r>
        <w:t xml:space="preserve">More precisely, the need for further harmonizing supervisory practices remains relevant in</w:t>
      </w:r>
      <w:r>
        <w:t xml:space="preserve"> </w:t>
      </w:r>
      <w:r>
        <w:t xml:space="preserve">the context of persistent divergence in NCAs’ assessment of whether cross-border activities</w:t>
      </w:r>
      <w:r>
        <w:t xml:space="preserve"> </w:t>
      </w:r>
      <w:r>
        <w:t xml:space="preserve">carried out by PIs and EMIs using agents or distributors fall under the ROE or the FPS. As</w:t>
      </w:r>
      <w:r>
        <w:t xml:space="preserve"> </w:t>
      </w:r>
      <w:r>
        <w:t xml:space="preserve">noted in the EBA’s Advice, such divergences can lead to disagreements between NCAs</w:t>
      </w:r>
    </w:p>
    <w:p>
      <w:pPr>
        <w:pStyle w:val="BodyText"/>
      </w:pPr>
      <w:r>
        <w:t xml:space="preserve">155</w:t>
      </w:r>
    </w:p>
    <w:p>
      <w:pPr>
        <w:pStyle w:val="BodyText"/>
      </w:pPr>
      <w:r>
        <w:t xml:space="preserve">and/or between NCAs and PSPs as to the applicable regulatory requirements and supervisory</w:t>
      </w:r>
      <w:r>
        <w:t xml:space="preserve"> </w:t>
      </w:r>
      <w:r>
        <w:t xml:space="preserve">powers. Moreover, as the EBA also notes, NCAs have taken divergent approaches to how</w:t>
      </w:r>
      <w:r>
        <w:t xml:space="preserve"> </w:t>
      </w:r>
      <w:r>
        <w:t xml:space="preserve">passporting notifications should be treated in the case of “triangular passporting”, creating</w:t>
      </w:r>
      <w:r>
        <w:t xml:space="preserve"> </w:t>
      </w:r>
      <w:r>
        <w:t xml:space="preserve">challenges to the supervision of activities carried out in the host Member State (including</w:t>
      </w:r>
      <w:r>
        <w:t xml:space="preserve"> </w:t>
      </w:r>
      <w:r>
        <w:t xml:space="preserve">from an AML/CFT perspective).</w:t>
      </w:r>
      <w:r>
        <w:t xml:space="preserve"> </w:t>
      </w:r>
      <w:r>
        <w:t xml:space="preserve">This need also continues to be relevant with regard to the divergence across Member States in</w:t>
      </w:r>
      <w:r>
        <w:t xml:space="preserve"> </w:t>
      </w:r>
      <w:r>
        <w:t xml:space="preserve">their approaches to the authorisation of payment services linked to a payment account, and</w:t>
      </w:r>
      <w:r>
        <w:t xml:space="preserve"> </w:t>
      </w:r>
      <w:r>
        <w:t xml:space="preserve">notably in the authorization requirements for PIs, as previously noted (cf. 4.1.1 Obj. 3).</w:t>
      </w:r>
      <w:r>
        <w:t xml:space="preserve"> </w:t>
      </w:r>
      <w:r>
        <w:t xml:space="preserve">Finally, both the VVA/CEPS study and the EBA Advice have reported PSPs’ concerns</w:t>
      </w:r>
      <w:r>
        <w:t xml:space="preserve"> </w:t>
      </w:r>
      <w:r>
        <w:t xml:space="preserve">regarding differences in the duration of the application process across national authorities.</w:t>
      </w:r>
      <w:r>
        <w:t xml:space="preserve"> </w:t>
      </w:r>
      <w:r>
        <w:t xml:space="preserve">While Article 12 of PSD2 prescribes that national competent authorities shall inform the</w:t>
      </w:r>
      <w:r>
        <w:t xml:space="preserve"> </w:t>
      </w:r>
      <w:r>
        <w:t xml:space="preserve">applicant whether an authorisation is granted or refused within 3 months, the EBA has</w:t>
      </w:r>
      <w:r>
        <w:t xml:space="preserve"> </w:t>
      </w:r>
      <w:r>
        <w:t xml:space="preserve">flagged concerns by applicants in relation to the duration of the authorisation process in some</w:t>
      </w:r>
      <w:r>
        <w:t xml:space="preserve"> </w:t>
      </w:r>
      <w:r>
        <w:t xml:space="preserve">Member States where, at times, it may exceed one year. Besides making such activities</w:t>
      </w:r>
      <w:r>
        <w:t xml:space="preserve"> </w:t>
      </w:r>
      <w:r>
        <w:t xml:space="preserve">difficult, one effect is the scope for regulatory arbitrage, as firms can passport their service</w:t>
      </w:r>
      <w:r>
        <w:t xml:space="preserve"> </w:t>
      </w:r>
      <w:r>
        <w:t xml:space="preserve">across Europe after having established themselves in one Member State (for which there</w:t>
      </w:r>
      <w:r>
        <w:t xml:space="preserve"> </w:t>
      </w:r>
      <w:r>
        <w:t xml:space="preserve">might be more or less regulatory requirements to do so).</w:t>
      </w:r>
      <w:r>
        <w:t xml:space="preserve"> </w:t>
      </w:r>
      <w:r>
        <w:t xml:space="preserve">3) Problem driver 3: Lagging consumer protection</w:t>
      </w:r>
      <w:r>
        <w:t xml:space="preserve"> </w:t>
      </w:r>
      <w:r>
        <w:t xml:space="preserve">Need 7: Increased consumer protection</w:t>
      </w:r>
      <w:r>
        <w:t xml:space="preserve"> </w:t>
      </w:r>
      <w:r>
        <w:t xml:space="preserve">Need 7 refers to the security risks co-emerging with the development and adoption of new</w:t>
      </w:r>
      <w:r>
        <w:t xml:space="preserve"> </w:t>
      </w:r>
      <w:r>
        <w:t xml:space="preserve">payment solutions, increased digitalisation, and the growing popularity of e-commerce.</w:t>
      </w:r>
      <w:r>
        <w:t xml:space="preserve"> </w:t>
      </w:r>
      <w:r>
        <w:t xml:space="preserve">Need 7 links to general objective 5 of ensuring a high level of protection for users across all</w:t>
      </w:r>
      <w:r>
        <w:t xml:space="preserve"> </w:t>
      </w:r>
      <w:r>
        <w:t xml:space="preserve">Member States. Additionally, it is addressed by specific objective 6 of protecting consumer</w:t>
      </w:r>
      <w:r>
        <w:t xml:space="preserve"> </w:t>
      </w:r>
      <w:r>
        <w:t xml:space="preserve">interests and extending protection to new channels and innovative payment services.</w:t>
      </w:r>
      <w:r>
        <w:t xml:space="preserve"> </w:t>
      </w:r>
      <w:r>
        <w:t xml:space="preserve">This need remains relevant within a continuing market context of an increased use of cashless</w:t>
      </w:r>
      <w:r>
        <w:t xml:space="preserve"> </w:t>
      </w:r>
      <w:r>
        <w:t xml:space="preserve">and contactless payment methods, and security of payment remains one of the main priorities</w:t>
      </w:r>
      <w:r>
        <w:t xml:space="preserve"> </w:t>
      </w:r>
      <w:r>
        <w:t xml:space="preserve">for consumers when choosing a payment method. EBA’s preliminary analysis of payment</w:t>
      </w:r>
      <w:r>
        <w:t xml:space="preserve"> </w:t>
      </w:r>
      <w:r>
        <w:t xml:space="preserve">fraud data308 and the assessment of the SCA migration data for e-commerce card-based</w:t>
      </w:r>
      <w:r>
        <w:t xml:space="preserve"> </w:t>
      </w:r>
      <w:r>
        <w:t xml:space="preserve">payment transactions309 suggested that fraud rates are significantly lower for payment</w:t>
      </w:r>
      <w:r>
        <w:t xml:space="preserve"> </w:t>
      </w:r>
      <w:r>
        <w:t xml:space="preserve">transactions where SCA is applied compared to those where SCA is not applied.</w:t>
      </w:r>
    </w:p>
    <w:p>
      <w:pPr>
        <w:pStyle w:val="BodyText"/>
      </w:pPr>
      <w:r>
        <w:t xml:space="preserve">308</w:t>
      </w:r>
      <w:r>
        <w:br/>
      </w:r>
      <w:r>
        <w:t xml:space="preserve">EBA, Discussion Paper On EBA’s Preliminary Observations on Selected Payment Fraud Data Under</w:t>
      </w:r>
      <w:r>
        <w:t xml:space="preserve"> </w:t>
      </w:r>
      <w:r>
        <w:t xml:space="preserve">PSD2, as Reported by the Industry, EBA/DP/2022/01, 17 January 2022.</w:t>
      </w:r>
      <w:r>
        <w:t xml:space="preserve"> </w:t>
      </w:r>
      <w:r>
        <w:t xml:space="preserve">309</w:t>
      </w:r>
      <w:r>
        <w:br/>
      </w:r>
      <w:r>
        <w:t xml:space="preserve">EBA, Report On The Data Provided By Payment Service Providers On Their Readiness To Apply</w:t>
      </w:r>
      <w:r>
        <w:t xml:space="preserve"> </w:t>
      </w:r>
      <w:r>
        <w:t xml:space="preserve">Strong Customer Authentication For E‐Commerce Card‐Based Payment Transactions, EBA/REP/2021/16,</w:t>
      </w:r>
      <w:r>
        <w:t xml:space="preserve"> </w:t>
      </w:r>
      <w:r>
        <w:t xml:space="preserve">2021.</w:t>
      </w:r>
    </w:p>
    <w:p>
      <w:pPr>
        <w:pStyle w:val="BodyText"/>
      </w:pPr>
      <w:r>
        <w:t xml:space="preserve">156</w:t>
      </w:r>
    </w:p>
    <w:p>
      <w:pPr>
        <w:pStyle w:val="BodyText"/>
      </w:pPr>
      <w:r>
        <w:t xml:space="preserve">Notwithstanding, as also reported by the EBA310, fraud rates in H2 2020 still differed</w:t>
      </w:r>
      <w:r>
        <w:t xml:space="preserve"> </w:t>
      </w:r>
      <w:r>
        <w:t xml:space="preserve">between the EEA countries and across the selected payment instruments311. In addition, the</w:t>
      </w:r>
      <w:r>
        <w:t xml:space="preserve"> </w:t>
      </w:r>
      <w:r>
        <w:t xml:space="preserve">emergence of new types of fraud (including social engineering, phishing, malware)312 means</w:t>
      </w:r>
      <w:r>
        <w:t xml:space="preserve"> </w:t>
      </w:r>
      <w:r>
        <w:t xml:space="preserve">that the need for customer protection remains relevant.</w:t>
      </w:r>
      <w:r>
        <w:t xml:space="preserve"> </w:t>
      </w:r>
      <w:r>
        <w:t xml:space="preserve">Furthermore, this need remains relevant in the context of three new market developments.</w:t>
      </w:r>
      <w:r>
        <w:t xml:space="preserve"> </w:t>
      </w:r>
      <w:r>
        <w:t xml:space="preserve">First, in the context of the emergence of premium APIs and “license-as-a-service” providers,</w:t>
      </w:r>
      <w:r>
        <w:t xml:space="preserve"> </w:t>
      </w:r>
      <w:r>
        <w:t xml:space="preserve">consumers may not be able to differentiate between licensed and unlicensed parties, and thus</w:t>
      </w:r>
      <w:r>
        <w:t xml:space="preserve"> </w:t>
      </w:r>
      <w:r>
        <w:t xml:space="preserve">might not be aware of the enhanced risks entailed with non-PSD2 licensed entities (e.g. fraud</w:t>
      </w:r>
      <w:r>
        <w:t xml:space="preserve"> </w:t>
      </w:r>
      <w:r>
        <w:t xml:space="preserve">or misappropriation of funds, lower technical security standards and less transparency on</w:t>
      </w:r>
      <w:r>
        <w:t xml:space="preserve"> </w:t>
      </w:r>
      <w:r>
        <w:t xml:space="preserve">costs). Second, one remark emerging in the VVA/CEPS study concerns how safety of</w:t>
      </w:r>
      <w:r>
        <w:t xml:space="preserve"> </w:t>
      </w:r>
      <w:r>
        <w:t xml:space="preserve">consumer’s accounts and data might become more difficult to ensure in a context where</w:t>
      </w:r>
      <w:r>
        <w:t xml:space="preserve"> </w:t>
      </w:r>
      <w:r>
        <w:t xml:space="preserve">ASPSPs will not always have sight on which TPPs ultimately use the customer data or</w:t>
      </w:r>
      <w:r>
        <w:t xml:space="preserve"> </w:t>
      </w:r>
      <w:r>
        <w:t xml:space="preserve">initiate a payment when transmitted through an aggregator.</w:t>
      </w:r>
      <w:r>
        <w:t xml:space="preserve"> </w:t>
      </w:r>
      <w:r>
        <w:t xml:space="preserve">Finally, the need for increased consumer protection is likely to remain relevant with regard to</w:t>
      </w:r>
      <w:r>
        <w:t xml:space="preserve"> </w:t>
      </w:r>
      <w:r>
        <w:t xml:space="preserve">the expected future development of asset-referenced tokens and e-money tokens to become</w:t>
      </w:r>
      <w:r>
        <w:t xml:space="preserve"> </w:t>
      </w:r>
      <w:r>
        <w:t xml:space="preserve">(partial) money substitutes and the adoption of crypto-assets as a means of payment,</w:t>
      </w:r>
      <w:r>
        <w:t xml:space="preserve"> </w:t>
      </w:r>
      <w:r>
        <w:t xml:space="preserve">particularly given the highly technical nature and market volatility related to crypto-assets.</w:t>
      </w:r>
      <w:r>
        <w:t xml:space="preserve"> </w:t>
      </w:r>
      <w:r>
        <w:t xml:space="preserve">As a result of new payment services sometimes falling outside of the scope of PSD2, and the</w:t>
      </w:r>
      <w:r>
        <w:t xml:space="preserve"> </w:t>
      </w:r>
      <w:r>
        <w:t xml:space="preserve">unharmonised authentication methods to access account information, both general objective</w:t>
      </w:r>
      <w:r>
        <w:t xml:space="preserve"> </w:t>
      </w:r>
      <w:r>
        <w:t xml:space="preserve">5 and specific objective 6 therefore remain relevant.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CONCLUSIONS AND LESSONS LEARNED?</w:t>
      </w:r>
      <w:r>
        <w:t xml:space="preserve"> </w:t>
      </w:r>
      <w:r>
        <w:t xml:space="preserve">Based on the analysis presented in the previous sections, this section presents the conclusions</w:t>
      </w:r>
      <w:r>
        <w:t xml:space="preserve"> </w:t>
      </w:r>
      <w:r>
        <w:t xml:space="preserve">of the evaluation of the PSD2 framework. While it is beyond the scope of the evaluation to</w:t>
      </w:r>
      <w:r>
        <w:t xml:space="preserve"> </w:t>
      </w:r>
      <w:r>
        <w:t xml:space="preserve">provide any policy conclusions or follow-up action, the section highlights the main lessons</w:t>
      </w:r>
      <w:r>
        <w:t xml:space="preserve"> </w:t>
      </w:r>
      <w:r>
        <w:t xml:space="preserve">learned, which inform the proposal for revision as well as the impact assessment.</w:t>
      </w:r>
    </w:p>
    <w:p>
      <w:pPr>
        <w:pStyle w:val="BodyText"/>
      </w:pPr>
      <w:r>
        <w:t xml:space="preserve">310</w:t>
      </w:r>
      <w:r>
        <w:br/>
      </w:r>
      <w:r>
        <w:t xml:space="preserve">EBA/DP/2022/01.</w:t>
      </w:r>
      <w:r>
        <w:t xml:space="preserve"> </w:t>
      </w:r>
      <w:r>
        <w:t xml:space="preserve">311</w:t>
      </w:r>
      <w:r>
        <w:br/>
      </w:r>
      <w:r>
        <w:t xml:space="preserve">More precisely, for credit transfers (H22020), the share of fraud in the volume of payments ranged</w:t>
      </w:r>
      <w:r>
        <w:t xml:space="preserve"> </w:t>
      </w:r>
      <w:r>
        <w:t xml:space="preserve">from a rate of 0.0002 % to 0.0027 % (with the median fraud rate at 0.0005 %) across the EEA countries</w:t>
      </w:r>
      <w:r>
        <w:t xml:space="preserve"> </w:t>
      </w:r>
      <w:r>
        <w:t xml:space="preserve">included in the sample. Fraud as share of payment value ranged from 0.0003 % to 0.0025 % (with a median</w:t>
      </w:r>
      <w:r>
        <w:t xml:space="preserve"> </w:t>
      </w:r>
      <w:r>
        <w:t xml:space="preserve">fraud rate of 0.0010 %). For card payments as reported by issuers, the share of fraud in the total volume of</w:t>
      </w:r>
      <w:r>
        <w:t xml:space="preserve"> </w:t>
      </w:r>
      <w:r>
        <w:t xml:space="preserve">payments ranged from 0.0031 % to 0.0309 % (while the median fraud rate was 0.0103%). The share of fraud in</w:t>
      </w:r>
      <w:r>
        <w:t xml:space="preserve"> </w:t>
      </w:r>
      <w:r>
        <w:t xml:space="preserve">the total card payment value ranged from 0.0043 % to 0.0572 % (median fraud rate was 0.0191 %).</w:t>
      </w:r>
      <w:r>
        <w:t xml:space="preserve"> </w:t>
      </w:r>
      <w:r>
        <w:t xml:space="preserve">(EBA/DP/2022/01).</w:t>
      </w:r>
      <w:r>
        <w:t xml:space="preserve"> </w:t>
      </w:r>
      <w:r>
        <w:t xml:space="preserve">312</w:t>
      </w:r>
      <w:r>
        <w:br/>
      </w:r>
      <w:r>
        <w:t xml:space="preserve">European Payments Council, 2022 Payment Threats and Fraud Trends, EPC183-22, 23/11/2022.</w:t>
      </w:r>
    </w:p>
    <w:p>
      <w:pPr>
        <w:pStyle w:val="BodyText"/>
      </w:pPr>
      <w:r>
        <w:t xml:space="preserve">157</w:t>
      </w:r>
    </w:p>
    <w:p>
      <w:pPr>
        <w:pStyle w:val="BodyText"/>
      </w:pPr>
      <w:r>
        <w:t xml:space="preserve">5.1.</w:t>
      </w:r>
      <w:r>
        <w:br/>
      </w:r>
      <w:r>
        <w:t xml:space="preserve">Conclusions</w:t>
      </w:r>
      <w:r>
        <w:t xml:space="preserve"> </w:t>
      </w:r>
      <w:r>
        <w:t xml:space="preserve">The evaluation analysis has shown that, despite certain shortcomings, the current PSD2</w:t>
      </w:r>
      <w:r>
        <w:t xml:space="preserve"> </w:t>
      </w:r>
      <w:r>
        <w:t xml:space="preserve">framework has enabled progress towards its objectives, while being relatively efficient with</w:t>
      </w:r>
      <w:r>
        <w:t xml:space="preserve"> </w:t>
      </w:r>
      <w:r>
        <w:t xml:space="preserve">regard to its costs, and delivering EU added value.</w:t>
      </w:r>
      <w:r>
        <w:br/>
      </w:r>
      <w:r>
        <w:t xml:space="preserve">More specifically, the PSD2 framework has been particularly effective with regard to its goal</w:t>
      </w:r>
      <w:r>
        <w:t xml:space="preserve"> </w:t>
      </w:r>
      <w:r>
        <w:t xml:space="preserve">of increasing the efficiency, transparency and choice of payment instruments for payment</w:t>
      </w:r>
      <w:r>
        <w:t xml:space="preserve"> </w:t>
      </w:r>
      <w:r>
        <w:t xml:space="preserve">service users (general objective 2). While the evaluation has identified some scope for</w:t>
      </w:r>
      <w:r>
        <w:t xml:space="preserve"> </w:t>
      </w:r>
      <w:r>
        <w:t xml:space="preserve">improvement (including more transparent information on PSPs’ business information and</w:t>
      </w:r>
      <w:r>
        <w:t xml:space="preserve"> </w:t>
      </w:r>
      <w:r>
        <w:t xml:space="preserve">charges), it has also been demonstrated that the PSD2 framework has contributed to increase</w:t>
      </w:r>
      <w:r>
        <w:t xml:space="preserve"> </w:t>
      </w:r>
      <w:r>
        <w:t xml:space="preserve">the choice of payment solutions available to PSUs, including by harmonizing steering and</w:t>
      </w:r>
      <w:r>
        <w:t xml:space="preserve"> </w:t>
      </w:r>
      <w:r>
        <w:t xml:space="preserve">charging practices and facilitating the passporting of services by TPPs across the EU.</w:t>
      </w:r>
      <w:r>
        <w:t xml:space="preserve"> </w:t>
      </w:r>
      <w:r>
        <w:t xml:space="preserve">The PSD2 has also been mostly successful regarding its consumer protection objectives</w:t>
      </w:r>
      <w:r>
        <w:t xml:space="preserve"> </w:t>
      </w:r>
      <w:r>
        <w:t xml:space="preserve">(general objective 5). Particularly, provisions on SCA have significantly reduced the risk of</w:t>
      </w:r>
      <w:r>
        <w:t xml:space="preserve"> </w:t>
      </w:r>
      <w:r>
        <w:t xml:space="preserve">fraudulent transactions for consumers, even if the inherently adaptive nature of fraud calls for</w:t>
      </w:r>
      <w:r>
        <w:t xml:space="preserve"> </w:t>
      </w:r>
      <w:r>
        <w:t xml:space="preserve">attention to new practices that have developed since (e.g. social engineering fraud). Another</w:t>
      </w:r>
      <w:r>
        <w:t xml:space="preserve"> </w:t>
      </w:r>
      <w:r>
        <w:t xml:space="preserve">point of caution concerns the technological bias towards mobile devices which can lead to the</w:t>
      </w:r>
      <w:r>
        <w:t xml:space="preserve"> </w:t>
      </w:r>
      <w:r>
        <w:t xml:space="preserve">exclusion of some consumer groups from access to some services (e.g. remote electronic</w:t>
      </w:r>
      <w:r>
        <w:t xml:space="preserve"> </w:t>
      </w:r>
      <w:r>
        <w:t xml:space="preserve">payments, online access to payment accounts), and their associated customer protection.</w:t>
      </w:r>
      <w:r>
        <w:t xml:space="preserve"> </w:t>
      </w:r>
      <w:r>
        <w:t xml:space="preserve">The conclusions of the evaluation are however less positive with regard to progress made on</w:t>
      </w:r>
      <w:r>
        <w:t xml:space="preserve"> </w:t>
      </w:r>
      <w:r>
        <w:t xml:space="preserve">the market failure-related problem drivers identified in the PSD2 Impact Assessment. With</w:t>
      </w:r>
      <w:r>
        <w:t xml:space="preserve"> </w:t>
      </w:r>
      <w:r>
        <w:t xml:space="preserve">regard to competition and level playing field objectives (general objective 1), the extension of</w:t>
      </w:r>
      <w:r>
        <w:t xml:space="preserve"> </w:t>
      </w:r>
      <w:r>
        <w:t xml:space="preserve">the legislation’s scope to cover previously unregulated market players (i.e. PISPs and AISPs)</w:t>
      </w:r>
      <w:r>
        <w:t xml:space="preserve"> </w:t>
      </w:r>
      <w:r>
        <w:t xml:space="preserve">has been followed by an increase in the number of TPPs, as well as innovation in the</w:t>
      </w:r>
      <w:r>
        <w:t xml:space="preserve"> </w:t>
      </w:r>
      <w:r>
        <w:t xml:space="preserve">payments market. Notwithstanding, the evaluation has identified important limitations to</w:t>
      </w:r>
      <w:r>
        <w:t xml:space="preserve"> </w:t>
      </w:r>
      <w:r>
        <w:t xml:space="preserve">PSD2’s effectiveness regarding this goal, most notably the persisting unbalance in the level</w:t>
      </w:r>
      <w:r>
        <w:t xml:space="preserve"> </w:t>
      </w:r>
      <w:r>
        <w:t xml:space="preserve">playing field between bank and non-bank PSPs ensuing from the lack of direct access to</w:t>
      </w:r>
      <w:r>
        <w:t xml:space="preserve"> </w:t>
      </w:r>
      <w:r>
        <w:t xml:space="preserve">payment systems by the latter.</w:t>
      </w:r>
      <w:r>
        <w:t xml:space="preserve"> </w:t>
      </w:r>
      <w:r>
        <w:t xml:space="preserve">Also, the goal of broadening market access for TPPs (general objective 4) has not been fully</w:t>
      </w:r>
      <w:r>
        <w:t xml:space="preserve"> </w:t>
      </w:r>
      <w:r>
        <w:t xml:space="preserve">achieved by current provisions on Open Banking, mostly as a result of a fragmented</w:t>
      </w:r>
      <w:r>
        <w:t xml:space="preserve"> </w:t>
      </w:r>
      <w:r>
        <w:t xml:space="preserve">landscape of variable quality APIs and unsatisfactory data sharing. In this context, ASPSPs</w:t>
      </w:r>
      <w:r>
        <w:t xml:space="preserve"> </w:t>
      </w:r>
      <w:r>
        <w:t xml:space="preserve">have been concerned with the cost of developing APIs, claiming a lack of remuneration</w:t>
      </w:r>
      <w:r>
        <w:t xml:space="preserve"> </w:t>
      </w:r>
      <w:r>
        <w:t xml:space="preserve">incentives. In turn, TPPs have often pointed out the lesser quality of those access interfaces</w:t>
      </w:r>
      <w:r>
        <w:t xml:space="preserve"> </w:t>
      </w:r>
      <w:r>
        <w:t xml:space="preserve">provided by ASPSPs (when compared to their own user interfaces), as well as the additional</w:t>
      </w:r>
      <w:r>
        <w:t xml:space="preserve"> </w:t>
      </w:r>
      <w:r>
        <w:t xml:space="preserve">costs related to connecting to different APIs. In this context, while the general view held by</w:t>
      </w:r>
      <w:r>
        <w:t xml:space="preserve"> </w:t>
      </w:r>
      <w:r>
        <w:t xml:space="preserve">both ASPSPs and TPPs is against API standardization, it is noteworthy that several TPPs</w:t>
      </w:r>
      <w:r>
        <w:t xml:space="preserve"> </w:t>
      </w:r>
      <w:r>
        <w:t xml:space="preserve">expressed agreement with a remuneration model for ASPSPs for services beyond the baseline</w:t>
      </w:r>
      <w:r>
        <w:t xml:space="preserve"> </w:t>
      </w:r>
      <w:r>
        <w:t xml:space="preserve">as potentially leading to an improvement in data access.</w:t>
      </w:r>
      <w:r>
        <w:t xml:space="preserve"> </w:t>
      </w:r>
      <w:r>
        <w:t xml:space="preserve">However, PSD2 has also only had limited success in improving the EU cross-border</w:t>
      </w:r>
      <w:r>
        <w:t xml:space="preserve"> </w:t>
      </w:r>
      <w:r>
        <w:t xml:space="preserve">payments market, as fragmentation along national lines persists, despite the appearance of</w:t>
      </w:r>
    </w:p>
    <w:p>
      <w:pPr>
        <w:pStyle w:val="BodyText"/>
      </w:pPr>
      <w:r>
        <w:t xml:space="preserve">158</w:t>
      </w:r>
    </w:p>
    <w:p>
      <w:pPr>
        <w:pStyle w:val="BodyText"/>
      </w:pPr>
      <w:r>
        <w:t xml:space="preserve">certain pan-EU payment Fintech PSPs. Accordingly, while cross-border credit transfers have</w:t>
      </w:r>
      <w:r>
        <w:t xml:space="preserve"> </w:t>
      </w:r>
      <w:r>
        <w:t xml:space="preserve">been facilitated in the context of developments related to the SEPA Regulation, the market in</w:t>
      </w:r>
      <w:r>
        <w:t xml:space="preserve"> </w:t>
      </w:r>
      <w:r>
        <w:t xml:space="preserve">cross-border card payments is still dominated by international card schemes, especially as</w:t>
      </w:r>
      <w:r>
        <w:t xml:space="preserve"> </w:t>
      </w:r>
      <w:r>
        <w:t xml:space="preserve">interoperability between domestic account-to-account and card payment schemes remains</w:t>
      </w:r>
      <w:r>
        <w:t xml:space="preserve"> </w:t>
      </w:r>
      <w:r>
        <w:t xml:space="preserve">limited.</w:t>
      </w:r>
      <w:r>
        <w:t xml:space="preserve"> </w:t>
      </w:r>
      <w:r>
        <w:t xml:space="preserve">Regarding efficiency, the cost-benefit analysis carried out by the VVA/CEPS study has</w:t>
      </w:r>
      <w:r>
        <w:t xml:space="preserve"> </w:t>
      </w:r>
      <w:r>
        <w:t xml:space="preserve">identified that the largest cost items associated with the implementation of PSD2 are linked to</w:t>
      </w:r>
      <w:r>
        <w:t xml:space="preserve"> </w:t>
      </w:r>
      <w:r>
        <w:t xml:space="preserve">Open Banking and in particular API-development, SCA roll-out (implementation costs and</w:t>
      </w:r>
      <w:r>
        <w:t xml:space="preserve"> </w:t>
      </w:r>
      <w:r>
        <w:t xml:space="preserve">increase in transaction abandonment rates) and legal interpretation/uncertainty. However, this</w:t>
      </w:r>
      <w:r>
        <w:t xml:space="preserve"> </w:t>
      </w:r>
      <w:r>
        <w:t xml:space="preserve">conclusion should be taken with caution, due to the assumptions used and the paucity of data</w:t>
      </w:r>
      <w:r>
        <w:t xml:space="preserve"> </w:t>
      </w:r>
      <w:r>
        <w:t xml:space="preserve">(only two responses from banks). A large majority of credit institutions and banking</w:t>
      </w:r>
      <w:r>
        <w:t xml:space="preserve"> </w:t>
      </w:r>
      <w:r>
        <w:t xml:space="preserve">associations consulted for the study considered that the costs of the PSD2 so far largely</w:t>
      </w:r>
      <w:r>
        <w:t xml:space="preserve"> </w:t>
      </w:r>
      <w:r>
        <w:t xml:space="preserve">outweigh the benefits. National authorities and TPPs established before PSD2 was introduced</w:t>
      </w:r>
      <w:r>
        <w:t xml:space="preserve"> </w:t>
      </w:r>
      <w:r>
        <w:t xml:space="preserve">were more positive about the general impact, but they tended to agree with the overall</w:t>
      </w:r>
      <w:r>
        <w:t xml:space="preserve"> </w:t>
      </w:r>
      <w:r>
        <w:t xml:space="preserve">negative assessment. But these largely one-off costs are expected to be offset over time by</w:t>
      </w:r>
      <w:r>
        <w:t xml:space="preserve"> </w:t>
      </w:r>
      <w:r>
        <w:t xml:space="preserve">recurring benefits, most of which come from the improvement of the functioning of the single</w:t>
      </w:r>
      <w:r>
        <w:t xml:space="preserve"> </w:t>
      </w:r>
      <w:r>
        <w:t xml:space="preserve">market, followed by unlocked potential for innovation, and a more secure payment</w:t>
      </w:r>
      <w:r>
        <w:t xml:space="preserve"> </w:t>
      </w:r>
      <w:r>
        <w:t xml:space="preserve">environment. While the costs of the PSD2 were incurred in the initial stages (i.e. substantial</w:t>
      </w:r>
      <w:r>
        <w:t xml:space="preserve"> </w:t>
      </w:r>
      <w:r>
        <w:t xml:space="preserve">investment costs), the benefits – although significant – only materialise gradually, and it is</w:t>
      </w:r>
      <w:r>
        <w:t xml:space="preserve"> </w:t>
      </w:r>
      <w:r>
        <w:t xml:space="preserve">therefore difficult to draw an overall conclusion regarding costs and benefits at this time, as</w:t>
      </w:r>
      <w:r>
        <w:t xml:space="preserve"> </w:t>
      </w:r>
      <w:r>
        <w:t xml:space="preserve">only few years have passed since the PSD2 has been fully implemented. The results of the</w:t>
      </w:r>
      <w:r>
        <w:t xml:space="preserve"> </w:t>
      </w:r>
      <w:r>
        <w:t xml:space="preserve">analysis of costs and benefits suggest that the most substantial items are sunk (one-off) costs</w:t>
      </w:r>
      <w:r>
        <w:t xml:space="preserve"> </w:t>
      </w:r>
      <w:r>
        <w:t xml:space="preserve">that have already been incurred. Therefore, the potential for cost reduction is overall</w:t>
      </w:r>
      <w:r>
        <w:t xml:space="preserve"> </w:t>
      </w:r>
      <w:r>
        <w:t xml:space="preserve">relatively modest.</w:t>
      </w:r>
      <w:r>
        <w:t xml:space="preserve"> </w:t>
      </w:r>
      <w:r>
        <w:t xml:space="preserve">Notwithstanding, when considering efficiency, several limitations, in particular as regards the</w:t>
      </w:r>
      <w:r>
        <w:t xml:space="preserve"> </w:t>
      </w:r>
      <w:r>
        <w:t xml:space="preserve">robustness of data, apply. More precisely, the efficiency analysis is based on the results of the</w:t>
      </w:r>
      <w:r>
        <w:t xml:space="preserve"> </w:t>
      </w:r>
      <w:r>
        <w:t xml:space="preserve">cost-benefit analysis presented in the VVA/CEPS study on the basis of its stakeholder</w:t>
      </w:r>
      <w:r>
        <w:t xml:space="preserve"> </w:t>
      </w:r>
      <w:r>
        <w:t xml:space="preserve">consultation, as well as of an analysis of the relevant literature. Evidence on the costs and</w:t>
      </w:r>
      <w:r>
        <w:t xml:space="preserve"> </w:t>
      </w:r>
      <w:r>
        <w:t xml:space="preserve">benefits of PSD2 is, however, still scarce and the literature generally considers the expected</w:t>
      </w:r>
      <w:r>
        <w:t xml:space="preserve"> </w:t>
      </w:r>
      <w:r>
        <w:t xml:space="preserve">impacts rather than providing actual costs/benefits or specific estimates. Stakeholder</w:t>
      </w:r>
      <w:r>
        <w:t xml:space="preserve"> </w:t>
      </w:r>
      <w:r>
        <w:t xml:space="preserve">feedback is largely focused on early-stage effects, like one-off implementation costs (e.g. </w:t>
      </w:r>
      <w:r>
        <w:t xml:space="preserve"> </w:t>
      </w:r>
      <w:r>
        <w:t xml:space="preserve">enabling of account data access, SCA), whereas the longer-term effects can only be</w:t>
      </w:r>
      <w:r>
        <w:t xml:space="preserve"> </w:t>
      </w:r>
      <w:r>
        <w:t xml:space="preserve">estimated. Moreover, another caveat is that costs and benefits may vary between Member</w:t>
      </w:r>
      <w:r>
        <w:t xml:space="preserve"> </w:t>
      </w:r>
      <w:r>
        <w:t xml:space="preserve">States. Despite these limitations in the data underlying the evaluation analysis, findings from</w:t>
      </w:r>
      <w:r>
        <w:t xml:space="preserve"> </w:t>
      </w:r>
      <w:r>
        <w:t xml:space="preserve">studies and more recent surveys provide an indication of the most critical aspects, which</w:t>
      </w:r>
      <w:r>
        <w:t xml:space="preserve"> </w:t>
      </w:r>
      <w:r>
        <w:t xml:space="preserve">account for the bulk of the costs arising from the implementation of the Directive.</w:t>
      </w:r>
      <w:r>
        <w:t xml:space="preserve"> </w:t>
      </w:r>
      <w:r>
        <w:t xml:space="preserve">Finally, the evaluation has shown that PSD2 has EU added value. Indeed, the subsidiarity</w:t>
      </w:r>
      <w:r>
        <w:t xml:space="preserve"> </w:t>
      </w:r>
      <w:r>
        <w:t xml:space="preserve">arguments put forward together with the proposal are still valid. By its nature, an integrated</w:t>
      </w:r>
      <w:r>
        <w:t xml:space="preserve"> </w:t>
      </w:r>
      <w:r>
        <w:t xml:space="preserve">payments market, based on networks that reach beyond national borders, requires an EU-</w:t>
      </w:r>
      <w:r>
        <w:t xml:space="preserve"> </w:t>
      </w:r>
      <w:r>
        <w:t xml:space="preserve">wide approach as the applicable principles, rules, processes and standards have to be</w:t>
      </w:r>
      <w:r>
        <w:t xml:space="preserve"> </w:t>
      </w:r>
      <w:r>
        <w:t xml:space="preserve">consistent across all Member States in order to achieve legal certainty and a level playing</w:t>
      </w:r>
      <w:r>
        <w:t xml:space="preserve"> </w:t>
      </w:r>
      <w:r>
        <w:t xml:space="preserve">field for all market participants. The ability for payment service providers to access a single</w:t>
      </w:r>
    </w:p>
    <w:p>
      <w:pPr>
        <w:pStyle w:val="BodyText"/>
      </w:pPr>
      <w:r>
        <w:t xml:space="preserve">159</w:t>
      </w:r>
    </w:p>
    <w:p>
      <w:pPr>
        <w:pStyle w:val="BodyText"/>
      </w:pPr>
      <w:r>
        <w:t xml:space="preserve">market for payments in the EU, and to passport their services across that market313 was a</w:t>
      </w:r>
      <w:r>
        <w:t xml:space="preserve"> </w:t>
      </w:r>
      <w:r>
        <w:t xml:space="preserve">significant factor for the development of the payments market in Europe.</w:t>
      </w:r>
      <w:r>
        <w:t xml:space="preserve"> </w:t>
      </w:r>
      <w:r>
        <w:t xml:space="preserve">5.2.</w:t>
      </w:r>
      <w:r>
        <w:t xml:space="preserve"> </w:t>
      </w:r>
      <w:r>
        <w:t xml:space="preserve">Lessons learned</w:t>
      </w:r>
      <w:r>
        <w:t xml:space="preserve"> </w:t>
      </w:r>
      <w:r>
        <w:t xml:space="preserve">The following points summarise some lessons learned in this evaluation. In line with the</w:t>
      </w:r>
      <w:r>
        <w:t xml:space="preserve"> </w:t>
      </w:r>
      <w:r>
        <w:t xml:space="preserve">backward-looking character of the evaluation exercise, the lessons drawn here concern firstly</w:t>
      </w:r>
      <w:r>
        <w:t xml:space="preserve"> </w:t>
      </w:r>
      <w:r>
        <w:t xml:space="preserve">the relevance of the problems and needs that were initially identified and that led to PSD2.</w:t>
      </w:r>
      <w:r>
        <w:t xml:space="preserve"> </w:t>
      </w:r>
      <w:r>
        <w:t xml:space="preserve">Secondly, this evaluation also allows drawing lessons in terms of the coherence of the</w:t>
      </w:r>
      <w:r>
        <w:t xml:space="preserve"> </w:t>
      </w:r>
      <w:r>
        <w:t xml:space="preserve">legislation, both internal and external. Moreover, one more general key lesson concerns also</w:t>
      </w:r>
      <w:r>
        <w:t xml:space="preserve"> </w:t>
      </w:r>
      <w:r>
        <w:t xml:space="preserve">data collection, where the expectable shortage of available data related to the early stage of</w:t>
      </w:r>
      <w:r>
        <w:t xml:space="preserve"> </w:t>
      </w:r>
      <w:r>
        <w:t xml:space="preserve">many innovations under scrutiny should, in the future, inform more thorough and targeted</w:t>
      </w:r>
      <w:r>
        <w:t xml:space="preserve"> </w:t>
      </w:r>
      <w:r>
        <w:t xml:space="preserve">data collection, notably via the consultation strategy.</w:t>
      </w:r>
      <w:r>
        <w:t xml:space="preserve"> </w:t>
      </w:r>
      <w:r>
        <w:t xml:space="preserve">Regarding the needs identified at the inception of PSD2, and which inform the Directive’s</w:t>
      </w:r>
      <w:r>
        <w:t xml:space="preserve"> </w:t>
      </w:r>
      <w:r>
        <w:t xml:space="preserve">general and specific objectives, the evaluation has determined that these remain relevant, with</w:t>
      </w:r>
      <w:r>
        <w:t xml:space="preserve"> </w:t>
      </w:r>
      <w:r>
        <w:t xml:space="preserve">two exceptions. First, whereas PSD2 has covered previously unregulated market players such</w:t>
      </w:r>
      <w:r>
        <w:t xml:space="preserve"> </w:t>
      </w:r>
      <w:r>
        <w:t xml:space="preserve">as PISPs and AISPs, this has largely addressed the need to regulate all PSPs.</w:t>
      </w:r>
      <w:r>
        <w:t xml:space="preserve"> </w:t>
      </w:r>
      <w:r>
        <w:t xml:space="preserve">Notwithstanding, market developments such as the emergence of new business models, or the</w:t>
      </w:r>
      <w:r>
        <w:t xml:space="preserve"> </w:t>
      </w:r>
      <w:r>
        <w:t xml:space="preserve">growing role of technical service providers such as processors and digital wallets, have raised</w:t>
      </w:r>
      <w:r>
        <w:t xml:space="preserve"> </w:t>
      </w:r>
      <w:r>
        <w:t xml:space="preserve">questions and would benefit from additional clarity regarding their regulatory status. A</w:t>
      </w:r>
      <w:r>
        <w:t xml:space="preserve"> </w:t>
      </w:r>
      <w:r>
        <w:t xml:space="preserve">second exception is the objective on steering and charging practices across countries. This</w:t>
      </w:r>
      <w:r>
        <w:t xml:space="preserve"> </w:t>
      </w:r>
      <w:r>
        <w:t xml:space="preserve">has been mostly achieved following the introduction of the surcharging ban, which has</w:t>
      </w:r>
      <w:r>
        <w:t xml:space="preserve"> </w:t>
      </w:r>
      <w:r>
        <w:t xml:space="preserve">harmonized charging and steering practices for a large share of payments in the EU.</w:t>
      </w:r>
      <w:r>
        <w:t xml:space="preserve"> </w:t>
      </w:r>
      <w:r>
        <w:t xml:space="preserve">Continuing structural issues, such as market concentration in cross-border card payments at</w:t>
      </w:r>
      <w:r>
        <w:t xml:space="preserve"> </w:t>
      </w:r>
      <w:r>
        <w:t xml:space="preserve">EU level (still largely handled by a few international card schemes), enduring divergence in</w:t>
      </w:r>
      <w:r>
        <w:t xml:space="preserve"> </w:t>
      </w:r>
      <w:r>
        <w:t xml:space="preserve">the implementation and interpretation of PSD2 across Member States, and new forms of</w:t>
      </w:r>
      <w:r>
        <w:t xml:space="preserve"> </w:t>
      </w:r>
      <w:r>
        <w:t xml:space="preserve">fraud mean that the needs for more effective competition, reducing the fragmentation of</w:t>
      </w:r>
      <w:r>
        <w:t xml:space="preserve"> </w:t>
      </w:r>
      <w:r>
        <w:t xml:space="preserve">payments markets, and increasing consumer protection remains relevant. As a result, its</w:t>
      </w:r>
      <w:r>
        <w:t xml:space="preserve"> </w:t>
      </w:r>
      <w:r>
        <w:t xml:space="preserve">accompanying objectives remain relevant as well. The growth of account-to-account payment</w:t>
      </w:r>
      <w:r>
        <w:t xml:space="preserve"> </w:t>
      </w:r>
      <w:r>
        <w:t xml:space="preserve">schemes of domestic scale and still limited interoperability also confirm the need to resolve</w:t>
      </w:r>
      <w:r>
        <w:t xml:space="preserve"> </w:t>
      </w:r>
      <w:r>
        <w:t xml:space="preserve">the fragmentation of the European payment market. Meanwhile, policy developments like the</w:t>
      </w:r>
      <w:r>
        <w:t xml:space="preserve"> </w:t>
      </w:r>
      <w:r>
        <w:t xml:space="preserve">emergence of pan-European payment solutions, as well as expected future trends like the</w:t>
      </w:r>
      <w:r>
        <w:t xml:space="preserve"> </w:t>
      </w:r>
      <w:r>
        <w:t xml:space="preserve">uptake of crypto-assets (in particular stablecoins) as a payment method or the adoption of a</w:t>
      </w:r>
      <w:r>
        <w:t xml:space="preserve"> </w:t>
      </w:r>
      <w:r>
        <w:t xml:space="preserve">digital Euro, might mean that the relevance of some needs related to competition and</w:t>
      </w:r>
      <w:r>
        <w:t xml:space="preserve"> </w:t>
      </w:r>
      <w:r>
        <w:t xml:space="preserve">fragmentation within the European payments market become less relevant in the future.</w:t>
      </w:r>
      <w:r>
        <w:t xml:space="preserve"> </w:t>
      </w:r>
      <w:r>
        <w:t xml:space="preserve">Regarding its coherence, the PSD2 has a high degree of internal coherence. In terms of</w:t>
      </w:r>
      <w:r>
        <w:t xml:space="preserve"> </w:t>
      </w:r>
      <w:r>
        <w:t xml:space="preserve">external coherence, the evaluation has identified consistency issues between the PSD2 and</w:t>
      </w:r>
    </w:p>
    <w:p>
      <w:pPr>
        <w:pStyle w:val="BodyText"/>
      </w:pPr>
      <w:r>
        <w:t xml:space="preserve">313</w:t>
      </w:r>
      <w:r>
        <w:br/>
      </w:r>
      <w:r>
        <w:t xml:space="preserve">According to the EBA report of July 2019, 45% of authorised institutions in the EU are using or</w:t>
      </w:r>
      <w:r>
        <w:t xml:space="preserve"> </w:t>
      </w:r>
      <w:r>
        <w:t xml:space="preserve">planning to use the EU passporting system to provide cross-border services.</w:t>
      </w:r>
    </w:p>
    <w:p>
      <w:pPr>
        <w:pStyle w:val="BodyText"/>
      </w:pPr>
      <w:r>
        <w:t xml:space="preserve">160</w:t>
      </w:r>
    </w:p>
    <w:p>
      <w:pPr>
        <w:pStyle w:val="BodyText"/>
      </w:pPr>
      <w:r>
        <w:t xml:space="preserve">the General Data Protection Regulation (particularly with regard to the notion of explicit</w:t>
      </w:r>
      <w:r>
        <w:t xml:space="preserve"> </w:t>
      </w:r>
      <w:r>
        <w:t xml:space="preserve">consent) to be addressed in the review. Moreover, lessons can also be drawn from some</w:t>
      </w:r>
      <w:r>
        <w:t xml:space="preserve"> </w:t>
      </w:r>
      <w:r>
        <w:t xml:space="preserve">consistency issues between the PSD2 and other EU legislation such as the E-Money</w:t>
      </w:r>
      <w:r>
        <w:t xml:space="preserve"> </w:t>
      </w:r>
      <w:r>
        <w:t xml:space="preserve">Directive, the Settlement Finality Directive, the Digital Operational Resilience Act, the</w:t>
      </w:r>
      <w:r>
        <w:t xml:space="preserve"> </w:t>
      </w:r>
      <w:r>
        <w:t xml:space="preserve">Crypto Asset Markets Regulation. Notably, with regard to the coherence between PSD2 and</w:t>
      </w:r>
      <w:r>
        <w:t xml:space="preserve"> </w:t>
      </w:r>
      <w:r>
        <w:t xml:space="preserve">the Settlement Finality Directive, E-money institutions and payment institutions are currently</w:t>
      </w:r>
      <w:r>
        <w:t xml:space="preserve"> </w:t>
      </w:r>
      <w:r>
        <w:t xml:space="preserve">not eligible direct participants for payment systems which are designated under the SFD. In</w:t>
      </w:r>
      <w:r>
        <w:t xml:space="preserve"> </w:t>
      </w:r>
      <w:r>
        <w:t xml:space="preserve">line with this, Article 35(2)(a) of PSD2 carves out such designated payment systems from the</w:t>
      </w:r>
      <w:r>
        <w:t xml:space="preserve"> </w:t>
      </w:r>
      <w:r>
        <w:t xml:space="preserve">obligation to have proportional objective and non-discriminatory access rules. The two pieces</w:t>
      </w:r>
      <w:r>
        <w:t xml:space="preserve"> </w:t>
      </w:r>
      <w:r>
        <w:t xml:space="preserve">of legislation are thus coherent with each other, but the consequence is a lack of level playing</w:t>
      </w:r>
      <w:r>
        <w:t xml:space="preserve"> </w:t>
      </w:r>
      <w:r>
        <w:t xml:space="preserve">field between banks and non-bank PSPs. Thus, coherence does not always have a positive</w:t>
      </w:r>
      <w:r>
        <w:t xml:space="preserve"> </w:t>
      </w:r>
      <w:r>
        <w:t xml:space="preserve">impact.</w:t>
      </w:r>
    </w:p>
    <w:p>
      <w:pPr>
        <w:pStyle w:val="BodyText"/>
      </w:pPr>
      <w:r>
        <w:t xml:space="preserve">161</w:t>
      </w:r>
    </w:p>
    <w:p>
      <w:pPr>
        <w:pStyle w:val="BodyText"/>
      </w:pPr>
      <w:r>
        <w:t xml:space="preserve">ANNEX 6: SCOPE OF PSD2</w:t>
      </w:r>
      <w:r>
        <w:t xml:space="preserve"> </w:t>
      </w:r>
      <w:r>
        <w:t xml:space="preserve">1. Introduction</w:t>
      </w:r>
      <w:r>
        <w:t xml:space="preserve"> </w:t>
      </w:r>
      <w:r>
        <w:t xml:space="preserve">Since PSD2 was adopted in December 2015, based on a Commission proposal of July 2013,</w:t>
      </w:r>
      <w:r>
        <w:t xml:space="preserve"> </w:t>
      </w:r>
      <w:r>
        <w:t xml:space="preserve">many new payment services and solutions have evolved and new players have entered the</w:t>
      </w:r>
      <w:r>
        <w:t xml:space="preserve"> </w:t>
      </w:r>
      <w:r>
        <w:t xml:space="preserve">payment market.</w:t>
      </w:r>
      <w:r>
        <w:br/>
      </w:r>
      <w:r>
        <w:t xml:space="preserve">For example, providers of so-called e-wallets (specifically “pass-through wallets”314) allow</w:t>
      </w:r>
      <w:r>
        <w:t xml:space="preserve"> </w:t>
      </w:r>
      <w:r>
        <w:t xml:space="preserve">for tokenisation of an issued payment instrument and its use via a mobile device to make</w:t>
      </w:r>
      <w:r>
        <w:t xml:space="preserve"> </w:t>
      </w:r>
      <w:r>
        <w:t xml:space="preserve">online or contactless payments. New means of payment have developed such as e-money</w:t>
      </w:r>
      <w:r>
        <w:t xml:space="preserve"> </w:t>
      </w:r>
      <w:r>
        <w:t xml:space="preserve">tokens (EMTs, a type of crypto asset). Existing players have adjusted their business model to</w:t>
      </w:r>
      <w:r>
        <w:t xml:space="preserve"> </w:t>
      </w:r>
      <w:r>
        <w:t xml:space="preserve">the needs of consumers, amongst others. Players can provide both payment and other</w:t>
      </w:r>
      <w:r>
        <w:t xml:space="preserve"> </w:t>
      </w:r>
      <w:r>
        <w:t xml:space="preserve">services, such as provision of “buy now pay later” services in addition to the execution of</w:t>
      </w:r>
      <w:r>
        <w:t xml:space="preserve"> </w:t>
      </w:r>
      <w:r>
        <w:t xml:space="preserve">payment transactions.</w:t>
      </w:r>
      <w:r>
        <w:br/>
      </w:r>
      <w:r>
        <w:t xml:space="preserve">This raises two issues, firstly whether the scope of PSD2 should be extended in order to cover</w:t>
      </w:r>
      <w:r>
        <w:t xml:space="preserve"> </w:t>
      </w:r>
      <w:r>
        <w:t xml:space="preserve">certain new actors, and secondly whether clarifications are necessary in order to ensure a</w:t>
      </w:r>
      <w:r>
        <w:t xml:space="preserve"> </w:t>
      </w:r>
      <w:r>
        <w:t xml:space="preserve">proper application of the rules. The current definitions of PSD2 regarding scope have proved</w:t>
      </w:r>
      <w:r>
        <w:t xml:space="preserve"> </w:t>
      </w:r>
      <w:r>
        <w:t xml:space="preserve">on many occasions ambiguous and too general in light of the market evolution, and rules are</w:t>
      </w:r>
      <w:r>
        <w:t xml:space="preserve"> </w:t>
      </w:r>
      <w:r>
        <w:t xml:space="preserve">to some extent “outdated”. This applies amongst others to some existing rules on the</w:t>
      </w:r>
      <w:r>
        <w:t xml:space="preserve"> </w:t>
      </w:r>
      <w:r>
        <w:t xml:space="preserve">exclusions from the framework and also for the definition of the list of payment services</w:t>
      </w:r>
      <w:r>
        <w:t xml:space="preserve"> </w:t>
      </w:r>
      <w:r>
        <w:t xml:space="preserve">which are in scope.</w:t>
      </w:r>
      <w:r>
        <w:t xml:space="preserve"> </w:t>
      </w:r>
      <w:r>
        <w:t xml:space="preserve">As a result, there have been different interpretation and application practices between NCAs</w:t>
      </w:r>
      <w:r>
        <w:t xml:space="preserve"> </w:t>
      </w:r>
      <w:r>
        <w:t xml:space="preserve">across the EU. Market actors are competing with each other, although some of them benefit</w:t>
      </w:r>
      <w:r>
        <w:t xml:space="preserve"> </w:t>
      </w:r>
      <w:r>
        <w:t xml:space="preserve">from unjustified advantages (e.g. being treated as excluded although they should be treated as</w:t>
      </w:r>
      <w:r>
        <w:t xml:space="preserve"> </w:t>
      </w:r>
      <w:r>
        <w:t xml:space="preserve">within scope); other actors face disadvantages (e.g. not allowed to benefit from the</w:t>
      </w:r>
      <w:r>
        <w:t xml:space="preserve"> </w:t>
      </w:r>
      <w:r>
        <w:t xml:space="preserve">passporting rules and because of this facing barriers to market entry). In the end, an uneven</w:t>
      </w:r>
      <w:r>
        <w:t xml:space="preserve"> </w:t>
      </w:r>
      <w:r>
        <w:t xml:space="preserve">level playing field may exist and consumers may face protection gaps. PSPs or TPPs might</w:t>
      </w:r>
      <w:r>
        <w:t xml:space="preserve"> </w:t>
      </w:r>
      <w:r>
        <w:t xml:space="preserve">be tempted to seek authorisation and supervision in the Member State with the interpretation</w:t>
      </w:r>
      <w:r>
        <w:t xml:space="preserve"> </w:t>
      </w:r>
      <w:r>
        <w:t xml:space="preserve">of the rules most favourable to them, even if this is not a Member State where they are active</w:t>
      </w:r>
      <w:r>
        <w:t xml:space="preserve"> </w:t>
      </w:r>
      <w:r>
        <w:t xml:space="preserve">(“forum shopping”) although article 11§3 of PSD2 requiring that ‘part of the business’ be</w:t>
      </w:r>
      <w:r>
        <w:t xml:space="preserve"> </w:t>
      </w:r>
      <w:r>
        <w:t xml:space="preserve">carried out in the home country needs to be respected. Some stakeholders have called for</w:t>
      </w:r>
      <w:r>
        <w:t xml:space="preserve"> </w:t>
      </w:r>
      <w:r>
        <w:t xml:space="preserve">extension of the scope of PSD2 to include some of these categories of providers currently</w:t>
      </w:r>
      <w:r>
        <w:t xml:space="preserve"> </w:t>
      </w:r>
      <w:r>
        <w:t xml:space="preserve">outside the scope (see Annex 2).</w:t>
      </w:r>
    </w:p>
    <w:p>
      <w:pPr>
        <w:pStyle w:val="BodyText"/>
      </w:pPr>
      <w:r>
        <w:t xml:space="preserve">314 « Pass-through wallets » should be distinguished from « staged wallets » on which a balance of electronic</w:t>
      </w:r>
      <w:r>
        <w:t xml:space="preserve"> </w:t>
      </w:r>
      <w:r>
        <w:t xml:space="preserve">money is stored ; issuance of a staged wallet requires a license as an Electronic Money Institution.</w:t>
      </w:r>
    </w:p>
    <w:p>
      <w:pPr>
        <w:pStyle w:val="BodyText"/>
      </w:pPr>
      <w:r>
        <w:t xml:space="preserve">162</w:t>
      </w:r>
    </w:p>
    <w:p>
      <w:pPr>
        <w:pStyle w:val="Compact"/>
        <w:numPr>
          <w:ilvl w:val="0"/>
          <w:numId w:val="1035"/>
        </w:numPr>
      </w:pPr>
      <w:r>
        <w:t xml:space="preserve">Possible changes to scope as regards technical service providers</w:t>
      </w:r>
      <w:r>
        <w:t xml:space="preserve"> </w:t>
      </w:r>
      <w:r>
        <w:t xml:space="preserve">Article 3(j) of PSD2 conditionally excludes from the scope of the Directive “technical</w:t>
      </w:r>
      <w:r>
        <w:t xml:space="preserve"> </w:t>
      </w:r>
      <w:r>
        <w:t xml:space="preserve">services providers”315. These are essentially payment systems and infrastructures and</w:t>
      </w:r>
      <w:r>
        <w:t xml:space="preserve"> </w:t>
      </w:r>
      <w:r>
        <w:t xml:space="preserve">technical service providers supporting the provision, by regulated payment service providers,</w:t>
      </w:r>
      <w:r>
        <w:t xml:space="preserve"> </w:t>
      </w:r>
      <w:r>
        <w:t xml:space="preserve">of payment services. Certain consumer-facing services such as so-called ‘pass-through</w:t>
      </w:r>
      <w:r>
        <w:t xml:space="preserve"> </w:t>
      </w:r>
      <w:r>
        <w:t xml:space="preserve">wallets’ (e.g. Apple Pay or Google Pay) are also covered by this exclusion as they do not</w:t>
      </w:r>
      <w:r>
        <w:t xml:space="preserve"> </w:t>
      </w:r>
      <w:r>
        <w:t xml:space="preserve">provide a payment service per se316. Commission services have considered whether to amend</w:t>
      </w:r>
      <w:r>
        <w:t xml:space="preserve"> </w:t>
      </w:r>
      <w:r>
        <w:t xml:space="preserve">this exclusion, for example by including some TSPs in the scope of the legal framework. The</w:t>
      </w:r>
      <w:r>
        <w:t xml:space="preserve"> </w:t>
      </w:r>
      <w:r>
        <w:t xml:space="preserve">conclusion was not to do so, for a number for reasons:</w:t>
      </w:r>
      <w:r>
        <w:t xml:space="preserve"> </w:t>
      </w:r>
      <w:r>
        <w:t xml:space="preserve"> Firstly, there was no predominant view on this question in the various consultations,</w:t>
      </w:r>
      <w:r>
        <w:t xml:space="preserve"> </w:t>
      </w:r>
      <w:r>
        <w:t xml:space="preserve">with very varied views among stakeholders. Consumers and other stakeholders did</w:t>
      </w:r>
      <w:r>
        <w:t xml:space="preserve"> </w:t>
      </w:r>
      <w:r>
        <w:t xml:space="preserve">not raise issues regarding such service providers, including the “pass-through”</w:t>
      </w:r>
      <w:r>
        <w:t xml:space="preserve"> </w:t>
      </w:r>
      <w:r>
        <w:t xml:space="preserve">wallets. There is no compelling evidence from the consultations, VVA/CEPS study or</w:t>
      </w:r>
      <w:r>
        <w:t xml:space="preserve"> </w:t>
      </w:r>
      <w:r>
        <w:t xml:space="preserve">EBA Advice that their current situation outside PSD2’s scope is detrimental to either</w:t>
      </w:r>
      <w:r>
        <w:t xml:space="preserve"> </w:t>
      </w:r>
      <w:r>
        <w:t xml:space="preserve">users or to the payment system itself. Compelling evidence to justify extension of the</w:t>
      </w:r>
      <w:r>
        <w:t xml:space="preserve"> </w:t>
      </w:r>
      <w:r>
        <w:t xml:space="preserve">scope of PSD2, with consequent significant costs for newly covered entities which</w:t>
      </w:r>
      <w:r>
        <w:t xml:space="preserve"> </w:t>
      </w:r>
      <w:r>
        <w:t xml:space="preserve">would be subject for the first time to a requirement of authorisation and supervision,</w:t>
      </w:r>
      <w:r>
        <w:t xml:space="preserve"> </w:t>
      </w:r>
      <w:r>
        <w:t xml:space="preserve">has not been found.</w:t>
      </w:r>
    </w:p>
    <w:p>
      <w:pPr>
        <w:pStyle w:val="FirstParagraph"/>
      </w:pPr>
      <w:r>
        <w:t xml:space="preserve"> Secondly, most of these currently excluded services and their providers (systems,</w:t>
      </w:r>
      <w:r>
        <w:t xml:space="preserve"> </w:t>
      </w:r>
      <w:r>
        <w:t xml:space="preserve">schemes, infrastructures, processors etc.) are already subjected to European Central</w:t>
      </w:r>
      <w:r>
        <w:t xml:space="preserve"> </w:t>
      </w:r>
      <w:r>
        <w:t xml:space="preserve">Bank/Eurosystem oversight (based on article 127§2 of the Treaty), including</w:t>
      </w:r>
      <w:r>
        <w:t xml:space="preserve"> </w:t>
      </w:r>
      <w:r>
        <w:t xml:space="preserve">processors and arrangements (such as digital wallets) which are covered by the new</w:t>
      </w:r>
      <w:r>
        <w:t xml:space="preserve"> </w:t>
      </w:r>
      <w:r>
        <w:t xml:space="preserve">‘PISA’317 oversight framework of the ECB which is currently being progressively</w:t>
      </w:r>
      <w:r>
        <w:t xml:space="preserve"> </w:t>
      </w:r>
      <w:r>
        <w:t xml:space="preserve">rolled-out. The ECB’s oversight framework draws inspiration from the international</w:t>
      </w:r>
      <w:r>
        <w:t xml:space="preserve"> </w:t>
      </w:r>
      <w:r>
        <w:t xml:space="preserve">standards adopted by the BIS’s Committee on Payment and Settlement Systems</w:t>
      </w:r>
      <w:r>
        <w:t xml:space="preserve"> </w:t>
      </w:r>
      <w:r>
        <w:t xml:space="preserve">(PFMI)318. Applying to such providers PSD2 rules and supervision requirements</w:t>
      </w:r>
      <w:r>
        <w:t xml:space="preserve"> </w:t>
      </w:r>
      <w:r>
        <w:t xml:space="preserve">would risk significant overlaps with ECB oversight. The Eurosystem does not support</w:t>
      </w:r>
      <w:r>
        <w:t xml:space="preserve"> </w:t>
      </w:r>
      <w:r>
        <w:t xml:space="preserve">bringing the operators of payment systems and payment schemes under an</w:t>
      </w:r>
      <w:r>
        <w:t xml:space="preserve"> </w:t>
      </w:r>
      <w:r>
        <w:t xml:space="preserve">authorization and supervision regime and hence recommends not to consider those</w:t>
      </w:r>
    </w:p>
    <w:p>
      <w:pPr>
        <w:pStyle w:val="BodyText"/>
      </w:pPr>
      <w:r>
        <w:t xml:space="preserve">315 Article 3(j) excludes: “services provided by technical service providers, which support the provision of</w:t>
      </w:r>
      <w:r>
        <w:t xml:space="preserve"> </w:t>
      </w:r>
      <w:r>
        <w:t xml:space="preserve">payment services, without them entering at any time into possession of the funds to be transferred, including</w:t>
      </w:r>
      <w:r>
        <w:t xml:space="preserve"> </w:t>
      </w:r>
      <w:r>
        <w:t xml:space="preserve">processing and storage of data, trust and privacy protection services, data and entity authentication, information</w:t>
      </w:r>
      <w:r>
        <w:t xml:space="preserve"> </w:t>
      </w:r>
      <w:r>
        <w:t xml:space="preserve">technology (IT) and communication network provision, provision and maintenance of terminals and devices</w:t>
      </w:r>
      <w:r>
        <w:t xml:space="preserve"> </w:t>
      </w:r>
      <w:r>
        <w:t xml:space="preserve">used for payment services, with the exclusion of payment initiation services and account information services”.</w:t>
      </w:r>
      <w:r>
        <w:t xml:space="preserve"> </w:t>
      </w:r>
      <w:r>
        <w:t xml:space="preserve">316</w:t>
      </w:r>
      <w:r>
        <w:t xml:space="preserve"> </w:t>
      </w:r>
      <w:r>
        <w:t xml:space="preserve">These wallets store ‘tokenised’ payment cards in a digital wallet carried by a smart phone, but the</w:t>
      </w:r>
      <w:r>
        <w:t xml:space="preserve"> </w:t>
      </w:r>
      <w:r>
        <w:t xml:space="preserve">actual payment is performed through the card scheme selected by the user, not by the wallet operator.</w:t>
      </w:r>
      <w:r>
        <w:t xml:space="preserve"> </w:t>
      </w:r>
      <w:r>
        <w:t xml:space="preserve">317</w:t>
      </w:r>
      <w:r>
        <w:t xml:space="preserve"> </w:t>
      </w:r>
      <w:r>
        <w:t xml:space="preserve">PISA:</w:t>
      </w:r>
      <w:r>
        <w:t xml:space="preserve"> </w:t>
      </w:r>
      <w:r>
        <w:t xml:space="preserve">Payment</w:t>
      </w:r>
      <w:r>
        <w:t xml:space="preserve"> </w:t>
      </w:r>
      <w:r>
        <w:t xml:space="preserve">Instruments,</w:t>
      </w:r>
      <w:r>
        <w:t xml:space="preserve"> </w:t>
      </w:r>
      <w:r>
        <w:t xml:space="preserve">Schemes</w:t>
      </w:r>
      <w:r>
        <w:t xml:space="preserve"> </w:t>
      </w:r>
      <w:r>
        <w:t xml:space="preserve">and</w:t>
      </w:r>
      <w:r>
        <w:t xml:space="preserve"> </w:t>
      </w:r>
      <w:r>
        <w:t xml:space="preserve">Arrangements.</w:t>
      </w:r>
      <w:r>
        <w:t xml:space="preserve"> </w:t>
      </w:r>
      <w:r>
        <w:t xml:space="preserve">https://www.ecb.europa.eu/paym/pdf/consultations/ecb.PISApublicconsultation202111_1.en.pdf.</w:t>
      </w:r>
      <w:r>
        <w:t xml:space="preserve"> </w:t>
      </w:r>
      <w:r>
        <w:t xml:space="preserve">318</w:t>
      </w:r>
      <w:r>
        <w:t xml:space="preserve"> </w:t>
      </w:r>
      <w:r>
        <w:t xml:space="preserve">https://www.bis.org/cpmi/publ/d101a.pdf.</w:t>
      </w:r>
    </w:p>
    <w:p>
      <w:pPr>
        <w:pStyle w:val="BodyText"/>
      </w:pPr>
      <w:r>
        <w:t xml:space="preserve">163</w:t>
      </w:r>
    </w:p>
    <w:p>
      <w:pPr>
        <w:pStyle w:val="BodyText"/>
      </w:pPr>
      <w:r>
        <w:t xml:space="preserve">activities under the PSD2 review319. However, since the PISA framework is not yet</w:t>
      </w:r>
      <w:r>
        <w:t xml:space="preserve"> </w:t>
      </w:r>
      <w:r>
        <w:t xml:space="preserve">fully applied, this aspect will be kept under close review with a view to assessing</w:t>
      </w:r>
      <w:r>
        <w:t xml:space="preserve"> </w:t>
      </w:r>
      <w:r>
        <w:t xml:space="preserve">whether an EU licensing regime is in future necessary320.</w:t>
      </w:r>
    </w:p>
    <w:p>
      <w:pPr>
        <w:pStyle w:val="BodyText"/>
      </w:pPr>
      <w:r>
        <w:t xml:space="preserve"> Thirdly, the logic of PSD2 is to regulate services provided to end-users (consumers,</w:t>
      </w:r>
      <w:r>
        <w:t xml:space="preserve"> </w:t>
      </w:r>
      <w:r>
        <w:t xml:space="preserve">merchants) and not services pertaining to the operation of the payment ‘rails’ (the</w:t>
      </w:r>
      <w:r>
        <w:t xml:space="preserve"> </w:t>
      </w:r>
      <w:r>
        <w:t xml:space="preserve">systems and infrastructures), nor services supporting the execution of payment</w:t>
      </w:r>
      <w:r>
        <w:t xml:space="preserve"> </w:t>
      </w:r>
      <w:r>
        <w:t xml:space="preserve">services without being payment services themselves (payment data processing,</w:t>
      </w:r>
      <w:r>
        <w:t xml:space="preserve"> </w:t>
      </w:r>
      <w:r>
        <w:t xml:space="preserve">operation of payment terminals, cloud services etc.) or services only facilitating the</w:t>
      </w:r>
      <w:r>
        <w:t xml:space="preserve"> </w:t>
      </w:r>
      <w:r>
        <w:t xml:space="preserve">choice and use of a payment instrument (without carrying out the payment service</w:t>
      </w:r>
      <w:r>
        <w:t xml:space="preserve"> </w:t>
      </w:r>
      <w:r>
        <w:t xml:space="preserve">itself). These services (with the exception of wallets) are largely invisible to the</w:t>
      </w:r>
      <w:r>
        <w:t xml:space="preserve"> </w:t>
      </w:r>
      <w:r>
        <w:t xml:space="preserve">payment user and do not directly interact with the user. Any possible legislation for</w:t>
      </w:r>
      <w:r>
        <w:t xml:space="preserve"> </w:t>
      </w:r>
      <w:r>
        <w:t xml:space="preserve">non-consumer-facing payment infrastructures would more logically belong in a</w:t>
      </w:r>
      <w:r>
        <w:t xml:space="preserve"> </w:t>
      </w:r>
      <w:r>
        <w:t xml:space="preserve">separate piece of legislation, but this decision will be taken once a thorough review is</w:t>
      </w:r>
      <w:r>
        <w:t xml:space="preserve"> </w:t>
      </w:r>
      <w:r>
        <w:t xml:space="preserve">carried-out of, notably, the efficiency of the ECB oversight framework.321</w:t>
      </w:r>
    </w:p>
    <w:p>
      <w:pPr>
        <w:pStyle w:val="BodyText"/>
      </w:pPr>
      <w:r>
        <w:t xml:space="preserve"> Fourthly, the fact that entities providing services within the scope of PSD are</w:t>
      </w:r>
      <w:r>
        <w:t xml:space="preserve"> </w:t>
      </w:r>
      <w:r>
        <w:t xml:space="preserve">automatically also included in the scope of the EU Anti-Money-Laundering Directive,</w:t>
      </w:r>
      <w:r>
        <w:t xml:space="preserve"> </w:t>
      </w:r>
      <w:r>
        <w:t xml:space="preserve">due to a dynamic cross-linkage of the scope also pleads in favour of caution in</w:t>
      </w:r>
      <w:r>
        <w:t xml:space="preserve"> </w:t>
      </w:r>
      <w:r>
        <w:t xml:space="preserve">extending the scope of PSD322. The cost for any such newly covered entities of</w:t>
      </w:r>
      <w:r>
        <w:t xml:space="preserve"> </w:t>
      </w:r>
      <w:r>
        <w:t xml:space="preserve">implementing EU AML rules would be very significant.</w:t>
      </w:r>
    </w:p>
    <w:p>
      <w:pPr>
        <w:pStyle w:val="BodyText"/>
      </w:pPr>
      <w:r>
        <w:t xml:space="preserve">However, it should be emphasised that already in PSD2, article 35 contains some provisions</w:t>
      </w:r>
      <w:r>
        <w:t xml:space="preserve"> </w:t>
      </w:r>
      <w:r>
        <w:t xml:space="preserve">applicable to payment systems, as regards their access rules, without however, subjecting</w:t>
      </w:r>
    </w:p>
    <w:p>
      <w:pPr>
        <w:pStyle w:val="BodyText"/>
      </w:pPr>
      <w:r>
        <w:t xml:space="preserve">319</w:t>
      </w:r>
      <w:r>
        <w:br/>
      </w:r>
      <w:r>
        <w:t xml:space="preserve">Correspondence from the Eurosystem Committee in Market Infrastructures and Payments to the</w:t>
      </w:r>
      <w:r>
        <w:t xml:space="preserve"> </w:t>
      </w:r>
      <w:r>
        <w:t xml:space="preserve">European Commission, 11 January 2023.</w:t>
      </w:r>
      <w:r>
        <w:t xml:space="preserve"> </w:t>
      </w:r>
      <w:r>
        <w:t xml:space="preserve">320 This is also in line with the review article (article 58) of the recently-published Regulation on Digital</w:t>
      </w:r>
      <w:r>
        <w:t xml:space="preserve"> </w:t>
      </w:r>
      <w:r>
        <w:t xml:space="preserve">Operational Resilience (Regulation 2022/2554), which requires the Commission to assess and report to the</w:t>
      </w:r>
      <w:r>
        <w:t xml:space="preserve"> </w:t>
      </w:r>
      <w:r>
        <w:t xml:space="preserve">European Parliament and the Council on the need for increased cyber resilience of payment infrastructures,</w:t>
      </w:r>
      <w:r>
        <w:t xml:space="preserve"> </w:t>
      </w:r>
      <w:r>
        <w:t xml:space="preserve">which are excluded from the scope of that Regulation. See Annex 12.</w:t>
      </w:r>
      <w:r>
        <w:t xml:space="preserve"> </w:t>
      </w:r>
      <w:r>
        <w:t xml:space="preserve">321 For comparison, in the area of securities, consumer-facing services are regulated by MiFID, while</w:t>
      </w:r>
      <w:r>
        <w:t xml:space="preserve"> </w:t>
      </w:r>
      <w:r>
        <w:t xml:space="preserve">infrastructures are regulated by the Regulation on Central Securities Depositories and by the Regulation on</w:t>
      </w:r>
      <w:r>
        <w:t xml:space="preserve"> </w:t>
      </w:r>
      <w:r>
        <w:t xml:space="preserve">European Market Infrastructures.</w:t>
      </w:r>
      <w:r>
        <w:t xml:space="preserve"> </w:t>
      </w:r>
      <w:r>
        <w:t xml:space="preserve">322 AMLD scope defines “financial institutions” as being among Obliged Entities, and in the definition of</w:t>
      </w:r>
      <w:r>
        <w:t xml:space="preserve"> </w:t>
      </w:r>
      <w:r>
        <w:t xml:space="preserve">“financial institutions” it includes “an undertaking other than a credit institution or an investment firm, which</w:t>
      </w:r>
      <w:r>
        <w:t xml:space="preserve"> </w:t>
      </w:r>
      <w:r>
        <w:t xml:space="preserve">carries out one or more of the activities listed in points (2) to (12), (14) and (15) of Annex I to Directive</w:t>
      </w:r>
      <w:r>
        <w:t xml:space="preserve"> </w:t>
      </w:r>
      <w:r>
        <w:t xml:space="preserve">2013/36/EU of the European Parliament and of the Council [this is the Directive on access to the activity of</w:t>
      </w:r>
      <w:r>
        <w:t xml:space="preserve"> </w:t>
      </w:r>
      <w:r>
        <w:t xml:space="preserve">credit institutions and the prudential supervision of credit institutions and investment firms]”. Annex 1 of</w:t>
      </w:r>
      <w:r>
        <w:t xml:space="preserve"> </w:t>
      </w:r>
      <w:r>
        <w:t xml:space="preserve">Directive 2013/36/EU includes as point (4) [i.e. among points (2) to (12)] “Payment services as defined in</w:t>
      </w:r>
      <w:r>
        <w:t xml:space="preserve"> </w:t>
      </w:r>
      <w:r>
        <w:t xml:space="preserve">Article 4(3) of Directive 2007/64/EC [PSD1 but this reference is dynamically corrected to PSD2 with the</w:t>
      </w:r>
      <w:r>
        <w:t xml:space="preserve"> </w:t>
      </w:r>
      <w:r>
        <w:t xml:space="preserve">replacement of PSD1 by PSD2]. Therefore, undertakings providing payment services in the meaning of PSD2</w:t>
      </w:r>
      <w:r>
        <w:t xml:space="preserve"> </w:t>
      </w:r>
      <w:r>
        <w:t xml:space="preserve">are defined as “financial institutions” in the meaning of AMLD and are therefore Obliged Entities for AML</w:t>
      </w:r>
      <w:r>
        <w:t xml:space="preserve"> </w:t>
      </w:r>
      <w:r>
        <w:t xml:space="preserve">purposes.</w:t>
      </w:r>
    </w:p>
    <w:p>
      <w:pPr>
        <w:pStyle w:val="BodyText"/>
      </w:pPr>
      <w:r>
        <w:t xml:space="preserve">164</w:t>
      </w:r>
    </w:p>
    <w:p>
      <w:pPr>
        <w:pStyle w:val="BodyText"/>
      </w:pPr>
      <w:r>
        <w:t xml:space="preserve">such payment systems to authorisation or supervision rules. This impact assessment discusses</w:t>
      </w:r>
      <w:r>
        <w:t xml:space="preserve"> </w:t>
      </w:r>
      <w:r>
        <w:t xml:space="preserve">elsewhere whether those rules should be enhanced323.</w:t>
      </w:r>
    </w:p>
    <w:p>
      <w:pPr>
        <w:pStyle w:val="Compact"/>
        <w:numPr>
          <w:ilvl w:val="0"/>
          <w:numId w:val="1036"/>
        </w:numPr>
      </w:pPr>
      <w:r>
        <w:t xml:space="preserve">Specific issues concerning pass-through wallets</w:t>
      </w:r>
    </w:p>
    <w:p>
      <w:pPr>
        <w:pStyle w:val="FirstParagraph"/>
      </w:pPr>
      <w:r>
        <w:t xml:space="preserve">Two specific interpretation issues regarding pass-through wallets have arisen in the context of</w:t>
      </w:r>
      <w:r>
        <w:t xml:space="preserve"> </w:t>
      </w:r>
      <w:r>
        <w:t xml:space="preserve">PSD2 implementation:</w:t>
      </w:r>
      <w:r>
        <w:t xml:space="preserve"> </w:t>
      </w:r>
      <w:r>
        <w:t xml:space="preserve"> Does the tokenisation of an existing payment instrument in such a wallet (for example</w:t>
      </w:r>
      <w:r>
        <w:t xml:space="preserve"> </w:t>
      </w:r>
      <w:r>
        <w:t xml:space="preserve">a payment card) amount to the issuance of a new payment instrument, and if so,</w:t>
      </w:r>
      <w:r>
        <w:t xml:space="preserve"> </w:t>
      </w:r>
      <w:r>
        <w:t xml:space="preserve">which party issues the new tokenised payment instrument, the PSP which issued the</w:t>
      </w:r>
      <w:r>
        <w:t xml:space="preserve"> </w:t>
      </w:r>
      <w:r>
        <w:t xml:space="preserve">original payment instrument, or the operator of the wallet? If the answer to the first</w:t>
      </w:r>
      <w:r>
        <w:t xml:space="preserve"> </w:t>
      </w:r>
      <w:r>
        <w:t xml:space="preserve">question is yes and the answer to the second question is the operator of the wallet,</w:t>
      </w:r>
      <w:r>
        <w:t xml:space="preserve"> </w:t>
      </w:r>
      <w:r>
        <w:t xml:space="preserve">then the wallet operator would already today need a PSP license. It will be clarified</w:t>
      </w:r>
      <w:r>
        <w:t xml:space="preserve"> </w:t>
      </w:r>
      <w:r>
        <w:t xml:space="preserve">that unless it could be used as a standalone payment instrument that can be used to</w:t>
      </w:r>
      <w:r>
        <w:t xml:space="preserve"> </w:t>
      </w:r>
      <w:r>
        <w:t xml:space="preserve">initiate a payment order independently from the underlying tokenised payment</w:t>
      </w:r>
      <w:r>
        <w:t xml:space="preserve"> </w:t>
      </w:r>
      <w:r>
        <w:t xml:space="preserve">instrument (e.g. a card), the token cannot be considered as being itself a payment</w:t>
      </w:r>
      <w:r>
        <w:t xml:space="preserve"> </w:t>
      </w:r>
      <w:r>
        <w:t xml:space="preserve">instrument but, rather, a ‘payment application’ within the meaning of Art. 2(21) of the</w:t>
      </w:r>
      <w:r>
        <w:t xml:space="preserve"> </w:t>
      </w:r>
      <w:r>
        <w:t xml:space="preserve">Interchange Fee Regulation.</w:t>
      </w:r>
      <w:r>
        <w:t xml:space="preserve"> </w:t>
      </w:r>
      <w:r>
        <w:t xml:space="preserve"> Can the operator of a digital pass-through wallet carry out SCA, on behalf of the</w:t>
      </w:r>
      <w:r>
        <w:t xml:space="preserve"> </w:t>
      </w:r>
      <w:r>
        <w:t xml:space="preserve">issuer of the original payment instrument, when the tokenised instrument stored in the</w:t>
      </w:r>
      <w:r>
        <w:t xml:space="preserve"> </w:t>
      </w:r>
      <w:r>
        <w:t xml:space="preserve">wallet is used for a payment? Here, it will be clarified, in line with the relevant EBA</w:t>
      </w:r>
      <w:r>
        <w:t xml:space="preserve"> </w:t>
      </w:r>
      <w:r>
        <w:t xml:space="preserve">Q&amp;As324 that this is possible, but only with an outsourcing agreement under which the</w:t>
      </w:r>
      <w:r>
        <w:t xml:space="preserve"> </w:t>
      </w:r>
      <w:r>
        <w:t xml:space="preserve">original issuer retains full liability for any failure of SCA and has the right to audit</w:t>
      </w:r>
      <w:r>
        <w:t xml:space="preserve"> </w:t>
      </w:r>
      <w:r>
        <w:t xml:space="preserve">and control the wallet operator’s security provisions.</w:t>
      </w:r>
    </w:p>
    <w:p>
      <w:pPr>
        <w:pStyle w:val="BodyText"/>
      </w:pPr>
      <w:r>
        <w:t xml:space="preserve">These clarifications should provide sufficient certainty about the status of pass-through</w:t>
      </w:r>
      <w:r>
        <w:t xml:space="preserve"> </w:t>
      </w:r>
      <w:r>
        <w:t xml:space="preserve">wallets, without the need to bring them within the scope of PSD and subject them to a full</w:t>
      </w:r>
      <w:r>
        <w:t xml:space="preserve"> </w:t>
      </w:r>
      <w:r>
        <w:t xml:space="preserve">licensing and supervision regime. Oversight by the ECB should be sufficient for now, but this</w:t>
      </w:r>
      <w:r>
        <w:t xml:space="preserve"> </w:t>
      </w:r>
      <w:r>
        <w:t xml:space="preserve">subject will be re-evaluated in the next review of PSD.</w:t>
      </w:r>
    </w:p>
    <w:p>
      <w:pPr>
        <w:pStyle w:val="Compact"/>
        <w:numPr>
          <w:ilvl w:val="0"/>
          <w:numId w:val="1037"/>
        </w:numPr>
      </w:pPr>
      <w:r>
        <w:t xml:space="preserve">Possible deletion from the scope: account information services and payment</w:t>
      </w:r>
      <w:r>
        <w:t xml:space="preserve"> </w:t>
      </w:r>
      <w:r>
        <w:t xml:space="preserve">initiation services</w:t>
      </w:r>
      <w:r>
        <w:t xml:space="preserve"> </w:t>
      </w:r>
      <w:r>
        <w:t xml:space="preserve">Account information services, being information-related and not involving any payment, are</w:t>
      </w:r>
      <w:r>
        <w:t xml:space="preserve"> </w:t>
      </w:r>
      <w:r>
        <w:t xml:space="preserve">heterogeneous to the other services listed in Annex 1 of PSD2, all of which involve the</w:t>
      </w:r>
      <w:r>
        <w:t xml:space="preserve"> </w:t>
      </w:r>
      <w:r>
        <w:t xml:space="preserve">safeguarding or moving of funds. Entities which only carry out account information services</w:t>
      </w:r>
      <w:r>
        <w:t xml:space="preserve"> </w:t>
      </w:r>
      <w:r>
        <w:t xml:space="preserve">must obtain a license as a Payment Institution, but with a lighter set of requirements than</w:t>
      </w:r>
      <w:r>
        <w:t xml:space="preserve"> </w:t>
      </w:r>
      <w:r>
        <w:t xml:space="preserve">account servicing Payment Institutions. Some stakeholders have suggested that account</w:t>
      </w:r>
      <w:r>
        <w:t xml:space="preserve"> </w:t>
      </w:r>
      <w:r>
        <w:t xml:space="preserve">information services might belong more appropriately in the future legislative framework on</w:t>
      </w:r>
    </w:p>
    <w:p>
      <w:pPr>
        <w:pStyle w:val="FirstParagraph"/>
      </w:pPr>
      <w:r>
        <w:t xml:space="preserve">323 See sections 2.1.4. 2.2.4, and 6.1.4. of the impact assessment, which discuss these rules.</w:t>
      </w:r>
      <w:r>
        <w:t xml:space="preserve"> </w:t>
      </w:r>
      <w:r>
        <w:t xml:space="preserve">324 See EBA press release of 31 January 2023.</w:t>
      </w:r>
    </w:p>
    <w:p>
      <w:pPr>
        <w:pStyle w:val="BodyText"/>
      </w:pPr>
      <w:r>
        <w:t xml:space="preserve">165</w:t>
      </w:r>
    </w:p>
    <w:p>
      <w:pPr>
        <w:pStyle w:val="BodyText"/>
      </w:pPr>
      <w:r>
        <w:t xml:space="preserve">Open Finance325. However, such a move could only be seriously envisaged once the</w:t>
      </w:r>
      <w:r>
        <w:t xml:space="preserve"> </w:t>
      </w:r>
      <w:r>
        <w:t xml:space="preserve">legislative framework on Open Finance is known and agreed politically. A situation in which</w:t>
      </w:r>
      <w:r>
        <w:t xml:space="preserve"> </w:t>
      </w:r>
      <w:r>
        <w:t xml:space="preserve">account information services would become unregulated for a certain time (for example, if</w:t>
      </w:r>
      <w:r>
        <w:t xml:space="preserve"> </w:t>
      </w:r>
      <w:r>
        <w:t xml:space="preserve">they were removed from PSD2 before any new OF regime would enter into force) cannot be</w:t>
      </w:r>
      <w:r>
        <w:t xml:space="preserve"> </w:t>
      </w:r>
      <w:r>
        <w:t xml:space="preserve">risked since there would be a tangible danger that AISPs would, even if only temporarily,</w:t>
      </w:r>
      <w:r>
        <w:t xml:space="preserve"> </w:t>
      </w:r>
      <w:r>
        <w:t xml:space="preserve">lose their data access rights. Also, the risk of a disruptive transition to a new legal regime</w:t>
      </w:r>
      <w:r>
        <w:t xml:space="preserve"> </w:t>
      </w:r>
      <w:r>
        <w:t xml:space="preserve">must be avoided for AISPs, and the transition can only be successfully managed once the</w:t>
      </w:r>
      <w:r>
        <w:t xml:space="preserve"> </w:t>
      </w:r>
      <w:r>
        <w:t xml:space="preserve">final version of the Open Finance framework is known, after adoption by the co-legislators. A</w:t>
      </w:r>
      <w:r>
        <w:t xml:space="preserve"> </w:t>
      </w:r>
      <w:r>
        <w:t xml:space="preserve">transfer of AIS to the OF framework is not ruled out in a future review.</w:t>
      </w:r>
      <w:r>
        <w:br/>
      </w:r>
      <w:r>
        <w:t xml:space="preserve">Regarding PISPs, it is considered that since they initiate payment transactions rather than</w:t>
      </w:r>
      <w:r>
        <w:t xml:space="preserve"> </w:t>
      </w:r>
      <w:r>
        <w:t xml:space="preserve">receiving and using data, they belong in the legal framework on payments -as providing an</w:t>
      </w:r>
      <w:r>
        <w:t xml:space="preserve"> </w:t>
      </w:r>
      <w:r>
        <w:t xml:space="preserve">inherently payment service- not in the future framework on Open Finance.</w:t>
      </w:r>
      <w:r>
        <w:t xml:space="preserve"> </w:t>
      </w:r>
      <w:r>
        <w:t xml:space="preserve">5. Other clarifications on scope</w:t>
      </w:r>
      <w:r>
        <w:t xml:space="preserve"> </w:t>
      </w:r>
      <w:r>
        <w:t xml:space="preserve">In light of these considerations, it is proposed only to make essential clarifications on the</w:t>
      </w:r>
      <w:r>
        <w:t xml:space="preserve"> </w:t>
      </w:r>
      <w:r>
        <w:t xml:space="preserve">rules on the scope of PSD2 where there are currently ambiguities, but without making</w:t>
      </w:r>
      <w:r>
        <w:t xml:space="preserve"> </w:t>
      </w:r>
      <w:r>
        <w:t xml:space="preserve">significant changes to the scope (no new inclusions or exclusions of categories of service</w:t>
      </w:r>
      <w:r>
        <w:t xml:space="preserve"> </w:t>
      </w:r>
      <w:r>
        <w:t xml:space="preserve">providers). This is a matter of textual clarifications in order to allow a harmonised application</w:t>
      </w:r>
      <w:r>
        <w:t xml:space="preserve"> </w:t>
      </w:r>
      <w:r>
        <w:t xml:space="preserve">across the EU and to allow for a proper coverage of relevant services and actors. If one would</w:t>
      </w:r>
      <w:r>
        <w:t xml:space="preserve"> </w:t>
      </w:r>
      <w:r>
        <w:t xml:space="preserve">not clarify the scope of PSD2, PSD2 would still allow for different application practices.</w:t>
      </w:r>
      <w:r>
        <w:t xml:space="preserve"> </w:t>
      </w:r>
      <w:r>
        <w:t xml:space="preserve">Consumers would continue to be exposed to unsupervised parties which should be supervised</w:t>
      </w:r>
      <w:r>
        <w:t xml:space="preserve"> </w:t>
      </w:r>
      <w:r>
        <w:t xml:space="preserve">and do not comply with PSD2´s rules e.g. on framework contracts, amongst others. An</w:t>
      </w:r>
      <w:r>
        <w:t xml:space="preserve"> </w:t>
      </w:r>
      <w:r>
        <w:t xml:space="preserve">uneven level playing field would remain.</w:t>
      </w:r>
      <w:r>
        <w:br/>
      </w:r>
      <w:r>
        <w:t xml:space="preserve">In order to remedy this, the following textual clarifications are foreseen:</w:t>
      </w:r>
      <w:r>
        <w:t xml:space="preserve"> </w:t>
      </w:r>
      <w:r>
        <w:t xml:space="preserve">a. Clarify the definitions of payment services in annex I: insert further definitions on</w:t>
      </w:r>
      <w:r>
        <w:t xml:space="preserve"> </w:t>
      </w:r>
      <w:r>
        <w:t xml:space="preserve">different payment services to the legal text (currently only some payment services are</w:t>
      </w:r>
      <w:r>
        <w:t xml:space="preserve"> </w:t>
      </w:r>
      <w:r>
        <w:t xml:space="preserve">defined in detail), and alongside this clarify, where necessary, further related</w:t>
      </w:r>
      <w:r>
        <w:t xml:space="preserve"> </w:t>
      </w:r>
      <w:r>
        <w:t xml:space="preserve">definitions (e.g. payment instruments in the context of issuance and payment accounts</w:t>
      </w:r>
      <w:r>
        <w:t xml:space="preserve"> </w:t>
      </w:r>
      <w:r>
        <w:t xml:space="preserve">in the context of the execution of payment transaction); merge definitions of related</w:t>
      </w:r>
      <w:r>
        <w:t xml:space="preserve"> </w:t>
      </w:r>
      <w:r>
        <w:t xml:space="preserve">and/or separate divergent payment services where appropriate; adapt and update the</w:t>
      </w:r>
      <w:r>
        <w:t xml:space="preserve"> </w:t>
      </w:r>
      <w:r>
        <w:t xml:space="preserve">wording to current market reality.</w:t>
      </w:r>
    </w:p>
    <w:p>
      <w:pPr>
        <w:pStyle w:val="Compact"/>
        <w:numPr>
          <w:ilvl w:val="0"/>
          <w:numId w:val="1038"/>
        </w:numPr>
      </w:pPr>
      <w:r>
        <w:t xml:space="preserve">Clarify some exclusions in article 3, in particular:</w:t>
      </w:r>
      <w:r>
        <w:br/>
      </w:r>
      <w:r>
        <w:t xml:space="preserve"> Commercial agent: give examples of covered business cases in the relevant recital</w:t>
      </w:r>
      <w:r>
        <w:t xml:space="preserve"> </w:t>
      </w:r>
      <w:r>
        <w:t xml:space="preserve">(outline the actual used cases) and provide further clarifications in the actual legal</w:t>
      </w:r>
      <w:r>
        <w:t xml:space="preserve"> </w:t>
      </w:r>
      <w:r>
        <w:t xml:space="preserve">text (e.g. outline the term “commercial agent” and the term “negotiate and</w:t>
      </w:r>
    </w:p>
    <w:p>
      <w:pPr>
        <w:pStyle w:val="FirstParagraph"/>
      </w:pPr>
      <w:r>
        <w:t xml:space="preserve">325 A legislative proposal on Open Finance, analogous to Open Banking but concerning other financial services</w:t>
      </w:r>
      <w:r>
        <w:t xml:space="preserve"> </w:t>
      </w:r>
      <w:r>
        <w:t xml:space="preserve">such as insurance and investment services, is scheduled for 2023 in the Commission’s 2023 Work Programme.</w:t>
      </w:r>
    </w:p>
    <w:p>
      <w:pPr>
        <w:pStyle w:val="BodyText"/>
      </w:pPr>
      <w:r>
        <w:t xml:space="preserve">166</w:t>
      </w:r>
    </w:p>
    <w:p>
      <w:pPr>
        <w:pStyle w:val="BodyText"/>
      </w:pPr>
      <w:r>
        <w:t xml:space="preserve">conclude”); where necessary mandate the European Banking Authority to develop</w:t>
      </w:r>
      <w:r>
        <w:t xml:space="preserve"> </w:t>
      </w:r>
      <w:r>
        <w:t xml:space="preserve">Guidelines.</w:t>
      </w:r>
      <w:r>
        <w:br/>
      </w:r>
      <w:r>
        <w:t xml:space="preserve"> Limited network: streamline the terms used (e.g. “professional issuer” and</w:t>
      </w:r>
      <w:r>
        <w:t xml:space="preserve"> </w:t>
      </w:r>
      <w:r>
        <w:t xml:space="preserve">“premises of the issuer”), outline the geographical limits for the instrument, and</w:t>
      </w:r>
      <w:r>
        <w:t xml:space="preserve"> </w:t>
      </w:r>
      <w:r>
        <w:t xml:space="preserve">mandate the European Banking Authority to amend and update its</w:t>
      </w:r>
      <w:r>
        <w:t xml:space="preserve"> </w:t>
      </w:r>
      <w:r>
        <w:t xml:space="preserve">Guidelines326where necessary.</w:t>
      </w:r>
      <w:r>
        <w:t xml:space="preserve"> </w:t>
      </w:r>
      <w:r>
        <w:t xml:space="preserve">Furthermore, it is envisaged to textually clarify:</w:t>
      </w:r>
      <w:r>
        <w:t xml:space="preserve"> </w:t>
      </w:r>
      <w:r>
        <w:t xml:space="preserve"> The coverage of business models that are based on cooperation between a licensed</w:t>
      </w:r>
      <w:r>
        <w:t xml:space="preserve"> </w:t>
      </w:r>
      <w:r>
        <w:t xml:space="preserve">entity and a non-licensed entity (e.g. for cases where the non-licensed entity obtains</w:t>
      </w:r>
      <w:r>
        <w:t xml:space="preserve"> </w:t>
      </w:r>
      <w:r>
        <w:t xml:space="preserve">control over the entire business activity and in particular controls the interaction</w:t>
      </w:r>
      <w:r>
        <w:t xml:space="preserve"> </w:t>
      </w:r>
      <w:r>
        <w:t xml:space="preserve">towards the consumer). It will be in particular clarified (in a recital) whether the</w:t>
      </w:r>
      <w:r>
        <w:t xml:space="preserve"> </w:t>
      </w:r>
      <w:r>
        <w:t xml:space="preserve">agency framework (if the non-licensed entity acts on behalf of the licensed entity), the</w:t>
      </w:r>
      <w:r>
        <w:t xml:space="preserve"> </w:t>
      </w:r>
      <w:r>
        <w:t xml:space="preserve">outsourcing framework (if the non-licensed entity supports the services provided by</w:t>
      </w:r>
      <w:r>
        <w:t xml:space="preserve"> </w:t>
      </w:r>
      <w:r>
        <w:t xml:space="preserve">the licensed entity), and the actual licensing requirement (if both involved entities</w:t>
      </w:r>
      <w:r>
        <w:t xml:space="preserve"> </w:t>
      </w:r>
      <w:r>
        <w:t xml:space="preserve">provided services that qualify as payment services) need to be applied.</w:t>
      </w:r>
      <w:r>
        <w:t xml:space="preserve"> </w:t>
      </w:r>
      <w:r>
        <w:t xml:space="preserve"> The confirmation of the availability of funds services (see article 65 of PSD2) will be</w:t>
      </w:r>
      <w:r>
        <w:t xml:space="preserve"> </w:t>
      </w:r>
      <w:r>
        <w:t xml:space="preserve">removed from the PSD2 as this business model never took off and no provider of this</w:t>
      </w:r>
      <w:r>
        <w:t xml:space="preserve"> </w:t>
      </w:r>
      <w:r>
        <w:t xml:space="preserve">service is currently licensed. The framework will be lightened and adjusted to market</w:t>
      </w:r>
      <w:r>
        <w:t xml:space="preserve"> </w:t>
      </w:r>
      <w:r>
        <w:t xml:space="preserve">reality.</w:t>
      </w:r>
    </w:p>
    <w:p>
      <w:pPr>
        <w:pStyle w:val="BodyText"/>
      </w:pPr>
      <w:r>
        <w:t xml:space="preserve">326 Guidelines on the limited network exclusion under PSD2.</w:t>
      </w:r>
    </w:p>
    <w:p>
      <w:pPr>
        <w:pStyle w:val="BodyText"/>
      </w:pPr>
      <w:r>
        <w:t xml:space="preserve">167</w:t>
      </w:r>
    </w:p>
    <w:p>
      <w:pPr>
        <w:pStyle w:val="BodyText"/>
      </w:pPr>
      <w:r>
        <w:t xml:space="preserve">ANNEX 7: TECHNICAL CLARIFICATIONS AND OTHER</w:t>
      </w:r>
      <w:r>
        <w:t xml:space="preserve"> </w:t>
      </w:r>
      <w:r>
        <w:t xml:space="preserve">CHANGES</w:t>
      </w:r>
      <w:r>
        <w:t xml:space="preserve"> </w:t>
      </w:r>
      <w:r>
        <w:t xml:space="preserve">The purpose of this annex is to list a number of clarifications and technical and relatively</w:t>
      </w:r>
      <w:r>
        <w:t xml:space="preserve"> </w:t>
      </w:r>
      <w:r>
        <w:t xml:space="preserve">minor changes which the current initiative will bring to PSD2, many of them on the basis of</w:t>
      </w:r>
      <w:r>
        <w:t xml:space="preserve"> </w:t>
      </w:r>
      <w:r>
        <w:t xml:space="preserve">responses prepared either by EBA or the European Commission to questions submitted</w:t>
      </w:r>
      <w:r>
        <w:t xml:space="preserve"> </w:t>
      </w:r>
      <w:r>
        <w:t xml:space="preserve">according to the Q&amp;A process laid down in the EBA Regulation327. These clarifications and</w:t>
      </w:r>
      <w:r>
        <w:t xml:space="preserve"> </w:t>
      </w:r>
      <w:r>
        <w:t xml:space="preserve">technical changes fall into a number of areas (see Annex 6 above for clarifications on scope).</w:t>
      </w:r>
      <w:r>
        <w:t xml:space="preserve"> </w:t>
      </w:r>
      <w:r>
        <w:t xml:space="preserve">Definitions</w:t>
      </w:r>
      <w:r>
        <w:t xml:space="preserve"> </w:t>
      </w:r>
      <w:r>
        <w:t xml:space="preserve">The numerous different adjustments of the current provisions in PSD2 as explained in the</w:t>
      </w:r>
      <w:r>
        <w:t xml:space="preserve"> </w:t>
      </w:r>
      <w:r>
        <w:t xml:space="preserve">main body of the impact assessment will be reflected in the list of definitions as well where</w:t>
      </w:r>
      <w:r>
        <w:t xml:space="preserve"> </w:t>
      </w:r>
      <w:r>
        <w:t xml:space="preserve">appropriate. There will be for example updates on the definitions of ‘payment accounts’,</w:t>
      </w:r>
      <w:r>
        <w:t xml:space="preserve"> </w:t>
      </w:r>
      <w:r>
        <w:t xml:space="preserve">‘payment instruments’ and ‘funds’. Beyond that there will be new definitions introduced</w:t>
      </w:r>
      <w:r>
        <w:t xml:space="preserve"> </w:t>
      </w:r>
      <w:r>
        <w:t xml:space="preserve">where necessary to clarify and make it easier to apply the new rules for instance in the</w:t>
      </w:r>
      <w:r>
        <w:t xml:space="preserve"> </w:t>
      </w:r>
      <w:r>
        <w:t xml:space="preserve">context of strong customer authentication (initiation and execution of payment transactions).</w:t>
      </w:r>
      <w:r>
        <w:t xml:space="preserve"> </w:t>
      </w:r>
      <w:r>
        <w:t xml:space="preserve">Some rather prominent examples can be found in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Article 4(12) – ‘payment accounts’: clarify the functions of payment accounts as</w:t>
      </w:r>
      <w:r>
        <w:t xml:space="preserve"> </w:t>
      </w:r>
      <w:r>
        <w:t xml:space="preserve">regards the execution of payment transactions and the sending and receiving of funds</w:t>
      </w:r>
      <w:r>
        <w:t xml:space="preserve"> </w:t>
      </w:r>
      <w:r>
        <w:t xml:space="preserve">in light of recent ECJ rulings (C-191/17).</w:t>
      </w:r>
      <w:r>
        <w:t xml:space="preserve"> </w:t>
      </w:r>
      <w:r>
        <w:t xml:space="preserve">-</w:t>
      </w:r>
      <w:r>
        <w:t xml:space="preserve"> </w:t>
      </w:r>
      <w:r>
        <w:t xml:space="preserve">Article 4(14) – ‘payment instrument’: specify the meaning of payment instruments in</w:t>
      </w:r>
      <w:r>
        <w:t xml:space="preserve"> </w:t>
      </w:r>
      <w:r>
        <w:t xml:space="preserve">light of recent ECJ rulings (C-287/19).</w:t>
      </w:r>
      <w:r>
        <w:t xml:space="preserve"> </w:t>
      </w:r>
      <w:r>
        <w:t xml:space="preserve">-</w:t>
      </w:r>
      <w:r>
        <w:t xml:space="preserve"> </w:t>
      </w:r>
      <w:r>
        <w:t xml:space="preserve">Article 4(16) – ‘account information services’: due to further developments in this</w:t>
      </w:r>
      <w:r>
        <w:t xml:space="preserve"> </w:t>
      </w:r>
      <w:r>
        <w:t xml:space="preserve">business model, the definition has to be modified to clarify that an AIS can be</w:t>
      </w:r>
      <w:r>
        <w:t xml:space="preserve"> </w:t>
      </w:r>
      <w:r>
        <w:t xml:space="preserve">provided either directly to the payment service user or be transmitted, with the user</w:t>
      </w:r>
      <w:r>
        <w:t xml:space="preserve"> </w:t>
      </w:r>
      <w:r>
        <w:t xml:space="preserve">consent, to another party, for example a non-bank lender or a credit scoring agency</w:t>
      </w:r>
      <w:r>
        <w:t xml:space="preserve"> </w:t>
      </w:r>
      <w:r>
        <w:t xml:space="preserve">which uses the account information to provide a credit score.</w:t>
      </w:r>
      <w:r>
        <w:br/>
      </w:r>
      <w:r>
        <w:t xml:space="preserve">-</w:t>
      </w:r>
      <w:r>
        <w:t xml:space="preserve"> </w:t>
      </w:r>
      <w:r>
        <w:t xml:space="preserve">Article 4(25) – ‘funds’: provide an updated understanding in line with other pieces of</w:t>
      </w:r>
      <w:r>
        <w:t xml:space="preserve"> </w:t>
      </w:r>
      <w:r>
        <w:t xml:space="preserve">EU legislation (e.g. in the context of EMD provisions or the digital euro).</w:t>
      </w:r>
      <w:r>
        <w:t xml:space="preserve"> </w:t>
      </w:r>
      <w:r>
        <w:t xml:space="preserve">Surcharging</w:t>
      </w:r>
      <w:r>
        <w:t xml:space="preserve"> </w:t>
      </w:r>
      <w:r>
        <w:t xml:space="preserve">Article 62(3) to (5) of PSD2 govern charging practices. The current rule is that payees are</w:t>
      </w:r>
      <w:r>
        <w:t xml:space="preserve"> </w:t>
      </w:r>
      <w:r>
        <w:t xml:space="preserve">allowed to, inter alia, request charges from payers in order to steer them towards the use of</w:t>
      </w:r>
      <w:r>
        <w:t xml:space="preserve"> </w:t>
      </w:r>
      <w:r>
        <w:t xml:space="preserve">specific payment instruments (surcharging). However, payees are prevented from requesting</w:t>
      </w:r>
      <w:r>
        <w:t xml:space="preserve"> </w:t>
      </w:r>
      <w:r>
        <w:t xml:space="preserve">charges for the use of payment instruments for which interchange fees are regulated under</w:t>
      </w:r>
      <w:r>
        <w:t xml:space="preserve"> </w:t>
      </w:r>
      <w:r>
        <w:t xml:space="preserve">Chapter II of Regulation (EU) 2015/751, i.e., for consumer debit and credit cards issued</w:t>
      </w:r>
      <w:r>
        <w:t xml:space="preserve"> </w:t>
      </w:r>
      <w:r>
        <w:t xml:space="preserve">under four-party card schemes, and for those payment services to which Regulation (EU) No</w:t>
      </w:r>
    </w:p>
    <w:p>
      <w:pPr>
        <w:pStyle w:val="BodyText"/>
      </w:pPr>
      <w:r>
        <w:t xml:space="preserve">327 Regulation (EU) No 1093/2010 of the European Parliament and of the Council of 24 November 2010</w:t>
      </w:r>
      <w:r>
        <w:t xml:space="preserve"> </w:t>
      </w:r>
      <w:r>
        <w:t xml:space="preserve">establishing a European Supervisory Authority (European Banking Authority), article 16b.</w:t>
      </w:r>
    </w:p>
    <w:p>
      <w:pPr>
        <w:pStyle w:val="BodyText"/>
      </w:pPr>
      <w:r>
        <w:t xml:space="preserve">168</w:t>
      </w:r>
    </w:p>
    <w:p>
      <w:pPr>
        <w:pStyle w:val="BodyText"/>
      </w:pPr>
      <w:r>
        <w:t xml:space="preserve">260/2012328 (the ‘SEPA Regulation’) applies, i.e., credit transfer and direct debit transactions</w:t>
      </w:r>
      <w:r>
        <w:t xml:space="preserve"> </w:t>
      </w:r>
      <w:r>
        <w:t xml:space="preserve">denominated in euro within the Union (Article 62(4)). The VVA/CEPS Report concluded that</w:t>
      </w:r>
      <w:r>
        <w:t xml:space="preserve"> </w:t>
      </w:r>
      <w:r>
        <w:t xml:space="preserve">the rules on charges are appropriate and had a positive impact and that there is no need for</w:t>
      </w:r>
      <w:r>
        <w:t xml:space="preserve"> </w:t>
      </w:r>
      <w:r>
        <w:t xml:space="preserve">alignment of charging practices between Member States, as the surcharging ban applies to a</w:t>
      </w:r>
      <w:r>
        <w:t xml:space="preserve"> </w:t>
      </w:r>
      <w:r>
        <w:t xml:space="preserve">large share of payments in the EU (95% of card payments are subject to the surcharging ban).</w:t>
      </w:r>
      <w:r>
        <w:t xml:space="preserve"> </w:t>
      </w:r>
      <w:r>
        <w:t xml:space="preserve">Reordering the provisions under Article 62(3),(4),(5) would allow to have a better systematic</w:t>
      </w:r>
      <w:r>
        <w:t xml:space="preserve"> </w:t>
      </w:r>
      <w:r>
        <w:t xml:space="preserve">structure of Article 62. The ban on surcharging for consumer debit and credit cards regulated</w:t>
      </w:r>
      <w:r>
        <w:t xml:space="preserve"> </w:t>
      </w:r>
      <w:r>
        <w:t xml:space="preserve">under the Interchange Fees Regulation and on credit transfers would come first, followed by</w:t>
      </w:r>
      <w:r>
        <w:t xml:space="preserve"> </w:t>
      </w:r>
      <w:r>
        <w:t xml:space="preserve">the provision giving Member States’ discretion to further ban surcharging and, finally, the</w:t>
      </w:r>
      <w:r>
        <w:t xml:space="preserve"> </w:t>
      </w:r>
      <w:r>
        <w:t xml:space="preserve">residual provision allowing surcharging for all other cases. The surcharging ban covering</w:t>
      </w:r>
      <w:r>
        <w:t xml:space="preserve"> </w:t>
      </w:r>
      <w:r>
        <w:t xml:space="preserve">those payment services to which the SEPA Regulation applies is limited to credit transfer and</w:t>
      </w:r>
      <w:r>
        <w:t xml:space="preserve"> </w:t>
      </w:r>
      <w:r>
        <w:t xml:space="preserve">direct debit payment transactions denominated in euro, and not in other EU currencies, given</w:t>
      </w:r>
      <w:r>
        <w:t xml:space="preserve"> </w:t>
      </w:r>
      <w:r>
        <w:t xml:space="preserve">the currency scope of the SEPA Regulation itself. Changes to be introduced on substance will</w:t>
      </w:r>
      <w:r>
        <w:t xml:space="preserve"> </w:t>
      </w:r>
      <w:r>
        <w:t xml:space="preserve">therefore concern the extension of the surcharging ban to all credit transfers and direct debits</w:t>
      </w:r>
      <w:r>
        <w:t xml:space="preserve"> </w:t>
      </w:r>
      <w:r>
        <w:t xml:space="preserve">not just to those covered by the SEPA Regulation.</w:t>
      </w:r>
      <w:r>
        <w:br/>
      </w:r>
      <w:r>
        <w:t xml:space="preserve">Application of Strong Customer Authentication and fraud beyond SCA</w:t>
      </w:r>
      <w:r>
        <w:t xml:space="preserve"> </w:t>
      </w:r>
      <w:r>
        <w:t xml:space="preserve">This section provides further details about envisaged amendments to SCA and fraud</w:t>
      </w:r>
      <w:r>
        <w:t xml:space="preserve"> </w:t>
      </w:r>
      <w:r>
        <w:t xml:space="preserve">prevention measures, in addition to those provided in the main impact assessment report.</w:t>
      </w:r>
      <w:r>
        <w:t xml:space="preserve"> </w:t>
      </w:r>
      <w:r>
        <w:t xml:space="preserve">The current definition of ‘inherence’, which, under Article 4(30) PSD2 means “something the</w:t>
      </w:r>
      <w:r>
        <w:t xml:space="preserve"> </w:t>
      </w:r>
      <w:r>
        <w:t xml:space="preserve">user is” would be further clarified in view of the way innovation may contribute to payments</w:t>
      </w:r>
      <w:r>
        <w:t xml:space="preserve"> </w:t>
      </w:r>
      <w:r>
        <w:t xml:space="preserve">security.</w:t>
      </w:r>
      <w:r>
        <w:t xml:space="preserve"> </w:t>
      </w:r>
      <w:r>
        <w:t xml:space="preserve">To the EBA, inherence, which includes biometrics relating to physical properties of body</w:t>
      </w:r>
      <w:r>
        <w:t xml:space="preserve"> </w:t>
      </w:r>
      <w:r>
        <w:t xml:space="preserve">parts, physiological characteristics and behavioural processes created by the body, and any</w:t>
      </w:r>
      <w:r>
        <w:t xml:space="preserve"> </w:t>
      </w:r>
      <w:r>
        <w:t xml:space="preserve">combination of these. The EBA, in its Advice excludes from inherence behavioural</w:t>
      </w:r>
      <w:r>
        <w:t xml:space="preserve"> </w:t>
      </w:r>
      <w:r>
        <w:t xml:space="preserve">characteristics related to the environmental analysis and payment habits. To the EBA,</w:t>
      </w:r>
      <w:r>
        <w:t xml:space="preserve"> </w:t>
      </w:r>
      <w:r>
        <w:t xml:space="preserve">environmental analysis and payment habits can be viewed in the light of the transaction risk</w:t>
      </w:r>
      <w:r>
        <w:t xml:space="preserve"> </w:t>
      </w:r>
      <w:r>
        <w:t xml:space="preserve">analysis (‘TRA’) under Arts. 2 and 18 of the RTS.</w:t>
      </w:r>
      <w:r>
        <w:br/>
      </w:r>
      <w:r>
        <w:t xml:space="preserve">There are, however, reasons to consider further specifying PSD2’s definition of ‘inherence’</w:t>
      </w:r>
      <w:r>
        <w:t xml:space="preserve"> </w:t>
      </w:r>
      <w:r>
        <w:t xml:space="preserve">to allow the use for SCA of environmental analysis and payment habits:</w:t>
      </w:r>
      <w:r>
        <w:t xml:space="preserve"> </w:t>
      </w:r>
      <w:r>
        <w:t xml:space="preserve"> The TRA exemption is subject to cumulative conditions, notably to low ‘exemption</w:t>
      </w:r>
      <w:r>
        <w:t xml:space="preserve"> </w:t>
      </w:r>
      <w:r>
        <w:t xml:space="preserve">threshold values’. Hence, it is of limited scope.</w:t>
      </w:r>
      <w:r>
        <w:t xml:space="preserve"> </w:t>
      </w:r>
      <w:r>
        <w:t xml:space="preserve"> The EBA agrees that environmental analysis and payment habits contribute to</w:t>
      </w:r>
      <w:r>
        <w:t xml:space="preserve"> </w:t>
      </w:r>
      <w:r>
        <w:t xml:space="preserve">improving the security of payment transactions/data</w:t>
      </w:r>
    </w:p>
    <w:p>
      <w:pPr>
        <w:pStyle w:val="BodyText"/>
      </w:pPr>
      <w:r>
        <w:t xml:space="preserve">328 Regulation (EU) No 260/2012 of the European Parliament and of the Council of 14 March 2012 establishing</w:t>
      </w:r>
      <w:r>
        <w:t xml:space="preserve"> </w:t>
      </w:r>
      <w:r>
        <w:t xml:space="preserve">technical and business requirements for credit transfers and direct debits in euro and amending Regulation (EC)</w:t>
      </w:r>
      <w:r>
        <w:t xml:space="preserve"> </w:t>
      </w:r>
      <w:r>
        <w:t xml:space="preserve">No 924/2009.</w:t>
      </w:r>
    </w:p>
    <w:p>
      <w:pPr>
        <w:pStyle w:val="BodyText"/>
      </w:pPr>
      <w:r>
        <w:t xml:space="preserve">169</w:t>
      </w:r>
    </w:p>
    <w:p>
      <w:pPr>
        <w:pStyle w:val="BodyText"/>
      </w:pPr>
      <w:r>
        <w:t xml:space="preserve">The UK Financial Conduct Authority approved spending patterns as a valid inherence</w:t>
      </w:r>
      <w:r>
        <w:t xml:space="preserve"> </w:t>
      </w:r>
      <w:r>
        <w:t xml:space="preserve">element for SCA.329 The FCA considers that ‘inherence’ is as a characteristic attributable to a</w:t>
      </w:r>
      <w:r>
        <w:t xml:space="preserve"> </w:t>
      </w:r>
      <w:r>
        <w:t xml:space="preserve">person regardless of whether it relates to a physical property of the body or a behavioural</w:t>
      </w:r>
      <w:r>
        <w:t xml:space="preserve"> </w:t>
      </w:r>
      <w:r>
        <w:t xml:space="preserve">characteristic (e.g., detailed shopping patterns). Alignment of the PSD definitions of</w:t>
      </w:r>
      <w:r>
        <w:t xml:space="preserve"> </w:t>
      </w:r>
      <w:r>
        <w:t xml:space="preserve">‘inherence’ with the UK definition would be carefully considered, in light of the additional</w:t>
      </w:r>
      <w:r>
        <w:t xml:space="preserve"> </w:t>
      </w:r>
      <w:r>
        <w:t xml:space="preserve">SCA elements and the benefits potentially stemming to PSPs, payers and payees from such</w:t>
      </w:r>
      <w:r>
        <w:t xml:space="preserve"> </w:t>
      </w:r>
      <w:r>
        <w:t xml:space="preserve">harmonization.</w:t>
      </w:r>
      <w:r>
        <w:br/>
      </w:r>
      <w:r>
        <w:t xml:space="preserve">The second set of SCA related changes concern transaction risk analysis monitoring.</w:t>
      </w:r>
      <w:r>
        <w:t xml:space="preserve"> </w:t>
      </w:r>
      <w:r>
        <w:t xml:space="preserve">Article 18 of the RTS provides for an SCA exemption, laying down that payment service</w:t>
      </w:r>
      <w:r>
        <w:t xml:space="preserve"> </w:t>
      </w:r>
      <w:r>
        <w:t xml:space="preserve">providers shall be allowed not to apply SCA where the payer initiates a remote digital</w:t>
      </w:r>
      <w:r>
        <w:t xml:space="preserve"> </w:t>
      </w:r>
      <w:r>
        <w:t xml:space="preserve">payment transaction identified by the payment service provider as posing a low level of risk</w:t>
      </w:r>
      <w:r>
        <w:t xml:space="preserve"> </w:t>
      </w:r>
      <w:r>
        <w:t xml:space="preserve">according to the transaction monitoring mechanisms (TMMs) referred to in Article 2 of the</w:t>
      </w:r>
      <w:r>
        <w:t xml:space="preserve"> </w:t>
      </w:r>
      <w:r>
        <w:t xml:space="preserve">RTS (the ‘transaction risk analysis’ SCA exemption). Many stakeholders voiced in their input</w:t>
      </w:r>
      <w:r>
        <w:t xml:space="preserve"> </w:t>
      </w:r>
      <w:r>
        <w:t xml:space="preserve">to the targeted consultation that the current provisions governing ‘transaction risk analysis’</w:t>
      </w:r>
      <w:r>
        <w:t xml:space="preserve"> </w:t>
      </w:r>
      <w:r>
        <w:t xml:space="preserve">(TRA) are insufficient as, for instance as they are perceived to include a “broad definition of</w:t>
      </w:r>
      <w:r>
        <w:t xml:space="preserve"> </w:t>
      </w:r>
      <w:r>
        <w:t xml:space="preserve">risks”. As a result, respondents flag that many relevant providers do not adopt TRA, because</w:t>
      </w:r>
      <w:r>
        <w:t xml:space="preserve"> </w:t>
      </w:r>
      <w:r>
        <w:t xml:space="preserve">the requirements make it unattractive. Public authorities shared a similar view, noting that</w:t>
      </w:r>
      <w:r>
        <w:t xml:space="preserve"> </w:t>
      </w:r>
      <w:r>
        <w:t xml:space="preserve">feedback from the market showed that the current exemption from SCA under article 18 of</w:t>
      </w:r>
      <w:r>
        <w:t xml:space="preserve"> </w:t>
      </w:r>
      <w:r>
        <w:t xml:space="preserve">the RTS on the use of TRA is not used to a significant extent due to cumbersome audit and</w:t>
      </w:r>
      <w:r>
        <w:t xml:space="preserve"> </w:t>
      </w:r>
      <w:r>
        <w:t xml:space="preserve">governance requirements. In addition, respondents also claimed that card issuers lack the</w:t>
      </w:r>
      <w:r>
        <w:t xml:space="preserve"> </w:t>
      </w:r>
      <w:r>
        <w:t xml:space="preserve">incentive to develop TRA solutions, as they have to pay for all the respective costs, also to</w:t>
      </w:r>
      <w:r>
        <w:t xml:space="preserve"> </w:t>
      </w:r>
      <w:r>
        <w:t xml:space="preserve">the benefit of other parties, such as payees. Respondents argue that the absence of a clear</w:t>
      </w:r>
      <w:r>
        <w:t xml:space="preserve"> </w:t>
      </w:r>
      <w:r>
        <w:t xml:space="preserve">guideline on audit content requirements providing more detail and better definitions on risk</w:t>
      </w:r>
      <w:r>
        <w:t xml:space="preserve"> </w:t>
      </w:r>
      <w:r>
        <w:t xml:space="preserve">monitoring requirements and data to share deters more PSPs/EMIs from implementing TRA,</w:t>
      </w:r>
      <w:r>
        <w:t xml:space="preserve"> </w:t>
      </w:r>
      <w:r>
        <w:t xml:space="preserve">that could provide improved risk analysis/monitoring. It is necessary to design appropriate</w:t>
      </w:r>
      <w:r>
        <w:t xml:space="preserve"> </w:t>
      </w:r>
      <w:r>
        <w:t xml:space="preserve">guidance and rules on the scope and the perimeter of TRA, introducing a clear guideline on</w:t>
      </w:r>
      <w:r>
        <w:t xml:space="preserve"> </w:t>
      </w:r>
      <w:r>
        <w:t xml:space="preserve">audit content requirements, providing more detail and better definitions on risk monitoring</w:t>
      </w:r>
      <w:r>
        <w:t xml:space="preserve"> </w:t>
      </w:r>
      <w:r>
        <w:t xml:space="preserve">requirements and data to share, and to consider allowing PSPs to report fraudulent</w:t>
      </w:r>
      <w:r>
        <w:t xml:space="preserve"> </w:t>
      </w:r>
      <w:r>
        <w:t xml:space="preserve">transactions in TRA for which they are solely liable. The relevant exemption threshold</w:t>
      </w:r>
      <w:r>
        <w:t xml:space="preserve"> </w:t>
      </w:r>
      <w:r>
        <w:t xml:space="preserve">values, specified in the table set out in the Annex to the RTS, which date back to 2017, and</w:t>
      </w:r>
      <w:r>
        <w:t xml:space="preserve"> </w:t>
      </w:r>
      <w:r>
        <w:t xml:space="preserve">cannot be exceeded by a given transaction to fall under the TRA SCA exemption, would need</w:t>
      </w:r>
      <w:r>
        <w:t xml:space="preserve"> </w:t>
      </w:r>
      <w:r>
        <w:t xml:space="preserve">to be updated.</w:t>
      </w:r>
      <w:r>
        <w:t xml:space="preserve"> </w:t>
      </w:r>
      <w:r>
        <w:t xml:space="preserve">As mentioned above, TMMs are the basis for the risk analysis exemption to the application of</w:t>
      </w:r>
      <w:r>
        <w:t xml:space="preserve"> </w:t>
      </w:r>
      <w:r>
        <w:t xml:space="preserve">SCA. In order to also improve TMMs, the general requirement for PSPs to have in place</w:t>
      </w:r>
      <w:r>
        <w:t xml:space="preserve"> </w:t>
      </w:r>
      <w:r>
        <w:t xml:space="preserve">TMMs would be moved from the RTS330 to Level 1 legislation (as proposed by the EBA in</w:t>
      </w:r>
      <w:r>
        <w:t xml:space="preserve"> </w:t>
      </w:r>
      <w:r>
        <w:t xml:space="preserve">its Advice)331 in order to emphasise the political priority of this measure and its crucial</w:t>
      </w:r>
    </w:p>
    <w:p>
      <w:pPr>
        <w:pStyle w:val="BodyText"/>
      </w:pPr>
      <w:r>
        <w:t xml:space="preserve">329 UK Financial Conduct Authority, Policy Statement on Changes to the SCA-RTS and to the guidance in</w:t>
      </w:r>
      <w:r>
        <w:t xml:space="preserve"> </w:t>
      </w:r>
      <w:r>
        <w:t xml:space="preserve">‘Payment Services and Electronic Money – Our Approach’ and the Perimeter Guidance Manual, November</w:t>
      </w:r>
      <w:r>
        <w:t xml:space="preserve"> </w:t>
      </w:r>
      <w:r>
        <w:t xml:space="preserve">2021, page 26.</w:t>
      </w:r>
      <w:r>
        <w:t xml:space="preserve"> </w:t>
      </w:r>
      <w:r>
        <w:t xml:space="preserve">330 Monitoring mechanisms are not mandated by the Directive itself, but only in Articles 2 and 18 of the RTS.</w:t>
      </w:r>
      <w:r>
        <w:t xml:space="preserve"> </w:t>
      </w:r>
      <w:r>
        <w:t xml:space="preserve">331 Advice on the review of Directive (EU) 2015/2366 on payment services in the internal market (PSD2), 23</w:t>
      </w:r>
      <w:r>
        <w:t xml:space="preserve"> </w:t>
      </w:r>
      <w:r>
        <w:t xml:space="preserve">June 2022, page 80.</w:t>
      </w:r>
    </w:p>
    <w:p>
      <w:pPr>
        <w:pStyle w:val="BodyText"/>
      </w:pPr>
      <w:r>
        <w:t xml:space="preserve">170</w:t>
      </w:r>
    </w:p>
    <w:p>
      <w:pPr>
        <w:pStyle w:val="BodyText"/>
      </w:pPr>
      <w:r>
        <w:t xml:space="preserve">contribution to fraud prevention. This would also serve the purpose of clarifying that TMMs</w:t>
      </w:r>
      <w:r>
        <w:t xml:space="preserve"> </w:t>
      </w:r>
      <w:r>
        <w:t xml:space="preserve">concern security requirements against fraud that go beyond the protection offered by SCA,</w:t>
      </w:r>
      <w:r>
        <w:t xml:space="preserve"> </w:t>
      </w:r>
      <w:r>
        <w:t xml:space="preserve">which does not currently result from the relevant provisions of the RTS that require the</w:t>
      </w:r>
      <w:r>
        <w:t xml:space="preserve"> </w:t>
      </w:r>
      <w:r>
        <w:t xml:space="preserve">implementation of TMMs specifically to ensure compliance with the SCA requirements.</w:t>
      </w:r>
      <w:r>
        <w:t xml:space="preserve"> </w:t>
      </w:r>
      <w:r>
        <w:t xml:space="preserve">Moving TMMs to level 1 would also allow to clarify that the obligation to implement TMMs</w:t>
      </w:r>
      <w:r>
        <w:t xml:space="preserve"> </w:t>
      </w:r>
      <w:r>
        <w:t xml:space="preserve">applies not only to payment transactions but also to open banking services (in particular in</w:t>
      </w:r>
      <w:r>
        <w:t xml:space="preserve"> </w:t>
      </w:r>
      <w:r>
        <w:t xml:space="preserve">the context of account information services), which also does not result from the RTS</w:t>
      </w:r>
      <w:r>
        <w:t xml:space="preserve"> </w:t>
      </w:r>
      <w:r>
        <w:t xml:space="preserve">provisions on TMMs mentioned above, which focus on payment transactions. This would</w:t>
      </w:r>
      <w:r>
        <w:t xml:space="preserve"> </w:t>
      </w:r>
      <w:r>
        <w:t xml:space="preserve">result in an extended scope of TMMs, further contributing to fraud prevention.</w:t>
      </w:r>
      <w:r>
        <w:t xml:space="preserve"> </w:t>
      </w:r>
      <w:r>
        <w:t xml:space="preserve">Furthermore, there is merit in the EBA’s proposal to mandate it to set out the specific</w:t>
      </w:r>
      <w:r>
        <w:t xml:space="preserve"> </w:t>
      </w:r>
      <w:r>
        <w:t xml:space="preserve">technical requirements related to the TMMs (e.g., ensuring that richer data points are covered</w:t>
      </w:r>
      <w:r>
        <w:t xml:space="preserve"> </w:t>
      </w:r>
      <w:r>
        <w:t xml:space="preserve">by TMMs) and better definitions on risk monitoring requirements, helping stakeholders to</w:t>
      </w:r>
      <w:r>
        <w:t xml:space="preserve"> </w:t>
      </w:r>
      <w:r>
        <w:t xml:space="preserve">reap the full benefits of the mechanism combating fraud.332 TMMs would be, with fraud data</w:t>
      </w:r>
      <w:r>
        <w:t xml:space="preserve"> </w:t>
      </w:r>
      <w:r>
        <w:t xml:space="preserve">sharing and awareness campaigns, the central piece of the fraud prevention arsenal. It would</w:t>
      </w:r>
      <w:r>
        <w:t xml:space="preserve"> </w:t>
      </w:r>
      <w:r>
        <w:t xml:space="preserve">also be directly linked with the new liability requirements for authorised transactions</w:t>
      </w:r>
      <w:r>
        <w:t xml:space="preserve"> </w:t>
      </w:r>
      <w:r>
        <w:t xml:space="preserve">because, as noted by the EBA, PSPs have little incentives to invest in effective transaction</w:t>
      </w:r>
      <w:r>
        <w:t xml:space="preserve"> </w:t>
      </w:r>
      <w:r>
        <w:t xml:space="preserve">monitoring mechanisms that could mitigate the social engineering risks, because in most</w:t>
      </w:r>
      <w:r>
        <w:t xml:space="preserve"> </w:t>
      </w:r>
      <w:r>
        <w:t xml:space="preserve">cases the losses are passed on to the PSUs.333</w:t>
      </w:r>
      <w:r>
        <w:t xml:space="preserve"> </w:t>
      </w:r>
      <w:r>
        <w:t xml:space="preserve">As mentioned above, PSPs are already required under the RTS to implement TMMs, having</w:t>
      </w:r>
      <w:r>
        <w:t xml:space="preserve"> </w:t>
      </w:r>
      <w:r>
        <w:t xml:space="preserve">had to integrate it. There are, therefore, costs that have already been incurred by PSPs to</w:t>
      </w:r>
      <w:r>
        <w:t xml:space="preserve"> </w:t>
      </w:r>
      <w:r>
        <w:t xml:space="preserve">comply with the requirement to adopt TMMs. It is too early to quantify potential additional</w:t>
      </w:r>
      <w:r>
        <w:t xml:space="preserve"> </w:t>
      </w:r>
      <w:r>
        <w:t xml:space="preserve">implementation costs, as they would be dependent on the nature and scope of the specific</w:t>
      </w:r>
      <w:r>
        <w:t xml:space="preserve"> </w:t>
      </w:r>
      <w:r>
        <w:t xml:space="preserve">technical requirements that are yet to be developed by the EBA. Potential additional costs</w:t>
      </w:r>
      <w:r>
        <w:t xml:space="preserve"> </w:t>
      </w:r>
      <w:r>
        <w:t xml:space="preserve">would be weighed against the benefits in terms of broader and improved fraud prevention</w:t>
      </w:r>
      <w:r>
        <w:t xml:space="preserve"> </w:t>
      </w:r>
      <w:r>
        <w:t xml:space="preserve">stemming from having more effective TMMs based, inter alia, on richer data points.</w:t>
      </w:r>
      <w:r>
        <w:t xml:space="preserve"> </w:t>
      </w:r>
      <w:r>
        <w:t xml:space="preserve">The fourth group of changes to SCA and fraud beyond SCA concerns the initiation of digital</w:t>
      </w:r>
      <w:r>
        <w:t xml:space="preserve"> </w:t>
      </w:r>
      <w:r>
        <w:t xml:space="preserve">remote payment transactions and the requirement for PSPs to apply SCA that includes</w:t>
      </w:r>
      <w:r>
        <w:t xml:space="preserve"> </w:t>
      </w:r>
      <w:r>
        <w:t xml:space="preserve">elements which dynamically link the transaction to a specific amount and a specific payee</w:t>
      </w:r>
      <w:r>
        <w:t xml:space="preserve"> </w:t>
      </w:r>
      <w:r>
        <w:t xml:space="preserve">(Article 97(2) PSD2 and Article 5 RTS). There is the need to introduce a clearer definition of</w:t>
      </w:r>
      <w:r>
        <w:t xml:space="preserve"> </w:t>
      </w:r>
      <w:r>
        <w:t xml:space="preserve">‘remote digital payment transactions’ and define ‘initiation of an digital payment transaction’.</w:t>
      </w:r>
      <w:r>
        <w:t xml:space="preserve"> </w:t>
      </w:r>
      <w:r>
        <w:t xml:space="preserve">There is also the need to clarify the specific risks that are to be addressed with the dynamic</w:t>
      </w:r>
      <w:r>
        <w:t xml:space="preserve"> </w:t>
      </w:r>
      <w:r>
        <w:t xml:space="preserve">linking requirements for remote transactions.</w:t>
      </w:r>
      <w:r>
        <w:t xml:space="preserve"> </w:t>
      </w:r>
      <w:r>
        <w:t xml:space="preserve">The purpose is to create a level playing field between card-based wallets and mobile initiated</w:t>
      </w:r>
      <w:r>
        <w:t xml:space="preserve"> </w:t>
      </w:r>
      <w:r>
        <w:t xml:space="preserve">credit transfers at physical point of interaction (‘POI’) in terms of the SCA requirements with</w:t>
      </w:r>
      <w:r>
        <w:t xml:space="preserve"> </w:t>
      </w:r>
      <w:r>
        <w:t xml:space="preserve">dynamic linking. The current definition of ‘remote digital payment transactions’ does not</w:t>
      </w:r>
      <w:r>
        <w:t xml:space="preserve"> </w:t>
      </w:r>
      <w:r>
        <w:t xml:space="preserve">seem to provide an up to date and precise framework to decide whether mobile initiated</w:t>
      </w:r>
      <w:r>
        <w:t xml:space="preserve"> </w:t>
      </w:r>
      <w:r>
        <w:t xml:space="preserve">credit transfers at POI (e.g., when SCA is performed online) are remote payments, requiring</w:t>
      </w:r>
      <w:r>
        <w:t xml:space="preserve"> </w:t>
      </w:r>
      <w:r>
        <w:t xml:space="preserve">SCA dynamic linking. Under PSD2, remote payment transaction’ means a payment</w:t>
      </w:r>
    </w:p>
    <w:p>
      <w:pPr>
        <w:pStyle w:val="BodyText"/>
      </w:pPr>
      <w:r>
        <w:t xml:space="preserve">332 Ibid.</w:t>
      </w:r>
      <w:r>
        <w:t xml:space="preserve"> </w:t>
      </w:r>
      <w:r>
        <w:t xml:space="preserve">333 Ibid, page 82.</w:t>
      </w:r>
    </w:p>
    <w:p>
      <w:pPr>
        <w:pStyle w:val="BodyText"/>
      </w:pPr>
      <w:r>
        <w:t xml:space="preserve">171</w:t>
      </w:r>
    </w:p>
    <w:p>
      <w:pPr>
        <w:pStyle w:val="BodyText"/>
      </w:pPr>
      <w:r>
        <w:t xml:space="preserve">transaction initiated via internet or through a device that can be used for distance</w:t>
      </w:r>
      <w:r>
        <w:t xml:space="preserve"> </w:t>
      </w:r>
      <w:r>
        <w:t xml:space="preserve">communication. EBA Q&amp;A 4594334 clarified that a “payment transaction is remote when</w:t>
      </w:r>
      <w:r>
        <w:t xml:space="preserve"> </w:t>
      </w:r>
      <w:r>
        <w:t xml:space="preserve">initiated via internet or, in case the transaction is initiated via a device, where the physical</w:t>
      </w:r>
      <w:r>
        <w:t xml:space="preserve"> </w:t>
      </w:r>
      <w:r>
        <w:t xml:space="preserve">presence of the device is irrelevant for the initiation of the payment transaction”. As a result,</w:t>
      </w:r>
      <w:r>
        <w:t xml:space="preserve"> </w:t>
      </w:r>
      <w:r>
        <w:t xml:space="preserve">for instance, the mere use of a mobile phone at POI would be a remote transaction, which</w:t>
      </w:r>
      <w:r>
        <w:t xml:space="preserve"> </w:t>
      </w:r>
      <w:r>
        <w:t xml:space="preserve">might result in some level of ambiguity for mobile payments at POI and level playing field</w:t>
      </w:r>
      <w:r>
        <w:t xml:space="preserve"> </w:t>
      </w:r>
      <w:r>
        <w:t xml:space="preserve">concerns.</w:t>
      </w:r>
      <w:r>
        <w:t xml:space="preserve"> </w:t>
      </w:r>
      <w:r>
        <w:t xml:space="preserve">The issue does not only have to do with the current definitions under PSD2, but also with the</w:t>
      </w:r>
      <w:r>
        <w:t xml:space="preserve"> </w:t>
      </w:r>
      <w:r>
        <w:t xml:space="preserve">need to understand and clarify in the legal framework if dynamic linking is only meant to</w:t>
      </w:r>
      <w:r>
        <w:t xml:space="preserve"> </w:t>
      </w:r>
      <w:r>
        <w:t xml:space="preserve">cater for the risks of tampering with the payee name and the specific amount of the</w:t>
      </w:r>
      <w:r>
        <w:t xml:space="preserve"> </w:t>
      </w:r>
      <w:r>
        <w:t xml:space="preserve">transaction between payment initiation and authentication of (online) remote payments, or if</w:t>
      </w:r>
      <w:r>
        <w:t xml:space="preserve"> </w:t>
      </w:r>
      <w:r>
        <w:t xml:space="preserve">it also addresses the additional risk of fraud more generally, such as a fraudster intercepting</w:t>
      </w:r>
      <w:r>
        <w:t xml:space="preserve"> </w:t>
      </w:r>
      <w:r>
        <w:t xml:space="preserve">the communication between the PSU and the PSP, as the EBA Q&amp;A 2020-5367335 indicates.</w:t>
      </w:r>
      <w:r>
        <w:t xml:space="preserve"> </w:t>
      </w:r>
      <w:r>
        <w:t xml:space="preserve">Q&amp;A 2020-5367 clarifies that credit transfers at POI with online authentication require</w:t>
      </w:r>
      <w:r>
        <w:t xml:space="preserve"> </w:t>
      </w:r>
      <w:r>
        <w:t xml:space="preserve">dynamic linking.</w:t>
      </w:r>
      <w:r>
        <w:t xml:space="preserve"> </w:t>
      </w:r>
      <w:r>
        <w:t xml:space="preserve">Supervision</w:t>
      </w:r>
      <w:r>
        <w:t xml:space="preserve"> </w:t>
      </w:r>
      <w:r>
        <w:t xml:space="preserve">Some of the articles of Title II of the Directive require some clarifications and updating, for</w:t>
      </w:r>
      <w:r>
        <w:t xml:space="preserve"> </w:t>
      </w:r>
      <w:r>
        <w:t xml:space="preserve">example a revision of the initial capital requirements to reflect inflation, or to reflect the</w:t>
      </w:r>
      <w:r>
        <w:t xml:space="preserve"> </w:t>
      </w:r>
      <w:r>
        <w:t xml:space="preserve">clarifications that were requested through the EBA Q&amp;A tool. The most important of these</w:t>
      </w:r>
      <w:r>
        <w:t xml:space="preserve"> </w:t>
      </w:r>
      <w:r>
        <w:t xml:space="preserve">clarifications are listed below:</w:t>
      </w:r>
      <w:r>
        <w:t xml:space="preserve"> </w:t>
      </w:r>
      <w:r>
        <w:t xml:space="preserve">Article 7 - initial capital: update to include the inflation rate since the first PSD1 (2007), as</w:t>
      </w:r>
      <w:r>
        <w:t xml:space="preserve"> </w:t>
      </w:r>
      <w:r>
        <w:t xml:space="preserve">the PSD2 of 2015 did not make any changes. Given the fact that the majority of the data</w:t>
      </w:r>
      <w:r>
        <w:t xml:space="preserve"> </w:t>
      </w:r>
      <w:r>
        <w:t xml:space="preserve">gathered and used for the PSD2 review was up until end-2021, the inflation rate of 2007-2021</w:t>
      </w:r>
      <w:r>
        <w:t xml:space="preserve"> </w:t>
      </w:r>
      <w:r>
        <w:t xml:space="preserve">(ECB’s Harmonized Index of Consumer Prices336) is used to recalculate the initial capital</w:t>
      </w:r>
      <w:r>
        <w:t xml:space="preserve"> </w:t>
      </w:r>
      <w:r>
        <w:t xml:space="preserve">ratios: 23.1%. The figures are then rounded down to the nearest ten or five (thousand). This</w:t>
      </w:r>
      <w:r>
        <w:t xml:space="preserve"> </w:t>
      </w:r>
      <w:r>
        <w:t xml:space="preserve">results in the following amended initial capital figures for Annex I services:</w:t>
      </w:r>
      <w:r>
        <w:t xml:space="preserve"> </w:t>
      </w:r>
      <w:r>
        <w:t xml:space="preserve">-</w:t>
      </w:r>
      <w:r>
        <w:t xml:space="preserve"> </w:t>
      </w:r>
      <w:r>
        <w:t xml:space="preserve">For the providers of service (1) to (5) an increase from 125.000 € to 150.000 €.</w:t>
      </w:r>
      <w:r>
        <w:t xml:space="preserve"> </w:t>
      </w:r>
      <w:r>
        <w:t xml:space="preserve">-</w:t>
      </w:r>
      <w:r>
        <w:t xml:space="preserve"> </w:t>
      </w:r>
      <w:r>
        <w:t xml:space="preserve">For the providers of service (6) an increase from 20.000 € to 25.000 €</w:t>
      </w:r>
      <w:r>
        <w:t xml:space="preserve"> </w:t>
      </w:r>
      <w:r>
        <w:t xml:space="preserve">-</w:t>
      </w:r>
      <w:r>
        <w:t xml:space="preserve"> </w:t>
      </w:r>
      <w:r>
        <w:t xml:space="preserve">For the providers of service (7) the initial capital requirements of 50.000 € does not</w:t>
      </w:r>
      <w:r>
        <w:t xml:space="preserve"> </w:t>
      </w:r>
      <w:r>
        <w:t xml:space="preserve">change. The EBA’s review of initial capital in its Call for Advice concludes the</w:t>
      </w:r>
      <w:r>
        <w:t xml:space="preserve"> </w:t>
      </w:r>
      <w:r>
        <w:t xml:space="preserve">50.000 € is sufficient, and providers of service (7) also require a professional</w:t>
      </w:r>
      <w:r>
        <w:t xml:space="preserve"> </w:t>
      </w:r>
      <w:r>
        <w:t xml:space="preserve">indemnity insurance or comparable guarantee (art. 5(2)) next to the initial capital,</w:t>
      </w:r>
      <w:r>
        <w:t xml:space="preserve"> </w:t>
      </w:r>
      <w:r>
        <w:t xml:space="preserve">which services (1) to (6) do not. There is no further evidence to suggest the 50.000 €</w:t>
      </w:r>
      <w:r>
        <w:t xml:space="preserve"> </w:t>
      </w:r>
      <w:r>
        <w:t xml:space="preserve">initial capital for PISPs is too low.</w:t>
      </w:r>
    </w:p>
    <w:p>
      <w:pPr>
        <w:pStyle w:val="BodyText"/>
      </w:pPr>
      <w:r>
        <w:t xml:space="preserve">334 2019_4594 Definition of an electronic remote payment transaction | European Banking Authority</w:t>
      </w:r>
      <w:r>
        <w:t xml:space="preserve"> </w:t>
      </w:r>
      <w:r>
        <w:t xml:space="preserve">(europa.eu).</w:t>
      </w:r>
      <w:r>
        <w:t xml:space="preserve"> </w:t>
      </w:r>
      <w:r>
        <w:t xml:space="preserve">335 2020_5367 SCA requirements with dynamic linking for mobile initiated credit transfers (MSCTs) | European</w:t>
      </w:r>
      <w:r>
        <w:t xml:space="preserve"> </w:t>
      </w:r>
      <w:r>
        <w:t xml:space="preserve">Banking Authority (europa.eu).</w:t>
      </w:r>
      <w:r>
        <w:t xml:space="preserve"> </w:t>
      </w:r>
      <w:r>
        <w:t xml:space="preserve">336 European Central Bank’s Harmonized Index of Consumer Prices (HICP), via link.</w:t>
      </w:r>
    </w:p>
    <w:p>
      <w:pPr>
        <w:pStyle w:val="BodyText"/>
      </w:pPr>
      <w:r>
        <w:t xml:space="preserve">172</w:t>
      </w:r>
    </w:p>
    <w:p>
      <w:pPr>
        <w:pStyle w:val="Compact"/>
        <w:numPr>
          <w:ilvl w:val="0"/>
          <w:numId w:val="1039"/>
        </w:numPr>
      </w:pPr>
      <w:r>
        <w:t xml:space="preserve">Due to the merger of EMD and PSD2, the own funds of EMIs becomes part of the</w:t>
      </w:r>
      <w:r>
        <w:t xml:space="preserve"> </w:t>
      </w:r>
      <w:r>
        <w:t xml:space="preserve">PSD2. There is no reason other than an inflation correction to change the 350 000 €</w:t>
      </w:r>
      <w:r>
        <w:t xml:space="preserve"> </w:t>
      </w:r>
      <w:r>
        <w:t xml:space="preserve">initial capital requirement for EMIs (to 400.000 €) and this will be included in a new</w:t>
      </w:r>
      <w:r>
        <w:t xml:space="preserve"> </w:t>
      </w:r>
      <w:r>
        <w:t xml:space="preserve">article 7 (d).</w:t>
      </w:r>
      <w:r>
        <w:t xml:space="preserve"> </w:t>
      </w:r>
      <w:r>
        <w:t xml:space="preserve">Providers of service n°8 (AISPs) are not required to hold initial capital given the limited</w:t>
      </w:r>
      <w:r>
        <w:t xml:space="preserve"> </w:t>
      </w:r>
      <w:r>
        <w:t xml:space="preserve">financial risk they face and because they do not hold own funds. This is notwithstanding any</w:t>
      </w:r>
      <w:r>
        <w:t xml:space="preserve"> </w:t>
      </w:r>
      <w:r>
        <w:t xml:space="preserve">business models in which the provider combines service 8 with another of Annex I’s payment</w:t>
      </w:r>
      <w:r>
        <w:t xml:space="preserve"> </w:t>
      </w:r>
      <w:r>
        <w:t xml:space="preserve">services. They continue to be required to hold a professional indemnity insurance or</w:t>
      </w:r>
      <w:r>
        <w:t xml:space="preserve"> </w:t>
      </w:r>
      <w:r>
        <w:t xml:space="preserve">comparable guarantee (art. 5(3)).</w:t>
      </w:r>
      <w:r>
        <w:br/>
      </w:r>
      <w:r>
        <w:t xml:space="preserve">For article 9 – own funds: an option D for E-Money Institutions will be included, and a</w:t>
      </w:r>
      <w:r>
        <w:t xml:space="preserve"> </w:t>
      </w:r>
      <w:r>
        <w:t xml:space="preserve">clarification that it is the relevant competent authority that determines which method shall be</w:t>
      </w:r>
      <w:r>
        <w:t xml:space="preserve"> </w:t>
      </w:r>
      <w:r>
        <w:t xml:space="preserve">applied for the calculation of own funds. This should lead to more harmonisation (NCAs</w:t>
      </w:r>
      <w:r>
        <w:t xml:space="preserve"> </w:t>
      </w:r>
      <w:r>
        <w:t xml:space="preserve">mostly apply method B, method B will be flagged as being the default rule).</w:t>
      </w:r>
      <w:r>
        <w:t xml:space="preserve"> </w:t>
      </w:r>
      <w:r>
        <w:t xml:space="preserve">Article 19 - use of agents, branches or entities to which activities are outsourced: clarify</w:t>
      </w:r>
      <w:r>
        <w:t xml:space="preserve"> </w:t>
      </w:r>
      <w:r>
        <w:t xml:space="preserve">situations of ‘triangular passporting’, by indicating that article 19(5) also applies in case a</w:t>
      </w:r>
      <w:r>
        <w:t xml:space="preserve"> </w:t>
      </w:r>
      <w:r>
        <w:t xml:space="preserve">payment institution wishes to provide payment services in another Member State than its</w:t>
      </w:r>
      <w:r>
        <w:t xml:space="preserve"> </w:t>
      </w:r>
      <w:r>
        <w:t xml:space="preserve">home state through an intermediary (an agent or branch) in another, third, Member State</w:t>
      </w:r>
      <w:r>
        <w:t xml:space="preserve"> </w:t>
      </w:r>
      <w:r>
        <w:t xml:space="preserve">(‘triangular passporting’). These clarifications should lead to a more harmonised</w:t>
      </w:r>
      <w:r>
        <w:t xml:space="preserve"> </w:t>
      </w:r>
      <w:r>
        <w:t xml:space="preserve">implementation across Member States.</w:t>
      </w:r>
      <w:r>
        <w:t xml:space="preserve"> </w:t>
      </w:r>
      <w:r>
        <w:t xml:space="preserve">Product intervention powers (for EBA)</w:t>
      </w:r>
      <w:r>
        <w:t xml:space="preserve"> </w:t>
      </w:r>
      <w:r>
        <w:t xml:space="preserve">It is envisaged to include in the legislative proposal product intervention powers to the EBA.</w:t>
      </w:r>
      <w:r>
        <w:t xml:space="preserve"> </w:t>
      </w:r>
      <w:r>
        <w:t xml:space="preserve">These powers would allow the EBA to prohibit temporarily the sale of certain payment</w:t>
      </w:r>
      <w:r>
        <w:t xml:space="preserve"> </w:t>
      </w:r>
      <w:r>
        <w:t xml:space="preserve">products. The EBA has these powers in principle as set out in article 9 para. 5 of the EBA</w:t>
      </w:r>
      <w:r>
        <w:t xml:space="preserve"> </w:t>
      </w:r>
      <w:r>
        <w:t xml:space="preserve">regulation. EBA should however act within the powers of sectoral EU legislation. Those</w:t>
      </w:r>
      <w:r>
        <w:t xml:space="preserve"> </w:t>
      </w:r>
      <w:r>
        <w:t xml:space="preserve">powers need to be technically “switched on” in the relevant field before the EBA can make</w:t>
      </w:r>
      <w:r>
        <w:t xml:space="preserve"> </w:t>
      </w:r>
      <w:r>
        <w:t xml:space="preserve">use of it337. For other EU authorities (ESMA/EIOPA), these clarifications were already</w:t>
      </w:r>
      <w:r>
        <w:t xml:space="preserve"> </w:t>
      </w:r>
      <w:r>
        <w:t xml:space="preserve">provided through other pieces of EU legislation (e.g. EMIR and PRIIPS) as a result of which</w:t>
      </w:r>
      <w:r>
        <w:t xml:space="preserve"> </w:t>
      </w:r>
      <w:r>
        <w:t xml:space="preserve">product intervention powers can be applied to some financial products (insurances and</w:t>
      </w:r>
      <w:r>
        <w:t xml:space="preserve"> </w:t>
      </w:r>
      <w:r>
        <w:t xml:space="preserve">investment products), however not to all relevant products. In the future (from 2024</w:t>
      </w:r>
      <w:r>
        <w:t xml:space="preserve"> </w:t>
      </w:r>
      <w:r>
        <w:t xml:space="preserve">onwards), the EBA will have these powers for products under MICA. Against this</w:t>
      </w:r>
      <w:r>
        <w:t xml:space="preserve"> </w:t>
      </w:r>
      <w:r>
        <w:t xml:space="preserve">background, it will be clarified that the EBA will have product intervention powers in the</w:t>
      </w:r>
      <w:r>
        <w:t xml:space="preserve"> </w:t>
      </w:r>
      <w:r>
        <w:t xml:space="preserve">field of payment services as well. These powers would allow EBA to intervene altogether if</w:t>
      </w:r>
      <w:r>
        <w:t xml:space="preserve"> </w:t>
      </w:r>
      <w:r>
        <w:t xml:space="preserve">there are issues for example in cases where a single credit card product (regulated payment</w:t>
      </w:r>
      <w:r>
        <w:t xml:space="preserve"> </w:t>
      </w:r>
      <w:r>
        <w:t xml:space="preserve">instrument) allow payments indeed not only with classic funds, however with categories of</w:t>
      </w:r>
      <w:r>
        <w:t xml:space="preserve"> </w:t>
      </w:r>
      <w:r>
        <w:t xml:space="preserve">crypto assets that are not considered as funds (in particular asset-referenced tokens).</w:t>
      </w:r>
      <w:r>
        <w:t xml:space="preserve"> </w:t>
      </w:r>
      <w:r>
        <w:t xml:space="preserve">Alignment with MiCA (Markets in Crypto Assets Regulation)</w:t>
      </w:r>
      <w:r>
        <w:t xml:space="preserve"> </w:t>
      </w:r>
      <w:r>
        <w:t xml:space="preserve">In line with the future Regulation on Markets in Crypto-Assets, it will be clarified that</w:t>
      </w:r>
      <w:r>
        <w:t xml:space="preserve"> </w:t>
      </w:r>
      <w:r>
        <w:t xml:space="preserve">payment transactions using EMTs are covered (taking into account that e-money tokens are</w:t>
      </w:r>
    </w:p>
    <w:p>
      <w:pPr>
        <w:pStyle w:val="FirstParagraph"/>
      </w:pPr>
      <w:r>
        <w:t xml:space="preserve">337 As examples, see article 69(m) and (n) of Directive 2014/65/EU.</w:t>
      </w:r>
    </w:p>
    <w:p>
      <w:pPr>
        <w:pStyle w:val="BodyText"/>
      </w:pPr>
      <w:r>
        <w:t xml:space="preserve">173</w:t>
      </w:r>
    </w:p>
    <w:p>
      <w:pPr>
        <w:pStyle w:val="BodyText"/>
      </w:pPr>
      <w:r>
        <w:t xml:space="preserve">e-money, and hence one of the categories of funds) by the relevant provisions applying to</w:t>
      </w:r>
      <w:r>
        <w:t xml:space="preserve"> </w:t>
      </w:r>
      <w:r>
        <w:t xml:space="preserve">payment transactions in the PSD2, and consider any issues regarding the applicability of</w:t>
      </w:r>
      <w:r>
        <w:t xml:space="preserve"> </w:t>
      </w:r>
      <w:r>
        <w:t xml:space="preserve">these to DLT-based products (i.e. in particular provisions in Title IV of PSD2).</w:t>
      </w:r>
      <w:r>
        <w:t xml:space="preserve"> </w:t>
      </w:r>
      <w:r>
        <w:t xml:space="preserve">Measures to enhance coherence with GDPR (General Data Protection Regulation)</w:t>
      </w:r>
      <w:r>
        <w:t xml:space="preserve"> </w:t>
      </w:r>
      <w:r>
        <w:t xml:space="preserve">Explicit consent</w:t>
      </w:r>
      <w:r>
        <w:t xml:space="preserve"> </w:t>
      </w:r>
      <w:r>
        <w:t xml:space="preserve">Article 94(2) PSD2 states that “PSPs shall only access, process and retain personal data</w:t>
      </w:r>
      <w:r>
        <w:t xml:space="preserve"> </w:t>
      </w:r>
      <w:r>
        <w:t xml:space="preserve">necessary for the provision of their payment services, with the explicit consent of the</w:t>
      </w:r>
      <w:r>
        <w:t xml:space="preserve"> </w:t>
      </w:r>
      <w:r>
        <w:t xml:space="preserve">payment service user”. Article 4(11) GDPR defines consent as “any freely given, specific,</w:t>
      </w:r>
      <w:r>
        <w:t xml:space="preserve"> </w:t>
      </w:r>
      <w:r>
        <w:t xml:space="preserve">informed and unambiguous indication of the data subject’s wishes by which he or she, by a</w:t>
      </w:r>
      <w:r>
        <w:t xml:space="preserve"> </w:t>
      </w:r>
      <w:r>
        <w:t xml:space="preserve">statement or by a clear affirmative action, signifies agreement to the processing of personal</w:t>
      </w:r>
      <w:r>
        <w:t xml:space="preserve"> </w:t>
      </w:r>
      <w:r>
        <w:t xml:space="preserve">data relating to him or her”. The parallel use of explicit consent in both legal acts has led to</w:t>
      </w:r>
      <w:r>
        <w:t xml:space="preserve"> </w:t>
      </w:r>
      <w:r>
        <w:t xml:space="preserve">the question of whether “explicit consent” as mentioned in PSD2 should be construed in the</w:t>
      </w:r>
      <w:r>
        <w:t xml:space="preserve"> </w:t>
      </w:r>
      <w:r>
        <w:t xml:space="preserve">same way as explicit consent under GDPR. The EDPB has clarified in its guidelines338 that</w:t>
      </w:r>
      <w:r>
        <w:t xml:space="preserve"> </w:t>
      </w:r>
      <w:r>
        <w:t xml:space="preserve">explicit consent pursuant to Article 94(2) PSD2 should be regarded as an additional</w:t>
      </w:r>
      <w:r>
        <w:t xml:space="preserve"> </w:t>
      </w:r>
      <w:r>
        <w:t xml:space="preserve">requirement of a contractual nature in relation to the access to and subsequently processing</w:t>
      </w:r>
      <w:r>
        <w:t xml:space="preserve"> </w:t>
      </w:r>
      <w:r>
        <w:t xml:space="preserve">and storage of personal data for the purpose of providing payment services and is therefore</w:t>
      </w:r>
      <w:r>
        <w:t xml:space="preserve"> </w:t>
      </w:r>
      <w:r>
        <w:t xml:space="preserve">not the same as explicit consent under the GDPR. Legal certainty will be provided by</w:t>
      </w:r>
      <w:r>
        <w:t xml:space="preserve"> </w:t>
      </w:r>
      <w:r>
        <w:t xml:space="preserve">introducing clarification on explicit consent in Articles 65, 66, 67 and 94 PSD2 in line with</w:t>
      </w:r>
      <w:r>
        <w:t xml:space="preserve"> </w:t>
      </w:r>
      <w:r>
        <w:t xml:space="preserve">the EDPB guidelines.</w:t>
      </w:r>
      <w:r>
        <w:t xml:space="preserve"> </w:t>
      </w:r>
      <w:r>
        <w:t xml:space="preserve">Silent Party Data</w:t>
      </w:r>
      <w:r>
        <w:t xml:space="preserve"> </w:t>
      </w:r>
      <w:r>
        <w:t xml:space="preserve">The access to account data by AISPs and PISPs in the context of Articles 66 and 67 PSD2 has</w:t>
      </w:r>
      <w:r>
        <w:t xml:space="preserve"> </w:t>
      </w:r>
      <w:r>
        <w:t xml:space="preserve">raised concerns about the processing of “silent party data”. Silent party data is personal data</w:t>
      </w:r>
      <w:r>
        <w:t xml:space="preserve"> </w:t>
      </w:r>
      <w:r>
        <w:t xml:space="preserve">concerning a data subject who is not the user of a specific PSP, which is processed by that</w:t>
      </w:r>
      <w:r>
        <w:t xml:space="preserve"> </w:t>
      </w:r>
      <w:r>
        <w:t xml:space="preserve">PSP for the performance of a contract with a PSU. The EDPB guidelines have clarified that,</w:t>
      </w:r>
      <w:r>
        <w:t xml:space="preserve"> </w:t>
      </w:r>
      <w:r>
        <w:t xml:space="preserve">in line with Article 6 (1)(f) GDPR, the legitimate interest of a controller or a third party to</w:t>
      </w:r>
      <w:r>
        <w:t xml:space="preserve"> </w:t>
      </w:r>
      <w:r>
        <w:t xml:space="preserve">perform the contract with the PSU can constitute a lawful basis for the processing of silent</w:t>
      </w:r>
      <w:r>
        <w:t xml:space="preserve"> </w:t>
      </w:r>
      <w:r>
        <w:t xml:space="preserve">party data by PISPs and AISPs in the context of the provision of payment services under the</w:t>
      </w:r>
      <w:r>
        <w:t xml:space="preserve"> </w:t>
      </w:r>
      <w:r>
        <w:t xml:space="preserve">PSD2339. However, it has also stated that “the necessity to process personal data of the silent</w:t>
      </w:r>
      <w:r>
        <w:t xml:space="preserve"> </w:t>
      </w:r>
      <w:r>
        <w:t xml:space="preserve">party is limited and determined by the reasonable expectations of these data subjects”340.</w:t>
      </w:r>
      <w:r>
        <w:t xml:space="preserve"> </w:t>
      </w:r>
      <w:r>
        <w:t xml:space="preserve">Hence, in order to ensure legal certainty, a new legal basis in PSD on the processing of silent</w:t>
      </w:r>
      <w:r>
        <w:t xml:space="preserve"> </w:t>
      </w:r>
      <w:r>
        <w:t xml:space="preserve">parties will therefore be included (in Art. 66 and 67).</w:t>
      </w:r>
      <w:r>
        <w:t xml:space="preserve"> </w:t>
      </w:r>
      <w:r>
        <w:t xml:space="preserve">Processing of special categories of data</w:t>
      </w:r>
      <w:r>
        <w:t xml:space="preserve"> </w:t>
      </w:r>
      <w:r>
        <w:t xml:space="preserve">The processing of special categories of personal data (e.g. revealing racial or ethnic origin,</w:t>
      </w:r>
      <w:r>
        <w:t xml:space="preserve"> </w:t>
      </w:r>
      <w:r>
        <w:t xml:space="preserve">political opinions, religious or philosophical beliefs, or trade union membership, etc.) is</w:t>
      </w:r>
      <w:r>
        <w:t xml:space="preserve"> </w:t>
      </w:r>
      <w:r>
        <w:t xml:space="preserve">prohibited under the GDPR341, subject to the exceptions set out in Article 9(2) GDPR. These</w:t>
      </w:r>
    </w:p>
    <w:p>
      <w:pPr>
        <w:pStyle w:val="BodyText"/>
      </w:pPr>
      <w:r>
        <w:t xml:space="preserve">338 EDPB Guidelines 06/2020 on the interplay of PSD2 and GDPR (paragraph 36).</w:t>
      </w:r>
      <w:r>
        <w:t xml:space="preserve"> </w:t>
      </w:r>
      <w:r>
        <w:t xml:space="preserve">339 Ibid., paragraph 48.</w:t>
      </w:r>
      <w:r>
        <w:t xml:space="preserve"> </w:t>
      </w:r>
      <w:r>
        <w:t xml:space="preserve">340 Ibid.</w:t>
      </w:r>
      <w:r>
        <w:t xml:space="preserve"> </w:t>
      </w:r>
      <w:r>
        <w:t xml:space="preserve">341 Article 9(1).</w:t>
      </w:r>
    </w:p>
    <w:p>
      <w:pPr>
        <w:pStyle w:val="BodyText"/>
      </w:pPr>
      <w:r>
        <w:t xml:space="preserve">174</w:t>
      </w:r>
    </w:p>
    <w:p>
      <w:pPr>
        <w:pStyle w:val="BodyText"/>
      </w:pPr>
      <w:r>
        <w:t xml:space="preserve">exceptions include cases where the data subject has given explicit consent and/or the</w:t>
      </w:r>
      <w:r>
        <w:t xml:space="preserve"> </w:t>
      </w:r>
      <w:r>
        <w:t xml:space="preserve">processing is necessary for reasons of substantial public interest based on Union or national</w:t>
      </w:r>
      <w:r>
        <w:t xml:space="preserve"> </w:t>
      </w:r>
      <w:r>
        <w:t xml:space="preserve">law. To provide legal certainty in situation where payment service provision could include</w:t>
      </w:r>
      <w:r>
        <w:t xml:space="preserve"> </w:t>
      </w:r>
      <w:r>
        <w:t xml:space="preserve">processing of special categories of personal data, a new provision in PSD will be included</w:t>
      </w:r>
      <w:r>
        <w:t xml:space="preserve"> </w:t>
      </w:r>
      <w:r>
        <w:t xml:space="preserve">related to substantial public interest to address cases where processing of special categories is</w:t>
      </w:r>
      <w:r>
        <w:t xml:space="preserve"> </w:t>
      </w:r>
      <w:r>
        <w:t xml:space="preserve">necessary in the context of PSD.</w:t>
      </w:r>
    </w:p>
    <w:p>
      <w:pPr>
        <w:pStyle w:val="BodyText"/>
      </w:pPr>
      <w:r>
        <w:t xml:space="preserve">175</w:t>
      </w:r>
    </w:p>
    <w:p>
      <w:pPr>
        <w:pStyle w:val="BodyText"/>
      </w:pPr>
      <w:r>
        <w:t xml:space="preserve">ANNEX 8: INTEGRATION OF THE E-MONEY DIRECTIVE 2 INTO</w:t>
      </w:r>
      <w:r>
        <w:t xml:space="preserve"> </w:t>
      </w:r>
      <w:r>
        <w:t xml:space="preserve">PSD2</w:t>
      </w:r>
      <w:r>
        <w:t xml:space="preserve"> </w:t>
      </w:r>
      <w:r>
        <w:t xml:space="preserve">1. Background</w:t>
      </w:r>
      <w:r>
        <w:t xml:space="preserve"> </w:t>
      </w:r>
      <w:r>
        <w:t xml:space="preserve">The second Electronic Money Directive (EMD2) contains the rules on authorisation and</w:t>
      </w:r>
      <w:r>
        <w:t xml:space="preserve"> </w:t>
      </w:r>
      <w:r>
        <w:t xml:space="preserve">supervision of E-Money Institutions (EMIs), while PSD2 contains the rules on authorisation</w:t>
      </w:r>
      <w:r>
        <w:t xml:space="preserve"> </w:t>
      </w:r>
      <w:r>
        <w:t xml:space="preserve">and supervision of Payment Institutions (PIs), and establishes the rights and obligations of the</w:t>
      </w:r>
      <w:r>
        <w:t xml:space="preserve"> </w:t>
      </w:r>
      <w:r>
        <w:t xml:space="preserve">parties with regard to payment transactions executed by the three categories of PSPs</w:t>
      </w:r>
      <w:r>
        <w:t xml:space="preserve"> </w:t>
      </w:r>
      <w:r>
        <w:t xml:space="preserve">recognised by the Directive (credit institutions, e-money institutions and payment</w:t>
      </w:r>
      <w:r>
        <w:t xml:space="preserve"> </w:t>
      </w:r>
      <w:r>
        <w:t xml:space="preserve">institutions).</w:t>
      </w:r>
      <w:r>
        <w:br/>
      </w:r>
      <w:r>
        <w:t xml:space="preserve">As payment transactions using e-money (transfers of e-money units) are already regulated to</w:t>
      </w:r>
      <w:r>
        <w:t xml:space="preserve"> </w:t>
      </w:r>
      <w:r>
        <w:t xml:space="preserve">a very large extent by PSD2, the legal framework applicable to EMIs and PIs is already</w:t>
      </w:r>
      <w:r>
        <w:t xml:space="preserve"> </w:t>
      </w:r>
      <w:r>
        <w:t xml:space="preserve">reasonably consistent. However, the licensing requirements (in particular initial capital and</w:t>
      </w:r>
      <w:r>
        <w:t xml:space="preserve"> </w:t>
      </w:r>
      <w:r>
        <w:t xml:space="preserve">ongoing capital) and some key basic concepts governing the e-money business (such as</w:t>
      </w:r>
      <w:r>
        <w:t xml:space="preserve"> </w:t>
      </w:r>
      <w:r>
        <w:t xml:space="preserve">issuance of e-money, e-money distribution and redeemability) are quite distinct, as compared</w:t>
      </w:r>
      <w:r>
        <w:t xml:space="preserve"> </w:t>
      </w:r>
      <w:r>
        <w:t xml:space="preserve">to the services provided by payment institutions. However, as concluded by the EBA in its</w:t>
      </w:r>
      <w:r>
        <w:t xml:space="preserve"> </w:t>
      </w:r>
      <w:r>
        <w:t xml:space="preserve">Advice, supervision authorities have experienced practical difficulties in clearly delineating</w:t>
      </w:r>
      <w:r>
        <w:t xml:space="preserve"> </w:t>
      </w:r>
      <w:r>
        <w:t xml:space="preserve">the two regimes, and in distinguishing e-money products/services from payment services</w:t>
      </w:r>
      <w:r>
        <w:t xml:space="preserve"> </w:t>
      </w:r>
      <w:r>
        <w:t xml:space="preserve">offered by payment institutions342. This has led to concerns about regulatory arbitrage and</w:t>
      </w:r>
      <w:r>
        <w:t xml:space="preserve"> </w:t>
      </w:r>
      <w:r>
        <w:t xml:space="preserve">unlevel playing field, as well as issues with the circumvention of the requirements of EMD2</w:t>
      </w:r>
      <w:r>
        <w:t xml:space="preserve"> </w:t>
      </w:r>
      <w:r>
        <w:t xml:space="preserve">whereby some institution issuing electronic money, taking advantage of the similarity</w:t>
      </w:r>
      <w:r>
        <w:t xml:space="preserve"> </w:t>
      </w:r>
      <w:r>
        <w:t xml:space="preserve">between payment services and electronic money services, apply for authorisation as a PI.</w:t>
      </w:r>
      <w:r>
        <w:br/>
      </w:r>
      <w:r>
        <w:t xml:space="preserve">This experience acquired by applying both frameworks in parallel is now sufficient to move</w:t>
      </w:r>
      <w:r>
        <w:t xml:space="preserve"> </w:t>
      </w:r>
      <w:r>
        <w:t xml:space="preserve">forward with the merger343. The merger of the existing Electronic Money Directive into</w:t>
      </w:r>
      <w:r>
        <w:t xml:space="preserve"> </w:t>
      </w:r>
      <w:r>
        <w:t xml:space="preserve">PSD2 will be an opportunity to address these concerns and challenges with regard to</w:t>
      </w:r>
      <w:r>
        <w:t xml:space="preserve"> </w:t>
      </w:r>
      <w:r>
        <w:t xml:space="preserve">delineating between the two legal frameworks, in particular at the licensing stage.</w:t>
      </w:r>
      <w:r>
        <w:br/>
      </w:r>
      <w:r>
        <w:t xml:space="preserve">In addition to that, the merger will also be an opportunity to ensure a higher degree of</w:t>
      </w:r>
      <w:r>
        <w:t xml:space="preserve"> </w:t>
      </w:r>
      <w:r>
        <w:t xml:space="preserve">harmonisation, simplification and consistent application of the legal requirements for PIs and</w:t>
      </w:r>
      <w:r>
        <w:t xml:space="preserve"> </w:t>
      </w:r>
      <w:r>
        <w:t xml:space="preserve">EMIs, preventing regulatory arbitrage, ensuring a level playing field and a future-proof legal</w:t>
      </w:r>
      <w:r>
        <w:t xml:space="preserve"> </w:t>
      </w:r>
      <w:r>
        <w:t xml:space="preserve">framework.</w:t>
      </w:r>
    </w:p>
    <w:p>
      <w:pPr>
        <w:pStyle w:val="BodyText"/>
      </w:pPr>
      <w:r>
        <w:t xml:space="preserve">342 See Paras 97 to 123 of the EBA’s response to the Commission’s Call for Advice.</w:t>
      </w:r>
      <w:r>
        <w:t xml:space="preserve"> </w:t>
      </w:r>
      <w:r>
        <w:t xml:space="preserve">343 See thereto the Commission’s report on the implementation and impact of Directive 2009/110/EC in</w:t>
      </w:r>
      <w:r>
        <w:t xml:space="preserve"> </w:t>
      </w:r>
      <w:r>
        <w:t xml:space="preserve">particular on the application of prudential requirements for E-Money Institutions of 25 January 2018 on page 7:</w:t>
      </w:r>
      <w:r>
        <w:t xml:space="preserve"> </w:t>
      </w:r>
      <w:r>
        <w:t xml:space="preserve">“A future revision of the Directive and its merger with the revised Payment Services Directive would require</w:t>
      </w:r>
      <w:r>
        <w:t xml:space="preserve"> </w:t>
      </w:r>
      <w:r>
        <w:t xml:space="preserve">further analysis. It seems appropriate to consider such steps only after Member States and stakeholders will</w:t>
      </w:r>
      <w:r>
        <w:t xml:space="preserve"> </w:t>
      </w:r>
      <w:r>
        <w:t xml:space="preserve">have been able to gather experience with the adapted framework following the adoption of PSD2, which will</w:t>
      </w:r>
      <w:r>
        <w:t xml:space="preserve"> </w:t>
      </w:r>
      <w:r>
        <w:t xml:space="preserve">also have an impact on e-money institutions.”</w:t>
      </w:r>
    </w:p>
    <w:p>
      <w:pPr>
        <w:pStyle w:val="BodyText"/>
      </w:pPr>
      <w:r>
        <w:t xml:space="preserve">176</w:t>
      </w:r>
    </w:p>
    <w:p>
      <w:pPr>
        <w:pStyle w:val="BodyText"/>
      </w:pPr>
      <w:r>
        <w:t xml:space="preserve">There is a significant number of entities affected by these challenges: there are 267 E-Money</w:t>
      </w:r>
      <w:r>
        <w:t xml:space="preserve"> </w:t>
      </w:r>
      <w:r>
        <w:t xml:space="preserve">Institutions and 758 Payment Institutions licensed in the EU 344.</w:t>
      </w:r>
      <w:r>
        <w:br/>
      </w:r>
      <w:r>
        <w:t xml:space="preserve">This simplification exercise is overall supported by a majority of stakeholders in the feedback</w:t>
      </w:r>
      <w:r>
        <w:t xml:space="preserve"> </w:t>
      </w:r>
      <w:r>
        <w:t xml:space="preserve">to the public consultations, in particular the targeted consultation responses345, the VVA</w:t>
      </w:r>
      <w:r>
        <w:t xml:space="preserve"> </w:t>
      </w:r>
      <w:r>
        <w:t xml:space="preserve">study346 and the EBA response347 to the Commission´s call for advice. There are however</w:t>
      </w:r>
      <w:r>
        <w:t xml:space="preserve"> </w:t>
      </w:r>
      <w:r>
        <w:t xml:space="preserve">some concerns raised regarding a complete “absorption” of the e-money concept – these</w:t>
      </w:r>
      <w:r>
        <w:t xml:space="preserve"> </w:t>
      </w:r>
      <w:r>
        <w:t xml:space="preserve">concerns are raised amongst others due to the relevance of the e-money concept for the</w:t>
      </w:r>
      <w:r>
        <w:t xml:space="preserve"> </w:t>
      </w:r>
      <w:r>
        <w:t xml:space="preserve">MICA regulation and the historically grown market with its long-standing agreements among</w:t>
      </w:r>
      <w:r>
        <w:t xml:space="preserve"> </w:t>
      </w:r>
      <w:r>
        <w:t xml:space="preserve">the involved parties.</w:t>
      </w:r>
      <w:r>
        <w:br/>
      </w:r>
      <w:r>
        <w:t xml:space="preserve">2. Description of possible available scenarios/options</w:t>
      </w:r>
      <w:r>
        <w:t xml:space="preserve"> </w:t>
      </w:r>
      <w:r>
        <w:t xml:space="preserve">The baseline scenario would amount to doing nothing, no simplification exercise, no</w:t>
      </w:r>
      <w:r>
        <w:t xml:space="preserve"> </w:t>
      </w:r>
      <w:r>
        <w:t xml:space="preserve">efficiency improvements. The baseline scenario includes a technical “codification” exercise</w:t>
      </w:r>
      <w:r>
        <w:t xml:space="preserve"> </w:t>
      </w:r>
      <w:r>
        <w:t xml:space="preserve">amounting to copying the existing EMD provisions into PSD, however leaving all the</w:t>
      </w:r>
      <w:r>
        <w:t xml:space="preserve"> </w:t>
      </w:r>
      <w:r>
        <w:t xml:space="preserve">provisions basically as they are. Beyond the baseline scenario, there are two different options</w:t>
      </w:r>
      <w:r>
        <w:t xml:space="preserve"> </w:t>
      </w:r>
      <w:r>
        <w:t xml:space="preserve">on how to integrate the current EMD2 framework into PSD: 1) complete “absorption” of the</w:t>
      </w:r>
      <w:r>
        <w:t xml:space="preserve"> </w:t>
      </w:r>
      <w:r>
        <w:t xml:space="preserve">concept of e-money into the PSD; 2) a middle ground solution, whereby the specificities of</w:t>
      </w:r>
      <w:r>
        <w:t xml:space="preserve"> </w:t>
      </w:r>
      <w:r>
        <w:t xml:space="preserve">the E-money business are preserved, where justified, but the licensing regime is as</w:t>
      </w:r>
      <w:r>
        <w:t xml:space="preserve"> </w:t>
      </w:r>
      <w:r>
        <w:t xml:space="preserve">harmonised as far as possible with the regime applicable to payment institutions.</w:t>
      </w:r>
      <w:r>
        <w:t xml:space="preserve"> </w:t>
      </w:r>
      <w:r>
        <w:t xml:space="preserve">3. Discussion of possible scenarios/options</w:t>
      </w:r>
      <w:r>
        <w:br/>
      </w:r>
      <w:r>
        <w:t xml:space="preserve">a. In the baseline scenario, the challenges regarding a consistent application, regulatory</w:t>
      </w:r>
      <w:r>
        <w:t xml:space="preserve"> </w:t>
      </w:r>
      <w:r>
        <w:t xml:space="preserve">arbitrage, and future proof legal framework would persist. There would be continued</w:t>
      </w:r>
      <w:r>
        <w:t xml:space="preserve"> </w:t>
      </w:r>
      <w:r>
        <w:t xml:space="preserve">challenges in delineating the services at licensing level, in other words: a lack of</w:t>
      </w:r>
      <w:r>
        <w:t xml:space="preserve"> </w:t>
      </w:r>
      <w:r>
        <w:t xml:space="preserve">effectiveness would remain. In terms of efficiency, the market actors, including NCAs, would</w:t>
      </w:r>
      <w:r>
        <w:t xml:space="preserve"> </w:t>
      </w:r>
      <w:r>
        <w:t xml:space="preserve">continue to spend time and resources in finding the right approach for the application of the</w:t>
      </w:r>
      <w:r>
        <w:t xml:space="preserve"> </w:t>
      </w:r>
      <w:r>
        <w:t xml:space="preserve">existing set of rules. As regards coherence, this option would also be sub-optimal, as one</w:t>
      </w:r>
      <w:r>
        <w:t xml:space="preserve"> </w:t>
      </w:r>
      <w:r>
        <w:t xml:space="preserve">could argue that the two legal frameworks could be considered as inconsistent. Therefore,</w:t>
      </w:r>
      <w:r>
        <w:t xml:space="preserve"> </w:t>
      </w:r>
      <w:r>
        <w:t xml:space="preserve">this option is rejected.</w:t>
      </w:r>
      <w:r>
        <w:t xml:space="preserve"> </w:t>
      </w:r>
      <w:r>
        <w:t xml:space="preserve">b. A complete integration348 would amount to abandoning the whole concept of e-money and</w:t>
      </w:r>
      <w:r>
        <w:t xml:space="preserve"> </w:t>
      </w:r>
      <w:r>
        <w:t xml:space="preserve">related specificities, and covering the activities currently considered as issuance of e-money</w:t>
      </w:r>
      <w:r>
        <w:t xml:space="preserve"> </w:t>
      </w:r>
      <w:r>
        <w:t xml:space="preserve">by the existing set of payment services under PSD2. In terms of effectiveness, there would be</w:t>
      </w:r>
      <w:r>
        <w:t xml:space="preserve"> </w:t>
      </w:r>
      <w:r>
        <w:t xml:space="preserve">no challenges regarding delineation between the two regimes any longer. It would however</w:t>
      </w:r>
      <w:r>
        <w:t xml:space="preserve"> </w:t>
      </w:r>
      <w:r>
        <w:t xml:space="preserve">mean that legitimate differences and specificities of e-money business could no longer be</w:t>
      </w:r>
    </w:p>
    <w:p>
      <w:pPr>
        <w:pStyle w:val="BodyText"/>
      </w:pPr>
      <w:r>
        <w:t xml:space="preserve">344 See thereto an overview in VVA study on page 34 and 35 and the EBA´s register</w:t>
      </w:r>
      <w:r>
        <w:t xml:space="preserve"> </w:t>
      </w:r>
      <w:r>
        <w:t xml:space="preserve">https://www.eba.europa.eu/risk-analysis-and-data/register-payment-electronic-money-institutions-under-PSD2.</w:t>
      </w:r>
      <w:r>
        <w:t xml:space="preserve"> </w:t>
      </w:r>
      <w:r>
        <w:t xml:space="preserve">345 See thereto annex 2, stakeholder consultation, under “Title 1: subject matter, scope and definitions”.</w:t>
      </w:r>
      <w:r>
        <w:t xml:space="preserve"> </w:t>
      </w:r>
      <w:r>
        <w:t xml:space="preserve">346 See there on page 19.</w:t>
      </w:r>
      <w:r>
        <w:t xml:space="preserve"> </w:t>
      </w:r>
      <w:r>
        <w:t xml:space="preserve">347 See therein number 97 onwards.</w:t>
      </w:r>
      <w:r>
        <w:t xml:space="preserve"> </w:t>
      </w:r>
      <w:r>
        <w:t xml:space="preserve">348 See thereto no. 110 of the EBA´s response to the call for advice.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addressed, for instance as regards a necessary consumer protection due to higher initial</w:t>
      </w:r>
      <w:r>
        <w:t xml:space="preserve"> </w:t>
      </w:r>
      <w:r>
        <w:t xml:space="preserve">capital requirements for the issuance of e-money as compared with the payment services</w:t>
      </w:r>
      <w:r>
        <w:t xml:space="preserve"> </w:t>
      </w:r>
      <w:r>
        <w:t xml:space="preserve">which PIs are allowed to offer. In terms of efficiency, market actors including NCAs would</w:t>
      </w:r>
      <w:r>
        <w:t xml:space="preserve"> </w:t>
      </w:r>
      <w:r>
        <w:t xml:space="preserve">be released from the burdensome exercise of delineating between the two regimes. As regards</w:t>
      </w:r>
      <w:r>
        <w:t xml:space="preserve"> </w:t>
      </w:r>
      <w:r>
        <w:t xml:space="preserve">coherence, taking into account that MICA has just been adopted and that it establishes that</w:t>
      </w:r>
      <w:r>
        <w:t xml:space="preserve"> </w:t>
      </w:r>
      <w:r>
        <w:t xml:space="preserve">one of the categories of crypto-assets that it regulates (E-Money tokens) are also e-money and</w:t>
      </w:r>
      <w:r>
        <w:t xml:space="preserve"> </w:t>
      </w:r>
      <w:r>
        <w:t xml:space="preserve">should be regulated accordingly (i.e. according to the E-Money Directive) , a simple</w:t>
      </w:r>
      <w:r>
        <w:t xml:space="preserve"> </w:t>
      </w:r>
      <w:r>
        <w:t xml:space="preserve">absorption of the E-money regime would be incoherent and require a complete overhaul of</w:t>
      </w:r>
      <w:r>
        <w:t xml:space="preserve"> </w:t>
      </w:r>
      <w:r>
        <w:t xml:space="preserve">the recently-adopted rules for licensing and conduct of business requirements for E-Money</w:t>
      </w:r>
      <w:r>
        <w:t xml:space="preserve"> </w:t>
      </w:r>
      <w:r>
        <w:t xml:space="preserve">Tokens. Therefore, this option is rejected.</w:t>
      </w:r>
      <w:r>
        <w:t xml:space="preserve"> </w:t>
      </w:r>
      <w:r>
        <w:t xml:space="preserve">c. an intermediate approach, with the two frameworks brought together in the same directive,</w:t>
      </w:r>
      <w:r>
        <w:t xml:space="preserve"> </w:t>
      </w:r>
      <w:r>
        <w:t xml:space="preserve">and harmonised to the extent possible. In particular, this option would:</w:t>
      </w:r>
    </w:p>
    <w:p>
      <w:pPr>
        <w:pStyle w:val="BodyText"/>
      </w:pPr>
      <w:r>
        <w:t xml:space="preserve"> more clearly delineate the distinguishing features of e-money products/services</w:t>
      </w:r>
      <w:r>
        <w:t xml:space="preserve"> </w:t>
      </w:r>
      <w:r>
        <w:t xml:space="preserve">and services offered by payment institutions, so as to improve legal clarity</w:t>
      </w:r>
      <w:r>
        <w:t xml:space="preserve"> </w:t>
      </w:r>
      <w:r>
        <w:t xml:space="preserve">whilst adequately addressing the risks (i.e. consumer protection).</w:t>
      </w:r>
    </w:p>
    <w:p>
      <w:pPr>
        <w:pStyle w:val="BodyText"/>
      </w:pPr>
      <w:r>
        <w:t xml:space="preserve"> include electronic money related services in as large a sense as possible to the</w:t>
      </w:r>
      <w:r>
        <w:t xml:space="preserve"> </w:t>
      </w:r>
      <w:r>
        <w:t xml:space="preserve">existing payment services;</w:t>
      </w:r>
    </w:p>
    <w:p>
      <w:pPr>
        <w:pStyle w:val="BodyText"/>
      </w:pPr>
      <w:r>
        <w:t xml:space="preserve"> align the supervisory requirements such as those related to authorisation</w:t>
      </w:r>
      <w:r>
        <w:t xml:space="preserve"> </w:t>
      </w:r>
      <w:r>
        <w:t xml:space="preserve">process, initial capital/own funds and safeguarding, while leaving still room for</w:t>
      </w:r>
      <w:r>
        <w:t xml:space="preserve"> </w:t>
      </w:r>
      <w:r>
        <w:t xml:space="preserve">e-money specificities (e.g. possibly continue to require higher initial capital for</w:t>
      </w:r>
      <w:r>
        <w:t xml:space="preserve"> </w:t>
      </w:r>
      <w:r>
        <w:t xml:space="preserve">the issuance of e-money, and an additional buffer for the calculation of own</w:t>
      </w:r>
      <w:r>
        <w:t xml:space="preserve"> </w:t>
      </w:r>
      <w:r>
        <w:t xml:space="preserve">funds);</w:t>
      </w:r>
    </w:p>
    <w:p>
      <w:pPr>
        <w:pStyle w:val="BodyText"/>
      </w:pPr>
      <w:r>
        <w:t xml:space="preserve"></w:t>
      </w:r>
      <w:r>
        <w:t xml:space="preserve"> </w:t>
      </w:r>
      <w:r>
        <w:t xml:space="preserve">clarify the nature and applicable rules for distributors of e-money products, so</w:t>
      </w:r>
      <w:r>
        <w:t xml:space="preserve"> </w:t>
      </w:r>
      <w:r>
        <w:t xml:space="preserve">as to ensure a consistent approach with the rules applicable to agents of PIs.</w:t>
      </w:r>
    </w:p>
    <w:p>
      <w:pPr>
        <w:pStyle w:val="BodyText"/>
      </w:pPr>
      <w:r>
        <w:t xml:space="preserve">As regards effectiveness, this intermediary approach would lead to considerable</w:t>
      </w:r>
      <w:r>
        <w:t xml:space="preserve"> </w:t>
      </w:r>
      <w:r>
        <w:t xml:space="preserve">simplification of the rules to be applied (see below in the next section). In terms of efficiency,</w:t>
      </w:r>
      <w:r>
        <w:t xml:space="preserve"> </w:t>
      </w:r>
      <w:r>
        <w:t xml:space="preserve">the costs and resources by market actors including NCAs in dispensing efforts to differentiate</w:t>
      </w:r>
      <w:r>
        <w:t xml:space="preserve"> </w:t>
      </w:r>
      <w:r>
        <w:t xml:space="preserve">between the two frameworks would be minimized. In terms of coherence, this would be</w:t>
      </w:r>
      <w:r>
        <w:t xml:space="preserve"> </w:t>
      </w:r>
      <w:r>
        <w:t xml:space="preserve">consistent with the future MICA Regulation. To preserve the technological neutrality of the</w:t>
      </w:r>
      <w:r>
        <w:t xml:space="preserve"> </w:t>
      </w:r>
      <w:r>
        <w:t xml:space="preserve">regime applicable to various categories of e-money, it would not be advisable to have</w:t>
      </w:r>
      <w:r>
        <w:t xml:space="preserve"> </w:t>
      </w:r>
      <w:r>
        <w:t xml:space="preserve">different requirements applicable to e-money tokens (DLT-based e-money) and other forms</w:t>
      </w:r>
      <w:r>
        <w:t xml:space="preserve"> </w:t>
      </w:r>
      <w:r>
        <w:t xml:space="preserve">of e-money (non-DLT-based). Therefore, this option is to be retained.</w:t>
      </w:r>
    </w:p>
    <w:p>
      <w:pPr>
        <w:pStyle w:val="Compact"/>
        <w:numPr>
          <w:ilvl w:val="0"/>
          <w:numId w:val="1040"/>
        </w:numPr>
      </w:pPr>
      <w:r>
        <w:t xml:space="preserve">Illustration of envisaged changes based on the preferred option</w:t>
      </w:r>
    </w:p>
    <w:p>
      <w:pPr>
        <w:pStyle w:val="FirstParagraph"/>
      </w:pPr>
      <w:r>
        <w:t xml:space="preserve">Examples of the specific changes envisaged based on the preferred intermediate option are</w:t>
      </w:r>
      <w:r>
        <w:t xml:space="preserve"> </w:t>
      </w:r>
      <w:r>
        <w:t xml:space="preserve">for example:</w:t>
      </w:r>
    </w:p>
    <w:p>
      <w:pPr>
        <w:pStyle w:val="BodyText"/>
      </w:pPr>
      <w:r>
        <w:t xml:space="preserve">178</w:t>
      </w:r>
    </w:p>
    <w:p>
      <w:pPr>
        <w:pStyle w:val="BodyText"/>
      </w:pPr>
      <w:r>
        <w:t xml:space="preserve"> Currently there are two kinds of institutions, payment institutions and e-money</w:t>
      </w:r>
      <w:r>
        <w:t xml:space="preserve"> </w:t>
      </w:r>
      <w:r>
        <w:t xml:space="preserve">institutions. Due to the simplification exercise there will be just one category,</w:t>
      </w:r>
      <w:r>
        <w:t xml:space="preserve"> </w:t>
      </w:r>
      <w:r>
        <w:t xml:space="preserve">the payment institutions only (no e-money institutions any longer).</w:t>
      </w:r>
      <w:r>
        <w:t xml:space="preserve"> </w:t>
      </w:r>
      <w:r>
        <w:t xml:space="preserve"> The issuance of e-money will still be considered as a licensed activity (new</w:t>
      </w:r>
      <w:r>
        <w:t xml:space="preserve"> </w:t>
      </w:r>
      <w:r>
        <w:t xml:space="preserve">dedicated service in an annex to the framework further specifying the regulated</w:t>
      </w:r>
      <w:r>
        <w:t xml:space="preserve"> </w:t>
      </w:r>
      <w:r>
        <w:t xml:space="preserve">services in the framework).</w:t>
      </w:r>
      <w:r>
        <w:t xml:space="preserve"> </w:t>
      </w:r>
      <w:r>
        <w:t xml:space="preserve"> A definition of e-money as a key concept remains, as a distinct category of</w:t>
      </w:r>
      <w:r>
        <w:t xml:space="preserve"> </w:t>
      </w:r>
      <w:r>
        <w:t xml:space="preserve">funds, and no changes to the definition of e-money itself is deemed necessary.</w:t>
      </w:r>
      <w:r>
        <w:t xml:space="preserve"> </w:t>
      </w:r>
      <w:r>
        <w:t xml:space="preserve">However, the key distinguishing features (a claim on the issuer, redeemable at</w:t>
      </w:r>
      <w:r>
        <w:t xml:space="preserve"> </w:t>
      </w:r>
      <w:r>
        <w:t xml:space="preserve">par, not bearing interest, etc) are to be spelled out and clarified in a separate</w:t>
      </w:r>
      <w:r>
        <w:t xml:space="preserve"> </w:t>
      </w:r>
      <w:r>
        <w:t xml:space="preserve">provision.</w:t>
      </w:r>
      <w:r>
        <w:br/>
      </w:r>
      <w:r>
        <w:t xml:space="preserve"> Furthermore, the distinguishing features between e-money and payment services</w:t>
      </w:r>
      <w:r>
        <w:t xml:space="preserve"> </w:t>
      </w:r>
      <w:r>
        <w:t xml:space="preserve">will be spelled out more properly. The difference between funds accepted by a</w:t>
      </w:r>
      <w:r>
        <w:t xml:space="preserve"> </w:t>
      </w:r>
      <w:r>
        <w:t xml:space="preserve">payment institution to be held in a payment account for the purpose of making</w:t>
      </w:r>
      <w:r>
        <w:t xml:space="preserve"> </w:t>
      </w:r>
      <w:r>
        <w:t xml:space="preserve">payment transactions, and e-money issued by an E-money institution (then by</w:t>
      </w:r>
      <w:r>
        <w:t xml:space="preserve"> </w:t>
      </w:r>
      <w:r>
        <w:t xml:space="preserve">the payment institution) will be that whilst the funds received for the purpose of</w:t>
      </w:r>
      <w:r>
        <w:t xml:space="preserve"> </w:t>
      </w:r>
      <w:r>
        <w:t xml:space="preserve">issuing e-money remain under the full control of the e-money issuer and are the</w:t>
      </w:r>
      <w:r>
        <w:t xml:space="preserve"> </w:t>
      </w:r>
      <w:r>
        <w:t xml:space="preserve">property of the e-money issuer, funds held in a payment account by a payment</w:t>
      </w:r>
      <w:r>
        <w:t xml:space="preserve"> </w:t>
      </w:r>
      <w:r>
        <w:t xml:space="preserve">institution remain the property of the payment service user. The payment service</w:t>
      </w:r>
      <w:r>
        <w:t xml:space="preserve"> </w:t>
      </w:r>
      <w:r>
        <w:t xml:space="preserve">user can withdraw them or place payment orders for the funds to be transferred</w:t>
      </w:r>
      <w:r>
        <w:t xml:space="preserve"> </w:t>
      </w:r>
      <w:r>
        <w:t xml:space="preserve">(meaning for payment transactions to be executed); these payment orders do not</w:t>
      </w:r>
      <w:r>
        <w:t xml:space="preserve"> </w:t>
      </w:r>
      <w:r>
        <w:t xml:space="preserve">however have be placed upfront, or in a specified period. This will still continue</w:t>
      </w:r>
      <w:r>
        <w:t xml:space="preserve"> </w:t>
      </w:r>
      <w:r>
        <w:t xml:space="preserve">to depend on the business model of the payment institution.</w:t>
      </w:r>
      <w:r>
        <w:t xml:space="preserve"> </w:t>
      </w:r>
      <w:r>
        <w:t xml:space="preserve"> Higher initial capital will still remain (and adjusted due to inflation).</w:t>
      </w:r>
      <w:r>
        <w:t xml:space="preserve"> </w:t>
      </w:r>
      <w:r>
        <w:t xml:space="preserve"> The role and responsibilities of entities involved in the “distribution” of e-</w:t>
      </w:r>
      <w:r>
        <w:t xml:space="preserve"> </w:t>
      </w:r>
      <w:r>
        <w:t xml:space="preserve">money will be clarified, amongst others the role of so called distributors will be</w:t>
      </w:r>
      <w:r>
        <w:t xml:space="preserve"> </w:t>
      </w:r>
      <w:r>
        <w:t xml:space="preserve">defined and clarified that they act on behalf of the payment institution in order</w:t>
      </w:r>
      <w:r>
        <w:t xml:space="preserve"> </w:t>
      </w:r>
      <w:r>
        <w:t xml:space="preserve">to distribute e-money.</w:t>
      </w:r>
      <w:r>
        <w:br/>
      </w:r>
      <w:r>
        <w:t xml:space="preserve">The envisaged changes to PSD2 resulting from the integration of EMD2 should reduce the</w:t>
      </w:r>
      <w:r>
        <w:t xml:space="preserve"> </w:t>
      </w:r>
      <w:r>
        <w:t xml:space="preserve">overall complexity of the coexistence of the two legal frameworks and bring clarity in the</w:t>
      </w:r>
      <w:r>
        <w:t xml:space="preserve"> </w:t>
      </w:r>
      <w:r>
        <w:t xml:space="preserve">legal requirements/supervisory regime. It is also one of the specific initiatives announced in</w:t>
      </w:r>
      <w:r>
        <w:t xml:space="preserve"> </w:t>
      </w:r>
      <w:r>
        <w:t xml:space="preserve">the Commission’s 2020’s Retail Payments Strategy.</w:t>
      </w:r>
      <w:r>
        <w:t xml:space="preserve"> </w:t>
      </w:r>
      <w:r>
        <w:t xml:space="preserve">4. Impacts</w:t>
      </w:r>
      <w:r>
        <w:t xml:space="preserve"> </w:t>
      </w:r>
      <w:r>
        <w:t xml:space="preserve">This measure should lead to savings for PSPs, in so far as there would no longer be a need to</w:t>
      </w:r>
      <w:r>
        <w:t xml:space="preserve"> </w:t>
      </w:r>
      <w:r>
        <w:t xml:space="preserve">obtain a new license for a Payment Institution desiring to carry out e-money activity and vice</w:t>
      </w:r>
      <w:r>
        <w:t xml:space="preserve"> </w:t>
      </w:r>
      <w:r>
        <w:t xml:space="preserve">versa. As PIs and EMIs are both non-bank types of Payment Service Providers, this measure</w:t>
      </w:r>
      <w:r>
        <w:t xml:space="preserve"> </w:t>
      </w:r>
      <w:r>
        <w:t xml:space="preserve">will be complementary with the measures described in the main report to make the playing</w:t>
      </w:r>
      <w:r>
        <w:t xml:space="preserve"> </w:t>
      </w:r>
      <w:r>
        <w:t xml:space="preserve">field between banks and non-bank PSPs more level. A reduction in new licensing</w:t>
      </w:r>
      <w:r>
        <w:t xml:space="preserve"> </w:t>
      </w:r>
      <w:r>
        <w:t xml:space="preserve">applications, and the greater clarity on the distinction between e-money and payment</w:t>
      </w:r>
      <w:r>
        <w:t xml:space="preserve"> </w:t>
      </w:r>
      <w:r>
        <w:t xml:space="preserve">institution activity, should reduce the resource burden on national supervisors.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ANNEX 9: ACCESS TO CASH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use of cash has been declining in the last years. Most noticeably, ECB data349 for the</w:t>
      </w:r>
      <w:r>
        <w:t xml:space="preserve"> </w:t>
      </w:r>
      <w:r>
        <w:t xml:space="preserve">euro area shows that, in 2022, cash was used in 59% of POS transactions, significantly down</w:t>
      </w:r>
      <w:r>
        <w:t xml:space="preserve"> </w:t>
      </w:r>
      <w:r>
        <w:t xml:space="preserve">from 72% in 2019350, and 79% in 2016351. As noted previously, the COVID-19 pandemic</w:t>
      </w:r>
      <w:r>
        <w:t xml:space="preserve"> </w:t>
      </w:r>
      <w:r>
        <w:t xml:space="preserve">accelerated this trend, with contactless (including mobile) payments and digital wallets</w:t>
      </w:r>
      <w:r>
        <w:t xml:space="preserve"> </w:t>
      </w:r>
      <w:r>
        <w:t xml:space="preserve">representing a larger share of total payments (cf. 1.1. and Annex 5, 3.2.).</w:t>
      </w:r>
      <w:r>
        <w:t xml:space="preserve"> </w:t>
      </w:r>
      <w:r>
        <w:t xml:space="preserve">Despite this decline, cash is still the means of payment which is most used at POS and P2P</w:t>
      </w:r>
      <w:r>
        <w:t xml:space="preserve"> </w:t>
      </w:r>
      <w:r>
        <w:t xml:space="preserve">proximity payments352. Consumers are still attached to it, as they, appreciate its widespread</w:t>
      </w:r>
      <w:r>
        <w:t xml:space="preserve"> </w:t>
      </w:r>
      <w:r>
        <w:t xml:space="preserve">acceptability, its ease of use, immediate settlement feature, as well as (perceived) safety and</w:t>
      </w:r>
      <w:r>
        <w:t xml:space="preserve"> </w:t>
      </w:r>
      <w:r>
        <w:t xml:space="preserve">anonymity353. There are furthermore circumstances in which consumers tend to prefer cash to</w:t>
      </w:r>
      <w:r>
        <w:t xml:space="preserve"> </w:t>
      </w:r>
      <w:r>
        <w:t xml:space="preserve">digital means of payments, for instance, when making low value payments (in small shops,</w:t>
      </w:r>
      <w:r>
        <w:t xml:space="preserve"> </w:t>
      </w:r>
      <w:r>
        <w:t xml:space="preserve">such as a bakery or café), and it is often more widely used in rural areas. Beyond that, cash is</w:t>
      </w:r>
      <w:r>
        <w:t xml:space="preserve"> </w:t>
      </w:r>
      <w:r>
        <w:t xml:space="preserve">the main means of payment accessible and/or used by certain groups such as unbanked,</w:t>
      </w:r>
      <w:r>
        <w:t xml:space="preserve"> </w:t>
      </w:r>
      <w:r>
        <w:t xml:space="preserve">under-banked and offline consumers354. In this context where cash provides consumers with</w:t>
      </w:r>
      <w:r>
        <w:t xml:space="preserve"> </w:t>
      </w:r>
      <w:r>
        <w:t xml:space="preserve">an alternative to digital means of payment, improved cash availability is therefore in</w:t>
      </w:r>
      <w:r>
        <w:t xml:space="preserve"> </w:t>
      </w:r>
      <w:r>
        <w:t xml:space="preserve">consumers’ interest.</w:t>
      </w:r>
      <w:r>
        <w:t xml:space="preserve"> </w:t>
      </w:r>
      <w:r>
        <w:t xml:space="preserve">There are however important differences among Member States regarding the usage of cash.</w:t>
      </w:r>
      <w:r>
        <w:t xml:space="preserve"> </w:t>
      </w:r>
      <w:r>
        <w:t xml:space="preserve">Accordingly, in the Member States with the highest rates of usage of cash at POS (Malta,</w:t>
      </w:r>
      <w:r>
        <w:t xml:space="preserve"> </w:t>
      </w:r>
      <w:r>
        <w:t xml:space="preserve">Slovenia and Austria) cash represented around 70% of all payments, whereas in those with</w:t>
      </w:r>
      <w:r>
        <w:t xml:space="preserve"> </w:t>
      </w:r>
      <w:r>
        <w:t xml:space="preserve">the lowest rates (Netherlands and Finland) cash represented only 20% of all POS</w:t>
      </w:r>
      <w:r>
        <w:t xml:space="preserve"> </w:t>
      </w:r>
      <w:r>
        <w:t xml:space="preserve">transactions355.</w:t>
      </w:r>
      <w:r>
        <w:t xml:space="preserve"> </w:t>
      </w:r>
      <w:r>
        <w:t xml:space="preserve">Cash can be obtained in different ways, inter alia, via cash withdrawals in bank branches, via</w:t>
      </w:r>
      <w:r>
        <w:t xml:space="preserve"> </w:t>
      </w:r>
      <w:r>
        <w:t xml:space="preserve">banks’ ATMs, via non-bank ATM deployers and via retailers when for instance paying with</w:t>
      </w:r>
      <w:r>
        <w:t xml:space="preserve"> </w:t>
      </w:r>
      <w:r>
        <w:t xml:space="preserve">payment cards (so called “cash-back services”). In average in the EU, a downward trend in</w:t>
      </w:r>
      <w:r>
        <w:t xml:space="preserve"> </w:t>
      </w:r>
      <w:r>
        <w:t xml:space="preserve">the availability of ATMs and branches offering cash services can be observed356, affecting the</w:t>
      </w:r>
    </w:p>
    <w:p>
      <w:pPr>
        <w:pStyle w:val="BodyText"/>
      </w:pPr>
      <w:r>
        <w:t xml:space="preserve">349</w:t>
      </w:r>
      <w:r>
        <w:br/>
      </w:r>
      <w:r>
        <w:t xml:space="preserve">ECB, Study on the payment attitudes of consumers in the euro area (SPACE), 2022.</w:t>
      </w:r>
      <w:r>
        <w:t xml:space="preserve"> </w:t>
      </w:r>
      <w:r>
        <w:t xml:space="preserve">350</w:t>
      </w:r>
      <w:r>
        <w:br/>
      </w:r>
      <w:r>
        <w:t xml:space="preserve">ECB, Study on the payment attitudes of consumers in the euro area (SPACE), 2020.</w:t>
      </w:r>
      <w:r>
        <w:t xml:space="preserve"> </w:t>
      </w:r>
      <w:r>
        <w:t xml:space="preserve">351</w:t>
      </w:r>
      <w:r>
        <w:br/>
      </w:r>
      <w:r>
        <w:t xml:space="preserve">ECB, Survey on the use of cash by households (SUCH), 2017.</w:t>
      </w:r>
      <w:r>
        <w:t xml:space="preserve"> </w:t>
      </w:r>
      <w:r>
        <w:t xml:space="preserve">352</w:t>
      </w:r>
      <w:r>
        <w:br/>
      </w:r>
      <w:r>
        <w:t xml:space="preserve">ECB, Study on the payment attitudes of consumers in the euro area (SPACE), 2022.</w:t>
      </w:r>
      <w:r>
        <w:t xml:space="preserve"> </w:t>
      </w:r>
      <w:r>
        <w:t xml:space="preserve">353</w:t>
      </w:r>
      <w:r>
        <w:br/>
      </w:r>
      <w:r>
        <w:t xml:space="preserve">ECB, Study on New Digital Payment Methods, March 2022.</w:t>
      </w:r>
      <w:r>
        <w:t xml:space="preserve"> </w:t>
      </w:r>
      <w:r>
        <w:t xml:space="preserve">354</w:t>
      </w:r>
      <w:r>
        <w:br/>
      </w:r>
      <w:r>
        <w:t xml:space="preserve">Ibid., p.12. As understood in this study, consumers in this group present different reasons for being</w:t>
      </w:r>
      <w:r>
        <w:t xml:space="preserve"> </w:t>
      </w:r>
      <w:r>
        <w:t xml:space="preserve">unbanked, underbanked and/or offline. The main reason usually related to unfavourable life circumstances (such</w:t>
      </w:r>
      <w:r>
        <w:t xml:space="preserve"> </w:t>
      </w:r>
      <w:r>
        <w:t xml:space="preserve">as no steady income, not in charge of finances, personal bankruptcy), emotional barriers (distrust of banks,</w:t>
      </w:r>
      <w:r>
        <w:t xml:space="preserve"> </w:t>
      </w:r>
      <w:r>
        <w:t xml:space="preserve">reluctance to use the internet and digital banking tools, negative banking experiences in the past) and functional</w:t>
      </w:r>
      <w:r>
        <w:t xml:space="preserve"> </w:t>
      </w:r>
      <w:r>
        <w:t xml:space="preserve">barriers (the lack of technical skills). Often, this is also a matter of age, with older people and women being</w:t>
      </w:r>
      <w:r>
        <w:t xml:space="preserve"> </w:t>
      </w:r>
      <w:r>
        <w:t xml:space="preserve">more used to traditional payment methods such as cash.</w:t>
      </w:r>
      <w:r>
        <w:t xml:space="preserve"> </w:t>
      </w:r>
      <w:r>
        <w:t xml:space="preserve">355</w:t>
      </w:r>
      <w:r>
        <w:br/>
      </w:r>
      <w:r>
        <w:t xml:space="preserve">See thereto ECB´s Study on the payment attitudes of consumers in the euro area (SPACE) – 2022</w:t>
      </w:r>
      <w:r>
        <w:t xml:space="preserve"> </w:t>
      </w:r>
      <w:r>
        <w:t xml:space="preserve">(europa.eu) and the Final report of the Euro Legal Tender Expert Group (ELTEG).</w:t>
      </w:r>
      <w:r>
        <w:t xml:space="preserve"> </w:t>
      </w:r>
      <w:r>
        <w:t xml:space="preserve">356</w:t>
      </w:r>
      <w:r>
        <w:br/>
      </w:r>
      <w:r>
        <w:t xml:space="preserve">See thereto ECB´s Study on the payment attitudes of consumers in the euro area (europa.eu).</w:t>
      </w:r>
    </w:p>
    <w:p>
      <w:pPr>
        <w:pStyle w:val="BodyText"/>
      </w:pPr>
      <w:r>
        <w:t xml:space="preserve">180</w:t>
      </w:r>
    </w:p>
    <w:p>
      <w:pPr>
        <w:pStyle w:val="BodyText"/>
      </w:pPr>
      <w:r>
        <w:t xml:space="preserve">availability of cash in both rural and urban areas. However, the situation is very</w:t>
      </w:r>
      <w:r>
        <w:t xml:space="preserve"> </w:t>
      </w:r>
      <w:r>
        <w:t xml:space="preserve">heterogeneous across Member States, with this reduction sometimes offset by alternative</w:t>
      </w:r>
      <w:r>
        <w:t xml:space="preserve"> </w:t>
      </w:r>
      <w:r>
        <w:t xml:space="preserve">means of access to cash (notably via post offices and “cash-back” services provided by</w:t>
      </w:r>
      <w:r>
        <w:t xml:space="preserve"> </w:t>
      </w:r>
      <w:r>
        <w:t xml:space="preserve">retailers) in some Member States (Austria, Germany, Greece, Italy, Luxembourg, Slovakia,</w:t>
      </w:r>
      <w:r>
        <w:t xml:space="preserve"> </w:t>
      </w:r>
      <w:r>
        <w:t xml:space="preserve">Slovenia, France, Malta) but not in others (Belgium, Cyprus, Spain, Finland, Ireland, Latvia,</w:t>
      </w:r>
      <w:r>
        <w:t xml:space="preserve"> </w:t>
      </w:r>
      <w:r>
        <w:t xml:space="preserve">Lithuania, Netherlands).</w:t>
      </w:r>
      <w:r>
        <w:t xml:space="preserve"> </w:t>
      </w:r>
      <w:r>
        <w:t xml:space="preserve">Work is currently under way in the Commission on a draft legislative proposal on the legal</w:t>
      </w:r>
      <w:r>
        <w:t xml:space="preserve"> </w:t>
      </w:r>
      <w:r>
        <w:t xml:space="preserve">tender of cash, which will include provisions on access to and acceptance of cash, as the two</w:t>
      </w:r>
      <w:r>
        <w:t xml:space="preserve"> </w:t>
      </w:r>
      <w:r>
        <w:t xml:space="preserve">key elements related to legal tender. This draft legislative proposal figures in the Commission</w:t>
      </w:r>
      <w:r>
        <w:t xml:space="preserve"> </w:t>
      </w:r>
      <w:r>
        <w:t xml:space="preserve">Work Programme for 2023 and is intended to be presented in parallel to a legislative proposal</w:t>
      </w:r>
      <w:r>
        <w:t xml:space="preserve"> </w:t>
      </w:r>
      <w:r>
        <w:t xml:space="preserve">laying down the legal framework for the digital euro.</w:t>
      </w:r>
      <w:r>
        <w:t xml:space="preserve"> </w:t>
      </w:r>
      <w:r>
        <w:t xml:space="preserve">2. CURRENT PSD2 PROVISIONS ON CASH DISTRIBUTION</w:t>
      </w:r>
      <w:r>
        <w:t xml:space="preserve"> </w:t>
      </w:r>
      <w:r>
        <w:t xml:space="preserve">One of the eight types of payment services listed in Annex 1 of PSD2, for which a license as</w:t>
      </w:r>
      <w:r>
        <w:t xml:space="preserve"> </w:t>
      </w:r>
      <w:r>
        <w:t xml:space="preserve">a PSP is necessary, is “Services enabling cash withdrawals from a payment account as well</w:t>
      </w:r>
      <w:r>
        <w:t xml:space="preserve"> </w:t>
      </w:r>
      <w:r>
        <w:t xml:space="preserve">as all the operations required for operating a payment account.” However, among the</w:t>
      </w:r>
      <w:r>
        <w:t xml:space="preserve"> </w:t>
      </w:r>
      <w:r>
        <w:t xml:space="preserve">exclusions to PSD2 (in article 3) is “services where cash is provided by the payee to the</w:t>
      </w:r>
      <w:r>
        <w:t xml:space="preserve"> </w:t>
      </w:r>
      <w:r>
        <w:t xml:space="preserve">payer as part of a payment transaction following an explicit request by the payment service</w:t>
      </w:r>
      <w:r>
        <w:t xml:space="preserve"> </w:t>
      </w:r>
      <w:r>
        <w:t xml:space="preserve">user just before the execution of the payment transaction through a payment for the purchase</w:t>
      </w:r>
      <w:r>
        <w:t xml:space="preserve"> </w:t>
      </w:r>
      <w:r>
        <w:t xml:space="preserve">of goods or services”. This means that a retailer may provide cash to a customer in</w:t>
      </w:r>
      <w:r>
        <w:t xml:space="preserve"> </w:t>
      </w:r>
      <w:r>
        <w:t xml:space="preserve">association with a purchase without having a PSP license, but (in the absence of a PSP</w:t>
      </w:r>
      <w:r>
        <w:t xml:space="preserve"> </w:t>
      </w:r>
      <w:r>
        <w:t xml:space="preserve">license) may not provide cash only, i.e. without a purchase. A retailer which is acting as an</w:t>
      </w:r>
      <w:r>
        <w:t xml:space="preserve"> </w:t>
      </w:r>
      <w:r>
        <w:t xml:space="preserve">agent for a Payment Institution may distribute cash and receive cash on behalf of the PI to its</w:t>
      </w:r>
      <w:r>
        <w:t xml:space="preserve"> </w:t>
      </w:r>
      <w:r>
        <w:t xml:space="preserve">customers, and certain PIs in the EU have started to use this model357.</w:t>
      </w:r>
      <w:r>
        <w:t xml:space="preserve"> </w:t>
      </w:r>
      <w:r>
        <w:t xml:space="preserve">The distribution of cash via ATM machines in general requires a license as a PSP. But there</w:t>
      </w:r>
      <w:r>
        <w:t xml:space="preserve"> </w:t>
      </w:r>
      <w:r>
        <w:t xml:space="preserve">is an exclusion from PSD2 for certain “independent” ATM machine operators, with specific</w:t>
      </w:r>
      <w:r>
        <w:t xml:space="preserve"> </w:t>
      </w:r>
      <w:r>
        <w:t xml:space="preserve">conditions and nevertheless imposing certain transparency requirements on those ATM</w:t>
      </w:r>
      <w:r>
        <w:t xml:space="preserve"> </w:t>
      </w:r>
      <w:r>
        <w:t xml:space="preserve">operators358. Determination of which ATM networks are covered by that exclusion, and also</w:t>
      </w:r>
      <w:r>
        <w:t xml:space="preserve"> </w:t>
      </w:r>
      <w:r>
        <w:t xml:space="preserve">enforcement of the price transparency requirements on such ATM operators, has proven</w:t>
      </w:r>
      <w:r>
        <w:t xml:space="preserve"> </w:t>
      </w:r>
      <w:r>
        <w:t xml:space="preserve">challenging.</w:t>
      </w:r>
    </w:p>
    <w:p>
      <w:pPr>
        <w:pStyle w:val="BodyText"/>
      </w:pPr>
      <w:r>
        <w:t xml:space="preserve">357 For example, Nickel in France and Belgium.</w:t>
      </w:r>
      <w:r>
        <w:t xml:space="preserve"> </w:t>
      </w:r>
      <w:r>
        <w:t xml:space="preserve">358 Article 3 (Exclusions), (o) : « cash withdrawal services offered by means of ATM by providers, acting on</w:t>
      </w:r>
      <w:r>
        <w:t xml:space="preserve"> </w:t>
      </w:r>
      <w:r>
        <w:t xml:space="preserve">behalf of one or more card issuers, which are not a party to the framework contract with the customer</w:t>
      </w:r>
      <w:r>
        <w:t xml:space="preserve"> </w:t>
      </w:r>
      <w:r>
        <w:t xml:space="preserve">withdrawing money from a payment account, on condition that those providers do not conduct other payment</w:t>
      </w:r>
      <w:r>
        <w:t xml:space="preserve"> </w:t>
      </w:r>
      <w:r>
        <w:t xml:space="preserve">services as referred to in Annex I. Nevertheless, the customer shall be provided with the information on any</w:t>
      </w:r>
      <w:r>
        <w:t xml:space="preserve"> </w:t>
      </w:r>
      <w:r>
        <w:t xml:space="preserve">withdrawal charges referred to in Articles 45, 48, 49 and 59 before carrying out the withdrawal as well as on</w:t>
      </w:r>
      <w:r>
        <w:t xml:space="preserve"> </w:t>
      </w:r>
      <w:r>
        <w:t xml:space="preserve">receipt of the cash at the end of the transaction after withdrawal. »</w:t>
      </w:r>
    </w:p>
    <w:p>
      <w:pPr>
        <w:pStyle w:val="BodyText"/>
      </w:pPr>
      <w:r>
        <w:t xml:space="preserve">181</w:t>
      </w:r>
    </w:p>
    <w:p>
      <w:pPr>
        <w:pStyle w:val="Compact"/>
        <w:numPr>
          <w:ilvl w:val="0"/>
          <w:numId w:val="1041"/>
        </w:numPr>
      </w:pPr>
      <w:r>
        <w:t xml:space="preserve">ENVISAGED MEASURES</w:t>
      </w:r>
      <w:r>
        <w:br/>
      </w:r>
      <w:r>
        <w:t xml:space="preserve">In line with the Commission’s intention to present measures facilitating access to cash, and</w:t>
      </w:r>
      <w:r>
        <w:t xml:space="preserve"> </w:t>
      </w:r>
      <w:r>
        <w:t xml:space="preserve">without prejudice to the contents of the Commission’s draft legislative proposal on the legal</w:t>
      </w:r>
      <w:r>
        <w:t xml:space="preserve"> </w:t>
      </w:r>
      <w:r>
        <w:t xml:space="preserve">tender of cash which is in preparation, it is envisaged to clarify and streamline the provisions</w:t>
      </w:r>
      <w:r>
        <w:t xml:space="preserve"> </w:t>
      </w:r>
      <w:r>
        <w:t xml:space="preserve">in PSD regarding cash distribution.</w:t>
      </w:r>
      <w:r>
        <w:br/>
      </w:r>
      <w:r>
        <w:t xml:space="preserve">Firstly, regarding physical shops, it is envisaged to allow them to offer a cash withdrawal</w:t>
      </w:r>
      <w:r>
        <w:t xml:space="preserve"> </w:t>
      </w:r>
      <w:r>
        <w:t xml:space="preserve">service from a payment account held by a PSP, in the absence of a purchase by a customer,</w:t>
      </w:r>
      <w:r>
        <w:t xml:space="preserve"> </w:t>
      </w:r>
      <w:r>
        <w:t xml:space="preserve">without having a PSP license or being an agent of a Payment Institution. This could be</w:t>
      </w:r>
      <w:r>
        <w:t xml:space="preserve"> </w:t>
      </w:r>
      <w:r>
        <w:t xml:space="preserve">associated with the application of a cap, to be further specified but which could be in the</w:t>
      </w:r>
      <w:r>
        <w:t xml:space="preserve"> </w:t>
      </w:r>
      <w:r>
        <w:t xml:space="preserve">range of 50-100 euro, and an obligation to disclose fees charged, if any. This service would</w:t>
      </w:r>
      <w:r>
        <w:t xml:space="preserve"> </w:t>
      </w:r>
      <w:r>
        <w:t xml:space="preserve">be provided by retailers exclusively on a voluntary basis and would obviously depend on the</w:t>
      </w:r>
      <w:r>
        <w:t xml:space="preserve"> </w:t>
      </w:r>
      <w:r>
        <w:t xml:space="preserve">availability of cash on the merchant’s premises.</w:t>
      </w:r>
      <w:r>
        <w:t xml:space="preserve"> </w:t>
      </w:r>
      <w:r>
        <w:t xml:space="preserve">Secondly, the exclusion of certain types of ATM operators (“independent” ATM operators)</w:t>
      </w:r>
      <w:r>
        <w:t xml:space="preserve"> </w:t>
      </w:r>
      <w:r>
        <w:t xml:space="preserve">has proven difficult to apply due to its ambiguity. This could be resolved by replacing the</w:t>
      </w:r>
      <w:r>
        <w:t xml:space="preserve"> </w:t>
      </w:r>
      <w:r>
        <w:t xml:space="preserve">concept of independent ATM operators by ATM operators which do not service payment</w:t>
      </w:r>
      <w:r>
        <w:t xml:space="preserve"> </w:t>
      </w:r>
      <w:r>
        <w:t xml:space="preserve">accounts. To bring them within scope, a registration regime without licensing, with an</w:t>
      </w:r>
      <w:r>
        <w:t xml:space="preserve"> </w:t>
      </w:r>
      <w:r>
        <w:t xml:space="preserve">adapted set of requirements should be applied, to ensure an adequate level of regulation.</w:t>
      </w:r>
      <w:r>
        <w:br/>
      </w:r>
      <w:r>
        <w:t xml:space="preserve">Since in all such cases, there may be a charge for cash withdrawals, transparency on fees is</w:t>
      </w:r>
      <w:r>
        <w:t xml:space="preserve"> </w:t>
      </w:r>
      <w:r>
        <w:t xml:space="preserve">important, and Member States would be obliged to have penalties in place for ATM operators</w:t>
      </w:r>
      <w:r>
        <w:t xml:space="preserve"> </w:t>
      </w:r>
      <w:r>
        <w:t xml:space="preserve">or other cash distributors which breach the requirement for transparency on fees.</w:t>
      </w:r>
    </w:p>
    <w:p>
      <w:pPr>
        <w:pStyle w:val="Compact"/>
        <w:numPr>
          <w:ilvl w:val="0"/>
          <w:numId w:val="1041"/>
        </w:numPr>
      </w:pPr>
      <w:r>
        <w:t xml:space="preserve">IMPACTS</w:t>
      </w:r>
      <w:r>
        <w:t xml:space="preserve"> </w:t>
      </w:r>
      <w:r>
        <w:t xml:space="preserve">The impact of these measures should be to contribute to improving consumer confidence in</w:t>
      </w:r>
      <w:r>
        <w:t xml:space="preserve"> </w:t>
      </w:r>
      <w:r>
        <w:t xml:space="preserve">payments and to mitigate the identified problem in these areas. It should have a particularly</w:t>
      </w:r>
      <w:r>
        <w:t xml:space="preserve"> </w:t>
      </w:r>
      <w:r>
        <w:t xml:space="preserve">high impact in rural areas with few ATMs. It could also have a positive environmental impact</w:t>
      </w:r>
      <w:r>
        <w:t xml:space="preserve"> </w:t>
      </w:r>
      <w:r>
        <w:t xml:space="preserve">if it prevents consumers needing to travel long to a location with an ATM in order to obtain</w:t>
      </w:r>
      <w:r>
        <w:t xml:space="preserve"> </w:t>
      </w:r>
      <w:r>
        <w:t xml:space="preserve">cash.</w:t>
      </w:r>
      <w:r>
        <w:t xml:space="preserve"> </w:t>
      </w:r>
      <w:r>
        <w:t xml:space="preserve">The cost to merchants would be limited to the cost of transparency requirements about this</w:t>
      </w:r>
      <w:r>
        <w:t xml:space="preserve"> </w:t>
      </w:r>
      <w:r>
        <w:t xml:space="preserve">measure. There would be no obligation on them to maintain a provision of cash, and cash</w:t>
      </w:r>
      <w:r>
        <w:t xml:space="preserve"> </w:t>
      </w:r>
      <w:r>
        <w:t xml:space="preserve">distribution would be subject to availability of cash in the shop.</w:t>
      </w:r>
    </w:p>
    <w:p>
      <w:pPr>
        <w:pStyle w:val="FirstParagraph"/>
      </w:pPr>
      <w:r>
        <w:t xml:space="preserve">182</w:t>
      </w:r>
    </w:p>
    <w:p>
      <w:pPr>
        <w:pStyle w:val="BodyText"/>
      </w:pPr>
      <w:r>
        <w:t xml:space="preserve">ANNEX 10: USER RIGHTS MEASURES</w:t>
      </w:r>
      <w:r>
        <w:t xml:space="preserve"> </w:t>
      </w:r>
      <w:r>
        <w:t xml:space="preserve">1. PROBLEMS IDENTIFIED</w:t>
      </w:r>
      <w:r>
        <w:t xml:space="preserve"> </w:t>
      </w:r>
      <w:r>
        <w:t xml:space="preserve">In the area of user protection with regard to PSPs, the public consultations have shown a</w:t>
      </w:r>
      <w:r>
        <w:t xml:space="preserve"> </w:t>
      </w:r>
      <w:r>
        <w:t xml:space="preserve">number of specific instances in which users would appreciate improvement to their rights or</w:t>
      </w:r>
      <w:r>
        <w:t xml:space="preserve"> </w:t>
      </w:r>
      <w:r>
        <w:t xml:space="preserve">protection when making payments:</w:t>
      </w:r>
      <w:r>
        <w:t xml:space="preserve"> </w:t>
      </w:r>
      <w:r>
        <w:t xml:space="preserve"> Name of payee on account statements</w:t>
      </w:r>
      <w:r>
        <w:t xml:space="preserve"> </w:t>
      </w:r>
      <w:r>
        <w:t xml:space="preserve">PSD2 includes a requirement for PSPs to provide the payer with a reference enabling the</w:t>
      </w:r>
      <w:r>
        <w:t xml:space="preserve"> </w:t>
      </w:r>
      <w:r>
        <w:t xml:space="preserve">payer to identify each payment transaction and, where appropriate, information relating to the</w:t>
      </w:r>
      <w:r>
        <w:t xml:space="preserve"> </w:t>
      </w:r>
      <w:r>
        <w:t xml:space="preserve">payee (Article 57). This information must be provided on paper or on another durable</w:t>
      </w:r>
      <w:r>
        <w:t xml:space="preserve"> </w:t>
      </w:r>
      <w:r>
        <w:t xml:space="preserve">medium. PSPs comply with this obligation by citing the legal name of the payee on a</w:t>
      </w:r>
      <w:r>
        <w:t xml:space="preserve"> </w:t>
      </w:r>
      <w:r>
        <w:t xml:space="preserve">payment account statement but not necessarily the commercial trade name, if different359.</w:t>
      </w:r>
      <w:r>
        <w:t xml:space="preserve"> </w:t>
      </w:r>
      <w:r>
        <w:t xml:space="preserve">Article 57 does not lay down whether the legal name or commercial name should be used on</w:t>
      </w:r>
      <w:r>
        <w:t xml:space="preserve"> </w:t>
      </w:r>
      <w:r>
        <w:t xml:space="preserve">statements. This can cause confusion among users, who may not recognise the name which</w:t>
      </w:r>
      <w:r>
        <w:t xml:space="preserve"> </w:t>
      </w:r>
      <w:r>
        <w:t xml:space="preserve">appears on the statement and incorrectly suspect a fraudulent transaction or on the contrary</w:t>
      </w:r>
      <w:r>
        <w:t xml:space="preserve"> </w:t>
      </w:r>
      <w:r>
        <w:t xml:space="preserve">miss a fraudulent transaction. Indeed, the current opacity makes it more difficult for</w:t>
      </w:r>
      <w:r>
        <w:t xml:space="preserve"> </w:t>
      </w:r>
      <w:r>
        <w:t xml:space="preserve">consumers to spot unauthorized and/or fraudulent transactions, as pointed out by EBA in its</w:t>
      </w:r>
      <w:r>
        <w:t xml:space="preserve"> </w:t>
      </w:r>
      <w:r>
        <w:t xml:space="preserve">Advice. This measure, recommended by the ERPB360, is keenly requested by consumer</w:t>
      </w:r>
      <w:r>
        <w:t xml:space="preserve"> </w:t>
      </w:r>
      <w:r>
        <w:t xml:space="preserve">organisations.</w:t>
      </w:r>
      <w:r>
        <w:br/>
      </w:r>
      <w:r>
        <w:t xml:space="preserve"> Insufficient transparency of fees for ATM usage</w:t>
      </w:r>
      <w:r>
        <w:t xml:space="preserve"> </w:t>
      </w:r>
      <w:r>
        <w:t xml:space="preserve">When withdrawing cash from an ATM, different fees may apply depending on whether the</w:t>
      </w:r>
      <w:r>
        <w:t xml:space="preserve"> </w:t>
      </w:r>
      <w:r>
        <w:t xml:space="preserve">ATM is owned by the customer’s bank or not. Consumers often have to pay external</w:t>
      </w:r>
      <w:r>
        <w:t xml:space="preserve"> </w:t>
      </w:r>
      <w:r>
        <w:t xml:space="preserve">withdrawal fees when using an ATM that is not owned by their bank or is a member of that</w:t>
      </w:r>
      <w:r>
        <w:t xml:space="preserve"> </w:t>
      </w:r>
      <w:r>
        <w:t xml:space="preserve">bank’s network. Failure to provide this information means that the consumer cannot compare</w:t>
      </w:r>
      <w:r>
        <w:t xml:space="preserve"> </w:t>
      </w:r>
      <w:r>
        <w:t xml:space="preserve">the different applicable fees.</w:t>
      </w:r>
      <w:r>
        <w:t xml:space="preserve"> </w:t>
      </w:r>
      <w:r>
        <w:t xml:space="preserve"> Blockage of funds for an excessive amount or duration</w:t>
      </w:r>
      <w:r>
        <w:t xml:space="preserve"> </w:t>
      </w:r>
      <w:r>
        <w:t xml:space="preserve">When a payment card is used for a payment of an uncertain amount (for example at a petrol</w:t>
      </w:r>
      <w:r>
        <w:t xml:space="preserve"> </w:t>
      </w:r>
      <w:r>
        <w:t xml:space="preserve">station, a hotel or a car rental), funds are normally blocked on the card by the payer’s PSP</w:t>
      </w:r>
      <w:r>
        <w:t xml:space="preserve"> </w:t>
      </w:r>
      <w:r>
        <w:t xml:space="preserve">after consent has been given by the payer and is unavailable for use until released. Blocked</w:t>
      </w:r>
      <w:r>
        <w:t xml:space="preserve"> </w:t>
      </w:r>
      <w:r>
        <w:t xml:space="preserve">funds are unavailable to the user for spending until released, which can cause financial</w:t>
      </w:r>
      <w:r>
        <w:t xml:space="preserve"> </w:t>
      </w:r>
      <w:r>
        <w:t xml:space="preserve">difficulties. In the targeted consultation, out of 67 responses only 26 respondents think that</w:t>
      </w:r>
      <w:r>
        <w:t xml:space="preserve"> </w:t>
      </w:r>
      <w:r>
        <w:t xml:space="preserve">Article 75 (which regulates the blockage of funds) is adequate as opposed to 41 respondents</w:t>
      </w:r>
      <w:r>
        <w:t xml:space="preserve"> </w:t>
      </w:r>
      <w:r>
        <w:t xml:space="preserve">(61%) who think the provision is not adequate. Article 75 provides that funds must be</w:t>
      </w:r>
      <w:r>
        <w:t xml:space="preserve"> </w:t>
      </w:r>
      <w:r>
        <w:t xml:space="preserve">unblocked “without undue delay after receipt of the information about the exact amount of</w:t>
      </w:r>
      <w:r>
        <w:t xml:space="preserve"> </w:t>
      </w:r>
      <w:r>
        <w:t xml:space="preserve">the payment transaction and at the latest immediately after receipt of the payment order”;</w:t>
      </w:r>
      <w:r>
        <w:t xml:space="preserve"> </w:t>
      </w:r>
      <w:r>
        <w:t xml:space="preserve">however, “undue delay” is not defined. Furthermore, evidence received by EBA and through</w:t>
      </w:r>
      <w:r>
        <w:t xml:space="preserve"> </w:t>
      </w:r>
      <w:r>
        <w:t xml:space="preserve">the public consultation show that the blocked funds may be disproportionate or unreasonably</w:t>
      </w:r>
    </w:p>
    <w:p>
      <w:pPr>
        <w:pStyle w:val="BodyText"/>
      </w:pPr>
      <w:r>
        <w:t xml:space="preserve">359 For example, “Brussels Property Management sprl” as opposed to “Hilton”.</w:t>
      </w:r>
      <w:r>
        <w:t xml:space="preserve"> </w:t>
      </w:r>
      <w:r>
        <w:t xml:space="preserve">360 Final report of the ERPB working group on transparency for retail payments end-users (europa.eu).</w:t>
      </w:r>
    </w:p>
    <w:p>
      <w:pPr>
        <w:pStyle w:val="BodyText"/>
      </w:pPr>
      <w:r>
        <w:t xml:space="preserve">183</w:t>
      </w:r>
    </w:p>
    <w:p>
      <w:pPr>
        <w:pStyle w:val="BodyText"/>
      </w:pPr>
      <w:r>
        <w:t xml:space="preserve">high. Another related issue, which brings further disadvantages to consumers, concerns the</w:t>
      </w:r>
      <w:r>
        <w:t xml:space="preserve"> </w:t>
      </w:r>
      <w:r>
        <w:t xml:space="preserve">different practices regarding the timing for the release of unused blocked funds, which could,</w:t>
      </w:r>
      <w:r>
        <w:t xml:space="preserve"> </w:t>
      </w:r>
      <w:r>
        <w:t xml:space="preserve">according to feedback received through the public consultation, take up to several weeks or</w:t>
      </w:r>
      <w:r>
        <w:t xml:space="preserve"> </w:t>
      </w:r>
      <w:r>
        <w:t xml:space="preserve">even require an additional action in the form of an explicit request from the payer. In many</w:t>
      </w:r>
      <w:r>
        <w:t xml:space="preserve"> </w:t>
      </w:r>
      <w:r>
        <w:t xml:space="preserve">such cases, the consumer contacts the payee, e.g. gas station, but is told to contact his/her</w:t>
      </w:r>
      <w:r>
        <w:t xml:space="preserve"> </w:t>
      </w:r>
      <w:r>
        <w:t xml:space="preserve">bank. When contacting the bank, the consumer is often told that the bank cannot release the</w:t>
      </w:r>
      <w:r>
        <w:t xml:space="preserve"> </w:t>
      </w:r>
      <w:r>
        <w:t xml:space="preserve">funds until the payee asks it to.</w:t>
      </w:r>
      <w:r>
        <w:t xml:space="preserve"> </w:t>
      </w:r>
      <w:r>
        <w:t xml:space="preserve"> Insufficient information on currency charges and execution time with international</w:t>
      </w:r>
      <w:r>
        <w:t xml:space="preserve"> </w:t>
      </w:r>
      <w:r>
        <w:t xml:space="preserve">operations outside the EEA</w:t>
      </w:r>
      <w:r>
        <w:t xml:space="preserve"> </w:t>
      </w:r>
      <w:r>
        <w:t xml:space="preserve">PSD2 requires transparency of charges for single payment transactions and for payment</w:t>
      </w:r>
      <w:r>
        <w:t xml:space="preserve"> </w:t>
      </w:r>
      <w:r>
        <w:t xml:space="preserve">transactions covered by a framework contract. However, these requirements do not explicitly</w:t>
      </w:r>
      <w:r>
        <w:t xml:space="preserve"> </w:t>
      </w:r>
      <w:r>
        <w:t xml:space="preserve">refer to the foreign exchange margin, which is the mark-up that payment service providers</w:t>
      </w:r>
      <w:r>
        <w:t xml:space="preserve"> </w:t>
      </w:r>
      <w:r>
        <w:t xml:space="preserve">usually apply for transactions involving currency conversion. Whilst transparency obligations</w:t>
      </w:r>
      <w:r>
        <w:t xml:space="preserve"> </w:t>
      </w:r>
      <w:r>
        <w:t xml:space="preserve">for the estimated total amount and applicable currency conversion charges are included in the</w:t>
      </w:r>
      <w:r>
        <w:t xml:space="preserve"> </w:t>
      </w:r>
      <w:r>
        <w:t xml:space="preserve">cross-border payments Regulation361 (CBPR2) for intra-EU credit transfers (with the</w:t>
      </w:r>
      <w:r>
        <w:t xml:space="preserve"> </w:t>
      </w:r>
      <w:r>
        <w:t xml:space="preserve">exception of the requirement to express the currency conversion as a percentage mark-up</w:t>
      </w:r>
      <w:r>
        <w:t xml:space="preserve"> </w:t>
      </w:r>
      <w:r>
        <w:t xml:space="preserve">over the latest available euro foreign exchange reference rates issued by the ECB), they do</w:t>
      </w:r>
      <w:r>
        <w:t xml:space="preserve"> </w:t>
      </w:r>
      <w:r>
        <w:t xml:space="preserve">not cover remittance transactions (intra-EU or to third countries) or cross-border credit</w:t>
      </w:r>
      <w:r>
        <w:t xml:space="preserve"> </w:t>
      </w:r>
      <w:r>
        <w:t xml:space="preserve">transfers involving countries outside the EU (either the country where the payer or the payee</w:t>
      </w:r>
      <w:r>
        <w:t xml:space="preserve"> </w:t>
      </w:r>
      <w:r>
        <w:t xml:space="preserve">is located/has its payment account), so-called “one-leg out transactions”. When currency</w:t>
      </w:r>
      <w:r>
        <w:t xml:space="preserve"> </w:t>
      </w:r>
      <w:r>
        <w:t xml:space="preserve">conversion is necessary, these costs are often an important share of the total costs362.</w:t>
      </w:r>
      <w:r>
        <w:t xml:space="preserve"> </w:t>
      </w:r>
      <w:r>
        <w:t xml:space="preserve">Regarding international transactions (outside the EU/EEA), without full transparency, it is</w:t>
      </w:r>
      <w:r>
        <w:t xml:space="preserve"> </w:t>
      </w:r>
      <w:r>
        <w:t xml:space="preserve">hard for consumers to compare those charges with those of other providers and to make an</w:t>
      </w:r>
      <w:r>
        <w:t xml:space="preserve"> </w:t>
      </w:r>
      <w:r>
        <w:t xml:space="preserve">informed decision; consequently, they may choose a provider which is not the best provider</w:t>
      </w:r>
      <w:r>
        <w:t xml:space="preserve"> </w:t>
      </w:r>
      <w:r>
        <w:t xml:space="preserve">for them. The recipient in the third country may thus receive less funds than could be the</w:t>
      </w:r>
      <w:r>
        <w:t xml:space="preserve"> </w:t>
      </w:r>
      <w:r>
        <w:t xml:space="preserve">case. Promoting competition and reducing the level of fees for international credit transfers</w:t>
      </w:r>
      <w:r>
        <w:t xml:space="preserve"> </w:t>
      </w:r>
      <w:r>
        <w:t xml:space="preserve">and remittances is one of the objectives of the G20 Roadmap on cross-border payments363. In</w:t>
      </w:r>
      <w:r>
        <w:t xml:space="preserve"> </w:t>
      </w:r>
      <w:r>
        <w:t xml:space="preserve">addition, under the current Directive the requirement for PSPs to inform the payment service</w:t>
      </w:r>
      <w:r>
        <w:t xml:space="preserve"> </w:t>
      </w:r>
      <w:r>
        <w:t xml:space="preserve">user about an estimate of the maximum execution time is not applicable to such transactions</w:t>
      </w:r>
      <w:r>
        <w:t xml:space="preserve"> </w:t>
      </w:r>
      <w:r>
        <w:t xml:space="preserve">either.</w:t>
      </w:r>
      <w:r>
        <w:t xml:space="preserve"> </w:t>
      </w:r>
      <w:r>
        <w:t xml:space="preserve"> SCA is often not accessible for people with disabilities and other disfavoured persons</w:t>
      </w:r>
      <w:r>
        <w:br/>
      </w:r>
      <w:r>
        <w:t xml:space="preserve">PSD2, being technology neutral, does not prescribe a specific technical means of complying</w:t>
      </w:r>
      <w:r>
        <w:t xml:space="preserve"> </w:t>
      </w:r>
      <w:r>
        <w:t xml:space="preserve">with SCA, leaving it for PSPs to choose the authentication methods or devices to be used by</w:t>
      </w:r>
      <w:r>
        <w:t xml:space="preserve"> </w:t>
      </w:r>
      <w:r>
        <w:t xml:space="preserve">their customers. It seems that some PSPs’ authentication solutions might still not fully cater</w:t>
      </w:r>
      <w:r>
        <w:t xml:space="preserve"> </w:t>
      </w:r>
      <w:r>
        <w:t xml:space="preserve">for the needs and situations of some categories of consumers, despite EBA’s guidance on the</w:t>
      </w:r>
      <w:r>
        <w:t xml:space="preserve"> </w:t>
      </w:r>
      <w:r>
        <w:t xml:space="preserve">elements of SCA that may comply with the legal requirements under PSD2 and in the RTS.364</w:t>
      </w:r>
    </w:p>
    <w:p>
      <w:pPr>
        <w:pStyle w:val="BodyText"/>
      </w:pPr>
      <w:r>
        <w:t xml:space="preserve">361 https://eur-lex.europa.eu/legal-content/EN/TXT/PDF/?uri=CELEX:32021R1230.</w:t>
      </w:r>
      <w:r>
        <w:t xml:space="preserve"> </w:t>
      </w:r>
      <w:r>
        <w:t xml:space="preserve">362 https://remittanceprices.worldbank.org/.</w:t>
      </w:r>
      <w:r>
        <w:t xml:space="preserve"> </w:t>
      </w:r>
      <w:r>
        <w:t xml:space="preserve">363 G20 Roadmap for Enhancing Cross-border Payments, p. 8.</w:t>
      </w:r>
      <w:r>
        <w:br/>
      </w:r>
      <w:r>
        <w:t xml:space="preserve">364 European Banking Authority (EBA-Op-2019-06) Opinion of the European Banking Authority on the</w:t>
      </w:r>
      <w:r>
        <w:t xml:space="preserve"> </w:t>
      </w:r>
      <w:r>
        <w:t xml:space="preserve">elements of strong customer authentication under PSD2, June 2019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Many respondents to the targeted consultation launched in 2022 by the Commission (cf. </w:t>
      </w:r>
      <w:r>
        <w:t xml:space="preserve"> </w:t>
      </w:r>
      <w:r>
        <w:t xml:space="preserve">Annex 2) mention the negative impact that the current approach to SCA and the respective</w:t>
      </w:r>
      <w:r>
        <w:t xml:space="preserve"> </w:t>
      </w:r>
      <w:r>
        <w:t xml:space="preserve">authentication methods have had on some groups of society in vulnerable situations (such as</w:t>
      </w:r>
      <w:r>
        <w:t xml:space="preserve"> </w:t>
      </w:r>
      <w:r>
        <w:t xml:space="preserve">persons with disabilities, the elderly, or those that do not have access to digital</w:t>
      </w:r>
      <w:r>
        <w:t xml:space="preserve"> </w:t>
      </w:r>
      <w:r>
        <w:t xml:space="preserve">channels/devices etc.), which might lead to increased financial exclusion of such groups.</w:t>
      </w:r>
      <w:r>
        <w:t xml:space="preserve"> </w:t>
      </w:r>
      <w:r>
        <w:t xml:space="preserve">BEUC, the European Consumer Organisation, notes in its contribution to the Commission’s</w:t>
      </w:r>
      <w:r>
        <w:t xml:space="preserve"> </w:t>
      </w:r>
      <w:r>
        <w:t xml:space="preserve">consultation that “a significant number of consumers do not want to use smartphones for</w:t>
      </w:r>
      <w:r>
        <w:t xml:space="preserve"> </w:t>
      </w:r>
      <w:r>
        <w:t xml:space="preserve">online banking. This can be for several reasons: a) consumers do not own a smartphone; b)</w:t>
      </w:r>
      <w:r>
        <w:t xml:space="preserve"> </w:t>
      </w:r>
      <w:r>
        <w:t xml:space="preserve">they cannot operate a smartphone; c) their smartphone does not accept the required app; d)</w:t>
      </w:r>
      <w:r>
        <w:t xml:space="preserve"> </w:t>
      </w:r>
      <w:r>
        <w:t xml:space="preserve">for security concerns or; e) for concerns over their privacy”, concluding that “the PSD2 does</w:t>
      </w:r>
      <w:r>
        <w:t xml:space="preserve"> </w:t>
      </w:r>
      <w:r>
        <w:t xml:space="preserve">not address this widely held consumer concern.”365 This position is also expressed in the</w:t>
      </w:r>
      <w:r>
        <w:t xml:space="preserve"> </w:t>
      </w:r>
      <w:r>
        <w:t xml:space="preserve">EBA Advice’366. The Commission has also received several Questions and Petitions via the</w:t>
      </w:r>
      <w:r>
        <w:t xml:space="preserve"> </w:t>
      </w:r>
      <w:r>
        <w:t xml:space="preserve">European Parliament and numerous consumer complaints on the same issues.</w:t>
      </w:r>
      <w:r>
        <w:t xml:space="preserve"> </w:t>
      </w:r>
      <w:r>
        <w:t xml:space="preserve">2.</w:t>
      </w:r>
      <w:r>
        <w:t xml:space="preserve"> </w:t>
      </w:r>
      <w:r>
        <w:t xml:space="preserve">ENVISAGED MEASURES</w:t>
      </w:r>
      <w:r>
        <w:br/>
      </w:r>
      <w:r>
        <w:t xml:space="preserve">To remedy these identified problems, a package of targeted improvements to user</w:t>
      </w:r>
      <w:r>
        <w:t xml:space="preserve"> </w:t>
      </w:r>
      <w:r>
        <w:t xml:space="preserve">information and rights in the respective areas is envisaged, containing the following</w:t>
      </w:r>
      <w:r>
        <w:t xml:space="preserve"> </w:t>
      </w:r>
      <w:r>
        <w:t xml:space="preserve">measures:</w:t>
      </w:r>
      <w:r>
        <w:br/>
      </w:r>
      <w:r>
        <w:t xml:space="preserve">i.</w:t>
      </w:r>
      <w:r>
        <w:t xml:space="preserve"> </w:t>
      </w:r>
      <w:r>
        <w:t xml:space="preserve">Provide for both legal and commercial trade name of payee on account statements</w:t>
      </w:r>
      <w:r>
        <w:t xml:space="preserve"> </w:t>
      </w:r>
      <w:r>
        <w:t xml:space="preserve">This would involve an obligation for PSPs to provide the commercial trade name of the payee</w:t>
      </w:r>
      <w:r>
        <w:t xml:space="preserve"> </w:t>
      </w:r>
      <w:r>
        <w:t xml:space="preserve">on payment account statements, which would be very effective to increase legal certainty367</w:t>
      </w:r>
      <w:r>
        <w:t xml:space="preserve"> </w:t>
      </w:r>
      <w:r>
        <w:t xml:space="preserve">in relation to the information provided by the payment service provider to the customer</w:t>
      </w:r>
      <w:r>
        <w:t xml:space="preserve"> </w:t>
      </w:r>
      <w:r>
        <w:t xml:space="preserve">identifying the payee (merchant). It would also help consumers to better recognize the</w:t>
      </w:r>
      <w:r>
        <w:t xml:space="preserve"> </w:t>
      </w:r>
      <w:r>
        <w:t xml:space="preserve">identity of the merchant and to detect unauthorized and/or fraudulent transactions visible on</w:t>
      </w:r>
      <w:r>
        <w:t xml:space="preserve"> </w:t>
      </w:r>
      <w:r>
        <w:t xml:space="preserve">payment account statements368.</w:t>
      </w:r>
      <w:r>
        <w:t xml:space="preserve"> </w:t>
      </w:r>
      <w:r>
        <w:t xml:space="preserve">This would be achieved via a clarification in Article 57 to ensure that PSPs provide on</w:t>
      </w:r>
      <w:r>
        <w:t xml:space="preserve"> </w:t>
      </w:r>
      <w:r>
        <w:t xml:space="preserve">payment account statements the information needed to unambiguously identify the payee,</w:t>
      </w:r>
      <w:r>
        <w:t xml:space="preserve"> </w:t>
      </w:r>
      <w:r>
        <w:t xml:space="preserve">including a reference to the payee’s commercial trade name. This would create legal certainty</w:t>
      </w:r>
      <w:r>
        <w:t xml:space="preserve"> </w:t>
      </w:r>
      <w:r>
        <w:t xml:space="preserve">compared to the current wording in PSD2 and would make it easier for consumers to spot</w:t>
      </w:r>
      <w:r>
        <w:t xml:space="preserve"> </w:t>
      </w:r>
      <w:r>
        <w:t xml:space="preserve">unauthorised or fraudulent payment transactions. The legal name of the merchant could be</w:t>
      </w:r>
      <w:r>
        <w:t xml:space="preserve"> </w:t>
      </w:r>
      <w:r>
        <w:t xml:space="preserve">additionally provided if required for any other purpose.</w:t>
      </w:r>
      <w:r>
        <w:br/>
      </w:r>
      <w:r>
        <w:t xml:space="preserve">In this context it can be noted that in June 2022, the Euro Retail Payments Board (ERPB)</w:t>
      </w:r>
      <w:r>
        <w:t xml:space="preserve"> </w:t>
      </w:r>
      <w:r>
        <w:t xml:space="preserve">endorsed a set of recommendations for retail payment end-users, including a recommendation</w:t>
      </w:r>
      <w:r>
        <w:t xml:space="preserve"> </w:t>
      </w:r>
      <w:r>
        <w:t xml:space="preserve">to also include the commercial trade name in payment account statements. According to a</w:t>
      </w:r>
    </w:p>
    <w:p>
      <w:pPr>
        <w:pStyle w:val="BodyText"/>
      </w:pPr>
      <w:r>
        <w:t xml:space="preserve">365 Bureau Européen Des Unions De Consommateurs, Review of the Payments Services Directive 2, BEUC</w:t>
      </w:r>
      <w:r>
        <w:t xml:space="preserve"> </w:t>
      </w:r>
      <w:r>
        <w:t xml:space="preserve">recommendations, pp. 18 and 19.</w:t>
      </w:r>
      <w:r>
        <w:t xml:space="preserve"> </w:t>
      </w:r>
      <w:r>
        <w:t xml:space="preserve">366 EBA/Op/2022/06), pp. 83-84.</w:t>
      </w:r>
      <w:r>
        <w:t xml:space="preserve"> </w:t>
      </w:r>
      <w:r>
        <w:t xml:space="preserve">367 The legal interpretation of the term “information relating to the payee” is subject to a request for a</w:t>
      </w:r>
      <w:r>
        <w:t xml:space="preserve"> </w:t>
      </w:r>
      <w:r>
        <w:t xml:space="preserve">preliminary ruling (Case С-351/21 lodged on 4 June 2021, ZG v Beobank SA).</w:t>
      </w:r>
      <w:r>
        <w:t xml:space="preserve"> </w:t>
      </w:r>
      <w:r>
        <w:t xml:space="preserve">368 The lack of transparency for retail PSUs and inability to identify unauthorised and/or fraudulent transactions</w:t>
      </w:r>
      <w:r>
        <w:t xml:space="preserve"> </w:t>
      </w:r>
      <w:r>
        <w:t xml:space="preserve">was also highlighted by the EBA (Point 261 EBA/Op/2022/06).</w:t>
      </w:r>
    </w:p>
    <w:p>
      <w:pPr>
        <w:pStyle w:val="BodyText"/>
      </w:pPr>
      <w:r>
        <w:t xml:space="preserve">185</w:t>
      </w:r>
    </w:p>
    <w:p>
      <w:pPr>
        <w:pStyle w:val="BodyText"/>
      </w:pPr>
      <w:r>
        <w:t xml:space="preserve">survey conducted by the ERPB369, in general, national legislation allows the commercial trade</w:t>
      </w:r>
      <w:r>
        <w:t xml:space="preserve"> </w:t>
      </w:r>
      <w:r>
        <w:t xml:space="preserve">name to be used in account statements, even when a legal entity name might also be</w:t>
      </w:r>
      <w:r>
        <w:t xml:space="preserve"> </w:t>
      </w:r>
      <w:r>
        <w:t xml:space="preserve">mandated, or used even if not mandated. Some national legal requirements might present</w:t>
      </w:r>
      <w:r>
        <w:t xml:space="preserve"> </w:t>
      </w:r>
      <w:r>
        <w:t xml:space="preserve">obstacles to the inclusion of the commercial trade name in account statements, while one card</w:t>
      </w:r>
      <w:r>
        <w:t xml:space="preserve"> </w:t>
      </w:r>
      <w:r>
        <w:t xml:space="preserve">scheme forbids it based on national law. Nonetheless, in general, scheme rules do not present</w:t>
      </w:r>
      <w:r>
        <w:t xml:space="preserve"> </w:t>
      </w:r>
      <w:r>
        <w:t xml:space="preserve">obstacles to the inclusion of the commercial trade name, while some actively encourage</w:t>
      </w:r>
      <w:r>
        <w:t xml:space="preserve"> </w:t>
      </w:r>
      <w:r>
        <w:t xml:space="preserve">payees to use the name by which the customer would know them. However, these</w:t>
      </w:r>
      <w:r>
        <w:t xml:space="preserve"> </w:t>
      </w:r>
      <w:r>
        <w:t xml:space="preserve">recommendations are not legally binding, which is why consumer associations (BEUC),</w:t>
      </w:r>
      <w:r>
        <w:t xml:space="preserve"> </w:t>
      </w:r>
      <w:r>
        <w:t xml:space="preserve">public authorities, the ECB and the EBA advocate for legislative amendments to the PSD2</w:t>
      </w:r>
      <w:r>
        <w:t xml:space="preserve"> </w:t>
      </w:r>
      <w:r>
        <w:t xml:space="preserve">for reasons of legal certainty.</w:t>
      </w:r>
      <w:r>
        <w:t xml:space="preserve"> </w:t>
      </w:r>
      <w:r>
        <w:t xml:space="preserve">The ERBP recommendations, accompanied by an ERPB impact assessment, are expected to</w:t>
      </w:r>
      <w:r>
        <w:t xml:space="preserve"> </w:t>
      </w:r>
      <w:r>
        <w:t xml:space="preserve">be fully implemented by industry by mid-2024. It can be assumed that these</w:t>
      </w:r>
      <w:r>
        <w:t xml:space="preserve"> </w:t>
      </w:r>
      <w:r>
        <w:t xml:space="preserve">recommendations have already been fully implemented by the time the PSD changes come</w:t>
      </w:r>
      <w:r>
        <w:t xml:space="preserve"> </w:t>
      </w:r>
      <w:r>
        <w:t xml:space="preserve">into force. If this is the case, only minor non-recurring implementation costs should be</w:t>
      </w:r>
      <w:r>
        <w:t xml:space="preserve"> </w:t>
      </w:r>
      <w:r>
        <w:t xml:space="preserve">generated for PSPs by this approach.</w:t>
      </w:r>
      <w:r>
        <w:t xml:space="preserve"> </w:t>
      </w:r>
      <w:r>
        <w:t xml:space="preserve">ii.</w:t>
      </w:r>
      <w:r>
        <w:t xml:space="preserve"> </w:t>
      </w:r>
      <w:r>
        <w:t xml:space="preserve">Improve transparency of fees for ATM usage</w:t>
      </w:r>
      <w:r>
        <w:t xml:space="preserve"> </w:t>
      </w:r>
      <w:r>
        <w:t xml:space="preserve">This would include a clarification of the transparency requirements for PSPs related to ATM</w:t>
      </w:r>
      <w:r>
        <w:t xml:space="preserve"> </w:t>
      </w:r>
      <w:r>
        <w:t xml:space="preserve">withdrawals. PSPs would be required to disclose all domestic ATM withdrawal fees in the</w:t>
      </w:r>
      <w:r>
        <w:t xml:space="preserve"> </w:t>
      </w:r>
      <w:r>
        <w:t xml:space="preserve">different situations where (i) the ATM belongs to the PSP or the PSPs network; (ii) the ATM</w:t>
      </w:r>
      <w:r>
        <w:t xml:space="preserve"> </w:t>
      </w:r>
      <w:r>
        <w:t xml:space="preserve">belongs to another network with whom the PSP has an agreement; (iii) the ATM belongs to</w:t>
      </w:r>
      <w:r>
        <w:t xml:space="preserve"> </w:t>
      </w:r>
      <w:r>
        <w:t xml:space="preserve">an independent ATM deployer.</w:t>
      </w:r>
      <w:r>
        <w:br/>
      </w:r>
      <w:r>
        <w:t xml:space="preserve">This would increase the transparency of ATM charges towards the consumer and make it</w:t>
      </w:r>
      <w:r>
        <w:t xml:space="preserve"> </w:t>
      </w:r>
      <w:r>
        <w:t xml:space="preserve">easier for consumers to compare ATM charges with those from other providers and to be able</w:t>
      </w:r>
      <w:r>
        <w:t xml:space="preserve"> </w:t>
      </w:r>
      <w:r>
        <w:t xml:space="preserve">to make an informed decision. It would also ensure the smooth application of the principle of</w:t>
      </w:r>
      <w:r>
        <w:t xml:space="preserve"> </w:t>
      </w:r>
      <w:r>
        <w:t xml:space="preserve">equality of charges between domestic and cross-border euro payments370, as the consumer</w:t>
      </w:r>
      <w:r>
        <w:t xml:space="preserve"> </w:t>
      </w:r>
      <w:r>
        <w:t xml:space="preserve">would be able to better assess, based on this information, whether fees were lawfully levied</w:t>
      </w:r>
      <w:r>
        <w:t xml:space="preserve"> </w:t>
      </w:r>
      <w:r>
        <w:t xml:space="preserve">in a Member State other than where the consumer has the payment account. This option,</w:t>
      </w:r>
      <w:r>
        <w:t xml:space="preserve"> </w:t>
      </w:r>
      <w:r>
        <w:t xml:space="preserve">which is only a specification of existing transparency provisions in PSD2, would only incur</w:t>
      </w:r>
      <w:r>
        <w:t xml:space="preserve"> </w:t>
      </w:r>
      <w:r>
        <w:t xml:space="preserve">minor costs for PSPs (programming the ATM to show the costs before confirmation of the</w:t>
      </w:r>
      <w:r>
        <w:t xml:space="preserve"> </w:t>
      </w:r>
      <w:r>
        <w:t xml:space="preserve">operation). Fee documentation would also have to be changed, on their websites and on any</w:t>
      </w:r>
      <w:r>
        <w:t xml:space="preserve"> </w:t>
      </w:r>
      <w:r>
        <w:t xml:space="preserve">paper documentation that would be available to payment services users. It is assumed that</w:t>
      </w:r>
      <w:r>
        <w:t xml:space="preserve"> </w:t>
      </w:r>
      <w:r>
        <w:t xml:space="preserve">payment services providers regularly update (annually) their price information documentation</w:t>
      </w:r>
      <w:r>
        <w:t xml:space="preserve"> </w:t>
      </w:r>
      <w:r>
        <w:t xml:space="preserve">and this measure can be implemented in such a periodic update. However, there will be an IT</w:t>
      </w:r>
      <w:r>
        <w:t xml:space="preserve"> </w:t>
      </w:r>
      <w:r>
        <w:t xml:space="preserve">cost for the update of information on the payment services providers’ websites and their</w:t>
      </w:r>
      <w:r>
        <w:t xml:space="preserve"> </w:t>
      </w:r>
      <w:r>
        <w:t xml:space="preserve">internal IT systems.</w:t>
      </w:r>
      <w:r>
        <w:t xml:space="preserve"> </w:t>
      </w:r>
      <w:r>
        <w:t xml:space="preserve">iii.</w:t>
      </w:r>
      <w:r>
        <w:t xml:space="preserve"> </w:t>
      </w:r>
      <w:r>
        <w:t xml:space="preserve">Improve transparency on currency charges and execution time for ‘one-leg-out</w:t>
      </w:r>
      <w:r>
        <w:t xml:space="preserve"> </w:t>
      </w:r>
      <w:r>
        <w:t xml:space="preserve">operations’</w:t>
      </w:r>
    </w:p>
    <w:p>
      <w:pPr>
        <w:pStyle w:val="BodyText"/>
      </w:pPr>
      <w:r>
        <w:t xml:space="preserve">369 Implementation of the recommendations on transparency for retail payments end-users - impact assessment</w:t>
      </w:r>
      <w:r>
        <w:t xml:space="preserve"> </w:t>
      </w:r>
      <w:r>
        <w:t xml:space="preserve">(europa.eu).</w:t>
      </w:r>
      <w:r>
        <w:t xml:space="preserve"> </w:t>
      </w:r>
      <w:r>
        <w:t xml:space="preserve">370 Article 3(1) of Regulation (EU) 2021/1230 on cross-border payments in the Union.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For payment transactions (credit transfers and money remittance transactions) within the EU</w:t>
      </w:r>
      <w:r>
        <w:t xml:space="preserve"> </w:t>
      </w:r>
      <w:r>
        <w:t xml:space="preserve">and from the EEA to a third country, this would include improved information requirements</w:t>
      </w:r>
      <w:r>
        <w:t xml:space="preserve"> </w:t>
      </w:r>
      <w:r>
        <w:t xml:space="preserve">on currency conversion with an obligation for PSPs in the EEA to include an estimate of the</w:t>
      </w:r>
      <w:r>
        <w:t xml:space="preserve"> </w:t>
      </w:r>
      <w:r>
        <w:t xml:space="preserve">total currency conversion charges up-front, based on the mark-up of a reference exchange</w:t>
      </w:r>
      <w:r>
        <w:t xml:space="preserve"> </w:t>
      </w:r>
      <w:r>
        <w:t xml:space="preserve">rate, which could be for instance the ECB rate, for transactions in euro, or the relevant</w:t>
      </w:r>
      <w:r>
        <w:t xml:space="preserve"> </w:t>
      </w:r>
      <w:r>
        <w:t xml:space="preserve">Central Bank rate, for other currencies. Furthermore, this option would require the payer’s</w:t>
      </w:r>
      <w:r>
        <w:t xml:space="preserve"> </w:t>
      </w:r>
      <w:r>
        <w:t xml:space="preserve">PSP in the EEA to inform its payer about the estimated execution time of the transfer with the</w:t>
      </w:r>
      <w:r>
        <w:t xml:space="preserve"> </w:t>
      </w:r>
      <w:r>
        <w:t xml:space="preserve">payee’s PSP located outside the EEA. This would improve transparency in international</w:t>
      </w:r>
      <w:r>
        <w:t xml:space="preserve"> </w:t>
      </w:r>
      <w:r>
        <w:t xml:space="preserve">transactions, which is important for consumers to compare estimated currency conversion</w:t>
      </w:r>
      <w:r>
        <w:t xml:space="preserve"> </w:t>
      </w:r>
      <w:r>
        <w:t xml:space="preserve">fees and execution times with other providers and to make an informed decision.</w:t>
      </w:r>
      <w:r>
        <w:t xml:space="preserve"> </w:t>
      </w:r>
      <w:r>
        <w:t xml:space="preserve">It would in turn promote competition and reduce the costs for international credit transfers</w:t>
      </w:r>
      <w:r>
        <w:t xml:space="preserve"> </w:t>
      </w:r>
      <w:r>
        <w:t xml:space="preserve">and remittances, which is one of the objectives of the G20 Roadmap of 2020 on cross-border</w:t>
      </w:r>
      <w:r>
        <w:t xml:space="preserve"> </w:t>
      </w:r>
      <w:r>
        <w:t xml:space="preserve">payments371. This option would also be coherent with the enhanced transparency provisions</w:t>
      </w:r>
      <w:r>
        <w:t xml:space="preserve"> </w:t>
      </w:r>
      <w:r>
        <w:t xml:space="preserve">applicable for cross-border credit transfers within the EU introduced by the Cross-Border</w:t>
      </w:r>
      <w:r>
        <w:t xml:space="preserve"> </w:t>
      </w:r>
      <w:r>
        <w:t xml:space="preserve">Payments Regulation. It would also address the arguments put forward during the</w:t>
      </w:r>
      <w:r>
        <w:t xml:space="preserve"> </w:t>
      </w:r>
      <w:r>
        <w:t xml:space="preserve">consultation by the banking sector, which may not be able to guarantee exchange rates for</w:t>
      </w:r>
      <w:r>
        <w:t xml:space="preserve"> </w:t>
      </w:r>
      <w:r>
        <w:t xml:space="preserve">certain exotic currencies, by limiting the transparency provision to an estimation. Unlike for</w:t>
      </w:r>
      <w:r>
        <w:t xml:space="preserve"> </w:t>
      </w:r>
      <w:r>
        <w:t xml:space="preserve">transactions with the EU, payment service providers would be obliged to provide an</w:t>
      </w:r>
      <w:r>
        <w:t xml:space="preserve"> </w:t>
      </w:r>
      <w:r>
        <w:t xml:space="preserve">estimated execution time but would not be held liable for the execution of the transaction</w:t>
      </w:r>
      <w:r>
        <w:t xml:space="preserve"> </w:t>
      </w:r>
      <w:r>
        <w:t xml:space="preserve">within the specified time period.</w:t>
      </w:r>
      <w:r>
        <w:t xml:space="preserve"> </w:t>
      </w:r>
      <w:r>
        <w:t xml:space="preserve">Regarding payment services providers, fee documentation would have to be changed that</w:t>
      </w:r>
      <w:r>
        <w:t xml:space="preserve"> </w:t>
      </w:r>
      <w:r>
        <w:t xml:space="preserve">would be available to payment services users. There will be a limited IT cost for the update of</w:t>
      </w:r>
      <w:r>
        <w:t xml:space="preserve"> </w:t>
      </w:r>
      <w:r>
        <w:t xml:space="preserve">information on the PSPs’ websites and their internal IT systems.</w:t>
      </w:r>
      <w:r>
        <w:t xml:space="preserve"> </w:t>
      </w:r>
      <w:r>
        <w:t xml:space="preserve">iv.</w:t>
      </w:r>
      <w:r>
        <w:t xml:space="preserve"> </w:t>
      </w:r>
      <w:r>
        <w:t xml:space="preserve">Improve rules concerning blockage of funds</w:t>
      </w:r>
      <w:r>
        <w:t xml:space="preserve"> </w:t>
      </w:r>
      <w:r>
        <w:t xml:space="preserve">This would include a legal obligation for the payee (merchant) to inform its PSP about the</w:t>
      </w:r>
      <w:r>
        <w:t xml:space="preserve"> </w:t>
      </w:r>
      <w:r>
        <w:t xml:space="preserve">exact amount of the payment transaction immediately after the service or goods have been</w:t>
      </w:r>
      <w:r>
        <w:t xml:space="preserve"> </w:t>
      </w:r>
      <w:r>
        <w:t xml:space="preserve">delivered to the payer. Under PSD2 there is only a legal obligation on the payer’s PSP to</w:t>
      </w:r>
      <w:r>
        <w:t xml:space="preserve"> </w:t>
      </w:r>
      <w:r>
        <w:t xml:space="preserve">release the excess amount without undue delay, but there is no deadline for the payee to</w:t>
      </w:r>
      <w:r>
        <w:t xml:space="preserve"> </w:t>
      </w:r>
      <w:r>
        <w:t xml:space="preserve">inform its PSP.</w:t>
      </w:r>
      <w:r>
        <w:t xml:space="preserve"> </w:t>
      </w:r>
      <w:r>
        <w:t xml:space="preserve">There would also be a requirement that the amount of the funds blocked by the payer’s</w:t>
      </w:r>
      <w:r>
        <w:t xml:space="preserve"> </w:t>
      </w:r>
      <w:r>
        <w:t xml:space="preserve">payment service provider has to be proportionate in view of the exact amount of the payment</w:t>
      </w:r>
      <w:r>
        <w:t xml:space="preserve"> </w:t>
      </w:r>
      <w:r>
        <w:t xml:space="preserve">transaction which can reasonably be expected.</w:t>
      </w:r>
      <w:r>
        <w:br/>
      </w:r>
      <w:r>
        <w:t xml:space="preserve">This would be very effective to ensure a reasonable blocked amount and faster pay-out of the</w:t>
      </w:r>
      <w:r>
        <w:t xml:space="preserve"> </w:t>
      </w:r>
      <w:r>
        <w:t xml:space="preserve">excess blocked funds to the benefit of the consumer. The clarification that the merchant</w:t>
      </w:r>
      <w:r>
        <w:t xml:space="preserve"> </w:t>
      </w:r>
      <w:r>
        <w:t xml:space="preserve">would be obliged to notify the final amount to his/her bank immediately would not imply any</w:t>
      </w:r>
      <w:r>
        <w:t xml:space="preserve"> </w:t>
      </w:r>
      <w:r>
        <w:t xml:space="preserve">significant costs. However, Member States would have to designate a national authority</w:t>
      </w:r>
      <w:r>
        <w:t xml:space="preserve"> </w:t>
      </w:r>
      <w:r>
        <w:t xml:space="preserve">responsible for ensuring compliance by the payee which may lead to enforcement costs for</w:t>
      </w:r>
      <w:r>
        <w:t xml:space="preserve"> </w:t>
      </w:r>
      <w:r>
        <w:t xml:space="preserve">supervisors.</w:t>
      </w:r>
    </w:p>
    <w:p>
      <w:pPr>
        <w:pStyle w:val="BodyText"/>
      </w:pPr>
      <w:r>
        <w:t xml:space="preserve">371 G20 Roadmap for Enhancing Cross-border Payments, p. 8.</w:t>
      </w:r>
    </w:p>
    <w:p>
      <w:pPr>
        <w:pStyle w:val="BodyText"/>
      </w:pPr>
      <w:r>
        <w:t xml:space="preserve">187</w:t>
      </w:r>
    </w:p>
    <w:p>
      <w:pPr>
        <w:pStyle w:val="Compact"/>
        <w:numPr>
          <w:ilvl w:val="0"/>
          <w:numId w:val="1042"/>
        </w:numPr>
      </w:pPr>
      <w:r>
        <w:t xml:space="preserve">Improve the accessibility of SCA to persons with disabilities and other persons</w:t>
      </w:r>
      <w:r>
        <w:t xml:space="preserve"> </w:t>
      </w:r>
      <w:r>
        <w:t xml:space="preserve">with difficulties to use SCA</w:t>
      </w:r>
      <w:r>
        <w:t xml:space="preserve"> </w:t>
      </w:r>
      <w:r>
        <w:t xml:space="preserve">A general requirement is envisaged for PSPs when designing authentication solutions to</w:t>
      </w:r>
      <w:r>
        <w:t xml:space="preserve"> </w:t>
      </w:r>
      <w:r>
        <w:t xml:space="preserve">ensure that all types of clients, including persons with disabilities, elderly persons and those</w:t>
      </w:r>
      <w:r>
        <w:t xml:space="preserve"> </w:t>
      </w:r>
      <w:r>
        <w:t xml:space="preserve">with low digital skills, have adapted means to make payments subject to SCA (e-payments),</w:t>
      </w:r>
      <w:r>
        <w:t xml:space="preserve"> </w:t>
      </w:r>
      <w:r>
        <w:t xml:space="preserve">and that the methods offered to PSUs to perform SCA are not dependent on one single</w:t>
      </w:r>
      <w:r>
        <w:t xml:space="preserve"> </w:t>
      </w:r>
      <w:r>
        <w:t xml:space="preserve">technology, device or mechanism. Voice recognition and the use of card readers, for</w:t>
      </w:r>
      <w:r>
        <w:t xml:space="preserve"> </w:t>
      </w:r>
      <w:r>
        <w:t xml:space="preserve">example, could play a role in this respect. This requirement would be coherent with and</w:t>
      </w:r>
      <w:r>
        <w:t xml:space="preserve"> </w:t>
      </w:r>
      <w:r>
        <w:t xml:space="preserve">complement the accessibility requirements of the European Accessibility Act, in full</w:t>
      </w:r>
      <w:r>
        <w:t xml:space="preserve"> </w:t>
      </w:r>
      <w:r>
        <w:t xml:space="preserve">coherence with it. 372 Requiring PSPs to take into account the needs of customers with</w:t>
      </w:r>
      <w:r>
        <w:t xml:space="preserve"> </w:t>
      </w:r>
      <w:r>
        <w:t xml:space="preserve">disabilities elderly people and those who do not have access to digital channels or devices,</w:t>
      </w:r>
      <w:r>
        <w:t xml:space="preserve"> </w:t>
      </w:r>
      <w:r>
        <w:t xml:space="preserve">when designing authentication solutions (e.g., voice recognition or card readers), would</w:t>
      </w:r>
      <w:r>
        <w:t xml:space="preserve"> </w:t>
      </w:r>
      <w:r>
        <w:t xml:space="preserve">improve financial inclusion of such groups of society and better protection of them from</w:t>
      </w:r>
      <w:r>
        <w:t xml:space="preserve"> </w:t>
      </w:r>
      <w:r>
        <w:t xml:space="preserve">fraud, in particular when it comes to the use of remote digital payment transactions and</w:t>
      </w:r>
      <w:r>
        <w:t xml:space="preserve"> </w:t>
      </w:r>
      <w:r>
        <w:t xml:space="preserve">online access to payment accounts as fundamental financial services.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IMPACTS</w:t>
      </w:r>
      <w:r>
        <w:br/>
      </w:r>
      <w:r>
        <w:t xml:space="preserve">The combined impact of these measures should be to contribute to improving consumer</w:t>
      </w:r>
      <w:r>
        <w:t xml:space="preserve"> </w:t>
      </w:r>
      <w:r>
        <w:t xml:space="preserve">confidence in payments and to mitigate the identified problem in this area, at relatively</w:t>
      </w:r>
      <w:r>
        <w:t xml:space="preserve"> </w:t>
      </w:r>
      <w:r>
        <w:t xml:space="preserve">limited cost to PSPs.</w:t>
      </w:r>
      <w:r>
        <w:t xml:space="preserve"> </w:t>
      </w:r>
      <w:r>
        <w:t xml:space="preserve">Regarding the measure to improve the ability of persons with disabilities and other such</w:t>
      </w:r>
      <w:r>
        <w:t xml:space="preserve"> </w:t>
      </w:r>
      <w:r>
        <w:t xml:space="preserve">persons to use SCA, the costs of this measure to PSPs would depend very much on their</w:t>
      </w:r>
      <w:r>
        <w:t xml:space="preserve"> </w:t>
      </w:r>
      <w:r>
        <w:t xml:space="preserve">decision about how much internal resources to devote to developing such measures; PSPs</w:t>
      </w:r>
      <w:r>
        <w:t xml:space="preserve"> </w:t>
      </w:r>
      <w:r>
        <w:t xml:space="preserve">could be expected to pool resources on this and not act individually. The benefits of this</w:t>
      </w:r>
      <w:r>
        <w:t xml:space="preserve"> </w:t>
      </w:r>
      <w:r>
        <w:t xml:space="preserve">measure in terms of SCA public acceptance are noteworthy, and respond to the legitimate</w:t>
      </w:r>
      <w:r>
        <w:t xml:space="preserve"> </w:t>
      </w:r>
      <w:r>
        <w:t xml:space="preserve">concerns of some consumer associations, NGOs etc.</w:t>
      </w:r>
    </w:p>
    <w:p>
      <w:pPr>
        <w:pStyle w:val="FirstParagraph"/>
      </w:pPr>
      <w:r>
        <w:t xml:space="preserve">372 Directive (EU) 2019/882 of the European Parliament and of the Council of 17 April 2019 on the accessibility</w:t>
      </w:r>
      <w:r>
        <w:t xml:space="preserve"> </w:t>
      </w:r>
      <w:r>
        <w:t xml:space="preserve">requirements for products and services.</w:t>
      </w:r>
    </w:p>
    <w:p>
      <w:pPr>
        <w:pStyle w:val="BodyText"/>
      </w:pPr>
      <w:r>
        <w:t xml:space="preserve">188</w:t>
      </w:r>
    </w:p>
    <w:p>
      <w:pPr>
        <w:pStyle w:val="BodyText"/>
      </w:pPr>
      <w:r>
        <w:t xml:space="preserve">ANNEX 11: EXPLANATORY NOTE ON OPEN BANKING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annex aims to complement the evaluation report as regards Open Banking. It presents</w:t>
      </w:r>
      <w:r>
        <w:t xml:space="preserve"> </w:t>
      </w:r>
      <w:r>
        <w:t xml:space="preserve">indicators chosen to perform the analysis, stakeholder sentiment towards Open Banking, it</w:t>
      </w:r>
      <w:r>
        <w:t xml:space="preserve"> </w:t>
      </w:r>
      <w:r>
        <w:t xml:space="preserve">provides some insight into the UK market on Open Banking and presents tentative</w:t>
      </w:r>
      <w:r>
        <w:t xml:space="preserve"> </w:t>
      </w:r>
      <w:r>
        <w:t xml:space="preserve">conclusions on whether Open Banking has delivered on its potential.</w:t>
      </w:r>
      <w:r>
        <w:t xml:space="preserve"> </w:t>
      </w:r>
      <w:r>
        <w:t xml:space="preserve">2.</w:t>
      </w:r>
      <w:r>
        <w:t xml:space="preserve"> </w:t>
      </w:r>
      <w:r>
        <w:t xml:space="preserve">WHAT IS OPEN BANKING IN PSD2?</w:t>
      </w:r>
      <w:r>
        <w:t xml:space="preserve"> </w:t>
      </w:r>
      <w:r>
        <w:t xml:space="preserve">Open Banking services regulated under PSD2 can be either account information services</w:t>
      </w:r>
      <w:r>
        <w:t xml:space="preserve"> </w:t>
      </w:r>
      <w:r>
        <w:t xml:space="preserve">(AIS) or payment initiation services (PIS). AIS providers and PIS providers are collectively</w:t>
      </w:r>
      <w:r>
        <w:t xml:space="preserve"> </w:t>
      </w:r>
      <w:r>
        <w:t xml:space="preserve">called Third Party Providers (TPPs). AIS can provide a user with aggregated and/or analysed</w:t>
      </w:r>
      <w:r>
        <w:t xml:space="preserve"> </w:t>
      </w:r>
      <w:r>
        <w:t xml:space="preserve">information on the basis of their payment accounts, helping users to manage their finances or</w:t>
      </w:r>
      <w:r>
        <w:t xml:space="preserve"> </w:t>
      </w:r>
      <w:r>
        <w:t xml:space="preserve">enabling users to receive a service, based on this data, from another service provider</w:t>
      </w:r>
      <w:r>
        <w:t xml:space="preserve"> </w:t>
      </w:r>
      <w:r>
        <w:t xml:space="preserve">(accountant, auditor, credit scoring bureau etc.). PIS are account-to-account, non-card-based</w:t>
      </w:r>
      <w:r>
        <w:t xml:space="preserve"> </w:t>
      </w:r>
      <w:r>
        <w:t xml:space="preserve">payments and can be found in e-commerce as one of the payment methods offered by</w:t>
      </w:r>
      <w:r>
        <w:t xml:space="preserve"> </w:t>
      </w:r>
      <w:r>
        <w:t xml:space="preserve">merchants. AIS and PIS both require the consent of the user (PSU) to access the payment</w:t>
      </w:r>
      <w:r>
        <w:t xml:space="preserve"> </w:t>
      </w:r>
      <w:r>
        <w:t xml:space="preserve">account data. Access, storage and use is limited to the data needed to perform the service</w:t>
      </w:r>
      <w:r>
        <w:t xml:space="preserve"> </w:t>
      </w:r>
      <w:r>
        <w:t xml:space="preserve">requested by the PSU. AIS and PIS can also be combined e.g. by using an analysis performed</w:t>
      </w:r>
      <w:r>
        <w:t xml:space="preserve"> </w:t>
      </w:r>
      <w:r>
        <w:t xml:space="preserve">on the basis of AIS in order to perform a better PIS. AIS data can, for instance, be</w:t>
      </w:r>
      <w:r>
        <w:t xml:space="preserve"> </w:t>
      </w:r>
      <w:r>
        <w:t xml:space="preserve">particularly useful to help providers of PIS (PISPs) assess the risk of a payment initiated</w:t>
      </w:r>
      <w:r>
        <w:t xml:space="preserve"> </w:t>
      </w:r>
      <w:r>
        <w:t xml:space="preserve">eventually not being executed.</w:t>
      </w:r>
      <w:r>
        <w:br/>
      </w:r>
      <w:r>
        <w:t xml:space="preserve">Below are some illustrations of various Open Banking scenarios, complementary to the</w:t>
      </w:r>
      <w:r>
        <w:t xml:space="preserve"> </w:t>
      </w:r>
      <w:r>
        <w:t xml:space="preserve">illustrations of more simple ones in §2.1.2 of the main impact assessment report.</w:t>
      </w:r>
      <w:r>
        <w:t xml:space="preserve"> </w:t>
      </w:r>
      <w:r>
        <w:t xml:space="preserve">Figure 1 Payment Initiation Service (Illustration Banco de Portugal)</w:t>
      </w:r>
    </w:p>
    <w:p>
      <w:pPr>
        <w:pStyle w:val="BodyText"/>
      </w:pPr>
      <w:r>
        <w:t xml:space="preserve">189</w:t>
      </w:r>
    </w:p>
    <w:p>
      <w:pPr>
        <w:pStyle w:val="BodyText"/>
      </w:pPr>
      <w:r>
        <w:t xml:space="preserve">Figure 2 OB case with an aggregator (TSP or TPP)</w:t>
      </w:r>
    </w:p>
    <w:p>
      <w:pPr>
        <w:pStyle w:val="BodyText"/>
      </w:pPr>
      <w:r>
        <w:t xml:space="preserve">Figure 3 OB case with TPP/aggregator and unlicensed Fourth Party Provider</w:t>
      </w:r>
    </w:p>
    <w:p>
      <w:pPr>
        <w:pStyle w:val="Compact"/>
        <w:numPr>
          <w:ilvl w:val="0"/>
          <w:numId w:val="1044"/>
        </w:numPr>
      </w:pPr>
      <w:r>
        <w:t xml:space="preserve">The unlicensed FPP does not obtain access to the accounts. The customer is notified</w:t>
      </w:r>
      <w:r>
        <w:t xml:space="preserve"> </w:t>
      </w:r>
      <w:r>
        <w:t xml:space="preserve">of the involvement of the TPP/aggregator.</w:t>
      </w:r>
      <w:r>
        <w:t xml:space="preserve"> </w:t>
      </w:r>
      <w:r>
        <w:t xml:space="preserve">OB interface, either dedicated (often API) or modified</w:t>
      </w:r>
      <w:r>
        <w:t xml:space="preserve"> </w:t>
      </w:r>
      <w:r>
        <w:t xml:space="preserve">customer interface</w:t>
      </w:r>
      <w:r>
        <w:t xml:space="preserve"> </w:t>
      </w:r>
      <w:r>
        <w:t xml:space="preserve">TPP/aggregator</w:t>
      </w:r>
      <w:r>
        <w:t xml:space="preserve"> </w:t>
      </w:r>
      <w:r>
        <w:t xml:space="preserve">connects to ASPSP</w:t>
      </w:r>
      <w:r>
        <w:t xml:space="preserve"> </w:t>
      </w:r>
      <w:r>
        <w:t xml:space="preserve">OB interfaces and</w:t>
      </w:r>
      <w:r>
        <w:t xml:space="preserve"> </w:t>
      </w:r>
      <w:r>
        <w:t xml:space="preserve">accesses the</w:t>
      </w:r>
      <w:r>
        <w:t xml:space="preserve"> </w:t>
      </w:r>
      <w:r>
        <w:t xml:space="preserve">accounts</w:t>
      </w:r>
      <w:r>
        <w:t xml:space="preserve"> </w:t>
      </w:r>
      <w:r>
        <w:t xml:space="preserve">custo</w:t>
      </w:r>
      <w:r>
        <w:t xml:space="preserve"> </w:t>
      </w:r>
      <w:r>
        <w:t xml:space="preserve">TP</w:t>
      </w:r>
      <w:r>
        <w:t xml:space="preserve"> </w:t>
      </w:r>
      <w:r>
        <w:t xml:space="preserve">ASPSP</w:t>
      </w:r>
      <w:r>
        <w:t xml:space="preserve"> </w:t>
      </w:r>
      <w:r>
        <w:t xml:space="preserve">ASPSP</w:t>
      </w:r>
      <w:r>
        <w:t xml:space="preserve"> </w:t>
      </w:r>
      <w:r>
        <w:t xml:space="preserve">ASPSP</w:t>
      </w:r>
      <w:r>
        <w:t xml:space="preserve"> </w:t>
      </w:r>
      <w:r>
        <w:t xml:space="preserve">customer/ASPSP</w:t>
      </w:r>
      <w:r>
        <w:t xml:space="preserve"> </w:t>
      </w:r>
      <w:r>
        <w:t xml:space="preserve">l</w:t>
      </w:r>
      <w:r>
        <w:t xml:space="preserve"> </w:t>
      </w:r>
      <w:r>
        <w:t xml:space="preserve">h</w:t>
      </w:r>
      <w:r>
        <w:t xml:space="preserve"> </w:t>
      </w:r>
      <w:r>
        <w:t xml:space="preserve">FP</w:t>
      </w:r>
      <w:r>
        <w:t xml:space="preserve"> </w:t>
      </w:r>
      <w:r>
        <w:t xml:space="preserve">The FFP uses the</w:t>
      </w:r>
      <w:r>
        <w:t xml:space="preserve"> </w:t>
      </w:r>
      <w:r>
        <w:t xml:space="preserve">licensed TPP’s or</w:t>
      </w:r>
      <w:r>
        <w:t xml:space="preserve"> </w:t>
      </w:r>
      <w:r>
        <w:t xml:space="preserve">aggregator service to</w:t>
      </w:r>
      <w:r>
        <w:t xml:space="preserve"> </w:t>
      </w:r>
      <w:r>
        <w:t xml:space="preserve">obtain the payment</w:t>
      </w:r>
      <w:r>
        <w:t xml:space="preserve"> </w:t>
      </w:r>
      <w:r>
        <w:t xml:space="preserve">data*</w:t>
      </w:r>
      <w:r>
        <w:t xml:space="preserve"> </w:t>
      </w:r>
      <w:r>
        <w:t xml:space="preserve">customer/FPP</w:t>
      </w:r>
      <w:r>
        <w:t xml:space="preserve"> </w:t>
      </w:r>
      <w:r>
        <w:t xml:space="preserve">relationship (e.g. </w:t>
      </w:r>
      <w:r>
        <w:t xml:space="preserve"> </w:t>
      </w:r>
      <w:r>
        <w:t xml:space="preserve">credit score)</w:t>
      </w:r>
      <w:r>
        <w:br/>
      </w:r>
      <w:r>
        <w:t xml:space="preserve">aggrega</w:t>
      </w:r>
    </w:p>
    <w:p>
      <w:pPr>
        <w:pStyle w:val="FirstParagraph"/>
      </w:pPr>
      <w:r>
        <w:t xml:space="preserve">190</w:t>
      </w:r>
    </w:p>
    <w:p>
      <w:pPr>
        <w:pStyle w:val="BodyText"/>
      </w:pPr>
      <w:r>
        <w:t xml:space="preserve">It is important to note that these services already existed prior to PSD2, but that PSD2</w:t>
      </w:r>
      <w:r>
        <w:t xml:space="preserve"> </w:t>
      </w:r>
      <w:r>
        <w:t xml:space="preserve">brought these services (and consequently their providers) under scope and subjected them to</w:t>
      </w:r>
      <w:r>
        <w:t xml:space="preserve"> </w:t>
      </w:r>
      <w:r>
        <w:t xml:space="preserve">authorisation, as it was identified that they could provide added value for consumers (ease of</w:t>
      </w:r>
      <w:r>
        <w:t xml:space="preserve"> </w:t>
      </w:r>
      <w:r>
        <w:t xml:space="preserve">use and an alternative a credit card) and merchants (lower costs compared to credit cards,</w:t>
      </w:r>
      <w:r>
        <w:t xml:space="preserve"> </w:t>
      </w:r>
      <w:r>
        <w:t xml:space="preserve">payment initiation confirmation, payment reconciliation). In line with this, it was decided to</w:t>
      </w:r>
      <w:r>
        <w:t xml:space="preserve"> </w:t>
      </w:r>
      <w:r>
        <w:t xml:space="preserve">address both the legal uncertainty (no supervision, no regulation), the potential security risks</w:t>
      </w:r>
      <w:r>
        <w:t xml:space="preserve"> </w:t>
      </w:r>
      <w:r>
        <w:t xml:space="preserve">in the payment chain and the lack of consumer protection. TPPs were usually accessing data</w:t>
      </w:r>
      <w:r>
        <w:t xml:space="preserve"> </w:t>
      </w:r>
      <w:r>
        <w:t xml:space="preserve">via ‘screen-scraping’, without identifying themselves to the bank, which the banks often</w:t>
      </w:r>
      <w:r>
        <w:t xml:space="preserve"> </w:t>
      </w:r>
      <w:r>
        <w:t xml:space="preserve">considered akin to hacking, therefore blocking the TPPs. By regulating the service, PSD2</w:t>
      </w:r>
      <w:r>
        <w:t xml:space="preserve"> </w:t>
      </w:r>
      <w:r>
        <w:t xml:space="preserve">gave the TPPs a legal basis to obtain access to a payment account, provided they received the</w:t>
      </w:r>
      <w:r>
        <w:t xml:space="preserve"> </w:t>
      </w:r>
      <w:r>
        <w:t xml:space="preserve">consent of a payment service user to do so, and prevented banks from blocking the TPPs. By</w:t>
      </w:r>
      <w:r>
        <w:t xml:space="preserve"> </w:t>
      </w:r>
      <w:r>
        <w:t xml:space="preserve">doing so, it also aimed to support the further development of PIS as an alternative to card</w:t>
      </w:r>
      <w:r>
        <w:t xml:space="preserve"> </w:t>
      </w:r>
      <w:r>
        <w:t xml:space="preserve">payments.</w:t>
      </w:r>
      <w:r>
        <w:br/>
      </w:r>
      <w:r>
        <w:t xml:space="preserve">3.</w:t>
      </w:r>
      <w:r>
        <w:t xml:space="preserve"> </w:t>
      </w:r>
      <w:r>
        <w:t xml:space="preserve">HAS OB DELIVERED ON ITS INTENDED OBJECTIVES?</w:t>
      </w:r>
      <w:r>
        <w:t xml:space="preserve"> </w:t>
      </w:r>
      <w:r>
        <w:t xml:space="preserve">As detailed in the Evaluation (Annex 5), the market for Open Banking services has grown</w:t>
      </w:r>
      <w:r>
        <w:t xml:space="preserve"> </w:t>
      </w:r>
      <w:r>
        <w:t xml:space="preserve">significantly, both in terms of number of TPPs, API calls, and users. This, however, does not</w:t>
      </w:r>
      <w:r>
        <w:t xml:space="preserve"> </w:t>
      </w:r>
      <w:r>
        <w:t xml:space="preserve">mean that the current Open Banking regime laid out in PSD2 has been entirely successful, as</w:t>
      </w:r>
      <w:r>
        <w:t xml:space="preserve"> </w:t>
      </w:r>
      <w:r>
        <w:t xml:space="preserve">evidenced in the limited awareness that consumers have of what Open Banking is, and in the</w:t>
      </w:r>
      <w:r>
        <w:t xml:space="preserve"> </w:t>
      </w:r>
      <w:r>
        <w:t xml:space="preserve">relatively low degree of satisfaction with the regime expressed by both consumers, PSPs and</w:t>
      </w:r>
      <w:r>
        <w:t xml:space="preserve"> </w:t>
      </w:r>
      <w:r>
        <w:t xml:space="preserve">TPPs in the public and targeted consultation (cf. Annex 5). This will be further examined</w:t>
      </w:r>
      <w:r>
        <w:t xml:space="preserve"> </w:t>
      </w:r>
      <w:r>
        <w:t xml:space="preserve">here from the perspective of what putting OB in PSD2 tried to achieve: data</w:t>
      </w:r>
      <w:r>
        <w:t xml:space="preserve"> </w:t>
      </w:r>
      <w:r>
        <w:t xml:space="preserve">protection/security, a legal framework for AIS and PIS (authorisation and supervision, but</w:t>
      </w:r>
      <w:r>
        <w:t xml:space="preserve"> </w:t>
      </w:r>
      <w:r>
        <w:t xml:space="preserve">also rights and obligations), increasing competition, supporting innovation and lower costs to</w:t>
      </w:r>
      <w:r>
        <w:t xml:space="preserve"> </w:t>
      </w:r>
      <w:r>
        <w:t xml:space="preserve">merchants for payments. Note that the indicators do not necessarily presume a causal</w:t>
      </w:r>
      <w:r>
        <w:t xml:space="preserve"> </w:t>
      </w:r>
      <w:r>
        <w:t xml:space="preserve">relationship between the indicator and the regulation of Open Banking in PSD2, there is also</w:t>
      </w:r>
      <w:r>
        <w:t xml:space="preserve"> </w:t>
      </w:r>
      <w:r>
        <w:t xml:space="preserve">too little data available for that.</w:t>
      </w:r>
      <w:r>
        <w:t xml:space="preserve"> </w:t>
      </w:r>
      <w:r>
        <w:t xml:space="preserve">3.1. The legal framework, data protection and security</w:t>
      </w:r>
      <w:r>
        <w:t xml:space="preserve"> </w:t>
      </w:r>
      <w:r>
        <w:t xml:space="preserve">In terms of data protection and security the PSD2 has ensured that TPPs must first be</w:t>
      </w:r>
      <w:r>
        <w:t xml:space="preserve"> </w:t>
      </w:r>
      <w:r>
        <w:t xml:space="preserve">authorised and are subsequently supervised by a relevant national competent authority. This</w:t>
      </w:r>
      <w:r>
        <w:t xml:space="preserve"> </w:t>
      </w:r>
      <w:r>
        <w:t xml:space="preserve">authorisation process requires, amongst others, a security policy document (PSD2 art. 5(1)j)</w:t>
      </w:r>
      <w:r>
        <w:t xml:space="preserve"> </w:t>
      </w:r>
      <w:r>
        <w:t xml:space="preserve">with a detailed risk assessment in relation to its payment services and a description of</w:t>
      </w:r>
      <w:r>
        <w:t xml:space="preserve"> </w:t>
      </w:r>
      <w:r>
        <w:t xml:space="preserve">security control and mitigation measures taken to adequately protect payment service users</w:t>
      </w:r>
      <w:r>
        <w:t xml:space="preserve"> </w:t>
      </w:r>
      <w:r>
        <w:t xml:space="preserve">against the risks identified, including fraud and illegal use of sensitive and personal data.</w:t>
      </w:r>
      <w:r>
        <w:t xml:space="preserve"> </w:t>
      </w:r>
      <w:r>
        <w:t xml:space="preserve">During authorisation a TPP’s governance and risk management is also scrutinised for</w:t>
      </w:r>
      <w:r>
        <w:t xml:space="preserve"> </w:t>
      </w:r>
      <w:r>
        <w:t xml:space="preserve">soundness and adequacy. Although it’s difficult to say if TPPs active prior to PSD2 already</w:t>
      </w:r>
      <w:r>
        <w:t xml:space="preserve"> </w:t>
      </w:r>
      <w:r>
        <w:t xml:space="preserve">had such measures in place (and if these were adequate), the TPPs active now, and able to</w:t>
      </w:r>
      <w:r>
        <w:t xml:space="preserve"> </w:t>
      </w:r>
      <w:r>
        <w:t xml:space="preserve">provide services, are monitored and forced to actively work on security and data protection.</w:t>
      </w:r>
      <w:r>
        <w:t xml:space="preserve"> </w:t>
      </w:r>
      <w:r>
        <w:t xml:space="preserve">Notably, the targeted consultation shows that PSD2 has contributed to safer data sharing: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65% of respondents agree that PSD2 ensures safe sharing of payments data, whereas 13% of</w:t>
      </w:r>
      <w:r>
        <w:t xml:space="preserve"> </w:t>
      </w:r>
      <w:r>
        <w:t xml:space="preserve">respondents disagree (the others are neutral). Those that disagree (a mix of stakeholders, but</w:t>
      </w:r>
      <w:r>
        <w:t xml:space="preserve"> </w:t>
      </w:r>
      <w:r>
        <w:t xml:space="preserve">no TPPs) do not provide further clarification373.</w:t>
      </w:r>
      <w:r>
        <w:br/>
      </w:r>
      <w:r>
        <w:t xml:space="preserve">Another important data protection and security topic that the PSD2 aimed to address, namely</w:t>
      </w:r>
      <w:r>
        <w:t xml:space="preserve"> </w:t>
      </w:r>
      <w:r>
        <w:t xml:space="preserve">the unsecure sharing of personalised security credentials with (unauthorised) TPPs also</w:t>
      </w:r>
      <w:r>
        <w:t xml:space="preserve"> </w:t>
      </w:r>
      <w:r>
        <w:t xml:space="preserve">received positive feedback: 78% of respondents find that the PSD2 protects the</w:t>
      </w:r>
      <w:r>
        <w:t xml:space="preserve"> </w:t>
      </w:r>
      <w:r>
        <w:t xml:space="preserve">confidentiality and integrity of users personalised security credentials.374 The previously</w:t>
      </w:r>
      <w:r>
        <w:t xml:space="preserve"> </w:t>
      </w:r>
      <w:r>
        <w:t xml:space="preserve">observed unsecure situation of users directly sharing their log-in credentials with</w:t>
      </w:r>
      <w:r>
        <w:t xml:space="preserve"> </w:t>
      </w:r>
      <w:r>
        <w:t xml:space="preserve">unauthorised TPPs who then used (and stored) those credentials to give them direct access to</w:t>
      </w:r>
      <w:r>
        <w:t xml:space="preserve"> </w:t>
      </w:r>
      <w:r>
        <w:t xml:space="preserve">users payment accounts, has improved. Banks have put in place (dedicated) interfaces375 that</w:t>
      </w:r>
      <w:r>
        <w:t xml:space="preserve"> </w:t>
      </w:r>
      <w:r>
        <w:t xml:space="preserve">require TPPs to identify themselves to the banks and that would enable safer access to data</w:t>
      </w:r>
      <w:r>
        <w:t xml:space="preserve"> </w:t>
      </w:r>
      <w:r>
        <w:t xml:space="preserve">and more secure processes around the use of personalised security credentials. TPPs</w:t>
      </w:r>
      <w:r>
        <w:t xml:space="preserve"> </w:t>
      </w:r>
      <w:r>
        <w:t xml:space="preserve">themselves, especially those that were established post-PSD2 (like members of the Open</w:t>
      </w:r>
      <w:r>
        <w:t xml:space="preserve"> </w:t>
      </w:r>
      <w:r>
        <w:t xml:space="preserve">Finance Association, OFA), indicate they prefer access to payment accounts via PSD2</w:t>
      </w:r>
      <w:r>
        <w:t xml:space="preserve"> </w:t>
      </w:r>
      <w:r>
        <w:t xml:space="preserve">APIs.376</w:t>
      </w:r>
      <w:r>
        <w:t xml:space="preserve"> </w:t>
      </w:r>
      <w:r>
        <w:t xml:space="preserve">3.2. Innovation and lower market barriers</w:t>
      </w:r>
      <w:r>
        <w:t xml:space="preserve"> </w:t>
      </w:r>
      <w:r>
        <w:t xml:space="preserve">The large increase in new TPPs can be correlated with the inclusion of Open Banking in</w:t>
      </w:r>
      <w:r>
        <w:t xml:space="preserve"> </w:t>
      </w:r>
      <w:r>
        <w:t xml:space="preserve">PSD2. By mandating banks to provide access to data and legitimising the AISP and PISP-</w:t>
      </w:r>
      <w:r>
        <w:t xml:space="preserve"> </w:t>
      </w:r>
      <w:r>
        <w:t xml:space="preserve">business models the barriers to access this market have been lowered. Where the PSD2 IA of</w:t>
      </w:r>
      <w:r>
        <w:t xml:space="preserve"> </w:t>
      </w:r>
      <w:r>
        <w:t xml:space="preserve">2013 focused almost solely on the opportunities PISPs could offer merchants, i.e. lower costs</w:t>
      </w:r>
      <w:r>
        <w:t xml:space="preserve"> </w:t>
      </w:r>
      <w:r>
        <w:t xml:space="preserve">for payment transactions, the large number of AISPs is indicative of the opportunities this</w:t>
      </w:r>
      <w:r>
        <w:t xml:space="preserve"> </w:t>
      </w:r>
      <w:r>
        <w:t xml:space="preserve">service can offer. AIS providers offer (new) services like (personal) financial management</w:t>
      </w:r>
      <w:r>
        <w:t xml:space="preserve"> </w:t>
      </w:r>
      <w:r>
        <w:t xml:space="preserve">tools allowing for better spending, budgeting, and saving, but also to support loan</w:t>
      </w:r>
      <w:r>
        <w:t xml:space="preserve"> </w:t>
      </w:r>
      <w:r>
        <w:t xml:space="preserve">applications. Especially PISPs also see opportunities for Open Banking in combination with</w:t>
      </w:r>
      <w:r>
        <w:t xml:space="preserve"> </w:t>
      </w:r>
      <w:r>
        <w:t xml:space="preserve">Instant Payments.</w:t>
      </w:r>
      <w:r>
        <w:br/>
      </w:r>
      <w:r>
        <w:t xml:space="preserve">However, some stakeholders (mostly the incumbents, pre-PSD2 TPPs) note that competition</w:t>
      </w:r>
      <w:r>
        <w:t xml:space="preserve"> </w:t>
      </w:r>
      <w:r>
        <w:t xml:space="preserve">and innovation actually have not improved that much, notably where OB was already present</w:t>
      </w:r>
      <w:r>
        <w:t xml:space="preserve"> </w:t>
      </w:r>
      <w:r>
        <w:t xml:space="preserve">before PSD2 (Nordics or Germany). Two reasons are mentioned most frequently by</w:t>
      </w:r>
      <w:r>
        <w:t xml:space="preserve"> </w:t>
      </w:r>
      <w:r>
        <w:t xml:space="preserve">stakeholders through bilateral meetings, position papers, feedback to consultations and EBA</w:t>
      </w:r>
      <w:r>
        <w:t xml:space="preserve"> </w:t>
      </w:r>
      <w:r>
        <w:t xml:space="preserve">Q&amp;As:</w:t>
      </w:r>
    </w:p>
    <w:p>
      <w:pPr>
        <w:pStyle w:val="BodyText"/>
      </w:pPr>
      <w:r>
        <w:t xml:space="preserve">373 Except for BEUC, whose explanation (question 33b) covers a past data sharing concern (of over sharing)</w:t>
      </w:r>
      <w:r>
        <w:t xml:space="preserve"> </w:t>
      </w:r>
      <w:r>
        <w:t xml:space="preserve">they had concerning PISPs access to account balance and outstanding (pipeline) payments, which would no</w:t>
      </w:r>
      <w:r>
        <w:t xml:space="preserve"> </w:t>
      </w:r>
      <w:r>
        <w:t xml:space="preserve">longer be an issue with instant payments.</w:t>
      </w:r>
      <w:r>
        <w:br/>
      </w:r>
      <w:r>
        <w:t xml:space="preserve">374 Targeted consultation on PSD2, question 41.4: The security measures introduced by PSD2 adequately</w:t>
      </w:r>
      <w:r>
        <w:t xml:space="preserve"> </w:t>
      </w:r>
      <w:r>
        <w:t xml:space="preserve">protect the confidentiality and integrity of payment service users’ personalised security credentials</w:t>
      </w:r>
      <w:r>
        <w:t xml:space="preserve"> </w:t>
      </w:r>
      <w:r>
        <w:t xml:space="preserve">375 Either interfaces that allow for direct customer interface connectivity (still requiring an exchange of eIDAS</w:t>
      </w:r>
      <w:r>
        <w:t xml:space="preserve"> </w:t>
      </w:r>
      <w:r>
        <w:t xml:space="preserve">certificates, but thereafter screen-scraping) or dedicated PSD2 APIs (also requiring eIDAS certificates, but</w:t>
      </w:r>
      <w:r>
        <w:t xml:space="preserve"> </w:t>
      </w:r>
      <w:r>
        <w:t xml:space="preserve">scoping the access to sec PSD2-accounts and information)</w:t>
      </w:r>
      <w:r>
        <w:t xml:space="preserve"> </w:t>
      </w:r>
      <w:r>
        <w:t xml:space="preserve">376 OFA position paper on PSD2 – Open Finance Association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 Fragmented and sometimes non-compliant and low-quality technical implementation</w:t>
      </w:r>
      <w:r>
        <w:t xml:space="preserve"> </w:t>
      </w:r>
      <w:r>
        <w:t xml:space="preserve">of access to accounts (APIs);</w:t>
      </w:r>
      <w:r>
        <w:br/>
      </w:r>
      <w:r>
        <w:t xml:space="preserve"> Access to accounts has to be provided for free by banks to TPPs377 while requiring</w:t>
      </w:r>
      <w:r>
        <w:t xml:space="preserve"> </w:t>
      </w:r>
      <w:r>
        <w:t xml:space="preserve">significant investments from banks.</w:t>
      </w:r>
      <w:r>
        <w:br/>
      </w:r>
      <w:r>
        <w:t xml:space="preserve">With regard to the first point above many TPPs say that even though the costs for API</w:t>
      </w:r>
      <w:r>
        <w:t xml:space="preserve"> </w:t>
      </w:r>
      <w:r>
        <w:t xml:space="preserve">implementation were high to them, APIs (requirements) are implemented differently and</w:t>
      </w:r>
      <w:r>
        <w:t xml:space="preserve"> </w:t>
      </w:r>
      <w:r>
        <w:t xml:space="preserve">don’t always work, some data fields necessary to provide TPP services are not (always)</w:t>
      </w:r>
      <w:r>
        <w:t xml:space="preserve"> </w:t>
      </w:r>
      <w:r>
        <w:t xml:space="preserve">provided and there is a high reliance on technical service providers due to API fragmentation.</w:t>
      </w:r>
      <w:r>
        <w:t xml:space="preserve"> </w:t>
      </w:r>
      <w:r>
        <w:t xml:space="preserve">They criticise what they perceive to be regulators’ and EBA’s slow response to Q&amp;As and</w:t>
      </w:r>
      <w:r>
        <w:t xml:space="preserve"> </w:t>
      </w:r>
      <w:r>
        <w:t xml:space="preserve">provision of guidance and how PSD2 has been enforced, or rather, not enforced enough.</w:t>
      </w:r>
      <w:r>
        <w:t xml:space="preserve"> </w:t>
      </w:r>
      <w:r>
        <w:t xml:space="preserve">Some non-TPPs made similar observations378.</w:t>
      </w:r>
      <w:r>
        <w:br/>
      </w:r>
      <w:r>
        <w:t xml:space="preserve">With regard to the second point: banks mostly complain about the costs of complying with</w:t>
      </w:r>
      <w:r>
        <w:t xml:space="preserve"> </w:t>
      </w:r>
      <w:r>
        <w:t xml:space="preserve">PSD2 and allegedly being forced to fully bear those costs. The PSD2 does not allow for</w:t>
      </w:r>
      <w:r>
        <w:t xml:space="preserve"> </w:t>
      </w:r>
      <w:r>
        <w:t xml:space="preserve">contractual obligations between banks and TPPs, so TPPs do not pay anything to the banks to</w:t>
      </w:r>
      <w:r>
        <w:t xml:space="preserve"> </w:t>
      </w:r>
      <w:r>
        <w:t xml:space="preserve">access the payment accounts.</w:t>
      </w:r>
      <w:r>
        <w:br/>
      </w:r>
      <w:r>
        <w:t xml:space="preserve">Reliable and verifiable evidence on the money spent by banks on facilitating access to</w:t>
      </w:r>
      <w:r>
        <w:t xml:space="preserve"> </w:t>
      </w:r>
      <w:r>
        <w:t xml:space="preserve">accounts is limited: the VVA/CEPS study had to make a lot of assumptions and made a rough</w:t>
      </w:r>
      <w:r>
        <w:t xml:space="preserve"> </w:t>
      </w:r>
      <w:r>
        <w:t xml:space="preserve">estimate of € 2.2 bln in total (one-off costs), using rather broad assumptions such as “~40,400</w:t>
      </w:r>
      <w:r>
        <w:t xml:space="preserve"> </w:t>
      </w:r>
      <w:r>
        <w:t xml:space="preserve">person-days” for banking groups and networks and “1180 person-days per institution” for</w:t>
      </w:r>
      <w:r>
        <w:t xml:space="preserve"> </w:t>
      </w:r>
      <w:r>
        <w:t xml:space="preserve">smaller institutions, based on extremely limited stakeholder input. The stakeholder input</w:t>
      </w:r>
      <w:r>
        <w:t xml:space="preserve"> </w:t>
      </w:r>
      <w:r>
        <w:t xml:space="preserve">however largely came from the institutions themselves, who often turn out to be unable to</w:t>
      </w:r>
      <w:r>
        <w:t xml:space="preserve"> </w:t>
      </w:r>
      <w:r>
        <w:t xml:space="preserve">provide more specific figures solely on the implementation of access to accounts, or to</w:t>
      </w:r>
      <w:r>
        <w:t xml:space="preserve"> </w:t>
      </w:r>
      <w:r>
        <w:t xml:space="preserve">distinguish IT-costs specifically related to PSD2 to those not related to PSD2. This is also</w:t>
      </w:r>
      <w:r>
        <w:t xml:space="preserve"> </w:t>
      </w:r>
      <w:r>
        <w:t xml:space="preserve">visible in the feedback to our targeted consultation, where some respondents provided general</w:t>
      </w:r>
      <w:r>
        <w:t xml:space="preserve"> </w:t>
      </w:r>
      <w:r>
        <w:t xml:space="preserve">figures such as “double-digit million euro per institution” (ESBG), or “the overall one-off</w:t>
      </w:r>
      <w:r>
        <w:t xml:space="preserve"> </w:t>
      </w:r>
      <w:r>
        <w:t xml:space="preserve">implementation costs were (far) in excess of 100M €.” (ING), with very few stakeholders</w:t>
      </w:r>
      <w:r>
        <w:t xml:space="preserve"> </w:t>
      </w:r>
      <w:r>
        <w:t xml:space="preserve">providing more precise (but varying) figures: Credit Agricole reports €21ml and an</w:t>
      </w:r>
      <w:r>
        <w:t xml:space="preserve"> </w:t>
      </w:r>
      <w:r>
        <w:t xml:space="preserve">association of Finnish banks reports “3 to 8 million Euros (or higher)”.</w:t>
      </w:r>
      <w:r>
        <w:br/>
      </w:r>
      <w:r>
        <w:t xml:space="preserve">In theory, various reasons might explain the differences: a bank’s legacy infrastructures,</w:t>
      </w:r>
      <w:r>
        <w:t xml:space="preserve"> </w:t>
      </w:r>
      <w:r>
        <w:t xml:space="preserve">which might be a factor for larger banking groups, a bank’s IT capabilities and the quality of</w:t>
      </w:r>
      <w:r>
        <w:t xml:space="preserve"> </w:t>
      </w:r>
      <w:r>
        <w:t xml:space="preserve">their financial reporting, to name a few. Banks furthermore stress that sometimes their APIs</w:t>
      </w:r>
      <w:r>
        <w:t xml:space="preserve"> </w:t>
      </w:r>
      <w:r>
        <w:t xml:space="preserve">are not being used by TPPs, especially those servicing corporate payment accounts. The most</w:t>
      </w:r>
      <w:r>
        <w:t xml:space="preserve"> </w:t>
      </w:r>
      <w:r>
        <w:t xml:space="preserve">frequent suggestion from banks is to amend the PSD2 to allow for remuneration or</w:t>
      </w:r>
      <w:r>
        <w:t xml:space="preserve"> </w:t>
      </w:r>
      <w:r>
        <w:t xml:space="preserve">compensation for the facilitation of access to data (i.e. allowing for contractual obligations).</w:t>
      </w:r>
    </w:p>
    <w:p>
      <w:pPr>
        <w:pStyle w:val="BodyText"/>
      </w:pPr>
      <w:r>
        <w:t xml:space="preserve">377 PSD2, article 64(5) and 65(4): “no contractual obligation”</w:t>
      </w:r>
      <w:r>
        <w:br/>
      </w:r>
      <w:r>
        <w:t xml:space="preserve">378 Targeted consultation on PSD2, question 33.b: based on responses from Yapily, The Payments Association</w:t>
      </w:r>
      <w:r>
        <w:t xml:space="preserve"> </w:t>
      </w:r>
      <w:r>
        <w:t xml:space="preserve">EU, Mastercard, BBVA, Tink AB, SOPRA STERIA, ETTPA, VIVA Payments. The EBA Call for Advice also</w:t>
      </w:r>
      <w:r>
        <w:t xml:space="preserve"> </w:t>
      </w:r>
      <w:r>
        <w:t xml:space="preserve">observed the enforcement of PSD2 was not very effective and provides suggestions on how to improve this</w:t>
      </w:r>
      <w:r>
        <w:t xml:space="preserve"> </w:t>
      </w:r>
      <w:r>
        <w:t xml:space="preserve">(EBA Call for Advice, Section 9 – Enforcement of PSD2)</w:t>
      </w:r>
    </w:p>
    <w:p>
      <w:pPr>
        <w:pStyle w:val="BodyText"/>
      </w:pPr>
      <w:r>
        <w:t xml:space="preserve">193</w:t>
      </w:r>
    </w:p>
    <w:p>
      <w:pPr>
        <w:pStyle w:val="BodyText"/>
      </w:pPr>
      <w:r>
        <w:t xml:space="preserve">This suggestion might also influence a bank’s motivation to report high costs for the</w:t>
      </w:r>
      <w:r>
        <w:t xml:space="preserve"> </w:t>
      </w:r>
      <w:r>
        <w:t xml:space="preserve">implementation of access to accounts. One could furthermore surmise that if the costs were</w:t>
      </w:r>
      <w:r>
        <w:t xml:space="preserve"> </w:t>
      </w:r>
      <w:r>
        <w:t xml:space="preserve">truly very high, banks would have recouped these costs elsewhere, for example by increasing</w:t>
      </w:r>
      <w:r>
        <w:t xml:space="preserve"> </w:t>
      </w:r>
      <w:r>
        <w:t xml:space="preserve">payment account fees.</w:t>
      </w:r>
      <w:r>
        <w:t xml:space="preserve"> </w:t>
      </w:r>
      <w:r>
        <w:t xml:space="preserve">Besides, it is important to note that the banks’ implementation of access to payment accounts</w:t>
      </w:r>
      <w:r>
        <w:t xml:space="preserve"> </w:t>
      </w:r>
      <w:r>
        <w:t xml:space="preserve">via APIs, despite their initial reluctance to provide access to data, is another piece of evidence</w:t>
      </w:r>
      <w:r>
        <w:t xml:space="preserve"> </w:t>
      </w:r>
      <w:r>
        <w:t xml:space="preserve">for innovation in this market379. Banks have begun to implement the API technology to</w:t>
      </w:r>
      <w:r>
        <w:t xml:space="preserve"> </w:t>
      </w:r>
      <w:r>
        <w:t xml:space="preserve">further their own business too, e.g. to provide Open Banking services themselves, and for</w:t>
      </w:r>
      <w:r>
        <w:t xml:space="preserve"> </w:t>
      </w:r>
      <w:r>
        <w:t xml:space="preserve">non-PSD2 purposes. Direct customer interfaces have become API-based, and some banks are</w:t>
      </w:r>
      <w:r>
        <w:t xml:space="preserve"> </w:t>
      </w:r>
      <w:r>
        <w:t xml:space="preserve">offering commercial APIs against a fee, next to the free PSD2-APIs that provide PSD2</w:t>
      </w:r>
      <w:r>
        <w:t xml:space="preserve"> </w:t>
      </w:r>
      <w:r>
        <w:t xml:space="preserve">services. Another advantage of implementing the API technology beyond just PSD2 is that it</w:t>
      </w:r>
      <w:r>
        <w:t xml:space="preserve"> </w:t>
      </w:r>
      <w:r>
        <w:t xml:space="preserve">provides banks with a means to rid themselves of costly legacy systems380.</w:t>
      </w:r>
      <w:r>
        <w:br/>
      </w:r>
      <w:r>
        <w:t xml:space="preserve">The PSD2 Impact Assessment of 2013 assumed that the implementation costs for TPP access</w:t>
      </w:r>
      <w:r>
        <w:t xml:space="preserve"> </w:t>
      </w:r>
      <w:r>
        <w:t xml:space="preserve">would be limited, on the basis that the information TPPs would access was already being</w:t>
      </w:r>
      <w:r>
        <w:t xml:space="preserve"> </w:t>
      </w:r>
      <w:r>
        <w:t xml:space="preserve">provided to existing card schemes381. Based on the feedback we have received and the fact</w:t>
      </w:r>
      <w:r>
        <w:t xml:space="preserve"> </w:t>
      </w:r>
      <w:r>
        <w:t xml:space="preserve">that both TPPs and banks not only had to spend many resources on setting up access to</w:t>
      </w:r>
      <w:r>
        <w:t xml:space="preserve"> </w:t>
      </w:r>
      <w:r>
        <w:t xml:space="preserve">accounts, but also had to spend many resources on problem solving, as different interfaces</w:t>
      </w:r>
      <w:r>
        <w:t xml:space="preserve"> </w:t>
      </w:r>
      <w:r>
        <w:t xml:space="preserve">had been set up with varying features, available data and overall quality. Faced with this,</w:t>
      </w:r>
      <w:r>
        <w:t xml:space="preserve"> </w:t>
      </w:r>
      <w:r>
        <w:t xml:space="preserve">(some) TPPs in (some) markets make use of alternative solutions, including API aggregators</w:t>
      </w:r>
      <w:r>
        <w:t xml:space="preserve"> </w:t>
      </w:r>
      <w:r>
        <w:t xml:space="preserve">(see illustrations above in section 1) or by continuing to use the fallback interface382, inducing</w:t>
      </w:r>
      <w:r>
        <w:t xml:space="preserve"> </w:t>
      </w:r>
      <w:r>
        <w:t xml:space="preserve">fees and adaption costs, respectively. This goes against the common assumption that access</w:t>
      </w:r>
      <w:r>
        <w:t xml:space="preserve"> </w:t>
      </w:r>
      <w:r>
        <w:t xml:space="preserve">to accounts was free for TPPs. It is likely that some of these costs could have been avoided if</w:t>
      </w:r>
      <w:r>
        <w:t xml:space="preserve"> </w:t>
      </w:r>
      <w:r>
        <w:t xml:space="preserve">access to the data through the interfaces had been effective. The level of costs to banks of</w:t>
      </w:r>
      <w:r>
        <w:t xml:space="preserve"> </w:t>
      </w:r>
      <w:r>
        <w:t xml:space="preserve">setting up interfaces cannot be ascertained on the basis of the evidence available, but different</w:t>
      </w:r>
      <w:r>
        <w:t xml:space="preserve"> </w:t>
      </w:r>
      <w:r>
        <w:t xml:space="preserve">interfaces would prevent exploiting economies of scale and scope, and therefore result in</w:t>
      </w:r>
      <w:r>
        <w:t xml:space="preserve"> </w:t>
      </w:r>
      <w:r>
        <w:t xml:space="preserve">higher average costs. The additional resources required for problem solving also impact the</w:t>
      </w:r>
      <w:r>
        <w:t xml:space="preserve"> </w:t>
      </w:r>
      <w:r>
        <w:t xml:space="preserve">costs for banks.</w:t>
      </w:r>
      <w:r>
        <w:t xml:space="preserve"> </w:t>
      </w:r>
      <w:r>
        <w:t xml:space="preserve">The above two issues combined led to a situation where TPPs were not always able to</w:t>
      </w:r>
      <w:r>
        <w:t xml:space="preserve"> </w:t>
      </w:r>
      <w:r>
        <w:t xml:space="preserve">provide their services to customers (leading to complaints and lower use) and had to spend a</w:t>
      </w:r>
      <w:r>
        <w:t xml:space="preserve"> </w:t>
      </w:r>
      <w:r>
        <w:t xml:space="preserve">lot of time discussing with banks and pleading their cause with supervisors. According to</w:t>
      </w:r>
      <w:r>
        <w:t xml:space="preserve"> </w:t>
      </w:r>
      <w:r>
        <w:t xml:space="preserve">banks, the fact that they had to bear all the costs without getting anything in return did not</w:t>
      </w:r>
    </w:p>
    <w:p>
      <w:pPr>
        <w:pStyle w:val="BodyText"/>
      </w:pPr>
      <w:r>
        <w:t xml:space="preserve">379 Feedback from Targeted consultation and also observed in the National PSD2 Evaluation from the</w:t>
      </w:r>
      <w:r>
        <w:t xml:space="preserve"> </w:t>
      </w:r>
      <w:r>
        <w:t xml:space="preserve">Netherlands.</w:t>
      </w:r>
      <w:r>
        <w:t xml:space="preserve"> </w:t>
      </w:r>
      <w:r>
        <w:t xml:space="preserve">380 According to the VVA/ CEPS study (Annex 10), ASPSPs have begun to make efficiency gains (on a</w:t>
      </w:r>
      <w:r>
        <w:t xml:space="preserve"> </w:t>
      </w:r>
      <w:r>
        <w:t xml:space="preserve">recurring basis).</w:t>
      </w:r>
      <w:r>
        <w:t xml:space="preserve"> </w:t>
      </w:r>
      <w:r>
        <w:t xml:space="preserve">381 IA PSD2 Annex 2013, p. 223.</w:t>
      </w:r>
      <w:r>
        <w:t xml:space="preserve"> </w:t>
      </w:r>
      <w:r>
        <w:t xml:space="preserve">382 According to the VVA/ CEPS study (Annex 10), TPPs spent about 35 million EUR on problems linked to</w:t>
      </w:r>
      <w:r>
        <w:t xml:space="preserve"> </w:t>
      </w:r>
      <w:r>
        <w:t xml:space="preserve">accessing APIs, and 140 million EUR on maintaining legacy systems due to APIs not working properly. The</w:t>
      </w:r>
      <w:r>
        <w:t xml:space="preserve"> </w:t>
      </w:r>
      <w:r>
        <w:t xml:space="preserve">figures provided via the study and other sources (targeted consultation, bilateral interaction) on the setting up of</w:t>
      </w:r>
      <w:r>
        <w:t xml:space="preserve"> </w:t>
      </w:r>
      <w:r>
        <w:t xml:space="preserve">PSD2 APIs are difficult to determine, but vary from 3 million to “double digit”-millions and “in excess of 100</w:t>
      </w:r>
      <w:r>
        <w:t xml:space="preserve"> </w:t>
      </w:r>
      <w:r>
        <w:t xml:space="preserve">mln EUR” reported by single institution. The study estimates a (one-off) 2.2 bn EUR for all ASPSPs.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motivate them to pro-actively ensure compliance, or to behave cooperatively. Some banks</w:t>
      </w:r>
      <w:r>
        <w:t xml:space="preserve"> </w:t>
      </w:r>
      <w:r>
        <w:t xml:space="preserve">even claim that this provision leads to double costs for them, because if they were to</w:t>
      </w:r>
      <w:r>
        <w:t xml:space="preserve"> </w:t>
      </w:r>
      <w:r>
        <w:t xml:space="preserve">implement an innovation in their own direct channels in scope of PSD2, they would have to</w:t>
      </w:r>
      <w:r>
        <w:t xml:space="preserve"> </w:t>
      </w:r>
      <w:r>
        <w:t xml:space="preserve">implement this too in the dedicated PSD2-interface383.</w:t>
      </w:r>
      <w:r>
        <w:t xml:space="preserve"> </w:t>
      </w:r>
      <w:r>
        <w:t xml:space="preserve">In spite of the various challenges identified, both TPPs and bank-stakeholders wish to</w:t>
      </w:r>
      <w:r>
        <w:t xml:space="preserve"> </w:t>
      </w:r>
      <w:r>
        <w:t xml:space="preserve">continue with Open Banking activities. The majority finds that the regulation surrounding</w:t>
      </w:r>
      <w:r>
        <w:t xml:space="preserve"> </w:t>
      </w:r>
      <w:r>
        <w:t xml:space="preserve">Open Banking should be adjusted with an aim to improve its implementation, application,</w:t>
      </w:r>
      <w:r>
        <w:t xml:space="preserve"> </w:t>
      </w:r>
      <w:r>
        <w:t xml:space="preserve">and adoption. This is also supported by the respondents’ overall assessments of Open</w:t>
      </w:r>
      <w:r>
        <w:t xml:space="preserve"> </w:t>
      </w:r>
      <w:r>
        <w:t xml:space="preserve">Banking in the EU, some of whom also point out the importance of fine-tuning this first,</w:t>
      </w:r>
      <w:r>
        <w:t xml:space="preserve"> </w:t>
      </w:r>
      <w:r>
        <w:t xml:space="preserve">before extending access to accounts to other domains384.</w:t>
      </w:r>
      <w:r>
        <w:br/>
      </w:r>
      <w:r>
        <w:t xml:space="preserve">3.3. Merchants’ savings from using PIS instead of cards</w:t>
      </w:r>
      <w:r>
        <w:t xml:space="preserve"> </w:t>
      </w:r>
      <w:r>
        <w:t xml:space="preserve">The IA on PSD2 of 2013 estimated large potential costs savings for merchants if they were to</w:t>
      </w:r>
      <w:r>
        <w:t xml:space="preserve"> </w:t>
      </w:r>
      <w:r>
        <w:t xml:space="preserve">make use of PISPs and account-to-account-payments, instead of the more costly card</w:t>
      </w:r>
      <w:r>
        <w:t xml:space="preserve"> </w:t>
      </w:r>
      <w:r>
        <w:t xml:space="preserve">payments. The IA estimated that savings would range from a minimum of 863 million € to a</w:t>
      </w:r>
      <w:r>
        <w:t xml:space="preserve"> </w:t>
      </w:r>
      <w:r>
        <w:t xml:space="preserve">maximum of 3 520 million385.</w:t>
      </w:r>
      <w:r>
        <w:br/>
      </w:r>
      <w:r>
        <w:t xml:space="preserve">To assess whether any of these potential cost savings were met we would need to know the</w:t>
      </w:r>
      <w:r>
        <w:t xml:space="preserve"> </w:t>
      </w:r>
      <w:r>
        <w:t xml:space="preserve">amount or number of PIS payments of merchants, but data on the use of PISPs in the EU is</w:t>
      </w:r>
      <w:r>
        <w:t xml:space="preserve"> </w:t>
      </w:r>
      <w:r>
        <w:t xml:space="preserve">scarce. We have one indicative figure coming from the UK, where there were about 6 mln</w:t>
      </w:r>
      <w:r>
        <w:t xml:space="preserve"> </w:t>
      </w:r>
      <w:r>
        <w:t xml:space="preserve">PIS calls in June 2022, against 2.1 bn card payments in the same month (UK Finance, June</w:t>
      </w:r>
      <w:r>
        <w:t xml:space="preserve"> </w:t>
      </w:r>
      <w:r>
        <w:t xml:space="preserve">2022). This means PIS would still only make up 0.3% of the UK Retail payments per June</w:t>
      </w:r>
      <w:r>
        <w:t xml:space="preserve"> </w:t>
      </w:r>
      <w:r>
        <w:t xml:space="preserve">2022, although the research indicates the numbers of PIS payments are growing month on</w:t>
      </w:r>
      <w:r>
        <w:t xml:space="preserve"> </w:t>
      </w:r>
      <w:r>
        <w:t xml:space="preserve">month. Given this low percentage, the estimated IA savings have not been realised yet. But</w:t>
      </w:r>
      <w:r>
        <w:t xml:space="preserve"> </w:t>
      </w:r>
      <w:r>
        <w:t xml:space="preserve">one should not lose sight of the fact that PSD2 OB measures only came into force 3 years</w:t>
      </w:r>
      <w:r>
        <w:t xml:space="preserve"> </w:t>
      </w:r>
      <w:r>
        <w:t xml:space="preserve">ago, it might therefore still be too early to conclude that this objective will never be met.</w:t>
      </w:r>
      <w:r>
        <w:br/>
      </w:r>
      <w:r>
        <w:t xml:space="preserve">When replying to our consultation, merchants agreed that there are more options available to</w:t>
      </w:r>
      <w:r>
        <w:t xml:space="preserve"> </w:t>
      </w:r>
      <w:r>
        <w:t xml:space="preserve">make payments than 5 years ago and they find PSD2’s Open Banking regime successful</w:t>
      </w:r>
      <w:r>
        <w:t xml:space="preserve"> </w:t>
      </w:r>
      <w:r>
        <w:t xml:space="preserve">(“somewhat agree”)386. They also say the overall benefits of PSD2 (“standardisation,</w:t>
      </w:r>
      <w:r>
        <w:t xml:space="preserve"> </w:t>
      </w:r>
      <w:r>
        <w:t xml:space="preserve">innovation and competition”) outweigh the (implementation) costs, but do not go into further</w:t>
      </w:r>
      <w:r>
        <w:t xml:space="preserve"> </w:t>
      </w:r>
      <w:r>
        <w:t xml:space="preserve">detail. When merchants discuss PSD2, the discussion often focuses on the implementation of</w:t>
      </w:r>
      <w:r>
        <w:t xml:space="preserve"> </w:t>
      </w:r>
      <w:r>
        <w:t xml:space="preserve">SCA and less on the (potential benefits from) Open Banking. No figures were provided by</w:t>
      </w:r>
      <w:r>
        <w:t xml:space="preserve"> </w:t>
      </w:r>
      <w:r>
        <w:t xml:space="preserve">merchants regarding (PSD2) benefits.</w:t>
      </w:r>
    </w:p>
    <w:p>
      <w:pPr>
        <w:pStyle w:val="BodyText"/>
      </w:pPr>
      <w:r>
        <w:t xml:space="preserve">383 Targeted consultation on PSD2, question 33b: EACB, EBF, Febelfin, Finance Finland, Banca Sella Holding</w:t>
      </w:r>
      <w:r>
        <w:t xml:space="preserve"> </w:t>
      </w:r>
      <w:r>
        <w:t xml:space="preserve">and others.</w:t>
      </w:r>
      <w:r>
        <w:t xml:space="preserve"> </w:t>
      </w:r>
      <w:r>
        <w:t xml:space="preserve">384 Targeted consultation on PSD2, question 36: What is your overall assessment about open banking in the EU?</w:t>
      </w:r>
      <w:r>
        <w:t xml:space="preserve"> </w:t>
      </w:r>
      <w:r>
        <w:t xml:space="preserve">Would you say that it should be further extended? – No: ESBG, BNP Paribas, Société Générale.</w:t>
      </w:r>
      <w:r>
        <w:t xml:space="preserve"> </w:t>
      </w:r>
      <w:r>
        <w:t xml:space="preserve">385 IA PSD2 2013, p. 64-65.</w:t>
      </w:r>
      <w:r>
        <w:t xml:space="preserve"> </w:t>
      </w:r>
      <w:r>
        <w:t xml:space="preserve">386 Targeted consultation on PSD2, question 2, 33.a. Eurocommerce.</w:t>
      </w:r>
    </w:p>
    <w:p>
      <w:pPr>
        <w:pStyle w:val="BodyText"/>
      </w:pPr>
      <w:r>
        <w:t xml:space="preserve">195</w:t>
      </w:r>
    </w:p>
    <w:p>
      <w:pPr>
        <w:pStyle w:val="Compact"/>
        <w:numPr>
          <w:ilvl w:val="0"/>
          <w:numId w:val="1045"/>
        </w:numPr>
      </w:pPr>
      <w:r>
        <w:t xml:space="preserve">ASSESSMENT OF THE OPEN BANKING MARKET OF THE UK</w:t>
      </w:r>
      <w:r>
        <w:t xml:space="preserve"> </w:t>
      </w:r>
      <w:r>
        <w:t xml:space="preserve">The UK took a more regulatory invasive and standardised implementation of Open Banking</w:t>
      </w:r>
      <w:r>
        <w:t xml:space="preserve"> </w:t>
      </w:r>
      <w:r>
        <w:t xml:space="preserve">compared to the EU387, which has not only resulted in less fragmentation in terms of APIs,</w:t>
      </w:r>
      <w:r>
        <w:t xml:space="preserve"> </w:t>
      </w:r>
      <w:r>
        <w:t xml:space="preserve">but also in a more advanced Open Banking market and a somewhat higher adoption rate of</w:t>
      </w:r>
      <w:r>
        <w:t xml:space="preserve"> </w:t>
      </w:r>
      <w:r>
        <w:t xml:space="preserve">OB388. The UK’s implementation of Open Banking is coordinated by the Open Banking</w:t>
      </w:r>
      <w:r>
        <w:t xml:space="preserve"> </w:t>
      </w:r>
      <w:r>
        <w:t xml:space="preserve">Implementation Entity (OBIE), which also gathers and publishes data on the API calls made</w:t>
      </w:r>
      <w:r>
        <w:t xml:space="preserve"> </w:t>
      </w:r>
      <w:r>
        <w:t xml:space="preserve">via the banks under OBIE’s scope389 via API performance Stats. OBIE also publishes an</w:t>
      </w:r>
      <w:r>
        <w:t xml:space="preserve"> </w:t>
      </w:r>
      <w:r>
        <w:t xml:space="preserve">Open Banking Impact Report every six months390.</w:t>
      </w:r>
      <w:r>
        <w:br/>
      </w:r>
      <w:r>
        <w:t xml:space="preserve">In terms of TPPs the UK is an attractive market: there were 212 TPPs being regulated in the</w:t>
      </w:r>
      <w:r>
        <w:t xml:space="preserve"> </w:t>
      </w:r>
      <w:r>
        <w:t xml:space="preserve">UK by end Q3 2022391, where there were 110 by November 2019. Regarding API calls and</w:t>
      </w:r>
      <w:r>
        <w:t xml:space="preserve"> </w:t>
      </w:r>
      <w:r>
        <w:t xml:space="preserve">adoption of Open Banking services by users there is central data available on the largest 9</w:t>
      </w:r>
      <w:r>
        <w:t xml:space="preserve"> </w:t>
      </w:r>
      <w:r>
        <w:t xml:space="preserve">UK-banks (“CMA9”). The UK has been seeing on average approximately 1 bn monthly</w:t>
      </w:r>
      <w:r>
        <w:t xml:space="preserve"> </w:t>
      </w:r>
      <w:r>
        <w:t xml:space="preserve">successful API calls since March 2022 (AIS and PIS combined), of which 6.6 mln successful</w:t>
      </w:r>
      <w:r>
        <w:t xml:space="preserve"> </w:t>
      </w:r>
      <w:r>
        <w:t xml:space="preserve">API payments (increasing month-on-month by approximately 10%). Less than 1% of API</w:t>
      </w:r>
      <w:r>
        <w:t xml:space="preserve"> </w:t>
      </w:r>
      <w:r>
        <w:t xml:space="preserve">calls fail (0.68%)392. Still, the market share of PIS payments vs. card payments is very low</w:t>
      </w:r>
      <w:r>
        <w:t xml:space="preserve"> </w:t>
      </w:r>
      <w:r>
        <w:t xml:space="preserve">(0.3%, see above).</w:t>
      </w:r>
      <w:r>
        <w:t xml:space="preserve"> </w:t>
      </w:r>
      <w:r>
        <w:t xml:space="preserve">Consumer sentiment towards Open Banking is rather positive in the UK. The OBIE</w:t>
      </w:r>
      <w:r>
        <w:t xml:space="preserve"> </w:t>
      </w:r>
      <w:r>
        <w:t xml:space="preserve">investigated the experiences of the users of Open Banking services in their Impact Report of</w:t>
      </w:r>
      <w:r>
        <w:t xml:space="preserve"> </w:t>
      </w:r>
      <w:r>
        <w:t xml:space="preserve">October 202 on the use of Open Banking and the benefits users are gaining from it. A survey</w:t>
      </w:r>
      <w:r>
        <w:t xml:space="preserve"> </w:t>
      </w:r>
      <w:r>
        <w:t xml:space="preserve">among users of Open Banking services showed that 76% intend to continue to use the service</w:t>
      </w:r>
      <w:r>
        <w:t xml:space="preserve"> </w:t>
      </w:r>
      <w:r>
        <w:t xml:space="preserve">and report the OB platforms are “helping them keep to budgets, reduce unnecessary</w:t>
      </w:r>
      <w:r>
        <w:t xml:space="preserve"> </w:t>
      </w:r>
      <w:r>
        <w:t xml:space="preserve">expenditure, shop around and minimise fees and charges”. 64% reported that the apps had</w:t>
      </w:r>
      <w:r>
        <w:t xml:space="preserve"> </w:t>
      </w:r>
      <w:r>
        <w:t xml:space="preserve">increased their total level of savings and 22% that the OB app was their “first ever adult</w:t>
      </w:r>
      <w:r>
        <w:t xml:space="preserve"> </w:t>
      </w:r>
      <w:r>
        <w:t xml:space="preserve">savings account”. The June 2022 Impact Report includes the results from a study on the use</w:t>
      </w:r>
      <w:r>
        <w:t xml:space="preserve"> </w:t>
      </w:r>
      <w:r>
        <w:t xml:space="preserve">of cloud accounting services by small businesses (AIS), which is also largely positive (45%</w:t>
      </w:r>
      <w:r>
        <w:t xml:space="preserve"> </w:t>
      </w:r>
      <w:r>
        <w:t xml:space="preserve">of respondents use them, 87% want to continue this use and &gt;75% find that the service</w:t>
      </w:r>
      <w:r>
        <w:t xml:space="preserve"> </w:t>
      </w:r>
      <w:r>
        <w:t xml:space="preserve">improves their (financial) business activities).</w:t>
      </w:r>
    </w:p>
    <w:p>
      <w:pPr>
        <w:pStyle w:val="FirstParagraph"/>
      </w:pPr>
      <w:r>
        <w:t xml:space="preserve">387 The implementation of Open Banking went differently in the UK than in Europe. In 2017 (Brexit already in</w:t>
      </w:r>
      <w:r>
        <w:t xml:space="preserve"> </w:t>
      </w:r>
      <w:r>
        <w:t xml:space="preserve">the works) the Competition and Markets Authority (CMA) came out with their Retail Banking Market</w:t>
      </w:r>
      <w:r>
        <w:t xml:space="preserve"> </w:t>
      </w:r>
      <w:r>
        <w:t xml:space="preserve">Investigation report which concluded that banks should better serve their retail customers and small businesses.</w:t>
      </w:r>
      <w:r>
        <w:t xml:space="preserve"> </w:t>
      </w:r>
      <w:r>
        <w:t xml:space="preserve">The CMA then ordered the 9 largest banks of the UK, the CMA9 to set up the OBIE and forced them to work</w:t>
      </w:r>
      <w:r>
        <w:t xml:space="preserve"> </w:t>
      </w:r>
      <w:r>
        <w:t xml:space="preserve">together to implement Open Banking in a standardised way. This has largely meant that the UK’s PSD2 API</w:t>
      </w:r>
      <w:r>
        <w:t xml:space="preserve"> </w:t>
      </w:r>
      <w:r>
        <w:t xml:space="preserve">market was more standardised than the EU, and the UK being more advanced in their development and adoption</w:t>
      </w:r>
      <w:r>
        <w:t xml:space="preserve"> </w:t>
      </w:r>
      <w:r>
        <w:t xml:space="preserve">of Open Banking.</w:t>
      </w:r>
      <w:r>
        <w:br/>
      </w:r>
      <w:r>
        <w:t xml:space="preserve">388 Konsentus: Open Banking in Review: Trends and Progress (December, 2021) Link to article: Link.</w:t>
      </w:r>
      <w:r>
        <w:t xml:space="preserve"> </w:t>
      </w:r>
      <w:r>
        <w:t xml:space="preserve">389 The 9 mandated institutions (referred to as the CMA9) are: Barclays plc, Lloyds Banking Group plc,</w:t>
      </w:r>
      <w:r>
        <w:t xml:space="preserve"> </w:t>
      </w:r>
      <w:r>
        <w:t xml:space="preserve">Santander, Danske, HSBC, RBS, Bank of Ireland, Nationwide and AIBG - CMA 9 - Open Banking.</w:t>
      </w:r>
      <w:r>
        <w:t xml:space="preserve"> </w:t>
      </w:r>
      <w:r>
        <w:t xml:space="preserve">390 Open Banking Implementation Entity (OBIE), The open banking Impact Report, June 2022.</w:t>
      </w:r>
      <w:r>
        <w:t xml:space="preserve"> </w:t>
      </w:r>
      <w:r>
        <w:t xml:space="preserve">391 Konsentus - Q3 2022 Konsentus Third Party Provider Open Banking Tracker, Link to article: Link.</w:t>
      </w:r>
      <w:r>
        <w:t xml:space="preserve"> </w:t>
      </w:r>
      <w:r>
        <w:t xml:space="preserve">392 OBIE performance statistics September 2022 (Link to stats) and Open Banking adoption in the UK (OBIE</w:t>
      </w:r>
      <w:r>
        <w:t xml:space="preserve"> </w:t>
      </w:r>
      <w:r>
        <w:t xml:space="preserve">Open Banking Impact Report June 2022) (Link to report).</w:t>
      </w:r>
    </w:p>
    <w:p>
      <w:pPr>
        <w:pStyle w:val="BodyText"/>
      </w:pPr>
      <w:r>
        <w:t xml:space="preserve">196</w:t>
      </w:r>
    </w:p>
    <w:p>
      <w:pPr>
        <w:pStyle w:val="BodyText"/>
      </w:pPr>
      <w:r>
        <w:t xml:space="preserve">All in all, the data shows that specifically for AIS services (potentially in combination with</w:t>
      </w:r>
      <w:r>
        <w:t xml:space="preserve"> </w:t>
      </w:r>
      <w:r>
        <w:t xml:space="preserve">PIS, like sweeping) those using the service, a growing number, are largely positive about the</w:t>
      </w:r>
      <w:r>
        <w:t xml:space="preserve"> </w:t>
      </w:r>
      <w:r>
        <w:t xml:space="preserve">benefits they get from the services and intend to continue using these services. Consumers</w:t>
      </w:r>
      <w:r>
        <w:t xml:space="preserve"> </w:t>
      </w:r>
      <w:r>
        <w:t xml:space="preserve">indicate they are in better control of their personal finances and increased their savings,</w:t>
      </w:r>
      <w:r>
        <w:t xml:space="preserve"> </w:t>
      </w:r>
      <w:r>
        <w:t xml:space="preserve">whereas small business respond the services improve their overall business.</w:t>
      </w:r>
      <w:r>
        <w:t xml:space="preserve"> </w:t>
      </w:r>
      <w:r>
        <w:t xml:space="preserve">In terms of ASPSP and TPP experiences in implementing Open Banking, most TPPs active in</w:t>
      </w:r>
      <w:r>
        <w:t xml:space="preserve"> </w:t>
      </w:r>
      <w:r>
        <w:t xml:space="preserve">the UK and the EU find that the more standardised implementation in the UK was better and</w:t>
      </w:r>
      <w:r>
        <w:t xml:space="preserve"> </w:t>
      </w:r>
      <w:r>
        <w:t xml:space="preserve">led to fewer problems. However, many TPPs believe it is too late for the EU to start</w:t>
      </w:r>
      <w:r>
        <w:t xml:space="preserve"> </w:t>
      </w:r>
      <w:r>
        <w:t xml:space="preserve">implementing one API standard now, preferring more harmonisation of existing standards,</w:t>
      </w:r>
      <w:r>
        <w:t xml:space="preserve"> </w:t>
      </w:r>
      <w:r>
        <w:t xml:space="preserve">supported by the EU but driven by the industry. Furthermore moving to a standard now</w:t>
      </w:r>
      <w:r>
        <w:t xml:space="preserve"> </w:t>
      </w:r>
      <w:r>
        <w:t xml:space="preserve">would also imply significant costs for TPPs 393.</w:t>
      </w:r>
    </w:p>
    <w:p>
      <w:pPr>
        <w:pStyle w:val="BodyText"/>
      </w:pPr>
      <w:r>
        <w:t xml:space="preserve">393 Targeted Consultation Q34: EU legislation on payments should include a common API standard, responses</w:t>
      </w:r>
      <w:r>
        <w:t xml:space="preserve"> </w:t>
      </w:r>
      <w:r>
        <w:t xml:space="preserve">from Yapily and OFA. This is also the feedback generally received when discussing this topic bilaterally with</w:t>
      </w:r>
      <w:r>
        <w:t xml:space="preserve"> </w:t>
      </w:r>
      <w:r>
        <w:t xml:space="preserve">these parties, or in PSMEG.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ANNEX 12: COHERENCE WITH OTHER COMMISSION</w:t>
      </w:r>
      <w:r>
        <w:t xml:space="preserve"> </w:t>
      </w:r>
      <w:r>
        <w:t xml:space="preserve">ACTS AND INITIATIVES</w:t>
      </w:r>
      <w:r>
        <w:t xml:space="preserve"> </w:t>
      </w:r>
      <w:r>
        <w:t xml:space="preserve">To complement Chapter 7.3 of the main impact assessment report, below is a detailed</w:t>
      </w:r>
      <w:r>
        <w:t xml:space="preserve"> </w:t>
      </w:r>
      <w:r>
        <w:t xml:space="preserve">account of the coherence of the initiative with the key items of EU legislation and ongoing</w:t>
      </w:r>
      <w:r>
        <w:t xml:space="preserve"> </w:t>
      </w:r>
      <w:r>
        <w:t xml:space="preserve">Commission initiatives (other than Open Finance, which is treated entirely in Chapter 7.3):</w:t>
      </w:r>
      <w:r>
        <w:t xml:space="preserve"> </w:t>
      </w:r>
      <w:r>
        <w:t xml:space="preserve"> General Data Protection Regulation. GDPR applies directly to all of the payment</w:t>
      </w:r>
      <w:r>
        <w:t xml:space="preserve"> </w:t>
      </w:r>
      <w:r>
        <w:t xml:space="preserve">services concerned by PSD, separately and independently of PSD. The European Data</w:t>
      </w:r>
      <w:r>
        <w:t xml:space="preserve"> </w:t>
      </w:r>
      <w:r>
        <w:t xml:space="preserve">Protection Board (EDPB) issued Guidelines in 2020 on the interplay of the Second</w:t>
      </w:r>
      <w:r>
        <w:t xml:space="preserve"> </w:t>
      </w:r>
      <w:r>
        <w:t xml:space="preserve">Payment Services Directive and the GDPR394; regarding two key aspects covered in</w:t>
      </w:r>
      <w:r>
        <w:t xml:space="preserve"> </w:t>
      </w:r>
      <w:r>
        <w:t xml:space="preserve">the EDPB Guidelines, “explicit consent” and “special categories of personal data”,</w:t>
      </w:r>
      <w:r>
        <w:t xml:space="preserve"> </w:t>
      </w:r>
      <w:r>
        <w:t xml:space="preserve">clarifications on the interaction of PSD/future PSR and GDPR will be provided in the</w:t>
      </w:r>
      <w:r>
        <w:t xml:space="preserve"> </w:t>
      </w:r>
      <w:r>
        <w:t xml:space="preserve">proposal, further information about which is available in Annex 7. The retained option</w:t>
      </w:r>
      <w:r>
        <w:t xml:space="preserve"> </w:t>
      </w:r>
      <w:r>
        <w:t xml:space="preserve">for exchange of information between PSPs on fraud does not comprise an obligation</w:t>
      </w:r>
      <w:r>
        <w:t xml:space="preserve"> </w:t>
      </w:r>
      <w:r>
        <w:t xml:space="preserve">on PSPs to share information and therefore does not constitute a legal basis for</w:t>
      </w:r>
      <w:r>
        <w:t xml:space="preserve"> </w:t>
      </w:r>
      <w:r>
        <w:t xml:space="preserve">exchange of personal data in the meaning of GDPR.</w:t>
      </w:r>
      <w:r>
        <w:br/>
      </w:r>
      <w:r>
        <w:t xml:space="preserve"> Markets in Crypto Assets Regulation (MiCA). The proposed Regulation on Markets in</w:t>
      </w:r>
      <w:r>
        <w:t xml:space="preserve"> </w:t>
      </w:r>
      <w:r>
        <w:t xml:space="preserve">Crypto Assets, politically agreed by the co-legislators but not yet legally in force,</w:t>
      </w:r>
      <w:r>
        <w:t xml:space="preserve"> </w:t>
      </w:r>
      <w:r>
        <w:t xml:space="preserve">divides crypto assets into three types for regulatory purposes: e-money tokens</w:t>
      </w:r>
      <w:r>
        <w:t xml:space="preserve"> </w:t>
      </w:r>
      <w:r>
        <w:t xml:space="preserve">(EMTs), asset-referenced tokens (ARTs), and other crypto assets. Of these three</w:t>
      </w:r>
      <w:r>
        <w:t xml:space="preserve"> </w:t>
      </w:r>
      <w:r>
        <w:t xml:space="preserve">categories, only EMTs are categorised as funds and therefore payment transactions</w:t>
      </w:r>
      <w:r>
        <w:t xml:space="preserve"> </w:t>
      </w:r>
      <w:r>
        <w:t xml:space="preserve">made with EMTs fall within the scope of PSD2. However, given the very specific</w:t>
      </w:r>
      <w:r>
        <w:t xml:space="preserve"> </w:t>
      </w:r>
      <w:r>
        <w:t xml:space="preserve">nature of EMTs as a type of crypto asset (use of Distributed Ledger Technology etc),</w:t>
      </w:r>
      <w:r>
        <w:t xml:space="preserve"> </w:t>
      </w:r>
      <w:r>
        <w:t xml:space="preserve">a certain number of clarifications are necessary in PSD2 in order to ensure certainty</w:t>
      </w:r>
      <w:r>
        <w:t xml:space="preserve"> </w:t>
      </w:r>
      <w:r>
        <w:t xml:space="preserve">about the application of certain requirements (such as SCA) to payments using EMTs.</w:t>
      </w:r>
      <w:r>
        <w:t xml:space="preserve"> </w:t>
      </w:r>
      <w:r>
        <w:t xml:space="preserve">Annex 7 provides more details about these clarifications.</w:t>
      </w:r>
      <w:r>
        <w:br/>
      </w:r>
      <w:r>
        <w:t xml:space="preserve"> Digital Operational Resilience Act. PSPs providing payment services in the meaning</w:t>
      </w:r>
      <w:r>
        <w:t xml:space="preserve"> </w:t>
      </w:r>
      <w:r>
        <w:t xml:space="preserve">of PSD are within the scope of DORA, and its provisions apply directly to them.</w:t>
      </w:r>
      <w:r>
        <w:t xml:space="preserve"> </w:t>
      </w:r>
      <w:r>
        <w:t xml:space="preserve">However, payment system infrastructure operators, which are not in the scope of</w:t>
      </w:r>
      <w:r>
        <w:t xml:space="preserve"> </w:t>
      </w:r>
      <w:r>
        <w:t xml:space="preserve">PSD2 nor of the proposed revision (see annex 6), are not within the scope of DORA.</w:t>
      </w:r>
      <w:r>
        <w:t xml:space="preserve"> </w:t>
      </w:r>
      <w:r>
        <w:t xml:space="preserve">DORA requires the PSD2 review to consider the inclusion of “operators of payment</w:t>
      </w:r>
      <w:r>
        <w:t xml:space="preserve"> </w:t>
      </w:r>
      <w:r>
        <w:t xml:space="preserve">systems and entities involved in payment–processing activities” within the scope of</w:t>
      </w:r>
      <w:r>
        <w:t xml:space="preserve"> </w:t>
      </w:r>
      <w:r>
        <w:t xml:space="preserve">PSD2, which would consequently allow their inclusion within the scope of DORA395.</w:t>
      </w:r>
    </w:p>
    <w:p>
      <w:pPr>
        <w:pStyle w:val="BodyText"/>
      </w:pPr>
      <w:r>
        <w:t xml:space="preserve">394 EDPB Guidelines 06/2020. The European PSP sector expressed concerns about these Guidelines as</w:t>
      </w:r>
      <w:r>
        <w:t xml:space="preserve"> </w:t>
      </w:r>
      <w:r>
        <w:t xml:space="preserve">potentially hindering the objectives of PSD2 in a joint public letter. See also the Evaluation Report in Annex 5,</w:t>
      </w:r>
      <w:r>
        <w:t xml:space="preserve"> </w:t>
      </w:r>
      <w:r>
        <w:t xml:space="preserve">section 4.1.3.2.</w:t>
      </w:r>
      <w:r>
        <w:t xml:space="preserve"> </w:t>
      </w:r>
      <w:r>
        <w:t xml:space="preserve">395 Article 58 of DORA says: “In the context of the review of Directive 2015/2366, the Commission shall assess</w:t>
      </w:r>
      <w:r>
        <w:t xml:space="preserve"> </w:t>
      </w:r>
      <w:r>
        <w:t xml:space="preserve">the need for increased cyber resilience of payment systems and payment–processing activities and the</w:t>
      </w:r>
      <w:r>
        <w:t xml:space="preserve"> </w:t>
      </w:r>
      <w:r>
        <w:t xml:space="preserve">appropriateness of extending of the scope of this Regulation to operators of payment systems and entities</w:t>
      </w:r>
      <w:r>
        <w:t xml:space="preserve"> </w:t>
      </w:r>
      <w:r>
        <w:t xml:space="preserve">involved in payment–processing activities. In light of this assessment, the Commission shall submit, as part of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Annex 6 of the present impact assessment, which will form the basis for the review</w:t>
      </w:r>
      <w:r>
        <w:t xml:space="preserve"> </w:t>
      </w:r>
      <w:r>
        <w:t xml:space="preserve">report referred to in article 108 of PSD2, summarises the outcome of the reflections of</w:t>
      </w:r>
      <w:r>
        <w:t xml:space="preserve"> </w:t>
      </w:r>
      <w:r>
        <w:t xml:space="preserve">the Commission to date on this subject, and its conclusion that there are currently no</w:t>
      </w:r>
      <w:r>
        <w:t xml:space="preserve"> </w:t>
      </w:r>
      <w:r>
        <w:t xml:space="preserve">grounds to extend the scope of PSD to cover payment systems and technical service</w:t>
      </w:r>
      <w:r>
        <w:t xml:space="preserve"> </w:t>
      </w:r>
      <w:r>
        <w:t xml:space="preserve">providers (including payment processors mentioned in DORA), but that this matter</w:t>
      </w:r>
      <w:r>
        <w:t xml:space="preserve"> </w:t>
      </w:r>
      <w:r>
        <w:t xml:space="preserve">must be kept under close review, with a view to possible future legislation on payment</w:t>
      </w:r>
      <w:r>
        <w:t xml:space="preserve"> </w:t>
      </w:r>
      <w:r>
        <w:t xml:space="preserve">systems and payment processors, separate from PSD.</w:t>
      </w:r>
      <w:r>
        <w:t xml:space="preserve"> </w:t>
      </w:r>
      <w:r>
        <w:t xml:space="preserve"> Settlement Finality Directive. Here it should be noted, as indicated in the evaluation</w:t>
      </w:r>
      <w:r>
        <w:t xml:space="preserve"> </w:t>
      </w:r>
      <w:r>
        <w:t xml:space="preserve">(Annex 5) that currently SFD and PSD2 are coherent but with the consequence of</w:t>
      </w:r>
      <w:r>
        <w:t xml:space="preserve"> </w:t>
      </w:r>
      <w:r>
        <w:t xml:space="preserve">excluding PIs and EMIs from payment systems designated under SFD. In amending</w:t>
      </w:r>
      <w:r>
        <w:t xml:space="preserve"> </w:t>
      </w:r>
      <w:r>
        <w:t xml:space="preserve">PSD2 and/or SFD, care must be taken not to introduce any incoherence. For this</w:t>
      </w:r>
      <w:r>
        <w:t xml:space="preserve"> </w:t>
      </w:r>
      <w:r>
        <w:t xml:space="preserve">reason, for example, it would not be possible to delete article 35.1(a) of PSD2 in</w:t>
      </w:r>
      <w:r>
        <w:t xml:space="preserve"> </w:t>
      </w:r>
      <w:r>
        <w:t xml:space="preserve">isolation; this article exempts SFD-designated payment systems from a general</w:t>
      </w:r>
      <w:r>
        <w:t xml:space="preserve"> </w:t>
      </w:r>
      <w:r>
        <w:t xml:space="preserve">obligation on payment systems to have rules on access which are proportional</w:t>
      </w:r>
      <w:r>
        <w:t xml:space="preserve"> </w:t>
      </w:r>
      <w:r>
        <w:t xml:space="preserve">objective and non-discriminatory and removing it while leaving SFD unchanged</w:t>
      </w:r>
      <w:r>
        <w:t xml:space="preserve"> </w:t>
      </w:r>
      <w:r>
        <w:t xml:space="preserve">would have created a conflict of law. The proposed combined changes to PSD2 and</w:t>
      </w:r>
      <w:r>
        <w:t xml:space="preserve"> </w:t>
      </w:r>
      <w:r>
        <w:t xml:space="preserve">SFD would retain coherence, but with the positive effect of allowing PIs and EMIs to</w:t>
      </w:r>
      <w:r>
        <w:t xml:space="preserve"> </w:t>
      </w:r>
      <w:r>
        <w:t xml:space="preserve">participate in payment systems designated by Member States under SFD, with</w:t>
      </w:r>
      <w:r>
        <w:t xml:space="preserve"> </w:t>
      </w:r>
      <w:r>
        <w:t xml:space="preserve">appropriate safeguards.</w:t>
      </w:r>
      <w:r>
        <w:t xml:space="preserve"> </w:t>
      </w:r>
      <w:r>
        <w:t xml:space="preserve"> The European Accessibility Act (EAA)396 is relevant, inter alia, for SCA execution. It</w:t>
      </w:r>
      <w:r>
        <w:t xml:space="preserve"> </w:t>
      </w:r>
      <w:r>
        <w:t xml:space="preserve">covers consumer banking services including payment services, containing</w:t>
      </w:r>
      <w:r>
        <w:t xml:space="preserve"> </w:t>
      </w:r>
      <w:r>
        <w:t xml:space="preserve">accessibility requirements for banking services in its scope in its Annex I section III</w:t>
      </w:r>
      <w:r>
        <w:t xml:space="preserve"> </w:t>
      </w:r>
      <w:r>
        <w:t xml:space="preserve">and Section IV. For example it includes requirements prescribing the accessibility of</w:t>
      </w:r>
      <w:r>
        <w:t xml:space="preserve"> </w:t>
      </w:r>
      <w:r>
        <w:t xml:space="preserve">products used in the provision of services and, specifically for banking services</w:t>
      </w:r>
      <w:r>
        <w:t xml:space="preserve"> </w:t>
      </w:r>
      <w:r>
        <w:t xml:space="preserve">(including payments), prescribing that identification methods, electronic signatures,</w:t>
      </w:r>
      <w:r>
        <w:t xml:space="preserve"> </w:t>
      </w:r>
      <w:r>
        <w:t xml:space="preserve">security and payment services must be perceivable, operable, understandable and</w:t>
      </w:r>
      <w:r>
        <w:t xml:space="preserve"> </w:t>
      </w:r>
      <w:r>
        <w:t xml:space="preserve">robust. It also requires for banking services that information is understandable.</w:t>
      </w:r>
      <w:r>
        <w:t xml:space="preserve"> </w:t>
      </w:r>
      <w:r>
        <w:t xml:space="preserve">Although the EEA departed from the barriers faced by ‘persons with disabilities”397</w:t>
      </w:r>
      <w:r>
        <w:t xml:space="preserve"> </w:t>
      </w:r>
      <w:r>
        <w:t xml:space="preserve">and elderly people, its requirements facilitate access in general, including for persons</w:t>
      </w:r>
      <w:r>
        <w:t xml:space="preserve"> </w:t>
      </w:r>
      <w:r>
        <w:t xml:space="preserve">without disabilities. From that perspective, the measures described in Annex 10 to</w:t>
      </w:r>
      <w:r>
        <w:t xml:space="preserve"> </w:t>
      </w:r>
      <w:r>
        <w:t xml:space="preserve">improve the ability of persons with disabilities and other persons with related</w:t>
      </w:r>
      <w:r>
        <w:t xml:space="preserve"> </w:t>
      </w:r>
      <w:r>
        <w:t xml:space="preserve">challenges to use SCA would be coherent with the EAA by requiring that</w:t>
      </w:r>
    </w:p>
    <w:p>
      <w:pPr>
        <w:pStyle w:val="BodyText"/>
      </w:pPr>
      <w:r>
        <w:t xml:space="preserve">the review of the Directive 2015/2366, a report to the Council and the EP no later than … [6 months from the</w:t>
      </w:r>
      <w:r>
        <w:t xml:space="preserve"> </w:t>
      </w:r>
      <w:r>
        <w:t xml:space="preserve">date of entry into force of this Regulation].</w:t>
      </w:r>
      <w:r>
        <w:t xml:space="preserve"> </w:t>
      </w:r>
      <w:r>
        <w:t xml:space="preserve">Based on this review report, and after consulting EBA, ESMA, EIOPA, ECB and the ESRB, the Commission</w:t>
      </w:r>
      <w:r>
        <w:t xml:space="preserve"> </w:t>
      </w:r>
      <w:r>
        <w:t xml:space="preserve">may submit, where appropriate and as part of the legislative proposal that it may adopt pursuant to Article 108,</w:t>
      </w:r>
      <w:r>
        <w:t xml:space="preserve"> </w:t>
      </w:r>
      <w:r>
        <w:t xml:space="preserve">second paragraph, of Directive (EU) 2015/2366, a proposal to ensure that all operators of payment systems and</w:t>
      </w:r>
      <w:r>
        <w:t xml:space="preserve"> </w:t>
      </w:r>
      <w:r>
        <w:t xml:space="preserve">entities involved in payment–processing activities are subject to an appropriate oversight, while taking into</w:t>
      </w:r>
      <w:r>
        <w:t xml:space="preserve"> </w:t>
      </w:r>
      <w:r>
        <w:t xml:space="preserve">account existing central bank oversight.”</w:t>
      </w:r>
      <w:r>
        <w:t xml:space="preserve"> </w:t>
      </w:r>
      <w:r>
        <w:t xml:space="preserve">396 Directive 2019/882 of 17 April 2019 on the accessibility requirements for products and services.</w:t>
      </w:r>
      <w:r>
        <w:t xml:space="preserve"> </w:t>
      </w:r>
      <w:r>
        <w:t xml:space="preserve">397 ‘Persons with disabilities’ means persons who have long-term physical, mental, intellectual or sensory</w:t>
      </w:r>
      <w:r>
        <w:t xml:space="preserve"> </w:t>
      </w:r>
      <w:r>
        <w:t xml:space="preserve">impairments which in interaction with various barriers may hinder their full and effective participation in society</w:t>
      </w:r>
      <w:r>
        <w:t xml:space="preserve"> </w:t>
      </w:r>
      <w:r>
        <w:t xml:space="preserve">on an equal basis with others.</w:t>
      </w:r>
    </w:p>
    <w:p>
      <w:pPr>
        <w:pStyle w:val="BodyText"/>
      </w:pPr>
      <w:r>
        <w:t xml:space="preserve">199</w:t>
      </w:r>
    </w:p>
    <w:p>
      <w:pPr>
        <w:pStyle w:val="BodyText"/>
      </w:pPr>
      <w:r>
        <w:t xml:space="preserve">identification methods, electronic signatures, security and payment services must be</w:t>
      </w:r>
      <w:r>
        <w:t xml:space="preserve"> </w:t>
      </w:r>
      <w:r>
        <w:t xml:space="preserve">perceivable, operable, understandable and robust.</w:t>
      </w:r>
      <w:r>
        <w:t xml:space="preserve"> </w:t>
      </w:r>
      <w:r>
        <w:t xml:space="preserve"> Interchange Fee Regulation. To foster the Internal Market and competition in EU</w:t>
      </w:r>
      <w:r>
        <w:t xml:space="preserve"> </w:t>
      </w:r>
      <w:r>
        <w:t xml:space="preserve">card payments, Regulation (EU) 2015/751 on interchange fees for card-based</w:t>
      </w:r>
      <w:r>
        <w:t xml:space="preserve"> </w:t>
      </w:r>
      <w:r>
        <w:t xml:space="preserve">payment transactions (IFR) harmonizes diverging laws and administrative decisions</w:t>
      </w:r>
      <w:r>
        <w:t xml:space="preserve"> </w:t>
      </w:r>
      <w:r>
        <w:t xml:space="preserve">and addresses restrictive business rules and practices. The IFR introduced caps for</w:t>
      </w:r>
      <w:r>
        <w:t xml:space="preserve"> </w:t>
      </w:r>
      <w:r>
        <w:t xml:space="preserve">hitherto high interchange fees for consumer debit and credit cards, therefore setting</w:t>
      </w:r>
      <w:r>
        <w:t xml:space="preserve"> </w:t>
      </w:r>
      <w:r>
        <w:t xml:space="preserve">harmonized ceilings for interchange fees for consumer cards in the EEA. The IFR also</w:t>
      </w:r>
      <w:r>
        <w:t xml:space="preserve"> </w:t>
      </w:r>
      <w:r>
        <w:t xml:space="preserve">introduces business rules and aims at removing barriers to the internal market, such as</w:t>
      </w:r>
      <w:r>
        <w:t xml:space="preserve"> </w:t>
      </w:r>
      <w:r>
        <w:t xml:space="preserve">restrictions on cross-border acquiring or the prevention of choice of payment brand or</w:t>
      </w:r>
      <w:r>
        <w:t xml:space="preserve"> </w:t>
      </w:r>
      <w:r>
        <w:t xml:space="preserve">payment application for consumers and merchants. The IFR is closely related to</w:t>
      </w:r>
      <w:r>
        <w:t xml:space="preserve"> </w:t>
      </w:r>
      <w:r>
        <w:t xml:space="preserve">PSD2, as the card-specific provisions of PSD2398 complement the IFR in promoting</w:t>
      </w:r>
      <w:r>
        <w:t xml:space="preserve"> </w:t>
      </w:r>
      <w:r>
        <w:t xml:space="preserve">entry, including of pan-European card schemes or in preventing payees from</w:t>
      </w:r>
      <w:r>
        <w:t xml:space="preserve"> </w:t>
      </w:r>
      <w:r>
        <w:t xml:space="preserve">requesting charges for the use of payment instruments for which the interchange fees</w:t>
      </w:r>
      <w:r>
        <w:t xml:space="preserve"> </w:t>
      </w:r>
      <w:r>
        <w:t xml:space="preserve">are regulated in the IFR. The preferred options remain coherent with the IFR,</w:t>
      </w:r>
      <w:r>
        <w:t xml:space="preserve"> </w:t>
      </w:r>
      <w:r>
        <w:t xml:space="preserve">promoting innovative payment services, while keeping the PSD2 rules on surcharging</w:t>
      </w:r>
      <w:r>
        <w:t xml:space="preserve"> </w:t>
      </w:r>
      <w:r>
        <w:t xml:space="preserve">for card-based payments.</w:t>
      </w:r>
      <w:r>
        <w:t xml:space="preserve"> </w:t>
      </w:r>
      <w:r>
        <w:t xml:space="preserve"> Directive on Anti-Money Laundering and Countering the Financing of Terrorism</w:t>
      </w:r>
      <w:r>
        <w:t xml:space="preserve"> </w:t>
      </w:r>
      <w:r>
        <w:t xml:space="preserve">(AMLD, Directive 2015/849 as amended)399. Payment fraud leads to illicit revenues</w:t>
      </w:r>
      <w:r>
        <w:t xml:space="preserve"> </w:t>
      </w:r>
      <w:r>
        <w:t xml:space="preserve">for criminals which are often subsequently laundered. Any reduction in payment</w:t>
      </w:r>
      <w:r>
        <w:t xml:space="preserve"> </w:t>
      </w:r>
      <w:r>
        <w:t xml:space="preserve">fraud, which should result from the present initiative, should lead to a reduction in the</w:t>
      </w:r>
      <w:r>
        <w:t xml:space="preserve"> </w:t>
      </w:r>
      <w:r>
        <w:t xml:space="preserve">amount of laundered funds. Moreover, the proposed measure to provide a legal basis</w:t>
      </w:r>
      <w:r>
        <w:t xml:space="preserve"> </w:t>
      </w:r>
      <w:r>
        <w:t xml:space="preserve">for PSPs to share fraud data, parallels the provision in AMLD (article 39) allowing, in</w:t>
      </w:r>
      <w:r>
        <w:t xml:space="preserve"> </w:t>
      </w:r>
      <w:r>
        <w:t xml:space="preserve">certain circumstances, Obliged Entities under that Directive to share information</w:t>
      </w:r>
      <w:r>
        <w:t xml:space="preserve"> </w:t>
      </w:r>
      <w:r>
        <w:t xml:space="preserve">about suspicions of money laundering or terrorism financing. Weaknesses in internal</w:t>
      </w:r>
      <w:r>
        <w:t xml:space="preserve"> </w:t>
      </w:r>
      <w:r>
        <w:t xml:space="preserve">AML controls are among the acceptable reasons for a bank to refuse to provide an</w:t>
      </w:r>
      <w:r>
        <w:t xml:space="preserve"> </w:t>
      </w:r>
      <w:r>
        <w:t xml:space="preserve">account for a payment institution.</w:t>
      </w:r>
      <w:r>
        <w:t xml:space="preserve"> </w:t>
      </w:r>
      <w:r>
        <w:t xml:space="preserve">In addition, coherence should be considered with ongoing Commission initiatives which have</w:t>
      </w:r>
      <w:r>
        <w:t xml:space="preserve"> </w:t>
      </w:r>
      <w:r>
        <w:t xml:space="preserve">not yet become legislation in force:</w:t>
      </w:r>
      <w:r>
        <w:t xml:space="preserve"> </w:t>
      </w:r>
      <w:r>
        <w:t xml:space="preserve"> Commission legislative proposal on instant payments (amending the SEPA</w:t>
      </w:r>
      <w:r>
        <w:t xml:space="preserve"> </w:t>
      </w:r>
      <w:r>
        <w:t xml:space="preserve">Regulation). The SEPA Regulation lays down harmonised rules and technical</w:t>
      </w:r>
      <w:r>
        <w:t xml:space="preserve"> </w:t>
      </w:r>
      <w:r>
        <w:t xml:space="preserve">parameters for credit transfers and direct debits in euro. On 26 October 2022, the</w:t>
      </w:r>
      <w:r>
        <w:t xml:space="preserve"> </w:t>
      </w:r>
      <w:r>
        <w:t xml:space="preserve">Commission adopted a proposal for an amendment of the SEPA Regulation</w:t>
      </w:r>
      <w:r>
        <w:t xml:space="preserve"> </w:t>
      </w:r>
      <w:r>
        <w:t xml:space="preserve">concerning instant payments in euro, with four pillars:</w:t>
      </w:r>
    </w:p>
    <w:p>
      <w:pPr>
        <w:pStyle w:val="BodyText"/>
      </w:pPr>
      <w:r>
        <w:t xml:space="preserve">398 For instance, article 62 governing charges levied by payees on payers in respect of card-based payment</w:t>
      </w:r>
      <w:r>
        <w:t xml:space="preserve"> </w:t>
      </w:r>
      <w:r>
        <w:t xml:space="preserve">transactions or 65 PSD2 on the confirmation on the availability of funds upon the request of PSPs issuing card-</w:t>
      </w:r>
      <w:r>
        <w:t xml:space="preserve"> </w:t>
      </w:r>
      <w:r>
        <w:t xml:space="preserve">based payment instruments.</w:t>
      </w:r>
      <w:r>
        <w:t xml:space="preserve"> </w:t>
      </w:r>
      <w:r>
        <w:t xml:space="preserve">399 A proposal for an amendment of this Regulation, including enactment of certain parts in a Regulation, was</w:t>
      </w:r>
      <w:r>
        <w:t xml:space="preserve"> </w:t>
      </w:r>
      <w:r>
        <w:t xml:space="preserve">proposed by the Commission on 20 July 2021. See this link.</w:t>
      </w:r>
    </w:p>
    <w:p>
      <w:pPr>
        <w:pStyle w:val="BodyText"/>
      </w:pPr>
      <w:r>
        <w:t xml:space="preserve">200</w:t>
      </w:r>
    </w:p>
    <w:p>
      <w:pPr>
        <w:pStyle w:val="BodyText"/>
      </w:pPr>
      <w:r>
        <w:t xml:space="preserve">o An obligation on credit institutions which offer non-instant credit transfers to</w:t>
      </w:r>
      <w:r>
        <w:t xml:space="preserve"> </w:t>
      </w:r>
      <w:r>
        <w:t xml:space="preserve">also offer instant credit transfers400;</w:t>
      </w:r>
      <w:r>
        <w:t xml:space="preserve"> </w:t>
      </w:r>
      <w:r>
        <w:t xml:space="preserve">o An obligation not to price instant payments higher than corresponding regular</w:t>
      </w:r>
      <w:r>
        <w:t xml:space="preserve"> </w:t>
      </w:r>
      <w:r>
        <w:t xml:space="preserve">credit transfers;</w:t>
      </w:r>
      <w:r>
        <w:t xml:space="preserve"> </w:t>
      </w:r>
      <w:r>
        <w:t xml:space="preserve">o An obligation on PSPs offering instant credit transfers to offer PSUs a service</w:t>
      </w:r>
      <w:r>
        <w:t xml:space="preserve"> </w:t>
      </w:r>
      <w:r>
        <w:t xml:space="preserve">of verification of concordance of the payee’s name and IBAN number, as a</w:t>
      </w:r>
      <w:r>
        <w:t xml:space="preserve"> </w:t>
      </w:r>
      <w:r>
        <w:t xml:space="preserve">safeguard against fraudulent or erroneous payments.</w:t>
      </w:r>
      <w:r>
        <w:t xml:space="preserve"> </w:t>
      </w:r>
      <w:r>
        <w:t xml:space="preserve">o Procedural obligations on PSPs offering instant payments as regards penalties</w:t>
      </w:r>
      <w:r>
        <w:t xml:space="preserve"> </w:t>
      </w:r>
      <w:r>
        <w:t xml:space="preserve">screening, in order to prevent undue failure of IPs while not impacting</w:t>
      </w:r>
      <w:r>
        <w:t xml:space="preserve"> </w:t>
      </w:r>
      <w:r>
        <w:t xml:space="preserve">negatively the effectiveness of penalties screening.</w:t>
      </w:r>
      <w:r>
        <w:t xml:space="preserve"> </w:t>
      </w:r>
      <w:r>
        <w:t xml:space="preserve">PSPs offering credit transfers and direct debits in the meaning of the SEPA regulation,</w:t>
      </w:r>
      <w:r>
        <w:t xml:space="preserve"> </w:t>
      </w:r>
      <w:r>
        <w:t xml:space="preserve">including instant payments, remain fully in the scope of PSD. A noteworthy element</w:t>
      </w:r>
      <w:r>
        <w:t xml:space="preserve"> </w:t>
      </w:r>
      <w:r>
        <w:t xml:space="preserve">of the present initiative is the generalisation to all credit transfers in all EU currencies</w:t>
      </w:r>
      <w:r>
        <w:t xml:space="preserve"> </w:t>
      </w:r>
      <w:r>
        <w:t xml:space="preserve">of the requirement in the Commission proposal on IPs regarding name/IBAN</w:t>
      </w:r>
      <w:r>
        <w:t xml:space="preserve"> </w:t>
      </w:r>
      <w:r>
        <w:t xml:space="preserve">verification; this does not affect the proposal on IPs. Furthermore, direct access of PIs</w:t>
      </w:r>
      <w:r>
        <w:t xml:space="preserve"> </w:t>
      </w:r>
      <w:r>
        <w:t xml:space="preserve">and EMIs to all EU payment systems would allow the extension of the scope of the</w:t>
      </w:r>
      <w:r>
        <w:t xml:space="preserve"> </w:t>
      </w:r>
      <w:r>
        <w:t xml:space="preserve">proposal on IPs to include them (in a future review).</w:t>
      </w:r>
      <w:r>
        <w:t xml:space="preserve"> </w:t>
      </w:r>
      <w:r>
        <w:t xml:space="preserve"> Data Act. The Commission proposal of 23 February 2022 for a Regulation on</w:t>
      </w:r>
      <w:r>
        <w:t xml:space="preserve"> </w:t>
      </w:r>
      <w:r>
        <w:t xml:space="preserve">harmonised rules on fair access to and use of data (Data Act), once adopted and in</w:t>
      </w:r>
      <w:r>
        <w:t xml:space="preserve"> </w:t>
      </w:r>
      <w:r>
        <w:t xml:space="preserve">force, will establish a horizontal framework to which Open Banking, a service based</w:t>
      </w:r>
      <w:r>
        <w:t xml:space="preserve"> </w:t>
      </w:r>
      <w:r>
        <w:t xml:space="preserve">on consensual access to data, will have to fully adhere. Regarding compensation,</w:t>
      </w:r>
      <w:r>
        <w:t xml:space="preserve"> </w:t>
      </w:r>
      <w:r>
        <w:t xml:space="preserve">article 9 lays down that “any compensation agreed between a data holder and a data</w:t>
      </w:r>
      <w:r>
        <w:t xml:space="preserve"> </w:t>
      </w:r>
      <w:r>
        <w:t xml:space="preserve">recipient for making data available shall be reasonable” and where the data recipient</w:t>
      </w:r>
      <w:r>
        <w:t xml:space="preserve"> </w:t>
      </w:r>
      <w:r>
        <w:t xml:space="preserve">is a micro enterprise or an SME, the compensation must not exceed costs. However,</w:t>
      </w:r>
      <w:r>
        <w:t xml:space="preserve"> </w:t>
      </w:r>
      <w:r>
        <w:t xml:space="preserve">the Data Act allows different provisions in sectoral legislation, and the requirement</w:t>
      </w:r>
      <w:r>
        <w:t xml:space="preserve"> </w:t>
      </w:r>
      <w:r>
        <w:t xml:space="preserve">for Open Banking baseline account data access to be provided for free is an example</w:t>
      </w:r>
      <w:r>
        <w:t xml:space="preserve"> </w:t>
      </w:r>
      <w:r>
        <w:t xml:space="preserve">of this.</w:t>
      </w:r>
      <w:r>
        <w:t xml:space="preserve"> </w:t>
      </w:r>
      <w:r>
        <w:t xml:space="preserve"> Digital euro A specific legislative proposal addressing the digital euro will be adopted</w:t>
      </w:r>
      <w:r>
        <w:t xml:space="preserve"> </w:t>
      </w:r>
      <w:r>
        <w:t xml:space="preserve">in 2023, in line with the 2023’s Commission Work Programme. This legislative</w:t>
      </w:r>
      <w:r>
        <w:t xml:space="preserve"> </w:t>
      </w:r>
      <w:r>
        <w:t xml:space="preserve">proposal will however not address the rights obligations of the parties to a digital euro</w:t>
      </w:r>
      <w:r>
        <w:t xml:space="preserve"> </w:t>
      </w:r>
      <w:r>
        <w:t xml:space="preserve">payment transaction. To ensure such coverage by legislation and the level playing</w:t>
      </w:r>
      <w:r>
        <w:t xml:space="preserve"> </w:t>
      </w:r>
      <w:r>
        <w:t xml:space="preserve">field with regard to the legal obligations applicable to payment transactions with cash,</w:t>
      </w:r>
      <w:r>
        <w:t xml:space="preserve"> </w:t>
      </w:r>
      <w:r>
        <w:t xml:space="preserve">scriptural money and e-money as the main categories of funds, and transactions with</w:t>
      </w:r>
      <w:r>
        <w:t xml:space="preserve"> </w:t>
      </w:r>
      <w:r>
        <w:t xml:space="preserve">digital euros, the definition of funds needs to be amended, to include the digital euro</w:t>
      </w:r>
      <w:r>
        <w:t xml:space="preserve"> </w:t>
      </w:r>
      <w:r>
        <w:t xml:space="preserve">as an explicit category of funds.</w:t>
      </w:r>
      <w:r>
        <w:br/>
      </w:r>
      <w:r>
        <w:t xml:space="preserve"> Commission legislative proposal of 3 June 2021 for a European Digital Identity</w:t>
      </w:r>
      <w:r>
        <w:t xml:space="preserve"> </w:t>
      </w:r>
      <w:r>
        <w:t xml:space="preserve">Wallet (EDIW). The objective of the proposal is to set out harmonised conditions for</w:t>
      </w:r>
      <w:r>
        <w:t xml:space="preserve"> </w:t>
      </w:r>
      <w:r>
        <w:t xml:space="preserve">the establishment of a framework for EDIWs. EDIWS are electronic identification</w:t>
      </w:r>
      <w:r>
        <w:t xml:space="preserve"> </w:t>
      </w:r>
      <w:r>
        <w:t xml:space="preserve">means in the form of personal digital wallets. In particular, the proposal is meant to</w:t>
      </w:r>
    </w:p>
    <w:p>
      <w:pPr>
        <w:pStyle w:val="BodyText"/>
      </w:pPr>
      <w:r>
        <w:t xml:space="preserve">400 PIs and EMIs are not subjected to this obligation because currently they lack direct access to payment</w:t>
      </w:r>
      <w:r>
        <w:t xml:space="preserve"> </w:t>
      </w:r>
      <w:r>
        <w:t xml:space="preserve">systems such as TARGET2 and TIPS, which is essential to carrying out this service.</w:t>
      </w:r>
    </w:p>
    <w:p>
      <w:pPr>
        <w:pStyle w:val="BodyText"/>
      </w:pPr>
      <w:r>
        <w:t xml:space="preserve">201</w:t>
      </w:r>
    </w:p>
    <w:p>
      <w:pPr>
        <w:pStyle w:val="BodyText"/>
      </w:pPr>
      <w:r>
        <w:t xml:space="preserve">allow users to digitally identify and authenticate online across borders, access a wide</w:t>
      </w:r>
      <w:r>
        <w:t xml:space="preserve"> </w:t>
      </w:r>
      <w:r>
        <w:t xml:space="preserve">range of public and private online and offline services, such as banking and financial</w:t>
      </w:r>
      <w:r>
        <w:t xml:space="preserve"> </w:t>
      </w:r>
      <w:r>
        <w:t xml:space="preserve">services, including retail payments. Secure electronic identification and the provision</w:t>
      </w:r>
      <w:r>
        <w:t xml:space="preserve"> </w:t>
      </w:r>
      <w:r>
        <w:t xml:space="preserve">of attestation of attributes should offer additional flexibility and solutions for the</w:t>
      </w:r>
      <w:r>
        <w:t xml:space="preserve"> </w:t>
      </w:r>
      <w:r>
        <w:t xml:space="preserve">financial services sector to support the fulfilment of strong customer authentication in</w:t>
      </w:r>
      <w:r>
        <w:t xml:space="preserve"> </w:t>
      </w:r>
      <w:r>
        <w:t xml:space="preserve">the field of payment services. The proposal does not set aside the PSD2 acquis on</w:t>
      </w:r>
      <w:r>
        <w:t xml:space="preserve"> </w:t>
      </w:r>
      <w:r>
        <w:t xml:space="preserve">SCA and related exemptions, neither the existing SCA solutions. PSPs should,</w:t>
      </w:r>
      <w:r>
        <w:t xml:space="preserve"> </w:t>
      </w:r>
      <w:r>
        <w:t xml:space="preserve">however, also support the use of the EDIW where SCA is mandatory and the use of</w:t>
      </w:r>
      <w:r>
        <w:t xml:space="preserve"> </w:t>
      </w:r>
      <w:r>
        <w:t xml:space="preserve">the Wallet is requested by the user. Depending on how the negotiations on the EDIW</w:t>
      </w:r>
      <w:r>
        <w:t xml:space="preserve"> </w:t>
      </w:r>
      <w:r>
        <w:t xml:space="preserve">between the co-legislators proceed, the SCA rules under PSD2 might have to further</w:t>
      </w:r>
      <w:r>
        <w:t xml:space="preserve"> </w:t>
      </w:r>
      <w:r>
        <w:t xml:space="preserve">assessed in light of the concrete features and additional benefits brought by the</w:t>
      </w:r>
      <w:r>
        <w:t xml:space="preserve"> </w:t>
      </w:r>
      <w:r>
        <w:t xml:space="preserve">EDIW, such as mutual authentication (verifying that both payer and payee are who</w:t>
      </w:r>
      <w:r>
        <w:t xml:space="preserve"> </w:t>
      </w:r>
      <w:r>
        <w:t xml:space="preserve">they say they are) or removing the need to redirect to ASPSPs.</w:t>
      </w:r>
    </w:p>
    <w:p>
      <w:pPr>
        <w:pStyle w:val="BodyText"/>
      </w:pPr>
      <w:r>
        <w:t xml:space="preserve">202</w:t>
      </w:r>
    </w:p>
    <w:p>
      <w:pPr>
        <w:pStyle w:val="BodyText"/>
      </w:pPr>
      <w:r>
        <w:t xml:space="preserve">ANNEX 13: SME TEST</w:t>
      </w:r>
      <w:r>
        <w:t xml:space="preserve"> </w:t>
      </w:r>
      <w:r>
        <w:t xml:space="preserve">The EU definition of SMEs is contained in Recommendation 2003/361. The category of</w:t>
      </w:r>
      <w:r>
        <w:t xml:space="preserve"> </w:t>
      </w:r>
      <w:r>
        <w:t xml:space="preserve">micro, small and medium-sized enterprises consists of enterprises which:</w:t>
      </w:r>
      <w:r>
        <w:t xml:space="preserve"> </w:t>
      </w:r>
      <w:r>
        <w:t xml:space="preserve"> employ fewer than 250 persons; and</w:t>
      </w:r>
      <w:r>
        <w:t xml:space="preserve"> </w:t>
      </w:r>
      <w:r>
        <w:t xml:space="preserve"> have either an annual turnover not exceeding EUR 50 million or a balance sheet total</w:t>
      </w:r>
      <w:r>
        <w:t xml:space="preserve"> </w:t>
      </w:r>
      <w:r>
        <w:t xml:space="preserve">not exceeding EUR 43 million.</w:t>
      </w:r>
      <w:r>
        <w:t xml:space="preserve"> </w:t>
      </w:r>
      <w:r>
        <w:t xml:space="preserve">SMEs are impacted by this initiative in two capacities, as users of payment services (such as</w:t>
      </w:r>
      <w:r>
        <w:t xml:space="preserve"> </w:t>
      </w:r>
      <w:r>
        <w:t xml:space="preserve">merchants or business users) and as PSPs, including payment fintechs (smaller PSPs, start-</w:t>
      </w:r>
      <w:r>
        <w:t xml:space="preserve"> </w:t>
      </w:r>
      <w:r>
        <w:t xml:space="preserve">ups etc.). They are thus on both the supply and demand side of the payments market. See</w:t>
      </w:r>
      <w:r>
        <w:t xml:space="preserve"> </w:t>
      </w:r>
      <w:r>
        <w:t xml:space="preserve">section 1.4 of Annex 3.</w:t>
      </w:r>
      <w:r>
        <w:t xml:space="preserve"> </w:t>
      </w:r>
      <w:r>
        <w:t xml:space="preserve">(1) Preliminary assessment of businesses likely to be affected</w:t>
      </w:r>
    </w:p>
    <w:p>
      <w:pPr>
        <w:pStyle w:val="Compact"/>
        <w:numPr>
          <w:ilvl w:val="0"/>
          <w:numId w:val="1046"/>
        </w:numPr>
      </w:pPr>
      <w:r>
        <w:t xml:space="preserve">SMEs as users of payment systems</w:t>
      </w:r>
    </w:p>
    <w:p>
      <w:pPr>
        <w:pStyle w:val="FirstParagraph"/>
      </w:pPr>
      <w:r>
        <w:t xml:space="preserve">All SMEs must use payment systems in order to receive and make</w:t>
      </w:r>
      <w:r>
        <w:t xml:space="preserve"> </w:t>
      </w:r>
      <w:r>
        <w:t xml:space="preserve">payment of invoices. All SMEs are therefore affected as users.</w:t>
      </w:r>
    </w:p>
    <w:p>
      <w:pPr>
        <w:pStyle w:val="Compact"/>
        <w:numPr>
          <w:ilvl w:val="0"/>
          <w:numId w:val="1047"/>
        </w:numPr>
      </w:pPr>
      <w:r>
        <w:t xml:space="preserve">SMEs as Payment Service Providers</w:t>
      </w:r>
    </w:p>
    <w:p>
      <w:pPr>
        <w:pStyle w:val="FirstParagraph"/>
      </w:pPr>
      <w:r>
        <w:t xml:space="preserve">The majority of banks including local and regional banks401, qualify</w:t>
      </w:r>
      <w:r>
        <w:t xml:space="preserve"> </w:t>
      </w:r>
      <w:r>
        <w:t xml:space="preserve">as SMEs under the above definition, and a significant number,</w:t>
      </w:r>
      <w:r>
        <w:t xml:space="preserve"> </w:t>
      </w:r>
      <w:r>
        <w:t xml:space="preserve">possibly a majority, of payment institutions and e-money institutions</w:t>
      </w:r>
      <w:r>
        <w:t xml:space="preserve"> </w:t>
      </w:r>
      <w:r>
        <w:t xml:space="preserve">are also SMEs, particularly fintechs and Open Banking Third Party</w:t>
      </w:r>
      <w:r>
        <w:t xml:space="preserve"> </w:t>
      </w:r>
      <w:r>
        <w:t xml:space="preserve">Providers.</w:t>
      </w:r>
    </w:p>
    <w:p>
      <w:pPr>
        <w:pStyle w:val="BodyText"/>
      </w:pPr>
      <w:r>
        <w:t xml:space="preserve">401 See CEPS study on the non-financial reporting directive, pp42: “about 19% of the banks are large” and</w:t>
      </w:r>
      <w:r>
        <w:t xml:space="preserve"> </w:t>
      </w:r>
      <w:r>
        <w:t xml:space="preserve">“micro companies account for about 30% of all EU banks”. (Notable that this study uses a slightly different size</w:t>
      </w:r>
      <w:r>
        <w:t xml:space="preserve"> </w:t>
      </w:r>
      <w:r>
        <w:t xml:space="preserve">definition, based on the Accounting Directive, but the scale of thresholds are nonetheless comparable.) This is</w:t>
      </w:r>
      <w:r>
        <w:t xml:space="preserve"> </w:t>
      </w:r>
      <w:r>
        <w:t xml:space="preserve">mainly due to the large number of small regional and savings banks, which are nonetheless common only in a</w:t>
      </w:r>
      <w:r>
        <w:t xml:space="preserve"> </w:t>
      </w:r>
      <w:r>
        <w:t xml:space="preserve">few specific Member States, but which inflate the EU average size share for SME banks. These banks however</w:t>
      </w:r>
      <w:r>
        <w:t xml:space="preserve"> </w:t>
      </w:r>
      <w:r>
        <w:t xml:space="preserve">often cooperate under national umbrella organizations, and such cooperation often covers operational aspects,</w:t>
      </w:r>
      <w:r>
        <w:t xml:space="preserve"> </w:t>
      </w:r>
      <w:r>
        <w:t xml:space="preserve">such as development and deployment of APIs, resulting in significant efficiencies.</w:t>
      </w:r>
    </w:p>
    <w:p>
      <w:pPr>
        <w:pStyle w:val="BodyText"/>
      </w:pPr>
      <w:r>
        <w:t xml:space="preserve">One EU banking association pointed out in an email that “when it comes to banks, the SME definition provided</w:t>
      </w:r>
      <w:r>
        <w:t xml:space="preserve"> </w:t>
      </w:r>
      <w:r>
        <w:t xml:space="preserve">in the EU Recommendation 2003/361 does not really suit as – for evident reasons - even a rather small bank can</w:t>
      </w:r>
      <w:r>
        <w:t xml:space="preserve"> </w:t>
      </w:r>
      <w:r>
        <w:t xml:space="preserve">have a balance sheet total above 43 million euros for instance”. The CEPS study points out (page 40) that “The</w:t>
      </w:r>
      <w:r>
        <w:t xml:space="preserve"> </w:t>
      </w:r>
      <w:r>
        <w:t xml:space="preserve">bank turnover consists mostly of net revenues such as net interest, net commission and net investment income,</w:t>
      </w:r>
      <w:r>
        <w:t xml:space="preserve"> </w:t>
      </w:r>
      <w:r>
        <w:t xml:space="preserve">while the turnover of other (listed) companies and insurance companies is often based on gross revenues such as</w:t>
      </w:r>
      <w:r>
        <w:t xml:space="preserve"> </w:t>
      </w:r>
      <w:r>
        <w:t xml:space="preserve">gross premium income.” Meeting one of the two criteria (above employment) is enough for a bank to be</w:t>
      </w:r>
      <w:r>
        <w:t xml:space="preserve"> </w:t>
      </w:r>
      <w:r>
        <w:t xml:space="preserve">categorized as SME under EU Recommendation 2003/361 and it seems that the bank turnover one is easier to</w:t>
      </w:r>
      <w:r>
        <w:t xml:space="preserve"> </w:t>
      </w:r>
      <w:r>
        <w:t xml:space="preserve">miss. In any case, this illustrates the uncertainty as regards the application of the EU size criteria to banks.</w:t>
      </w:r>
    </w:p>
    <w:p>
      <w:pPr>
        <w:pStyle w:val="BodyText"/>
      </w:pPr>
      <w:r>
        <w:t xml:space="preserve">203</w:t>
      </w:r>
    </w:p>
    <w:p>
      <w:pPr>
        <w:pStyle w:val="Compact"/>
        <w:numPr>
          <w:ilvl w:val="0"/>
          <w:numId w:val="1048"/>
        </w:numPr>
      </w:pPr>
      <w:r>
        <w:t xml:space="preserve">Consultation with SMEs representatives</w:t>
      </w:r>
    </w:p>
    <w:p>
      <w:pPr>
        <w:pStyle w:val="Compact"/>
        <w:numPr>
          <w:ilvl w:val="0"/>
          <w:numId w:val="1049"/>
        </w:numPr>
      </w:pPr>
      <w:r>
        <w:t xml:space="preserve">SMEs as users of payment systems</w:t>
      </w:r>
    </w:p>
    <w:p>
      <w:pPr>
        <w:pStyle w:val="FirstParagraph"/>
      </w:pPr>
      <w:r>
        <w:t xml:space="preserve">No SME associations responded to the consultations and no</w:t>
      </w:r>
      <w:r>
        <w:t xml:space="preserve"> </w:t>
      </w:r>
      <w:r>
        <w:t xml:space="preserve">individual SMEs contributed to the consultations in the capacity as</w:t>
      </w:r>
      <w:r>
        <w:t xml:space="preserve"> </w:t>
      </w:r>
      <w:r>
        <w:t xml:space="preserve">users of payment systems, with the exception of the EFA (see below),</w:t>
      </w:r>
      <w:r>
        <w:t xml:space="preserve"> </w:t>
      </w:r>
      <w:r>
        <w:t xml:space="preserve">which stressed the importance of full price transparency, including</w:t>
      </w:r>
      <w:r>
        <w:t xml:space="preserve"> </w:t>
      </w:r>
      <w:r>
        <w:t xml:space="preserve">currency conversion charges, on payments going to beneficiaries</w:t>
      </w:r>
      <w:r>
        <w:t xml:space="preserve"> </w:t>
      </w:r>
      <w:r>
        <w:t xml:space="preserve">outside the EU (so-called “one leg out” operations).</w:t>
      </w:r>
    </w:p>
    <w:p>
      <w:pPr>
        <w:pStyle w:val="Compact"/>
        <w:numPr>
          <w:ilvl w:val="0"/>
          <w:numId w:val="1050"/>
        </w:numPr>
      </w:pPr>
      <w:r>
        <w:t xml:space="preserve">SMEs as Payment Service Providers</w:t>
      </w:r>
      <w:r>
        <w:t xml:space="preserve"> </w:t>
      </w:r>
      <w:r>
        <w:t xml:space="preserve">In the public and targeted consultations detailed in Annex 2,</w:t>
      </w:r>
      <w:r>
        <w:t xml:space="preserve"> </w:t>
      </w:r>
      <w:r>
        <w:t xml:space="preserve">respondents were not asked to indicate whether they were SMEs, but</w:t>
      </w:r>
      <w:r>
        <w:t xml:space="preserve"> </w:t>
      </w:r>
      <w:r>
        <w:t xml:space="preserve">bilateral contacts with bodies representative of Payment Institutions,</w:t>
      </w:r>
      <w:r>
        <w:t xml:space="preserve"> </w:t>
      </w:r>
      <w:r>
        <w:t xml:space="preserve">E-Money institutions, fintechs and Open Banking Third Party</w:t>
      </w:r>
      <w:r>
        <w:t xml:space="preserve"> </w:t>
      </w:r>
      <w:r>
        <w:t xml:space="preserve">Providers have taken place. The following associations provided</w:t>
      </w:r>
      <w:r>
        <w:t xml:space="preserve"> </w:t>
      </w:r>
      <w:r>
        <w:t xml:space="preserve">specific input with regard to their representativity of SMEs:</w:t>
      </w:r>
      <w:r>
        <w:t xml:space="preserve"> </w:t>
      </w:r>
      <w:r>
        <w:t xml:space="preserve"> European Fintech Association (EFA). 52% of its 40 members</w:t>
      </w:r>
      <w:r>
        <w:t xml:space="preserve"> </w:t>
      </w:r>
      <w:r>
        <w:t xml:space="preserve">are SMEs. EFA requests inter alia more flexible requirements</w:t>
      </w:r>
      <w:r>
        <w:t xml:space="preserve"> </w:t>
      </w:r>
      <w:r>
        <w:t xml:space="preserve">for payment institutions, better access for non-bank PSPs to</w:t>
      </w:r>
      <w:r>
        <w:t xml:space="preserve"> </w:t>
      </w:r>
      <w:r>
        <w:t xml:space="preserve">payment systems, measures to deal with de-risking by banks,</w:t>
      </w:r>
      <w:r>
        <w:t xml:space="preserve"> </w:t>
      </w:r>
      <w:r>
        <w:t xml:space="preserve">improvements to the functioning of SCA, improvements to</w:t>
      </w:r>
      <w:r>
        <w:t xml:space="preserve"> </w:t>
      </w:r>
      <w:r>
        <w:t xml:space="preserve">the functioning of Open Banking, more flexibility for</w:t>
      </w:r>
      <w:r>
        <w:t xml:space="preserve"> </w:t>
      </w:r>
      <w:r>
        <w:t xml:space="preserve">merchants to surcharge, more harmonious implementation of</w:t>
      </w:r>
      <w:r>
        <w:t xml:space="preserve"> </w:t>
      </w:r>
      <w:r>
        <w:t xml:space="preserve">PSD2 across Member States.</w:t>
      </w:r>
    </w:p>
    <w:p>
      <w:pPr>
        <w:pStyle w:val="FirstParagraph"/>
      </w:pPr>
      <w:r>
        <w:t xml:space="preserve"> Open Finance Association (OFA). 63% of its members are</w:t>
      </w:r>
      <w:r>
        <w:t xml:space="preserve"> </w:t>
      </w:r>
      <w:r>
        <w:t xml:space="preserve">SMEs, and it considers that its input can be considered as</w:t>
      </w:r>
      <w:r>
        <w:t xml:space="preserve"> </w:t>
      </w:r>
      <w:r>
        <w:t xml:space="preserve">largely representative of SME positions. OFA in its response</w:t>
      </w:r>
      <w:r>
        <w:t xml:space="preserve"> </w:t>
      </w:r>
      <w:r>
        <w:t xml:space="preserve">to the targeted consultation pointed out inter alia that in its</w:t>
      </w:r>
      <w:r>
        <w:t xml:space="preserve"> </w:t>
      </w:r>
      <w:r>
        <w:t xml:space="preserve">view the distinction between payment institution and e-money</w:t>
      </w:r>
      <w:r>
        <w:t xml:space="preserve"> </w:t>
      </w:r>
      <w:r>
        <w:t xml:space="preserve">institution is outdated, the need to improve enforcement,</w:t>
      </w:r>
      <w:r>
        <w:t xml:space="preserve"> </w:t>
      </w:r>
      <w:r>
        <w:t xml:space="preserve">ensure effective access to bank accounts (article 36) and</w:t>
      </w:r>
      <w:r>
        <w:t xml:space="preserve"> </w:t>
      </w:r>
      <w:r>
        <w:t xml:space="preserve">improve the functioning of Open Banking.</w:t>
      </w:r>
    </w:p>
    <w:p>
      <w:pPr>
        <w:pStyle w:val="BodyText"/>
      </w:pPr>
      <w:r>
        <w:t xml:space="preserve"> European Payment Institution Federation (EPIF): about 70%</w:t>
      </w:r>
      <w:r>
        <w:t xml:space="preserve"> </w:t>
      </w:r>
      <w:r>
        <w:t xml:space="preserve">of members are SMEs if direct and indirect membership (via</w:t>
      </w:r>
      <w:r>
        <w:t xml:space="preserve"> </w:t>
      </w:r>
      <w:r>
        <w:t xml:space="preserve">national associations) is taken into account. EPIF in its</w:t>
      </w:r>
      <w:r>
        <w:t xml:space="preserve"> </w:t>
      </w:r>
      <w:r>
        <w:t xml:space="preserve">response to the targeted consultation stressed inter alia the</w:t>
      </w:r>
      <w:r>
        <w:t xml:space="preserve"> </w:t>
      </w:r>
      <w:r>
        <w:t xml:space="preserve">need to modernise PSD2, harmonise enforcement, improve</w:t>
      </w:r>
      <w:r>
        <w:t xml:space="preserve"> </w:t>
      </w:r>
      <w:r>
        <w:t xml:space="preserve">access to payment systems for PIs, and introduce flexibility</w:t>
      </w:r>
    </w:p>
    <w:p>
      <w:pPr>
        <w:pStyle w:val="BodyText"/>
      </w:pPr>
      <w:r>
        <w:t xml:space="preserve">Annex 10</w:t>
      </w:r>
    </w:p>
    <w:p>
      <w:pPr>
        <w:pStyle w:val="BodyText"/>
      </w:pPr>
      <w:r>
        <w:t xml:space="preserve">SCA: 2.1.1, 5.2.1,</w:t>
      </w:r>
      <w:r>
        <w:t xml:space="preserve"> </w:t>
      </w:r>
      <w:r>
        <w:t xml:space="preserve">6.1.a);</w:t>
      </w:r>
      <w:r>
        <w:t xml:space="preserve"> </w:t>
      </w:r>
      <w:r>
        <w:t xml:space="preserve">Open</w:t>
      </w:r>
      <w:r>
        <w:t xml:space="preserve"> </w:t>
      </w:r>
      <w:r>
        <w:t xml:space="preserve">banking:</w:t>
      </w:r>
      <w:r>
        <w:t xml:space="preserve"> </w:t>
      </w:r>
      <w:r>
        <w:t xml:space="preserve">2.1.2,</w:t>
      </w:r>
      <w:r>
        <w:t xml:space="preserve"> </w:t>
      </w:r>
      <w:r>
        <w:t xml:space="preserve">5.2.2,</w:t>
      </w:r>
      <w:r>
        <w:t xml:space="preserve"> </w:t>
      </w:r>
      <w:r>
        <w:t xml:space="preserve">6.2;</w:t>
      </w:r>
      <w:r>
        <w:t xml:space="preserve"> </w:t>
      </w:r>
      <w:r>
        <w:t xml:space="preserve">implementation:</w:t>
      </w:r>
      <w:r>
        <w:t xml:space="preserve"> </w:t>
      </w:r>
      <w:r>
        <w:t xml:space="preserve">2.1.3,</w:t>
      </w:r>
      <w:r>
        <w:t xml:space="preserve"> </w:t>
      </w:r>
      <w:r>
        <w:t xml:space="preserve">5.2.3,</w:t>
      </w:r>
      <w:r>
        <w:t xml:space="preserve"> </w:t>
      </w:r>
      <w:r>
        <w:t xml:space="preserve">6.3;</w:t>
      </w:r>
      <w:r>
        <w:t xml:space="preserve"> </w:t>
      </w:r>
      <w:r>
        <w:t xml:space="preserve">access to payment</w:t>
      </w:r>
      <w:r>
        <w:t xml:space="preserve"> </w:t>
      </w:r>
      <w:r>
        <w:t xml:space="preserve">systems: 2.1.4, 5.2.4,</w:t>
      </w:r>
      <w:r>
        <w:br/>
      </w:r>
      <w:r>
        <w:t xml:space="preserve">6.4;</w:t>
      </w:r>
      <w:r>
        <w:t xml:space="preserve"> </w:t>
      </w:r>
      <w:r>
        <w:t xml:space="preserve">surcharging:</w:t>
      </w:r>
      <w:r>
        <w:t xml:space="preserve"> </w:t>
      </w:r>
      <w:r>
        <w:t xml:space="preserve">Annex 7; PI and</w:t>
      </w:r>
      <w:r>
        <w:t xml:space="preserve"> </w:t>
      </w:r>
      <w:r>
        <w:t xml:space="preserve">EMI</w:t>
      </w:r>
      <w:r>
        <w:t xml:space="preserve"> </w:t>
      </w:r>
      <w:r>
        <w:t xml:space="preserve">alignment:</w:t>
      </w:r>
      <w:r>
        <w:t xml:space="preserve"> </w:t>
      </w:r>
      <w:r>
        <w:t xml:space="preserve">Annex 8.</w:t>
      </w:r>
    </w:p>
    <w:p>
      <w:pPr>
        <w:pStyle w:val="BodyText"/>
      </w:pPr>
      <w:r>
        <w:t xml:space="preserve">204</w:t>
      </w:r>
    </w:p>
    <w:p>
      <w:pPr>
        <w:pStyle w:val="BodyText"/>
      </w:pPr>
      <w:r>
        <w:t xml:space="preserve">(for example with the application of SCA).</w:t>
      </w:r>
      <w:r>
        <w:t xml:space="preserve"> </w:t>
      </w:r>
      <w:r>
        <w:t xml:space="preserve">(3) Measurement of the impact on SMEs</w:t>
      </w:r>
    </w:p>
    <w:p>
      <w:pPr>
        <w:pStyle w:val="Compact"/>
        <w:numPr>
          <w:ilvl w:val="0"/>
          <w:numId w:val="1051"/>
        </w:numPr>
      </w:pPr>
      <w:r>
        <w:t xml:space="preserve">SMEs as users of payment systems</w:t>
      </w:r>
    </w:p>
    <w:p>
      <w:pPr>
        <w:pStyle w:val="FirstParagraph"/>
      </w:pPr>
      <w:r>
        <w:t xml:space="preserve">For the purposes of this impact assessment, on the side of users of</w:t>
      </w:r>
      <w:r>
        <w:t xml:space="preserve"> </w:t>
      </w:r>
      <w:r>
        <w:t xml:space="preserve">payment systems, no distinction has been made between users who</w:t>
      </w:r>
      <w:r>
        <w:t xml:space="preserve"> </w:t>
      </w:r>
      <w:r>
        <w:t xml:space="preserve">are individual consumers and users who are businesses, including</w:t>
      </w:r>
      <w:r>
        <w:t xml:space="preserve"> </w:t>
      </w:r>
      <w:r>
        <w:t xml:space="preserve">SMEs. SMEs will benefit from the measures to combat fraud, in</w:t>
      </w:r>
      <w:r>
        <w:t xml:space="preserve"> </w:t>
      </w:r>
      <w:r>
        <w:t xml:space="preserve">particular as regards invoice fraud, which targets business including</w:t>
      </w:r>
      <w:r>
        <w:t xml:space="preserve"> </w:t>
      </w:r>
      <w:r>
        <w:t xml:space="preserve">SMEs, and the user rights measures detailed in Annex 10 will assist</w:t>
      </w:r>
      <w:r>
        <w:t xml:space="preserve"> </w:t>
      </w:r>
      <w:r>
        <w:t xml:space="preserve">SME users.</w:t>
      </w:r>
    </w:p>
    <w:p>
      <w:pPr>
        <w:pStyle w:val="Compact"/>
        <w:numPr>
          <w:ilvl w:val="0"/>
          <w:numId w:val="1052"/>
        </w:numPr>
      </w:pPr>
      <w:r>
        <w:t xml:space="preserve">SMEs as Payment Service Providers</w:t>
      </w:r>
    </w:p>
    <w:p>
      <w:pPr>
        <w:pStyle w:val="FirstParagraph"/>
      </w:pPr>
      <w:r>
        <w:t xml:space="preserve">Many non-bank PSPs are SMEs, and therefore will benefit from the</w:t>
      </w:r>
      <w:r>
        <w:t xml:space="preserve"> </w:t>
      </w:r>
      <w:r>
        <w:t xml:space="preserve">selected options to promote a level playing field between banks and</w:t>
      </w:r>
      <w:r>
        <w:t xml:space="preserve"> </w:t>
      </w:r>
      <w:r>
        <w:t xml:space="preserve">non-bank PSPs.</w:t>
      </w:r>
      <w:r>
        <w:t xml:space="preserve"> </w:t>
      </w:r>
      <w:r>
        <w:t xml:space="preserve">Many Open Banking TPPs (AISPs and PISPs) are SMEs, and will</w:t>
      </w:r>
      <w:r>
        <w:t xml:space="preserve"> </w:t>
      </w:r>
      <w:r>
        <w:t xml:space="preserve">benefit from the improvements to the functioning of Open Banking.</w:t>
      </w:r>
      <w:r>
        <w:br/>
      </w:r>
      <w:r>
        <w:t xml:space="preserve">The administrative simplifications generated by the bringing together</w:t>
      </w:r>
      <w:r>
        <w:t xml:space="preserve"> </w:t>
      </w:r>
      <w:r>
        <w:t xml:space="preserve">of the legislative frameworks for Payment Institutions and E-Money</w:t>
      </w:r>
      <w:r>
        <w:t xml:space="preserve"> </w:t>
      </w:r>
      <w:r>
        <w:t xml:space="preserve">Institutions will benefit a significant number of PIs and EMIs which</w:t>
      </w:r>
      <w:r>
        <w:t xml:space="preserve"> </w:t>
      </w:r>
      <w:r>
        <w:t xml:space="preserve">are SMEs.</w:t>
      </w:r>
    </w:p>
    <w:p>
      <w:pPr>
        <w:pStyle w:val="BodyText"/>
      </w:pPr>
      <w:r>
        <w:t xml:space="preserve">Section 5.2.1, p25</w:t>
      </w:r>
      <w:r>
        <w:t xml:space="preserve"> </w:t>
      </w:r>
      <w:r>
        <w:t xml:space="preserve">and section 6.1.,</w:t>
      </w:r>
      <w:r>
        <w:t xml:space="preserve"> </w:t>
      </w:r>
      <w:r>
        <w:t xml:space="preserve">p31</w:t>
      </w:r>
      <w:r>
        <w:t xml:space="preserve"> </w:t>
      </w:r>
      <w:r>
        <w:t xml:space="preserve">Annex 10, p174</w:t>
      </w:r>
    </w:p>
    <w:p>
      <w:pPr>
        <w:pStyle w:val="BodyText"/>
      </w:pPr>
      <w:r>
        <w:t xml:space="preserve">Section 5.2.4, p31</w:t>
      </w:r>
      <w:r>
        <w:t xml:space="preserve"> </w:t>
      </w:r>
      <w:r>
        <w:t xml:space="preserve">Open</w:t>
      </w:r>
      <w:r>
        <w:t xml:space="preserve"> </w:t>
      </w:r>
      <w:r>
        <w:t xml:space="preserve">Banking:</w:t>
      </w:r>
      <w:r>
        <w:t xml:space="preserve"> </w:t>
      </w:r>
      <w:r>
        <w:t xml:space="preserve">sections 2.1.2, 5.2.2,</w:t>
      </w:r>
      <w:r>
        <w:t xml:space="preserve"> </w:t>
      </w:r>
      <w:r>
        <w:t xml:space="preserve">6.2</w:t>
      </w:r>
      <w:r>
        <w:t xml:space="preserve"> </w:t>
      </w:r>
      <w:r>
        <w:t xml:space="preserve">Annex 8, p167</w:t>
      </w:r>
      <w:r>
        <w:t xml:space="preserve"> </w:t>
      </w:r>
      <w:r>
        <w:t xml:space="preserve">4) Assess alternative options and mitigating measures</w:t>
      </w:r>
    </w:p>
    <w:p>
      <w:pPr>
        <w:pStyle w:val="Compact"/>
        <w:numPr>
          <w:ilvl w:val="0"/>
          <w:numId w:val="1053"/>
        </w:numPr>
      </w:pPr>
      <w:r>
        <w:t xml:space="preserve">SMEs as users of payment systems</w:t>
      </w:r>
    </w:p>
    <w:p>
      <w:pPr>
        <w:pStyle w:val="FirstParagraph"/>
      </w:pPr>
      <w:r>
        <w:t xml:space="preserve">Regarding SMEs as users of payment systems, the rejected option 1d</w:t>
      </w:r>
      <w:r>
        <w:t xml:space="preserve"> </w:t>
      </w:r>
      <w:r>
        <w:t xml:space="preserve">(full reversal of liability between PSUs and PSPs for fraudulent</w:t>
      </w:r>
      <w:r>
        <w:t xml:space="preserve"> </w:t>
      </w:r>
      <w:r>
        <w:t xml:space="preserve">authorised transactions), would have been of interest, but it was</w:t>
      </w:r>
      <w:r>
        <w:t xml:space="preserve"> </w:t>
      </w:r>
      <w:r>
        <w:t xml:space="preserve">rejected for the reasons explained in section 6.1.d), including moral</w:t>
      </w:r>
      <w:r>
        <w:t xml:space="preserve"> </w:t>
      </w:r>
      <w:r>
        <w:t xml:space="preserve">hazard and uncertainty about whether it would genuinely reduce</w:t>
      </w:r>
      <w:r>
        <w:t xml:space="preserve"> </w:t>
      </w:r>
      <w:r>
        <w:t xml:space="preserve">fraud or merely redistribute the consequences of fraud.</w:t>
      </w:r>
    </w:p>
    <w:p>
      <w:pPr>
        <w:pStyle w:val="Compact"/>
        <w:numPr>
          <w:ilvl w:val="0"/>
          <w:numId w:val="1054"/>
        </w:numPr>
      </w:pPr>
      <w:r>
        <w:t xml:space="preserve">SMEs as Payment Service Providers</w:t>
      </w:r>
      <w:r>
        <w:t xml:space="preserve"> </w:t>
      </w:r>
      <w:r>
        <w:t xml:space="preserve">Banks which are SMEs may be unduly impacted in their profitability</w:t>
      </w:r>
      <w:r>
        <w:t xml:space="preserve"> </w:t>
      </w:r>
      <w:r>
        <w:t xml:space="preserve">by the management of a payment account for a payment institution or</w:t>
      </w:r>
      <w:r>
        <w:t xml:space="preserve"> </w:t>
      </w:r>
      <w:r>
        <w:t xml:space="preserve">e-money institution being particularly complex, therefore this is</w:t>
      </w:r>
    </w:p>
    <w:p>
      <w:pPr>
        <w:pStyle w:val="FirstParagraph"/>
      </w:pPr>
      <w:r>
        <w:t xml:space="preserve">Section 5.2.2, p28</w:t>
      </w:r>
      <w:r>
        <w:t xml:space="preserve"> </w:t>
      </w:r>
      <w:r>
        <w:t xml:space="preserve">and 6.2.a), p37</w:t>
      </w:r>
    </w:p>
    <w:p>
      <w:pPr>
        <w:pStyle w:val="BodyText"/>
      </w:pPr>
      <w:r>
        <w:t xml:space="preserve">Section</w:t>
      </w:r>
      <w:r>
        <w:t xml:space="preserve"> </w:t>
      </w:r>
      <w:r>
        <w:t xml:space="preserve">5.2.4,</w:t>
      </w:r>
      <w:r>
        <w:t xml:space="preserve"> </w:t>
      </w:r>
      <w:r>
        <w:t xml:space="preserve">option 4a)</w:t>
      </w:r>
    </w:p>
    <w:p>
      <w:pPr>
        <w:pStyle w:val="BodyText"/>
      </w:pPr>
      <w:r>
        <w:t xml:space="preserve">205</w:t>
      </w:r>
    </w:p>
    <w:p>
      <w:pPr>
        <w:pStyle w:val="BodyText"/>
      </w:pPr>
      <w:r>
        <w:t xml:space="preserve">envisaged as an acceptable reason for such a bank to reject a request</w:t>
      </w:r>
      <w:r>
        <w:t xml:space="preserve"> </w:t>
      </w:r>
      <w:r>
        <w:t xml:space="preserve">by a non-bank PSP for opening an account.</w:t>
      </w:r>
      <w:r>
        <w:t xml:space="preserve"> </w:t>
      </w:r>
      <w:r>
        <w:t xml:space="preserve">Smaller payment institutions may, according to PSD2, be subjected</w:t>
      </w:r>
      <w:r>
        <w:t xml:space="preserve"> </w:t>
      </w:r>
      <w:r>
        <w:t xml:space="preserve">by a Member State to a lighter regime with lighter supervisory</w:t>
      </w:r>
      <w:r>
        <w:t xml:space="preserve"> </w:t>
      </w:r>
      <w:r>
        <w:t xml:space="preserve">requirements provided that certain thresholds regarding executed</w:t>
      </w:r>
      <w:r>
        <w:t xml:space="preserve"> </w:t>
      </w:r>
      <w:r>
        <w:t xml:space="preserve">payment transactions are respected (article 108(e) in conjunction with</w:t>
      </w:r>
      <w:r>
        <w:t xml:space="preserve"> </w:t>
      </w:r>
      <w:r>
        <w:t xml:space="preserve">article 32 of PSD2). This provision will be maintained in the review,</w:t>
      </w:r>
      <w:r>
        <w:t xml:space="preserve"> </w:t>
      </w:r>
      <w:r>
        <w:t xml:space="preserve">with only an update of the thresholds for inflation. Many such</w:t>
      </w:r>
      <w:r>
        <w:t xml:space="preserve"> </w:t>
      </w:r>
      <w:r>
        <w:t xml:space="preserve">exempted payment institutions will be SMEs, although the thresholds</w:t>
      </w:r>
      <w:r>
        <w:t xml:space="preserve"> </w:t>
      </w:r>
      <w:r>
        <w:t xml:space="preserve">do not correspond exactly to the definition of SMEs in</w:t>
      </w:r>
      <w:r>
        <w:t xml:space="preserve"> </w:t>
      </w:r>
      <w:r>
        <w:t xml:space="preserve">Recommendation 2003/361.</w:t>
      </w:r>
      <w:r>
        <w:t xml:space="preserve"> </w:t>
      </w:r>
      <w:r>
        <w:t xml:space="preserve">Regarding Open Banking, Option 2a (requirement for a dedicated</w:t>
      </w:r>
      <w:r>
        <w:t xml:space="preserve"> </w:t>
      </w:r>
      <w:r>
        <w:t xml:space="preserve">interface) includes a provision allowing that exemptions from the</w:t>
      </w:r>
      <w:r>
        <w:t xml:space="preserve"> </w:t>
      </w:r>
      <w:r>
        <w:t xml:space="preserve">requirement to provide a dedicated interface could be considered for</w:t>
      </w:r>
      <w:r>
        <w:t xml:space="preserve"> </w:t>
      </w:r>
      <w:r>
        <w:t xml:space="preserve">cases where it may be disproportionate to require the ASPSP to offer</w:t>
      </w:r>
      <w:r>
        <w:t xml:space="preserve"> </w:t>
      </w:r>
      <w:r>
        <w:t xml:space="preserve">a dedicated interface. This can be of particular interest to ASPSPs</w:t>
      </w:r>
      <w:r>
        <w:t xml:space="preserve"> </w:t>
      </w:r>
      <w:r>
        <w:t xml:space="preserve">which are SMEs, with a niche or specialised business, although the</w:t>
      </w:r>
      <w:r>
        <w:t xml:space="preserve"> </w:t>
      </w:r>
      <w:r>
        <w:t xml:space="preserve">exemption will not be based on size alone.</w:t>
      </w:r>
    </w:p>
    <w:p>
      <w:pPr>
        <w:pStyle w:val="BodyText"/>
      </w:pPr>
      <w:r>
        <w:t xml:space="preserve">Thresholds: Annex</w:t>
      </w:r>
      <w:r>
        <w:t xml:space="preserve"> </w:t>
      </w:r>
      <w:r>
        <w:t xml:space="preserve">2 (p71), Annex 5</w:t>
      </w:r>
      <w:r>
        <w:t xml:space="preserve"> </w:t>
      </w:r>
      <w:r>
        <w:t xml:space="preserve">(p171), Annex 7</w:t>
      </w:r>
    </w:p>
    <w:p>
      <w:pPr>
        <w:pStyle w:val="BodyText"/>
      </w:pPr>
      <w:r>
        <w:t xml:space="preserve">See p29 &amp; p39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12">
    <w:nsid w:val="00A99512"/>
    <w:multiLevelType w:val="multilevel"/>
    <w:lvl w:ilvl="0">
      <w:start w:val="2"/>
      <w:numFmt w:val="lowerRoman"/>
      <w:lvlText w:val="%1."/>
      <w:lvlJc w:val="left"/>
      <w:pPr>
        <w:ind w:left="720" w:hanging="360"/>
      </w:pPr>
    </w:lvl>
    <w:lvl w:ilvl="1">
      <w:start w:val="2"/>
      <w:numFmt w:val="lowerRoman"/>
      <w:lvlText w:val="%2."/>
      <w:lvlJc w:val="left"/>
      <w:pPr>
        <w:ind w:left="1440" w:hanging="360"/>
      </w:pPr>
    </w:lvl>
    <w:lvl w:ilvl="2">
      <w:start w:val="2"/>
      <w:numFmt w:val="lowerRoman"/>
      <w:lvlText w:val="%3."/>
      <w:lvlJc w:val="left"/>
      <w:pPr>
        <w:ind w:left="2160" w:hanging="360"/>
      </w:pPr>
    </w:lvl>
    <w:lvl w:ilvl="3">
      <w:start w:val="2"/>
      <w:numFmt w:val="lowerRoman"/>
      <w:lvlText w:val="%4."/>
      <w:lvlJc w:val="left"/>
      <w:pPr>
        <w:ind w:left="2880" w:hanging="360"/>
      </w:pPr>
    </w:lvl>
    <w:lvl w:ilvl="4">
      <w:start w:val="2"/>
      <w:numFmt w:val="lowerRoman"/>
      <w:lvlText w:val="%5."/>
      <w:lvlJc w:val="left"/>
      <w:pPr>
        <w:ind w:left="3600" w:hanging="360"/>
      </w:pPr>
    </w:lvl>
    <w:lvl w:ilvl="5">
      <w:start w:val="2"/>
      <w:numFmt w:val="lowerRoman"/>
      <w:lvlText w:val="%6."/>
      <w:lvlJc w:val="left"/>
      <w:pPr>
        <w:ind w:left="4320" w:hanging="360"/>
      </w:pPr>
    </w:lvl>
    <w:lvl w:ilvl="6">
      <w:start w:val="2"/>
      <w:numFmt w:val="lowerRoman"/>
      <w:lvlText w:val="%7."/>
      <w:lvlJc w:val="left"/>
      <w:pPr>
        <w:ind w:left="5040" w:hanging="360"/>
      </w:pPr>
    </w:lvl>
    <w:lvl w:ilvl="7">
      <w:start w:val="2"/>
      <w:numFmt w:val="lowerRoman"/>
      <w:lvlText w:val="%8."/>
      <w:lvlJc w:val="left"/>
      <w:pPr>
        <w:ind w:left="5760" w:hanging="360"/>
      </w:pPr>
    </w:lvl>
    <w:lvl w:ilvl="8">
      <w:start w:val="2"/>
      <w:numFmt w:val="lowerRoman"/>
      <w:lvlText w:val="%9."/>
      <w:lvlJc w:val="left"/>
      <w:pPr>
        <w:ind w:left="6480" w:hanging="360"/>
      </w:pPr>
    </w:lvl>
  </w:abstractNum>
  <w:abstractNum w:abstractNumId="99513">
    <w:nsid w:val="00A99513"/>
    <w:multiLevelType w:val="multilevel"/>
    <w:lvl w:ilvl="0">
      <w:start w:val="3"/>
      <w:numFmt w:val="lowerRoman"/>
      <w:lvlText w:val="%1."/>
      <w:lvlJc w:val="left"/>
      <w:pPr>
        <w:ind w:left="720" w:hanging="360"/>
      </w:pPr>
    </w:lvl>
    <w:lvl w:ilvl="1">
      <w:start w:val="3"/>
      <w:numFmt w:val="lowerRoman"/>
      <w:lvlText w:val="%2."/>
      <w:lvlJc w:val="left"/>
      <w:pPr>
        <w:ind w:left="1440" w:hanging="360"/>
      </w:pPr>
    </w:lvl>
    <w:lvl w:ilvl="2">
      <w:start w:val="3"/>
      <w:numFmt w:val="lowerRoman"/>
      <w:lvlText w:val="%3."/>
      <w:lvlJc w:val="left"/>
      <w:pPr>
        <w:ind w:left="2160" w:hanging="360"/>
      </w:pPr>
    </w:lvl>
    <w:lvl w:ilvl="3">
      <w:start w:val="3"/>
      <w:numFmt w:val="lowerRoman"/>
      <w:lvlText w:val="%4."/>
      <w:lvlJc w:val="left"/>
      <w:pPr>
        <w:ind w:left="2880" w:hanging="360"/>
      </w:pPr>
    </w:lvl>
    <w:lvl w:ilvl="4">
      <w:start w:val="3"/>
      <w:numFmt w:val="lowerRoman"/>
      <w:lvlText w:val="%5."/>
      <w:lvlJc w:val="left"/>
      <w:pPr>
        <w:ind w:left="3600" w:hanging="360"/>
      </w:pPr>
    </w:lvl>
    <w:lvl w:ilvl="5">
      <w:start w:val="3"/>
      <w:numFmt w:val="lowerRoman"/>
      <w:lvlText w:val="%6."/>
      <w:lvlJc w:val="left"/>
      <w:pPr>
        <w:ind w:left="4320" w:hanging="360"/>
      </w:pPr>
    </w:lvl>
    <w:lvl w:ilvl="6">
      <w:start w:val="3"/>
      <w:numFmt w:val="lowerRoman"/>
      <w:lvlText w:val="%7."/>
      <w:lvlJc w:val="left"/>
      <w:pPr>
        <w:ind w:left="5040" w:hanging="360"/>
      </w:pPr>
    </w:lvl>
    <w:lvl w:ilvl="7">
      <w:start w:val="3"/>
      <w:numFmt w:val="lowerRoman"/>
      <w:lvlText w:val="%8."/>
      <w:lvlJc w:val="left"/>
      <w:pPr>
        <w:ind w:left="5760" w:hanging="360"/>
      </w:pPr>
    </w:lvl>
    <w:lvl w:ilvl="8">
      <w:start w:val="3"/>
      <w:numFmt w:val="lowerRoman"/>
      <w:lvlText w:val="%9."/>
      <w:lvlJc w:val="left"/>
      <w:pPr>
        <w:ind w:left="6480" w:hanging="360"/>
      </w:pPr>
    </w:lvl>
  </w:abstractNum>
  <w:abstractNum w:abstractNumId="99514">
    <w:nsid w:val="00A99514"/>
    <w:multiLevelType w:val="multilevel"/>
    <w:lvl w:ilvl="0">
      <w:start w:val="4"/>
      <w:numFmt w:val="lowerRoman"/>
      <w:lvlText w:val="%1."/>
      <w:lvlJc w:val="left"/>
      <w:pPr>
        <w:ind w:left="720" w:hanging="360"/>
      </w:pPr>
    </w:lvl>
    <w:lvl w:ilvl="1">
      <w:start w:val="4"/>
      <w:numFmt w:val="lowerRoman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lowerRoman"/>
      <w:lvlText w:val="%4."/>
      <w:lvlJc w:val="left"/>
      <w:pPr>
        <w:ind w:left="2880" w:hanging="360"/>
      </w:pPr>
    </w:lvl>
    <w:lvl w:ilvl="4">
      <w:start w:val="4"/>
      <w:numFmt w:val="lowerRoman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lowerRoman"/>
      <w:lvlText w:val="%7."/>
      <w:lvlJc w:val="left"/>
      <w:pPr>
        <w:ind w:left="5040" w:hanging="360"/>
      </w:pPr>
    </w:lvl>
    <w:lvl w:ilvl="7">
      <w:start w:val="4"/>
      <w:numFmt w:val="lowerRoman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7122">
    <w:nsid w:val="0A997122"/>
    <w:multiLevelType w:val="multilevel"/>
    <w:lvl w:ilvl="0">
      <w:start w:val="22"/>
      <w:numFmt w:val="lowerLetter"/>
      <w:lvlText w:val="%1."/>
      <w:lvlJc w:val="left"/>
      <w:pPr>
        <w:ind w:left="720" w:hanging="360"/>
      </w:pPr>
    </w:lvl>
    <w:lvl w:ilvl="1">
      <w:start w:val="22"/>
      <w:numFmt w:val="lowerLetter"/>
      <w:lvlText w:val="%2."/>
      <w:lvlJc w:val="left"/>
      <w:pPr>
        <w:ind w:left="1440" w:hanging="360"/>
      </w:pPr>
    </w:lvl>
    <w:lvl w:ilvl="2">
      <w:start w:val="22"/>
      <w:numFmt w:val="lowerLetter"/>
      <w:lvlText w:val="%3."/>
      <w:lvlJc w:val="left"/>
      <w:pPr>
        <w:ind w:left="2160" w:hanging="360"/>
      </w:pPr>
    </w:lvl>
    <w:lvl w:ilvl="3">
      <w:start w:val="22"/>
      <w:numFmt w:val="lowerLetter"/>
      <w:lvlText w:val="%4."/>
      <w:lvlJc w:val="left"/>
      <w:pPr>
        <w:ind w:left="2880" w:hanging="360"/>
      </w:pPr>
    </w:lvl>
    <w:lvl w:ilvl="4">
      <w:start w:val="22"/>
      <w:numFmt w:val="lowerLetter"/>
      <w:lvlText w:val="%5."/>
      <w:lvlJc w:val="left"/>
      <w:pPr>
        <w:ind w:left="3600" w:hanging="360"/>
      </w:pPr>
    </w:lvl>
    <w:lvl w:ilvl="5">
      <w:start w:val="22"/>
      <w:numFmt w:val="lowerLetter"/>
      <w:lvlText w:val="%6."/>
      <w:lvlJc w:val="left"/>
      <w:pPr>
        <w:ind w:left="4320" w:hanging="360"/>
      </w:pPr>
    </w:lvl>
    <w:lvl w:ilvl="6">
      <w:start w:val="22"/>
      <w:numFmt w:val="lowerLetter"/>
      <w:lvlText w:val="%7."/>
      <w:lvlJc w:val="left"/>
      <w:pPr>
        <w:ind w:left="5040" w:hanging="360"/>
      </w:pPr>
    </w:lvl>
    <w:lvl w:ilvl="7">
      <w:start w:val="22"/>
      <w:numFmt w:val="lowerLetter"/>
      <w:lvlText w:val="%8."/>
      <w:lvlJc w:val="left"/>
      <w:pPr>
        <w:ind w:left="5760" w:hanging="360"/>
      </w:pPr>
    </w:lvl>
    <w:lvl w:ilvl="8">
      <w:start w:val="22"/>
      <w:numFmt w:val="lowerLetter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abstractNum w:abstractNumId="99724">
    <w:nsid w:val="00A99724"/>
    <w:multiLevelType w:val="multilevel"/>
    <w:lvl w:ilvl="0">
      <w:start w:val="4"/>
      <w:numFmt w:val="lowerLetter"/>
      <w:lvlText w:val="%1)"/>
      <w:lvlJc w:val="left"/>
      <w:pPr>
        <w:ind w:left="720" w:hanging="360"/>
      </w:pPr>
    </w:lvl>
    <w:lvl w:ilvl="1">
      <w:start w:val="4"/>
      <w:numFmt w:val="lowerLetter"/>
      <w:lvlText w:val="%2)"/>
      <w:lvlJc w:val="left"/>
      <w:pPr>
        <w:ind w:left="1440" w:hanging="360"/>
      </w:pPr>
    </w:lvl>
    <w:lvl w:ilvl="2">
      <w:start w:val="4"/>
      <w:numFmt w:val="lowerLetter"/>
      <w:lvlText w:val="%3)"/>
      <w:lvlJc w:val="left"/>
      <w:pPr>
        <w:ind w:left="2160" w:hanging="360"/>
      </w:pPr>
    </w:lvl>
    <w:lvl w:ilvl="3">
      <w:start w:val="4"/>
      <w:numFmt w:val="lowerLetter"/>
      <w:lvlText w:val="%4)"/>
      <w:lvlJc w:val="left"/>
      <w:pPr>
        <w:ind w:left="2880" w:hanging="360"/>
      </w:pPr>
    </w:lvl>
    <w:lvl w:ilvl="4">
      <w:start w:val="4"/>
      <w:numFmt w:val="lowerLetter"/>
      <w:lvlText w:val="%5)"/>
      <w:lvlJc w:val="left"/>
      <w:pPr>
        <w:ind w:left="3600" w:hanging="360"/>
      </w:pPr>
    </w:lvl>
    <w:lvl w:ilvl="5">
      <w:start w:val="4"/>
      <w:numFmt w:val="lowerLetter"/>
      <w:lvlText w:val="%6)"/>
      <w:lvlJc w:val="left"/>
      <w:pPr>
        <w:ind w:left="4320" w:hanging="360"/>
      </w:pPr>
    </w:lvl>
    <w:lvl w:ilvl="6">
      <w:start w:val="4"/>
      <w:numFmt w:val="lowerLetter"/>
      <w:lvlText w:val="%7)"/>
      <w:lvlJc w:val="left"/>
      <w:pPr>
        <w:ind w:left="5040" w:hanging="360"/>
      </w:pPr>
    </w:lvl>
    <w:lvl w:ilvl="7">
      <w:start w:val="4"/>
      <w:numFmt w:val="lowerLetter"/>
      <w:lvlText w:val="%8)"/>
      <w:lvlJc w:val="left"/>
      <w:pPr>
        <w:ind w:left="5760" w:hanging="360"/>
      </w:pPr>
    </w:lvl>
    <w:lvl w:ilvl="8">
      <w:start w:val="4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9">
    <w:abstractNumId w:val="991"/>
  </w:num>
  <w:num w:numId="1010">
    <w:abstractNumId w:val="991"/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7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9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5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5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6">
    <w:abstractNumId w:val="995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8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1"/>
  </w:num>
  <w:num w:numId="104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2">
    <w:abstractNumId w:val="997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4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4">
    <w:abstractNumId w:val="991"/>
  </w:num>
  <w:num w:numId="104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1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2">
    <w:abstractNumId w:val="997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2026-07-31T16:48:00Z</dcterms:created>
  <dcterms:modified xsi:type="dcterms:W3CDTF">2026-07-31T16:48:00Z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